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margin" w:tblpXSpec="center" w:tblpY="451"/>
        <w:tblW w:w="7797" w:type="dxa"/>
        <w:tblLayout w:type="fixed"/>
        <w:tblLook w:val="04A0" w:firstRow="1" w:lastRow="0" w:firstColumn="1" w:lastColumn="0" w:noHBand="0" w:noVBand="1"/>
      </w:tblPr>
      <w:tblGrid>
        <w:gridCol w:w="2268"/>
        <w:gridCol w:w="2662"/>
        <w:gridCol w:w="2867"/>
      </w:tblGrid>
      <w:tr w:rsidR="00872015" w14:paraId="3858E0EE" w14:textId="77777777" w:rsidTr="005F56EA">
        <w:trPr>
          <w:trHeight w:val="2108"/>
        </w:trPr>
        <w:tc>
          <w:tcPr>
            <w:tcW w:w="2268" w:type="dxa"/>
          </w:tcPr>
          <w:p w14:paraId="186497B7" w14:textId="77777777" w:rsidR="00872015" w:rsidRDefault="00872015" w:rsidP="00872015">
            <w:pPr>
              <w:pStyle w:val="af6"/>
              <w:widowControl w:val="0"/>
              <w:jc w:val="right"/>
              <w:rPr>
                <w:b/>
                <w:sz w:val="16"/>
                <w:szCs w:val="16"/>
              </w:rPr>
            </w:pPr>
            <w:bookmarkStart w:id="0" w:name="_Toc464156819"/>
            <w:bookmarkStart w:id="1" w:name="_Toc467601690"/>
            <w:r>
              <w:rPr>
                <w:b/>
                <w:sz w:val="16"/>
                <w:szCs w:val="16"/>
              </w:rPr>
              <w:t>Утверждено:</w:t>
            </w:r>
          </w:p>
          <w:p w14:paraId="0557E6B1" w14:textId="35BDC166" w:rsidR="00872015" w:rsidRDefault="00872015" w:rsidP="00872015">
            <w:pPr>
              <w:pStyle w:val="af6"/>
              <w:widowControl w:val="0"/>
              <w:jc w:val="right"/>
              <w:rPr>
                <w:sz w:val="16"/>
                <w:szCs w:val="16"/>
              </w:rPr>
            </w:pPr>
            <w:r>
              <w:rPr>
                <w:sz w:val="16"/>
                <w:szCs w:val="16"/>
              </w:rPr>
              <w:t>Междисциплинарное общество специалистов по опухолям печени</w:t>
            </w:r>
          </w:p>
          <w:p w14:paraId="1839C049" w14:textId="77777777" w:rsidR="00872015" w:rsidRDefault="00872015" w:rsidP="00872015">
            <w:pPr>
              <w:pStyle w:val="af6"/>
              <w:widowControl w:val="0"/>
              <w:jc w:val="right"/>
              <w:rPr>
                <w:sz w:val="16"/>
                <w:szCs w:val="16"/>
              </w:rPr>
            </w:pPr>
          </w:p>
          <w:p w14:paraId="7A927BE5" w14:textId="77777777" w:rsidR="00872015" w:rsidRDefault="00872015" w:rsidP="00872015">
            <w:pPr>
              <w:pStyle w:val="af6"/>
              <w:widowControl w:val="0"/>
              <w:jc w:val="right"/>
              <w:rPr>
                <w:sz w:val="16"/>
                <w:szCs w:val="16"/>
              </w:rPr>
            </w:pPr>
          </w:p>
          <w:p w14:paraId="60A7F60D" w14:textId="77777777" w:rsidR="00872015" w:rsidRDefault="00872015" w:rsidP="00872015">
            <w:pPr>
              <w:pStyle w:val="af6"/>
              <w:widowControl w:val="0"/>
              <w:jc w:val="right"/>
              <w:rPr>
                <w:sz w:val="16"/>
                <w:szCs w:val="16"/>
              </w:rPr>
            </w:pPr>
          </w:p>
          <w:p w14:paraId="26974649" w14:textId="77777777" w:rsidR="00872015" w:rsidRDefault="00872015" w:rsidP="00872015">
            <w:pPr>
              <w:pStyle w:val="af6"/>
              <w:widowControl w:val="0"/>
              <w:tabs>
                <w:tab w:val="center" w:pos="646"/>
              </w:tabs>
              <w:jc w:val="right"/>
              <w:rPr>
                <w:sz w:val="16"/>
                <w:szCs w:val="16"/>
              </w:rPr>
            </w:pPr>
            <w:r>
              <w:rPr>
                <w:sz w:val="16"/>
                <w:szCs w:val="16"/>
              </w:rPr>
              <w:t>_________________________</w:t>
            </w:r>
          </w:p>
          <w:p w14:paraId="14703823" w14:textId="77777777" w:rsidR="00872015" w:rsidRDefault="00872015" w:rsidP="00872015">
            <w:pPr>
              <w:pStyle w:val="af6"/>
              <w:widowControl w:val="0"/>
              <w:tabs>
                <w:tab w:val="center" w:pos="646"/>
              </w:tabs>
              <w:rPr>
                <w:sz w:val="16"/>
                <w:szCs w:val="16"/>
              </w:rPr>
            </w:pPr>
            <w:r>
              <w:rPr>
                <w:b/>
                <w:sz w:val="16"/>
                <w:szCs w:val="16"/>
              </w:rPr>
              <w:t xml:space="preserve"> </w:t>
            </w:r>
            <w:proofErr w:type="spellStart"/>
            <w:r>
              <w:rPr>
                <w:b/>
                <w:sz w:val="16"/>
                <w:szCs w:val="16"/>
              </w:rPr>
              <w:t>м.п</w:t>
            </w:r>
            <w:proofErr w:type="spellEnd"/>
            <w:r>
              <w:rPr>
                <w:b/>
                <w:sz w:val="16"/>
                <w:szCs w:val="16"/>
              </w:rPr>
              <w:t>.</w:t>
            </w:r>
          </w:p>
        </w:tc>
        <w:tc>
          <w:tcPr>
            <w:tcW w:w="2662" w:type="dxa"/>
          </w:tcPr>
          <w:p w14:paraId="3026537C" w14:textId="77777777" w:rsidR="00872015" w:rsidRDefault="00872015" w:rsidP="00872015">
            <w:pPr>
              <w:pStyle w:val="af6"/>
              <w:widowControl w:val="0"/>
              <w:jc w:val="right"/>
              <w:rPr>
                <w:b/>
                <w:sz w:val="16"/>
                <w:szCs w:val="16"/>
              </w:rPr>
            </w:pPr>
            <w:r>
              <w:rPr>
                <w:b/>
                <w:sz w:val="16"/>
                <w:szCs w:val="16"/>
              </w:rPr>
              <w:t>Утверждено:</w:t>
            </w:r>
          </w:p>
          <w:p w14:paraId="495D7B70" w14:textId="77777777" w:rsidR="00872015" w:rsidRDefault="00872015" w:rsidP="00872015">
            <w:pPr>
              <w:pStyle w:val="af6"/>
              <w:widowControl w:val="0"/>
              <w:jc w:val="right"/>
              <w:rPr>
                <w:sz w:val="16"/>
                <w:szCs w:val="16"/>
              </w:rPr>
            </w:pPr>
            <w:r>
              <w:rPr>
                <w:sz w:val="16"/>
                <w:szCs w:val="16"/>
              </w:rPr>
              <w:t xml:space="preserve">Общероссийская </w:t>
            </w:r>
          </w:p>
          <w:p w14:paraId="225544CA" w14:textId="77777777" w:rsidR="00872015" w:rsidRDefault="00872015" w:rsidP="00872015">
            <w:pPr>
              <w:pStyle w:val="af6"/>
              <w:widowControl w:val="0"/>
              <w:jc w:val="right"/>
              <w:rPr>
                <w:sz w:val="16"/>
                <w:szCs w:val="16"/>
              </w:rPr>
            </w:pPr>
            <w:r>
              <w:rPr>
                <w:sz w:val="16"/>
                <w:szCs w:val="16"/>
              </w:rPr>
              <w:t xml:space="preserve">общественная организация «Российское общество </w:t>
            </w:r>
          </w:p>
          <w:p w14:paraId="3C3CCFB3" w14:textId="77777777" w:rsidR="00872015" w:rsidRDefault="00872015" w:rsidP="00872015">
            <w:pPr>
              <w:pStyle w:val="af6"/>
              <w:widowControl w:val="0"/>
              <w:jc w:val="right"/>
              <w:rPr>
                <w:sz w:val="16"/>
                <w:szCs w:val="16"/>
              </w:rPr>
            </w:pPr>
            <w:r>
              <w:rPr>
                <w:sz w:val="16"/>
                <w:szCs w:val="16"/>
              </w:rPr>
              <w:t>клинической онкологии»</w:t>
            </w:r>
          </w:p>
          <w:p w14:paraId="03F8E976" w14:textId="77777777" w:rsidR="00872015" w:rsidRDefault="00872015" w:rsidP="00872015">
            <w:pPr>
              <w:pStyle w:val="af6"/>
              <w:widowControl w:val="0"/>
              <w:jc w:val="right"/>
              <w:rPr>
                <w:sz w:val="16"/>
                <w:szCs w:val="16"/>
              </w:rPr>
            </w:pPr>
          </w:p>
          <w:p w14:paraId="7F2108C3" w14:textId="77777777" w:rsidR="00872015" w:rsidRDefault="00872015" w:rsidP="00872015">
            <w:pPr>
              <w:pStyle w:val="af6"/>
              <w:widowControl w:val="0"/>
              <w:rPr>
                <w:b/>
                <w:sz w:val="16"/>
                <w:szCs w:val="16"/>
              </w:rPr>
            </w:pPr>
          </w:p>
          <w:p w14:paraId="315A2A2F" w14:textId="69935B55" w:rsidR="00872015" w:rsidRDefault="00872015" w:rsidP="00872015">
            <w:pPr>
              <w:pStyle w:val="af6"/>
              <w:widowControl w:val="0"/>
              <w:rPr>
                <w:b/>
                <w:sz w:val="16"/>
                <w:szCs w:val="16"/>
              </w:rPr>
            </w:pPr>
            <w:r>
              <w:rPr>
                <w:b/>
                <w:sz w:val="16"/>
                <w:szCs w:val="16"/>
              </w:rPr>
              <w:t>______________________________</w:t>
            </w:r>
          </w:p>
          <w:p w14:paraId="6B1124F6" w14:textId="77777777" w:rsidR="00872015" w:rsidRDefault="00872015" w:rsidP="00872015">
            <w:pPr>
              <w:pStyle w:val="af6"/>
              <w:widowControl w:val="0"/>
              <w:rPr>
                <w:b/>
                <w:sz w:val="16"/>
                <w:szCs w:val="16"/>
              </w:rPr>
            </w:pPr>
            <w:r>
              <w:rPr>
                <w:b/>
                <w:sz w:val="16"/>
                <w:szCs w:val="16"/>
              </w:rPr>
              <w:t xml:space="preserve"> </w:t>
            </w:r>
            <w:proofErr w:type="spellStart"/>
            <w:r>
              <w:rPr>
                <w:b/>
                <w:sz w:val="16"/>
                <w:szCs w:val="16"/>
              </w:rPr>
              <w:t>м.п</w:t>
            </w:r>
            <w:proofErr w:type="spellEnd"/>
            <w:r>
              <w:rPr>
                <w:b/>
                <w:sz w:val="16"/>
                <w:szCs w:val="16"/>
              </w:rPr>
              <w:t>.</w:t>
            </w:r>
          </w:p>
        </w:tc>
        <w:tc>
          <w:tcPr>
            <w:tcW w:w="2867" w:type="dxa"/>
          </w:tcPr>
          <w:p w14:paraId="06A10664" w14:textId="77777777" w:rsidR="00872015" w:rsidRDefault="00872015" w:rsidP="005E59DF">
            <w:pPr>
              <w:pStyle w:val="af6"/>
              <w:widowControl w:val="0"/>
              <w:jc w:val="right"/>
              <w:rPr>
                <w:b/>
                <w:sz w:val="16"/>
                <w:szCs w:val="16"/>
              </w:rPr>
            </w:pPr>
            <w:r>
              <w:rPr>
                <w:b/>
                <w:sz w:val="16"/>
                <w:szCs w:val="16"/>
              </w:rPr>
              <w:t>Утверждено:</w:t>
            </w:r>
          </w:p>
          <w:p w14:paraId="6A7ED4F6" w14:textId="77777777" w:rsidR="00872015" w:rsidRDefault="00872015" w:rsidP="005E59DF">
            <w:pPr>
              <w:pStyle w:val="af6"/>
              <w:widowControl w:val="0"/>
              <w:jc w:val="right"/>
              <w:rPr>
                <w:sz w:val="16"/>
                <w:szCs w:val="16"/>
              </w:rPr>
            </w:pPr>
            <w:r>
              <w:rPr>
                <w:sz w:val="16"/>
                <w:szCs w:val="16"/>
              </w:rPr>
              <w:t>Общероссийский национальный союз</w:t>
            </w:r>
          </w:p>
          <w:p w14:paraId="1EBCC8C5" w14:textId="77777777" w:rsidR="00872015" w:rsidRDefault="00872015" w:rsidP="005E59DF">
            <w:pPr>
              <w:pStyle w:val="af6"/>
              <w:widowControl w:val="0"/>
              <w:ind w:left="23" w:hanging="23"/>
              <w:jc w:val="right"/>
              <w:rPr>
                <w:sz w:val="16"/>
                <w:szCs w:val="16"/>
              </w:rPr>
            </w:pPr>
            <w:r>
              <w:rPr>
                <w:sz w:val="16"/>
                <w:szCs w:val="16"/>
              </w:rPr>
              <w:t>«Ассоциация онкологов России»</w:t>
            </w:r>
          </w:p>
          <w:p w14:paraId="4B6EFA84" w14:textId="77777777" w:rsidR="00872015" w:rsidRDefault="00872015" w:rsidP="00872015">
            <w:pPr>
              <w:pStyle w:val="af6"/>
              <w:widowControl w:val="0"/>
              <w:jc w:val="right"/>
              <w:rPr>
                <w:sz w:val="16"/>
                <w:szCs w:val="16"/>
              </w:rPr>
            </w:pPr>
          </w:p>
          <w:p w14:paraId="5093BDD4" w14:textId="0B87B15B" w:rsidR="00872015" w:rsidRDefault="00872015" w:rsidP="00872015">
            <w:pPr>
              <w:pStyle w:val="af6"/>
              <w:widowControl w:val="0"/>
              <w:jc w:val="right"/>
              <w:rPr>
                <w:sz w:val="16"/>
                <w:szCs w:val="16"/>
              </w:rPr>
            </w:pPr>
          </w:p>
          <w:p w14:paraId="3B1E8AD3" w14:textId="77777777" w:rsidR="005F56EA" w:rsidRDefault="005F56EA" w:rsidP="00872015">
            <w:pPr>
              <w:pStyle w:val="af6"/>
              <w:widowControl w:val="0"/>
              <w:jc w:val="right"/>
              <w:rPr>
                <w:sz w:val="16"/>
                <w:szCs w:val="16"/>
              </w:rPr>
            </w:pPr>
          </w:p>
          <w:p w14:paraId="005B4C4E" w14:textId="77777777" w:rsidR="005F56EA" w:rsidRPr="00872015" w:rsidRDefault="005F56EA" w:rsidP="00872015">
            <w:pPr>
              <w:pStyle w:val="af6"/>
              <w:widowControl w:val="0"/>
              <w:jc w:val="right"/>
              <w:rPr>
                <w:sz w:val="16"/>
                <w:szCs w:val="16"/>
              </w:rPr>
            </w:pPr>
          </w:p>
          <w:p w14:paraId="4EE65F15" w14:textId="7627E11C" w:rsidR="00872015" w:rsidRDefault="00872015" w:rsidP="005F56EA">
            <w:pPr>
              <w:pStyle w:val="af6"/>
              <w:widowControl w:val="0"/>
              <w:rPr>
                <w:b/>
                <w:sz w:val="16"/>
                <w:szCs w:val="16"/>
              </w:rPr>
            </w:pPr>
            <w:r>
              <w:rPr>
                <w:b/>
                <w:sz w:val="16"/>
                <w:szCs w:val="16"/>
              </w:rPr>
              <w:t>___________________________</w:t>
            </w:r>
            <w:r w:rsidR="005F56EA">
              <w:rPr>
                <w:b/>
                <w:sz w:val="16"/>
                <w:szCs w:val="16"/>
              </w:rPr>
              <w:t>_____</w:t>
            </w:r>
          </w:p>
          <w:p w14:paraId="76DA8623" w14:textId="77777777" w:rsidR="00872015" w:rsidRDefault="00872015" w:rsidP="00872015">
            <w:pPr>
              <w:pStyle w:val="af6"/>
              <w:widowControl w:val="0"/>
              <w:rPr>
                <w:b/>
                <w:sz w:val="16"/>
                <w:szCs w:val="16"/>
              </w:rPr>
            </w:pPr>
            <w:r>
              <w:rPr>
                <w:b/>
                <w:sz w:val="16"/>
                <w:szCs w:val="16"/>
              </w:rPr>
              <w:t xml:space="preserve"> </w:t>
            </w:r>
            <w:proofErr w:type="spellStart"/>
            <w:r>
              <w:rPr>
                <w:b/>
                <w:sz w:val="16"/>
                <w:szCs w:val="16"/>
              </w:rPr>
              <w:t>м.п</w:t>
            </w:r>
            <w:proofErr w:type="spellEnd"/>
            <w:r>
              <w:rPr>
                <w:b/>
                <w:sz w:val="16"/>
                <w:szCs w:val="16"/>
              </w:rPr>
              <w:t>.</w:t>
            </w:r>
          </w:p>
        </w:tc>
      </w:tr>
    </w:tbl>
    <w:p w14:paraId="775A148E" w14:textId="1EC46668" w:rsidR="00630BAC" w:rsidRPr="00DF0D90" w:rsidRDefault="00E57FDE" w:rsidP="006D217F">
      <w:pPr>
        <w:pStyle w:val="af6"/>
        <w:spacing w:after="120" w:line="360" w:lineRule="auto"/>
        <w:ind w:firstLine="567"/>
        <w:jc w:val="both"/>
      </w:pPr>
      <w:r w:rsidRPr="00DF0D90">
        <w:rPr>
          <w:noProof/>
        </w:rPr>
        <mc:AlternateContent>
          <mc:Choice Requires="wps">
            <w:drawing>
              <wp:anchor distT="0" distB="0" distL="114300" distR="114300" simplePos="0" relativeHeight="251658240" behindDoc="1" locked="0" layoutInCell="1" allowOverlap="1" wp14:anchorId="16738A5A" wp14:editId="3B7CF821">
                <wp:simplePos x="0" y="0"/>
                <wp:positionH relativeFrom="column">
                  <wp:posOffset>-685800</wp:posOffset>
                </wp:positionH>
                <wp:positionV relativeFrom="paragraph">
                  <wp:posOffset>-342900</wp:posOffset>
                </wp:positionV>
                <wp:extent cx="6781800" cy="9829800"/>
                <wp:effectExtent l="0" t="0" r="0" b="0"/>
                <wp:wrapNone/>
                <wp:docPr id="5"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781800" cy="9829800"/>
                        </a:xfrm>
                        <a:prstGeom prst="rect">
                          <a:avLst/>
                        </a:prstGeom>
                        <a:solidFill>
                          <a:srgbClr val="FFFFFF"/>
                        </a:solidFill>
                        <a:ln>
                          <a:noFill/>
                        </a:ln>
                      </wps:spPr>
                      <wps:txbx>
                        <w:txbxContent>
                          <w:p w14:paraId="30E1E88F" w14:textId="77777777" w:rsidR="00D30C2B" w:rsidRDefault="00D30C2B" w:rsidP="0068438A"/>
                          <w:p w14:paraId="65A3770F" w14:textId="77777777" w:rsidR="00D30C2B" w:rsidRDefault="00D30C2B" w:rsidP="0068438A"/>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6738A5A" id="Rectangle 2" o:spid="_x0000_s1026" style="position:absolute;left:0;text-align:left;margin-left:-54pt;margin-top:-27pt;width:534pt;height:77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" stroked="f">
                <o:lock v:ext="edit" aspectratio="t"/>
                <v:textbox>
                  <w:txbxContent>
                    <w:p w14:paraId="30E1E88F" w14:textId="77777777" w:rsidR="00D30C2B" w:rsidRDefault="00D30C2B" w:rsidP="0068438A"/>
                    <w:p w14:paraId="65A3770F" w14:textId="77777777" w:rsidR="00D30C2B" w:rsidRDefault="00D30C2B" w:rsidP="0068438A"/>
                  </w:txbxContent>
                </v:textbox>
              </v:rect>
            </w:pict>
          </mc:Fallback>
        </mc:AlternateContent>
      </w:r>
      <w:r w:rsidRPr="00DF0D90">
        <w:rPr>
          <w:noProof/>
        </w:rPr>
        <mc:AlternateContent>
          <mc:Choice Requires="wps">
            <w:drawing>
              <wp:anchor distT="0" distB="0" distL="114300" distR="114300" simplePos="0" relativeHeight="251657216" behindDoc="1" locked="0" layoutInCell="1" allowOverlap="1" wp14:anchorId="698F601B" wp14:editId="3CD3B5F3">
                <wp:simplePos x="0" y="0"/>
                <wp:positionH relativeFrom="page">
                  <wp:posOffset>-35560</wp:posOffset>
                </wp:positionH>
                <wp:positionV relativeFrom="paragraph">
                  <wp:posOffset>-962660</wp:posOffset>
                </wp:positionV>
                <wp:extent cx="7601585" cy="11021060"/>
                <wp:effectExtent l="0" t="0" r="0" b="0"/>
                <wp:wrapNone/>
                <wp:docPr id="4"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601585" cy="11021060"/>
                        </a:xfrm>
                        <a:prstGeom prst="rect">
                          <a:avLst/>
                        </a:prstGeom>
                        <a:solidFill>
                          <a:srgbClr val="0B595D">
                            <a:alpha val="10196"/>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7A0A7D" id="Прямоугольник 3" o:spid="_x0000_s1026" style="position:absolute;margin-left:-2.8pt;margin-top:-75.8pt;width:598.55pt;height:867.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" fillcolor="#0b595d" stroked="f">
                <v:fill opacity="6682f"/>
                <o:lock v:ext="edit" aspectratio="t"/>
                <w10:wrap anchorx="page"/>
              </v:rect>
            </w:pict>
          </mc:Fallback>
        </mc:AlternateContent>
      </w:r>
    </w:p>
    <w:p w14:paraId="55D377A2" w14:textId="77777777" w:rsidR="00F36F5A" w:rsidRPr="00DF0D90" w:rsidRDefault="00F36F5A" w:rsidP="00F36F5A">
      <w:pPr>
        <w:pStyle w:val="af6"/>
        <w:spacing w:after="120" w:line="360" w:lineRule="auto"/>
        <w:jc w:val="both"/>
      </w:pPr>
    </w:p>
    <w:p w14:paraId="2CA158FF" w14:textId="77777777" w:rsidR="00F36F5A" w:rsidRPr="00DF0D90" w:rsidRDefault="00F36F5A" w:rsidP="00F36F5A">
      <w:pPr>
        <w:pStyle w:val="af6"/>
        <w:spacing w:after="120" w:line="360" w:lineRule="auto"/>
        <w:jc w:val="both"/>
      </w:pPr>
    </w:p>
    <w:p w14:paraId="44DFEBA1" w14:textId="77777777" w:rsidR="00F36F5A" w:rsidRPr="00DF0D90" w:rsidRDefault="00F36F5A" w:rsidP="00F32797">
      <w:pPr>
        <w:pStyle w:val="af6"/>
        <w:spacing w:after="120" w:line="360" w:lineRule="auto"/>
        <w:jc w:val="both"/>
      </w:pPr>
    </w:p>
    <w:p w14:paraId="20D0FFBA" w14:textId="77777777" w:rsidR="00872015" w:rsidRDefault="00872015" w:rsidP="00F32797">
      <w:pPr>
        <w:pStyle w:val="af6"/>
        <w:spacing w:after="120" w:line="360" w:lineRule="auto"/>
        <w:jc w:val="both"/>
      </w:pPr>
    </w:p>
    <w:p w14:paraId="2859F5B8" w14:textId="77777777" w:rsidR="00872015" w:rsidRDefault="00872015" w:rsidP="00F32797">
      <w:pPr>
        <w:pStyle w:val="af6"/>
        <w:spacing w:after="120" w:line="360" w:lineRule="auto"/>
        <w:jc w:val="both"/>
      </w:pPr>
    </w:p>
    <w:p w14:paraId="572AE041" w14:textId="77777777" w:rsidR="00872015" w:rsidRDefault="00872015" w:rsidP="00F32797">
      <w:pPr>
        <w:pStyle w:val="af6"/>
        <w:spacing w:after="120" w:line="360" w:lineRule="auto"/>
        <w:jc w:val="both"/>
      </w:pPr>
    </w:p>
    <w:p w14:paraId="5D5F53C8" w14:textId="1E344AEB" w:rsidR="00630BAC" w:rsidRPr="00872015" w:rsidRDefault="0061201C" w:rsidP="00F32797">
      <w:pPr>
        <w:pStyle w:val="af6"/>
        <w:spacing w:after="120" w:line="360" w:lineRule="auto"/>
        <w:jc w:val="both"/>
        <w:rPr>
          <w:b/>
          <w:bCs/>
        </w:rPr>
      </w:pPr>
      <w:r w:rsidRPr="00872015">
        <w:rPr>
          <w:b/>
          <w:bCs/>
        </w:rPr>
        <w:t>Клинические рекомендации</w:t>
      </w:r>
    </w:p>
    <w:tbl>
      <w:tblPr>
        <w:tblpPr w:leftFromText="180" w:rightFromText="180" w:vertAnchor="page" w:horzAnchor="margin" w:tblpY="5447"/>
        <w:tblW w:w="9525" w:type="dxa"/>
        <w:tblLook w:val="00A0" w:firstRow="1" w:lastRow="0" w:firstColumn="1" w:lastColumn="0" w:noHBand="0" w:noVBand="0"/>
      </w:tblPr>
      <w:tblGrid>
        <w:gridCol w:w="4786"/>
        <w:gridCol w:w="4739"/>
      </w:tblGrid>
      <w:tr w:rsidR="00563B70" w:rsidRPr="00DF0D90" w14:paraId="73F617EA" w14:textId="77777777" w:rsidTr="00872015">
        <w:trPr>
          <w:trHeight w:val="789"/>
        </w:trPr>
        <w:tc>
          <w:tcPr>
            <w:tcW w:w="9525" w:type="dxa"/>
            <w:gridSpan w:val="2"/>
          </w:tcPr>
          <w:p w14:paraId="2D1E06C2" w14:textId="77777777" w:rsidR="00563B70" w:rsidRPr="00DF0D90" w:rsidRDefault="00563B70" w:rsidP="00872015">
            <w:pPr>
              <w:tabs>
                <w:tab w:val="left" w:pos="6135"/>
              </w:tabs>
              <w:spacing w:after="120" w:line="360" w:lineRule="auto"/>
              <w:jc w:val="both"/>
              <w:rPr>
                <w:sz w:val="28"/>
                <w:szCs w:val="28"/>
              </w:rPr>
            </w:pPr>
            <w:r w:rsidRPr="00DF0D90">
              <w:rPr>
                <w:b/>
                <w:color w:val="000000"/>
                <w:sz w:val="44"/>
                <w:szCs w:val="44"/>
              </w:rPr>
              <w:t>Рак печени (гепатоцеллюлярный)</w:t>
            </w:r>
          </w:p>
        </w:tc>
      </w:tr>
      <w:tr w:rsidR="00563B70" w:rsidRPr="00DF0D90" w14:paraId="71C9C06F" w14:textId="77777777" w:rsidTr="00872015">
        <w:trPr>
          <w:trHeight w:val="1371"/>
        </w:trPr>
        <w:tc>
          <w:tcPr>
            <w:tcW w:w="4786" w:type="dxa"/>
          </w:tcPr>
          <w:p w14:paraId="43006B3C" w14:textId="77777777" w:rsidR="00563B70" w:rsidRPr="00DF0D90" w:rsidRDefault="00563B70" w:rsidP="00872015">
            <w:pPr>
              <w:tabs>
                <w:tab w:val="left" w:pos="6135"/>
              </w:tabs>
              <w:spacing w:after="120"/>
              <w:jc w:val="right"/>
              <w:rPr>
                <w:szCs w:val="28"/>
              </w:rPr>
            </w:pPr>
            <w:r w:rsidRPr="00DF0D90">
              <w:rPr>
                <w:color w:val="808080"/>
                <w:szCs w:val="28"/>
              </w:rPr>
              <w:t>Кодирование по Международной</w:t>
            </w:r>
            <w:r w:rsidR="00F36F5A" w:rsidRPr="00DF0D90">
              <w:rPr>
                <w:color w:val="808080"/>
                <w:szCs w:val="28"/>
              </w:rPr>
              <w:t xml:space="preserve"> </w:t>
            </w:r>
            <w:r w:rsidRPr="00DF0D90">
              <w:rPr>
                <w:color w:val="808080"/>
                <w:szCs w:val="28"/>
              </w:rPr>
              <w:t>статистической классификации</w:t>
            </w:r>
            <w:r w:rsidR="00F36F5A" w:rsidRPr="00DF0D90">
              <w:rPr>
                <w:color w:val="808080"/>
                <w:szCs w:val="28"/>
              </w:rPr>
              <w:t xml:space="preserve"> </w:t>
            </w:r>
            <w:r w:rsidRPr="00DF0D90">
              <w:rPr>
                <w:color w:val="808080"/>
                <w:szCs w:val="28"/>
              </w:rPr>
              <w:t>болезней и проблем, связанных со здоровьем:</w:t>
            </w:r>
          </w:p>
        </w:tc>
        <w:tc>
          <w:tcPr>
            <w:tcW w:w="4739" w:type="dxa"/>
          </w:tcPr>
          <w:p w14:paraId="021EC720" w14:textId="64128AFF" w:rsidR="00563B70" w:rsidRPr="0043377B" w:rsidRDefault="00563B70" w:rsidP="00872015">
            <w:pPr>
              <w:tabs>
                <w:tab w:val="left" w:pos="6135"/>
              </w:tabs>
              <w:spacing w:after="120"/>
              <w:ind w:firstLine="567"/>
              <w:jc w:val="both"/>
              <w:rPr>
                <w:bCs/>
                <w:szCs w:val="28"/>
                <w:lang w:val="en-US"/>
              </w:rPr>
            </w:pPr>
            <w:r w:rsidRPr="00DF0D90">
              <w:rPr>
                <w:bCs/>
              </w:rPr>
              <w:t>С22.0</w:t>
            </w:r>
            <w:r w:rsidR="007440CF">
              <w:rPr>
                <w:bCs/>
              </w:rPr>
              <w:t xml:space="preserve">, </w:t>
            </w:r>
            <w:r w:rsidR="007440CF">
              <w:rPr>
                <w:bCs/>
                <w:lang w:val="en-US"/>
              </w:rPr>
              <w:t>D37.6</w:t>
            </w:r>
          </w:p>
        </w:tc>
      </w:tr>
      <w:tr w:rsidR="00563B70" w:rsidRPr="00DF0D90" w14:paraId="5A6E8C3F" w14:textId="77777777" w:rsidTr="00872015">
        <w:trPr>
          <w:trHeight w:val="542"/>
        </w:trPr>
        <w:tc>
          <w:tcPr>
            <w:tcW w:w="4786" w:type="dxa"/>
          </w:tcPr>
          <w:p w14:paraId="63E849CD" w14:textId="77777777" w:rsidR="00563B70" w:rsidRPr="00DF0D90" w:rsidRDefault="00563B70" w:rsidP="00872015">
            <w:pPr>
              <w:tabs>
                <w:tab w:val="left" w:pos="6135"/>
              </w:tabs>
              <w:spacing w:after="120"/>
              <w:ind w:firstLine="567"/>
              <w:jc w:val="right"/>
              <w:rPr>
                <w:color w:val="808080"/>
                <w:szCs w:val="28"/>
              </w:rPr>
            </w:pPr>
            <w:r w:rsidRPr="00DF0D90">
              <w:rPr>
                <w:rStyle w:val="pop-slug-vol"/>
                <w:color w:val="767171"/>
                <w:szCs w:val="28"/>
              </w:rPr>
              <w:t xml:space="preserve">Возрастная группа: </w:t>
            </w:r>
          </w:p>
        </w:tc>
        <w:tc>
          <w:tcPr>
            <w:tcW w:w="4739" w:type="dxa"/>
          </w:tcPr>
          <w:p w14:paraId="61642865" w14:textId="77777777" w:rsidR="00563B70" w:rsidRPr="00DF0D90" w:rsidRDefault="00563B70" w:rsidP="00872015">
            <w:pPr>
              <w:tabs>
                <w:tab w:val="left" w:pos="6135"/>
              </w:tabs>
              <w:spacing w:after="120"/>
              <w:ind w:firstLine="567"/>
              <w:jc w:val="both"/>
              <w:rPr>
                <w:bCs/>
                <w:color w:val="808080"/>
                <w:szCs w:val="28"/>
              </w:rPr>
            </w:pPr>
            <w:r w:rsidRPr="00DF0D90">
              <w:rPr>
                <w:bCs/>
              </w:rPr>
              <w:t>взрослые</w:t>
            </w:r>
          </w:p>
        </w:tc>
      </w:tr>
      <w:tr w:rsidR="00563B70" w:rsidRPr="00DF0D90" w14:paraId="61AC5724" w14:textId="77777777" w:rsidTr="00872015">
        <w:trPr>
          <w:trHeight w:val="536"/>
        </w:trPr>
        <w:tc>
          <w:tcPr>
            <w:tcW w:w="4786" w:type="dxa"/>
          </w:tcPr>
          <w:p w14:paraId="5E0739C2" w14:textId="77777777" w:rsidR="00563B70" w:rsidRPr="00DF0D90" w:rsidRDefault="00563B70" w:rsidP="00872015">
            <w:pPr>
              <w:tabs>
                <w:tab w:val="left" w:pos="6135"/>
              </w:tabs>
              <w:spacing w:after="120"/>
              <w:ind w:firstLine="567"/>
              <w:jc w:val="right"/>
              <w:rPr>
                <w:color w:val="808080"/>
                <w:szCs w:val="28"/>
              </w:rPr>
            </w:pPr>
            <w:r w:rsidRPr="00DF0D90">
              <w:rPr>
                <w:color w:val="808080"/>
              </w:rPr>
              <w:t>Год утверждения:</w:t>
            </w:r>
          </w:p>
        </w:tc>
        <w:tc>
          <w:tcPr>
            <w:tcW w:w="4739" w:type="dxa"/>
          </w:tcPr>
          <w:p w14:paraId="563F9E64" w14:textId="7D8CA58A" w:rsidR="00563B70" w:rsidRPr="00DF0D90" w:rsidRDefault="003640B7" w:rsidP="00872015">
            <w:pPr>
              <w:tabs>
                <w:tab w:val="left" w:pos="6135"/>
              </w:tabs>
              <w:spacing w:after="120"/>
              <w:ind w:firstLine="567"/>
              <w:jc w:val="both"/>
              <w:rPr>
                <w:bCs/>
              </w:rPr>
            </w:pPr>
            <w:r>
              <w:rPr>
                <w:bCs/>
              </w:rPr>
              <w:t>2025</w:t>
            </w:r>
          </w:p>
        </w:tc>
      </w:tr>
      <w:tr w:rsidR="00563B70" w:rsidRPr="00DF0D90" w14:paraId="7C957245" w14:textId="77777777" w:rsidTr="00872015">
        <w:tc>
          <w:tcPr>
            <w:tcW w:w="9525" w:type="dxa"/>
            <w:gridSpan w:val="2"/>
          </w:tcPr>
          <w:p w14:paraId="2B97E0BD" w14:textId="77777777" w:rsidR="00563B70" w:rsidRPr="00DF0D90" w:rsidRDefault="00F36F5A" w:rsidP="00872015">
            <w:pPr>
              <w:tabs>
                <w:tab w:val="left" w:pos="6135"/>
              </w:tabs>
              <w:spacing w:after="120"/>
              <w:jc w:val="both"/>
              <w:rPr>
                <w:color w:val="FF0000"/>
                <w:sz w:val="20"/>
                <w:szCs w:val="20"/>
              </w:rPr>
            </w:pPr>
            <w:r w:rsidRPr="00DF0D90">
              <w:rPr>
                <w:color w:val="808080"/>
              </w:rPr>
              <w:t xml:space="preserve">       </w:t>
            </w:r>
            <w:r w:rsidR="00563B70" w:rsidRPr="00DF0D90">
              <w:rPr>
                <w:color w:val="808080"/>
              </w:rPr>
              <w:t>Разработчик клиническ</w:t>
            </w:r>
            <w:r w:rsidRPr="00DF0D90">
              <w:rPr>
                <w:color w:val="808080"/>
              </w:rPr>
              <w:t>их</w:t>
            </w:r>
            <w:r w:rsidR="00563B70" w:rsidRPr="00DF0D90">
              <w:rPr>
                <w:color w:val="808080"/>
              </w:rPr>
              <w:t xml:space="preserve"> рекомендаци</w:t>
            </w:r>
            <w:r w:rsidRPr="00DF0D90">
              <w:rPr>
                <w:color w:val="808080"/>
              </w:rPr>
              <w:t>й</w:t>
            </w:r>
            <w:r w:rsidR="00563B70" w:rsidRPr="00DF0D90">
              <w:rPr>
                <w:color w:val="808080"/>
              </w:rPr>
              <w:t>:</w:t>
            </w:r>
          </w:p>
        </w:tc>
      </w:tr>
      <w:tr w:rsidR="00563B70" w:rsidRPr="00DF0D90" w14:paraId="0021F3B0" w14:textId="77777777" w:rsidTr="00872015">
        <w:trPr>
          <w:trHeight w:val="4170"/>
        </w:trPr>
        <w:tc>
          <w:tcPr>
            <w:tcW w:w="9525" w:type="dxa"/>
            <w:gridSpan w:val="2"/>
          </w:tcPr>
          <w:p w14:paraId="0C4DC970" w14:textId="77777777" w:rsidR="00F36F5A" w:rsidRPr="00DF0D90" w:rsidRDefault="00563B70" w:rsidP="00872015">
            <w:pPr>
              <w:numPr>
                <w:ilvl w:val="0"/>
                <w:numId w:val="25"/>
              </w:numPr>
              <w:tabs>
                <w:tab w:val="left" w:pos="1276"/>
              </w:tabs>
              <w:spacing w:after="120"/>
              <w:ind w:firstLine="567"/>
              <w:jc w:val="both"/>
            </w:pPr>
            <w:r w:rsidRPr="00DF0D90">
              <w:t>Ассоциация онкологов России</w:t>
            </w:r>
          </w:p>
          <w:p w14:paraId="1F3597A5" w14:textId="77777777" w:rsidR="00F36F5A" w:rsidRPr="00DF0D90" w:rsidRDefault="00563B70" w:rsidP="00872015">
            <w:pPr>
              <w:numPr>
                <w:ilvl w:val="0"/>
                <w:numId w:val="25"/>
              </w:numPr>
              <w:tabs>
                <w:tab w:val="left" w:pos="1276"/>
              </w:tabs>
              <w:spacing w:after="120"/>
              <w:ind w:firstLine="567"/>
              <w:jc w:val="both"/>
            </w:pPr>
            <w:r w:rsidRPr="00DF0D90">
              <w:t>Междисциплинарное</w:t>
            </w:r>
            <w:r w:rsidR="00295DF5" w:rsidRPr="00DF0D90">
              <w:t xml:space="preserve"> </w:t>
            </w:r>
            <w:r w:rsidRPr="00DF0D90">
              <w:t xml:space="preserve">общество </w:t>
            </w:r>
            <w:r w:rsidR="00295DF5" w:rsidRPr="00DF0D90">
              <w:t>специалистов по опухолям печени</w:t>
            </w:r>
          </w:p>
          <w:p w14:paraId="66075321" w14:textId="77777777" w:rsidR="00F36F5A" w:rsidRPr="00DF0D90" w:rsidRDefault="00563B70" w:rsidP="00872015">
            <w:pPr>
              <w:numPr>
                <w:ilvl w:val="0"/>
                <w:numId w:val="25"/>
              </w:numPr>
              <w:tabs>
                <w:tab w:val="left" w:pos="1276"/>
              </w:tabs>
              <w:spacing w:after="120"/>
              <w:ind w:firstLine="567"/>
              <w:jc w:val="both"/>
            </w:pPr>
            <w:r w:rsidRPr="00DF0D90">
              <w:t>Российское общество клинической онкологии</w:t>
            </w:r>
          </w:p>
          <w:p w14:paraId="10B70AB0" w14:textId="77777777" w:rsidR="00563B70" w:rsidRPr="00DF0D90" w:rsidRDefault="00563B70" w:rsidP="00872015">
            <w:pPr>
              <w:pStyle w:val="af6"/>
              <w:widowControl w:val="0"/>
              <w:spacing w:after="120"/>
              <w:ind w:firstLine="567"/>
              <w:jc w:val="both"/>
              <w:rPr>
                <w:rFonts w:eastAsia="Calibri"/>
                <w:b/>
                <w:sz w:val="28"/>
                <w:lang w:eastAsia="en-US"/>
              </w:rPr>
            </w:pPr>
          </w:p>
          <w:p w14:paraId="5921C8D2" w14:textId="77777777" w:rsidR="00563B70" w:rsidRPr="00DF0D90" w:rsidRDefault="00563B70" w:rsidP="00872015">
            <w:pPr>
              <w:pStyle w:val="af6"/>
              <w:widowControl w:val="0"/>
              <w:spacing w:after="120"/>
              <w:ind w:firstLine="567"/>
              <w:jc w:val="both"/>
              <w:rPr>
                <w:rFonts w:eastAsia="Calibri"/>
                <w:b/>
                <w:sz w:val="28"/>
                <w:lang w:eastAsia="en-US"/>
              </w:rPr>
            </w:pPr>
          </w:p>
        </w:tc>
      </w:tr>
    </w:tbl>
    <w:p w14:paraId="318E60C9" w14:textId="77777777" w:rsidR="00630BAC" w:rsidRPr="00DF0D90" w:rsidRDefault="00630BAC" w:rsidP="006D217F">
      <w:pPr>
        <w:spacing w:after="120" w:line="360" w:lineRule="auto"/>
        <w:ind w:firstLine="567"/>
        <w:jc w:val="both"/>
      </w:pPr>
    </w:p>
    <w:p w14:paraId="3E23BB30" w14:textId="37051C99" w:rsidR="00563B70" w:rsidRPr="00872015" w:rsidRDefault="00872015" w:rsidP="00872015">
      <w:pPr>
        <w:tabs>
          <w:tab w:val="left" w:pos="3935"/>
        </w:tabs>
        <w:spacing w:after="120" w:line="360" w:lineRule="auto"/>
        <w:jc w:val="center"/>
        <w:rPr>
          <w:rFonts w:eastAsia="MS Gothic"/>
          <w:sz w:val="22"/>
          <w:szCs w:val="22"/>
        </w:rPr>
      </w:pPr>
      <w:r w:rsidRPr="00872015">
        <w:rPr>
          <w:rFonts w:eastAsia="MS Gothic"/>
          <w:sz w:val="22"/>
          <w:szCs w:val="22"/>
        </w:rPr>
        <w:t>«Одобрено на заседании научно-практического совета Министерства здравоохранения Российской Федерации»</w:t>
      </w:r>
    </w:p>
    <w:p w14:paraId="7BD10331" w14:textId="77777777" w:rsidR="00630BAC" w:rsidRPr="00DF0D90" w:rsidRDefault="00563B70" w:rsidP="00801019">
      <w:pPr>
        <w:pStyle w:val="42"/>
      </w:pPr>
      <w:r w:rsidRPr="00DF0D90">
        <w:br w:type="page"/>
      </w:r>
      <w:bookmarkStart w:id="2" w:name="_Toc98349262"/>
      <w:bookmarkStart w:id="3" w:name="_Toc83293960"/>
      <w:r w:rsidR="00630BAC" w:rsidRPr="00DF0D90">
        <w:lastRenderedPageBreak/>
        <w:t>Оглавление</w:t>
      </w:r>
      <w:bookmarkEnd w:id="2"/>
      <w:bookmarkEnd w:id="3"/>
    </w:p>
    <w:p w14:paraId="1C745814" w14:textId="473C1746" w:rsidR="00A60E04" w:rsidRPr="00DF0D90" w:rsidRDefault="00AB47DB" w:rsidP="003640B7">
      <w:pPr>
        <w:pStyle w:val="15"/>
        <w:spacing w:line="360" w:lineRule="auto"/>
        <w:rPr>
          <w:rFonts w:ascii="Calibri" w:hAnsi="Calibri"/>
          <w:noProof/>
          <w:sz w:val="22"/>
          <w:szCs w:val="22"/>
        </w:rPr>
      </w:pPr>
      <w:r w:rsidRPr="00DF0D90">
        <w:fldChar w:fldCharType="begin"/>
      </w:r>
      <w:r w:rsidR="00630BAC" w:rsidRPr="00DF0D90">
        <w:instrText xml:space="preserve"> TOC \o "1-3" \h \z \u </w:instrText>
      </w:r>
      <w:r w:rsidRPr="00DF0D90">
        <w:fldChar w:fldCharType="separate"/>
      </w:r>
      <w:bookmarkStart w:id="4" w:name="_Hlk201328456"/>
      <w:r w:rsidR="00A60E04">
        <w:fldChar w:fldCharType="begin"/>
      </w:r>
      <w:r w:rsidR="00A60E04">
        <w:instrText>HYPERLINK \l "_Toc98349262"</w:instrText>
      </w:r>
      <w:r w:rsidR="00A60E04">
        <w:fldChar w:fldCharType="separate"/>
      </w:r>
      <w:r w:rsidR="00A60E04" w:rsidRPr="00DF0D90">
        <w:rPr>
          <w:rStyle w:val="aa"/>
          <w:rFonts w:eastAsia="MS Mincho"/>
          <w:noProof/>
        </w:rPr>
        <w:t>Оглавление</w:t>
      </w:r>
      <w:r w:rsidR="00A60E04" w:rsidRPr="00DF0D90">
        <w:rPr>
          <w:noProof/>
          <w:webHidden/>
        </w:rPr>
        <w:tab/>
      </w:r>
      <w:r w:rsidR="00A60E04" w:rsidRPr="00DF0D90">
        <w:rPr>
          <w:noProof/>
          <w:webHidden/>
        </w:rPr>
        <w:fldChar w:fldCharType="begin"/>
      </w:r>
      <w:r w:rsidR="00A60E04" w:rsidRPr="00DF0D90">
        <w:rPr>
          <w:noProof/>
          <w:webHidden/>
        </w:rPr>
        <w:instrText xml:space="preserve"> PAGEREF _Toc98349262 \h </w:instrText>
      </w:r>
      <w:r w:rsidR="00A60E04" w:rsidRPr="00DF0D90">
        <w:rPr>
          <w:noProof/>
          <w:webHidden/>
        </w:rPr>
      </w:r>
      <w:r w:rsidR="00A60E04" w:rsidRPr="00DF0D90">
        <w:rPr>
          <w:noProof/>
          <w:webHidden/>
        </w:rPr>
        <w:fldChar w:fldCharType="separate"/>
      </w:r>
      <w:r w:rsidR="00A60E04" w:rsidRPr="00DF0D90">
        <w:rPr>
          <w:noProof/>
          <w:webHidden/>
        </w:rPr>
        <w:t>2</w:t>
      </w:r>
      <w:r w:rsidR="00A60E04" w:rsidRPr="00DF0D90">
        <w:rPr>
          <w:noProof/>
          <w:webHidden/>
        </w:rPr>
        <w:fldChar w:fldCharType="end"/>
      </w:r>
      <w:r w:rsidR="00A60E04">
        <w:fldChar w:fldCharType="end"/>
      </w:r>
    </w:p>
    <w:p w14:paraId="3663B2AF" w14:textId="77777777" w:rsidR="00A60E04" w:rsidRPr="00DF0D90" w:rsidRDefault="00A60E04" w:rsidP="003640B7">
      <w:pPr>
        <w:pStyle w:val="15"/>
        <w:spacing w:line="360" w:lineRule="auto"/>
        <w:rPr>
          <w:rFonts w:ascii="Calibri" w:hAnsi="Calibri"/>
          <w:noProof/>
          <w:sz w:val="22"/>
          <w:szCs w:val="22"/>
        </w:rPr>
      </w:pPr>
      <w:hyperlink w:anchor="_Toc98349263" w:history="1">
        <w:r w:rsidRPr="00DF0D90">
          <w:rPr>
            <w:rStyle w:val="aa"/>
            <w:rFonts w:eastAsia="MS Mincho"/>
            <w:noProof/>
          </w:rPr>
          <w:t>Список сокращений</w:t>
        </w:r>
        <w:r w:rsidRPr="00DF0D90">
          <w:rPr>
            <w:noProof/>
            <w:webHidden/>
          </w:rPr>
          <w:tab/>
        </w:r>
        <w:r w:rsidRPr="00DF0D90">
          <w:rPr>
            <w:noProof/>
            <w:webHidden/>
          </w:rPr>
          <w:fldChar w:fldCharType="begin"/>
        </w:r>
        <w:r w:rsidRPr="00DF0D90">
          <w:rPr>
            <w:noProof/>
            <w:webHidden/>
          </w:rPr>
          <w:instrText xml:space="preserve"> PAGEREF _Toc98349263 \h </w:instrText>
        </w:r>
        <w:r w:rsidRPr="00DF0D90">
          <w:rPr>
            <w:noProof/>
            <w:webHidden/>
          </w:rPr>
        </w:r>
        <w:r w:rsidRPr="00DF0D90">
          <w:rPr>
            <w:noProof/>
            <w:webHidden/>
          </w:rPr>
          <w:fldChar w:fldCharType="separate"/>
        </w:r>
        <w:r w:rsidRPr="00DF0D90">
          <w:rPr>
            <w:noProof/>
            <w:webHidden/>
          </w:rPr>
          <w:t>4</w:t>
        </w:r>
        <w:r w:rsidRPr="00DF0D90">
          <w:rPr>
            <w:noProof/>
            <w:webHidden/>
          </w:rPr>
          <w:fldChar w:fldCharType="end"/>
        </w:r>
      </w:hyperlink>
    </w:p>
    <w:p w14:paraId="29CABEFD" w14:textId="77777777" w:rsidR="00A60E04" w:rsidRPr="00DF0D90" w:rsidRDefault="00A60E04" w:rsidP="003640B7">
      <w:pPr>
        <w:pStyle w:val="15"/>
        <w:spacing w:line="360" w:lineRule="auto"/>
        <w:rPr>
          <w:rFonts w:ascii="Calibri" w:hAnsi="Calibri"/>
          <w:noProof/>
          <w:sz w:val="22"/>
          <w:szCs w:val="22"/>
        </w:rPr>
      </w:pPr>
      <w:hyperlink w:anchor="_Toc98349264" w:history="1">
        <w:r w:rsidRPr="00DF0D90">
          <w:rPr>
            <w:rStyle w:val="aa"/>
            <w:rFonts w:eastAsia="MS Mincho"/>
            <w:noProof/>
          </w:rPr>
          <w:t>Термины и определения</w:t>
        </w:r>
        <w:r w:rsidRPr="00DF0D90">
          <w:rPr>
            <w:noProof/>
            <w:webHidden/>
          </w:rPr>
          <w:tab/>
        </w:r>
        <w:r w:rsidRPr="00DF0D90">
          <w:rPr>
            <w:noProof/>
            <w:webHidden/>
          </w:rPr>
          <w:fldChar w:fldCharType="begin"/>
        </w:r>
        <w:r w:rsidRPr="00DF0D90">
          <w:rPr>
            <w:noProof/>
            <w:webHidden/>
          </w:rPr>
          <w:instrText xml:space="preserve"> PAGEREF _Toc98349264 \h </w:instrText>
        </w:r>
        <w:r w:rsidRPr="00DF0D90">
          <w:rPr>
            <w:noProof/>
            <w:webHidden/>
          </w:rPr>
        </w:r>
        <w:r w:rsidRPr="00DF0D90">
          <w:rPr>
            <w:noProof/>
            <w:webHidden/>
          </w:rPr>
          <w:fldChar w:fldCharType="separate"/>
        </w:r>
        <w:r w:rsidRPr="00DF0D90">
          <w:rPr>
            <w:noProof/>
            <w:webHidden/>
          </w:rPr>
          <w:t>5</w:t>
        </w:r>
        <w:r w:rsidRPr="00DF0D90">
          <w:rPr>
            <w:noProof/>
            <w:webHidden/>
          </w:rPr>
          <w:fldChar w:fldCharType="end"/>
        </w:r>
      </w:hyperlink>
    </w:p>
    <w:p w14:paraId="620DBA76" w14:textId="77777777" w:rsidR="00A60E04" w:rsidRPr="00DF0D90" w:rsidRDefault="00A60E04" w:rsidP="003640B7">
      <w:pPr>
        <w:pStyle w:val="15"/>
        <w:spacing w:line="360" w:lineRule="auto"/>
        <w:rPr>
          <w:rFonts w:ascii="Calibri" w:hAnsi="Calibri"/>
          <w:noProof/>
          <w:sz w:val="22"/>
          <w:szCs w:val="22"/>
        </w:rPr>
      </w:pPr>
      <w:hyperlink w:anchor="_Toc98349265" w:history="1">
        <w:r w:rsidRPr="00DF0D90">
          <w:rPr>
            <w:rStyle w:val="aa"/>
            <w:rFonts w:eastAsia="MS Mincho"/>
            <w:noProof/>
          </w:rPr>
          <w:t>1. Краткая информация по заболеванию или состоянию  (группе заболеваний или состояний)</w:t>
        </w:r>
        <w:r w:rsidRPr="00DF0D90">
          <w:rPr>
            <w:noProof/>
            <w:webHidden/>
          </w:rPr>
          <w:tab/>
        </w:r>
        <w:r w:rsidRPr="00DF0D90">
          <w:rPr>
            <w:noProof/>
            <w:webHidden/>
          </w:rPr>
          <w:fldChar w:fldCharType="begin"/>
        </w:r>
        <w:r w:rsidRPr="00DF0D90">
          <w:rPr>
            <w:noProof/>
            <w:webHidden/>
          </w:rPr>
          <w:instrText xml:space="preserve"> PAGEREF _Toc98349265 \h </w:instrText>
        </w:r>
        <w:r w:rsidRPr="00DF0D90">
          <w:rPr>
            <w:noProof/>
            <w:webHidden/>
          </w:rPr>
        </w:r>
        <w:r w:rsidRPr="00DF0D90">
          <w:rPr>
            <w:noProof/>
            <w:webHidden/>
          </w:rPr>
          <w:fldChar w:fldCharType="separate"/>
        </w:r>
        <w:r w:rsidRPr="00DF0D90">
          <w:rPr>
            <w:noProof/>
            <w:webHidden/>
          </w:rPr>
          <w:t>7</w:t>
        </w:r>
        <w:r w:rsidRPr="00DF0D90">
          <w:rPr>
            <w:noProof/>
            <w:webHidden/>
          </w:rPr>
          <w:fldChar w:fldCharType="end"/>
        </w:r>
      </w:hyperlink>
    </w:p>
    <w:p w14:paraId="43B736CE" w14:textId="77777777" w:rsidR="00A60E04" w:rsidRPr="00DF0D90" w:rsidRDefault="00A60E04" w:rsidP="003640B7">
      <w:pPr>
        <w:pStyle w:val="21"/>
        <w:spacing w:line="360" w:lineRule="auto"/>
        <w:rPr>
          <w:rFonts w:ascii="Calibri" w:hAnsi="Calibri"/>
          <w:sz w:val="22"/>
        </w:rPr>
      </w:pPr>
      <w:hyperlink w:anchor="_Toc98349266" w:history="1">
        <w:r w:rsidRPr="00DF0D90">
          <w:rPr>
            <w:rStyle w:val="aa"/>
            <w:rFonts w:eastAsia="MS Mincho"/>
          </w:rPr>
          <w:t>1.1 Определение заболевания или состояния (группы заболеваний или состояний)</w:t>
        </w:r>
        <w:r w:rsidRPr="00DF0D90">
          <w:rPr>
            <w:webHidden/>
          </w:rPr>
          <w:tab/>
        </w:r>
        <w:r w:rsidRPr="00DF0D90">
          <w:rPr>
            <w:webHidden/>
          </w:rPr>
          <w:fldChar w:fldCharType="begin"/>
        </w:r>
        <w:r w:rsidRPr="00DF0D90">
          <w:rPr>
            <w:webHidden/>
          </w:rPr>
          <w:instrText xml:space="preserve"> PAGEREF _Toc98349266 \h </w:instrText>
        </w:r>
        <w:r w:rsidRPr="00DF0D90">
          <w:rPr>
            <w:webHidden/>
          </w:rPr>
        </w:r>
        <w:r w:rsidRPr="00DF0D90">
          <w:rPr>
            <w:webHidden/>
          </w:rPr>
          <w:fldChar w:fldCharType="separate"/>
        </w:r>
        <w:r w:rsidRPr="00DF0D90">
          <w:rPr>
            <w:webHidden/>
          </w:rPr>
          <w:t>7</w:t>
        </w:r>
        <w:r w:rsidRPr="00DF0D90">
          <w:rPr>
            <w:webHidden/>
          </w:rPr>
          <w:fldChar w:fldCharType="end"/>
        </w:r>
      </w:hyperlink>
    </w:p>
    <w:p w14:paraId="66BE52ED" w14:textId="77777777" w:rsidR="00A60E04" w:rsidRPr="00DF0D90" w:rsidRDefault="00A60E04" w:rsidP="003640B7">
      <w:pPr>
        <w:pStyle w:val="21"/>
        <w:spacing w:line="360" w:lineRule="auto"/>
        <w:rPr>
          <w:rFonts w:ascii="Calibri" w:hAnsi="Calibri"/>
          <w:sz w:val="22"/>
        </w:rPr>
      </w:pPr>
      <w:hyperlink w:anchor="_Toc98349267" w:history="1">
        <w:r w:rsidRPr="00DF0D90">
          <w:rPr>
            <w:rStyle w:val="aa"/>
            <w:rFonts w:eastAsia="MS Mincho"/>
          </w:rPr>
          <w:t>1.2 Этиология и патогенез заболевания или состояния (группы заболеваний или состояний)</w:t>
        </w:r>
        <w:r w:rsidRPr="00DF0D90">
          <w:rPr>
            <w:webHidden/>
          </w:rPr>
          <w:tab/>
        </w:r>
        <w:r w:rsidRPr="00DF0D90">
          <w:rPr>
            <w:webHidden/>
          </w:rPr>
          <w:fldChar w:fldCharType="begin"/>
        </w:r>
        <w:r w:rsidRPr="00DF0D90">
          <w:rPr>
            <w:webHidden/>
          </w:rPr>
          <w:instrText xml:space="preserve"> PAGEREF _Toc98349267 \h </w:instrText>
        </w:r>
        <w:r w:rsidRPr="00DF0D90">
          <w:rPr>
            <w:webHidden/>
          </w:rPr>
        </w:r>
        <w:r w:rsidRPr="00DF0D90">
          <w:rPr>
            <w:webHidden/>
          </w:rPr>
          <w:fldChar w:fldCharType="separate"/>
        </w:r>
        <w:r w:rsidRPr="00DF0D90">
          <w:rPr>
            <w:webHidden/>
          </w:rPr>
          <w:t>7</w:t>
        </w:r>
        <w:r w:rsidRPr="00DF0D90">
          <w:rPr>
            <w:webHidden/>
          </w:rPr>
          <w:fldChar w:fldCharType="end"/>
        </w:r>
      </w:hyperlink>
    </w:p>
    <w:p w14:paraId="2E8042FD" w14:textId="77777777" w:rsidR="00A60E04" w:rsidRPr="00DF0D90" w:rsidRDefault="00A60E04" w:rsidP="003640B7">
      <w:pPr>
        <w:pStyle w:val="21"/>
        <w:spacing w:line="360" w:lineRule="auto"/>
        <w:rPr>
          <w:rFonts w:ascii="Calibri" w:hAnsi="Calibri"/>
          <w:sz w:val="22"/>
        </w:rPr>
      </w:pPr>
      <w:hyperlink w:anchor="_Toc98349268" w:history="1">
        <w:r w:rsidRPr="00DF0D90">
          <w:rPr>
            <w:rStyle w:val="aa"/>
            <w:rFonts w:eastAsia="MS Mincho"/>
          </w:rPr>
          <w:t>1.3 Эпидемиология заболевания или состояния (группы заболеваний или состояний)</w:t>
        </w:r>
        <w:r w:rsidRPr="00DF0D90">
          <w:rPr>
            <w:webHidden/>
          </w:rPr>
          <w:tab/>
        </w:r>
        <w:r w:rsidRPr="00DF0D90">
          <w:rPr>
            <w:webHidden/>
          </w:rPr>
          <w:fldChar w:fldCharType="begin"/>
        </w:r>
        <w:r w:rsidRPr="00DF0D90">
          <w:rPr>
            <w:webHidden/>
          </w:rPr>
          <w:instrText xml:space="preserve"> PAGEREF _Toc98349268 \h </w:instrText>
        </w:r>
        <w:r w:rsidRPr="00DF0D90">
          <w:rPr>
            <w:webHidden/>
          </w:rPr>
        </w:r>
        <w:r w:rsidRPr="00DF0D90">
          <w:rPr>
            <w:webHidden/>
          </w:rPr>
          <w:fldChar w:fldCharType="separate"/>
        </w:r>
        <w:r w:rsidRPr="00DF0D90">
          <w:rPr>
            <w:webHidden/>
          </w:rPr>
          <w:t>7</w:t>
        </w:r>
        <w:r w:rsidRPr="00DF0D90">
          <w:rPr>
            <w:webHidden/>
          </w:rPr>
          <w:fldChar w:fldCharType="end"/>
        </w:r>
      </w:hyperlink>
    </w:p>
    <w:p w14:paraId="0996A52D" w14:textId="77777777" w:rsidR="00A60E04" w:rsidRPr="00DF0D90" w:rsidRDefault="00A60E04" w:rsidP="003640B7">
      <w:pPr>
        <w:pStyle w:val="21"/>
        <w:spacing w:line="360" w:lineRule="auto"/>
        <w:rPr>
          <w:rFonts w:ascii="Calibri" w:hAnsi="Calibri"/>
          <w:sz w:val="22"/>
        </w:rPr>
      </w:pPr>
      <w:hyperlink w:anchor="_Toc98349269" w:history="1">
        <w:r w:rsidRPr="00DF0D90">
          <w:rPr>
            <w:rStyle w:val="aa"/>
            <w:rFonts w:eastAsia="MS Mincho"/>
          </w:rPr>
          <w:t>1.4 Особенности кодирования заболевания или состояния (группы заболеваний или состояний) по Международной статистической классификации болезни и проблем, связанных со здоровьем</w:t>
        </w:r>
        <w:r w:rsidRPr="00DF0D90">
          <w:rPr>
            <w:webHidden/>
          </w:rPr>
          <w:tab/>
        </w:r>
        <w:r w:rsidRPr="00DF0D90">
          <w:rPr>
            <w:webHidden/>
          </w:rPr>
          <w:fldChar w:fldCharType="begin"/>
        </w:r>
        <w:r w:rsidRPr="00DF0D90">
          <w:rPr>
            <w:webHidden/>
          </w:rPr>
          <w:instrText xml:space="preserve"> PAGEREF _Toc98349269 \h </w:instrText>
        </w:r>
        <w:r w:rsidRPr="00DF0D90">
          <w:rPr>
            <w:webHidden/>
          </w:rPr>
        </w:r>
        <w:r w:rsidRPr="00DF0D90">
          <w:rPr>
            <w:webHidden/>
          </w:rPr>
          <w:fldChar w:fldCharType="separate"/>
        </w:r>
        <w:r w:rsidRPr="00DF0D90">
          <w:rPr>
            <w:webHidden/>
          </w:rPr>
          <w:t>8</w:t>
        </w:r>
        <w:r w:rsidRPr="00DF0D90">
          <w:rPr>
            <w:webHidden/>
          </w:rPr>
          <w:fldChar w:fldCharType="end"/>
        </w:r>
      </w:hyperlink>
    </w:p>
    <w:p w14:paraId="734B6AD7" w14:textId="77777777" w:rsidR="00A60E04" w:rsidRPr="00DF0D90" w:rsidRDefault="00A60E04" w:rsidP="003640B7">
      <w:pPr>
        <w:pStyle w:val="21"/>
        <w:spacing w:line="360" w:lineRule="auto"/>
        <w:rPr>
          <w:rFonts w:ascii="Calibri" w:hAnsi="Calibri"/>
          <w:sz w:val="22"/>
        </w:rPr>
      </w:pPr>
      <w:hyperlink w:anchor="_Toc98349270" w:history="1">
        <w:r w:rsidRPr="00DF0D90">
          <w:rPr>
            <w:rStyle w:val="aa"/>
            <w:rFonts w:eastAsia="MS Mincho"/>
          </w:rPr>
          <w:t>1.5 Классификация заболевания или состояния (группы заболеваний или состояний)</w:t>
        </w:r>
        <w:r w:rsidRPr="00DF0D90">
          <w:rPr>
            <w:webHidden/>
          </w:rPr>
          <w:tab/>
        </w:r>
        <w:r w:rsidRPr="00DF0D90">
          <w:rPr>
            <w:webHidden/>
          </w:rPr>
          <w:fldChar w:fldCharType="begin"/>
        </w:r>
        <w:r w:rsidRPr="00DF0D90">
          <w:rPr>
            <w:webHidden/>
          </w:rPr>
          <w:instrText xml:space="preserve"> PAGEREF _Toc98349270 \h </w:instrText>
        </w:r>
        <w:r w:rsidRPr="00DF0D90">
          <w:rPr>
            <w:webHidden/>
          </w:rPr>
        </w:r>
        <w:r w:rsidRPr="00DF0D90">
          <w:rPr>
            <w:webHidden/>
          </w:rPr>
          <w:fldChar w:fldCharType="separate"/>
        </w:r>
        <w:r w:rsidRPr="00DF0D90">
          <w:rPr>
            <w:webHidden/>
          </w:rPr>
          <w:t>8</w:t>
        </w:r>
        <w:r w:rsidRPr="00DF0D90">
          <w:rPr>
            <w:webHidden/>
          </w:rPr>
          <w:fldChar w:fldCharType="end"/>
        </w:r>
      </w:hyperlink>
    </w:p>
    <w:p w14:paraId="2F4E9C7D" w14:textId="77777777" w:rsidR="00A60E04" w:rsidRPr="00DF0D90" w:rsidRDefault="00A60E04" w:rsidP="003640B7">
      <w:pPr>
        <w:pStyle w:val="33"/>
        <w:tabs>
          <w:tab w:val="right" w:leader="dot" w:pos="9339"/>
        </w:tabs>
        <w:spacing w:line="360" w:lineRule="auto"/>
        <w:rPr>
          <w:rFonts w:ascii="Calibri" w:hAnsi="Calibri"/>
          <w:noProof/>
          <w:sz w:val="22"/>
        </w:rPr>
      </w:pPr>
      <w:hyperlink w:anchor="_Toc98349271" w:history="1">
        <w:r w:rsidRPr="00DF0D90">
          <w:rPr>
            <w:rStyle w:val="aa"/>
            <w:rFonts w:eastAsia="MS Mincho"/>
            <w:noProof/>
          </w:rPr>
          <w:t>1.5.1 Международная гистологическая классификация (2010)</w:t>
        </w:r>
        <w:r w:rsidRPr="00DF0D90">
          <w:rPr>
            <w:noProof/>
            <w:webHidden/>
          </w:rPr>
          <w:tab/>
        </w:r>
        <w:r w:rsidRPr="00DF0D90">
          <w:rPr>
            <w:noProof/>
            <w:webHidden/>
          </w:rPr>
          <w:fldChar w:fldCharType="begin"/>
        </w:r>
        <w:r w:rsidRPr="00DF0D90">
          <w:rPr>
            <w:noProof/>
            <w:webHidden/>
          </w:rPr>
          <w:instrText xml:space="preserve"> PAGEREF _Toc98349271 \h </w:instrText>
        </w:r>
        <w:r w:rsidRPr="00DF0D90">
          <w:rPr>
            <w:noProof/>
            <w:webHidden/>
          </w:rPr>
        </w:r>
        <w:r w:rsidRPr="00DF0D90">
          <w:rPr>
            <w:noProof/>
            <w:webHidden/>
          </w:rPr>
          <w:fldChar w:fldCharType="separate"/>
        </w:r>
        <w:r w:rsidRPr="00DF0D90">
          <w:rPr>
            <w:noProof/>
            <w:webHidden/>
          </w:rPr>
          <w:t>8</w:t>
        </w:r>
        <w:r w:rsidRPr="00DF0D90">
          <w:rPr>
            <w:noProof/>
            <w:webHidden/>
          </w:rPr>
          <w:fldChar w:fldCharType="end"/>
        </w:r>
      </w:hyperlink>
    </w:p>
    <w:p w14:paraId="75D62DEA" w14:textId="77777777" w:rsidR="00A60E04" w:rsidRPr="00DF0D90" w:rsidRDefault="00A60E04" w:rsidP="003640B7">
      <w:pPr>
        <w:pStyle w:val="33"/>
        <w:tabs>
          <w:tab w:val="right" w:leader="dot" w:pos="9339"/>
        </w:tabs>
        <w:spacing w:line="360" w:lineRule="auto"/>
        <w:rPr>
          <w:rFonts w:ascii="Calibri" w:hAnsi="Calibri"/>
          <w:noProof/>
          <w:sz w:val="22"/>
        </w:rPr>
      </w:pPr>
      <w:hyperlink w:anchor="_Toc98349272" w:history="1">
        <w:r w:rsidRPr="00DF0D90">
          <w:rPr>
            <w:rStyle w:val="aa"/>
            <w:rFonts w:eastAsia="MS Mincho"/>
            <w:noProof/>
          </w:rPr>
          <w:t>1.5.2. Стадирование</w:t>
        </w:r>
        <w:r w:rsidRPr="00DF0D90">
          <w:rPr>
            <w:noProof/>
            <w:webHidden/>
          </w:rPr>
          <w:tab/>
        </w:r>
        <w:r w:rsidRPr="00DF0D90">
          <w:rPr>
            <w:noProof/>
            <w:webHidden/>
          </w:rPr>
          <w:fldChar w:fldCharType="begin"/>
        </w:r>
        <w:r w:rsidRPr="00DF0D90">
          <w:rPr>
            <w:noProof/>
            <w:webHidden/>
          </w:rPr>
          <w:instrText xml:space="preserve"> PAGEREF _Toc98349272 \h </w:instrText>
        </w:r>
        <w:r w:rsidRPr="00DF0D90">
          <w:rPr>
            <w:noProof/>
            <w:webHidden/>
          </w:rPr>
        </w:r>
        <w:r w:rsidRPr="00DF0D90">
          <w:rPr>
            <w:noProof/>
            <w:webHidden/>
          </w:rPr>
          <w:fldChar w:fldCharType="separate"/>
        </w:r>
        <w:r w:rsidRPr="00DF0D90">
          <w:rPr>
            <w:noProof/>
            <w:webHidden/>
          </w:rPr>
          <w:t>9</w:t>
        </w:r>
        <w:r w:rsidRPr="00DF0D90">
          <w:rPr>
            <w:noProof/>
            <w:webHidden/>
          </w:rPr>
          <w:fldChar w:fldCharType="end"/>
        </w:r>
      </w:hyperlink>
    </w:p>
    <w:p w14:paraId="34AC674A" w14:textId="4E3CCBFD" w:rsidR="00A60E04" w:rsidRPr="00DF0D90" w:rsidRDefault="00A60E04" w:rsidP="003640B7">
      <w:pPr>
        <w:pStyle w:val="21"/>
        <w:spacing w:line="360" w:lineRule="auto"/>
        <w:rPr>
          <w:rFonts w:ascii="Calibri" w:hAnsi="Calibri"/>
          <w:sz w:val="22"/>
        </w:rPr>
      </w:pPr>
      <w:hyperlink w:anchor="_Toc98349273" w:history="1">
        <w:r w:rsidRPr="00DF0D90">
          <w:rPr>
            <w:rStyle w:val="aa"/>
            <w:rFonts w:eastAsia="MS Mincho"/>
          </w:rPr>
          <w:t>1.6 Клиническая картина заболевания или состояния (группы заболеваний или состояний)</w:t>
        </w:r>
      </w:hyperlink>
      <w:r w:rsidR="00A0073E">
        <w:t>…………………………………………………………………………………..</w:t>
      </w:r>
      <w:r w:rsidR="00A0073E">
        <w:rPr>
          <w:lang w:val="en-US"/>
        </w:rPr>
        <w:t>11</w:t>
      </w:r>
      <w:r w:rsidR="00132417" w:rsidRPr="00DF0D90">
        <w:rPr>
          <w:rFonts w:ascii="Calibri" w:hAnsi="Calibri"/>
          <w:sz w:val="22"/>
        </w:rPr>
        <w:t xml:space="preserve"> </w:t>
      </w:r>
    </w:p>
    <w:p w14:paraId="55035055" w14:textId="35724E44" w:rsidR="00A60E04" w:rsidRPr="00DF0D90" w:rsidRDefault="00A60E04" w:rsidP="003640B7">
      <w:pPr>
        <w:pStyle w:val="15"/>
        <w:spacing w:line="360" w:lineRule="auto"/>
        <w:rPr>
          <w:rFonts w:ascii="Calibri" w:hAnsi="Calibri"/>
          <w:noProof/>
          <w:sz w:val="22"/>
          <w:szCs w:val="22"/>
        </w:rPr>
      </w:pPr>
      <w:hyperlink w:anchor="_Toc98349274" w:history="1">
        <w:r w:rsidRPr="00DF0D90">
          <w:rPr>
            <w:rStyle w:val="aa"/>
            <w:rFonts w:eastAsia="MS Mincho"/>
            <w:noProof/>
          </w:rPr>
          <w:t>2. Диагностика заболевания или состояния  (группы заболеваний или состояний), медицинские показания  и противопоказания к применению методов диагностики</w:t>
        </w:r>
      </w:hyperlink>
      <w:r w:rsidR="00A0073E">
        <w:t>……..12</w:t>
      </w:r>
    </w:p>
    <w:p w14:paraId="7B2DAD88" w14:textId="361CF70C" w:rsidR="00A60E04" w:rsidRPr="00DF0D90" w:rsidRDefault="00A60E04" w:rsidP="003640B7">
      <w:pPr>
        <w:pStyle w:val="21"/>
        <w:spacing w:line="360" w:lineRule="auto"/>
        <w:rPr>
          <w:rFonts w:ascii="Calibri" w:hAnsi="Calibri"/>
          <w:sz w:val="22"/>
        </w:rPr>
      </w:pPr>
      <w:hyperlink w:anchor="_Toc98349275" w:history="1">
        <w:r w:rsidRPr="00DF0D90">
          <w:rPr>
            <w:rStyle w:val="aa"/>
            <w:rFonts w:eastAsia="MS Mincho"/>
          </w:rPr>
          <w:t>2.1 Жалобы и анамнез</w:t>
        </w:r>
      </w:hyperlink>
      <w:r w:rsidR="00A0073E">
        <w:t>……………………………………………………………………...12</w:t>
      </w:r>
    </w:p>
    <w:p w14:paraId="226746C0" w14:textId="1967B928" w:rsidR="00A60E04" w:rsidRPr="00DF0D90" w:rsidRDefault="00A60E04" w:rsidP="003640B7">
      <w:pPr>
        <w:pStyle w:val="21"/>
        <w:spacing w:line="360" w:lineRule="auto"/>
        <w:rPr>
          <w:rFonts w:ascii="Calibri" w:hAnsi="Calibri"/>
          <w:sz w:val="22"/>
        </w:rPr>
      </w:pPr>
      <w:hyperlink w:anchor="_Toc98349276" w:history="1">
        <w:r w:rsidRPr="00DF0D90">
          <w:rPr>
            <w:rStyle w:val="aa"/>
            <w:rFonts w:eastAsia="MS Mincho"/>
          </w:rPr>
          <w:t>2.2 Физикальное обследование</w:t>
        </w:r>
      </w:hyperlink>
      <w:r w:rsidR="00A0073E">
        <w:t>……………………………………………………………12</w:t>
      </w:r>
    </w:p>
    <w:p w14:paraId="6F11EF77" w14:textId="77777777" w:rsidR="00A60E04" w:rsidRPr="00DF0D90" w:rsidRDefault="00A60E04" w:rsidP="003640B7">
      <w:pPr>
        <w:pStyle w:val="21"/>
        <w:spacing w:line="360" w:lineRule="auto"/>
        <w:rPr>
          <w:rFonts w:ascii="Calibri" w:hAnsi="Calibri"/>
          <w:sz w:val="22"/>
        </w:rPr>
      </w:pPr>
      <w:hyperlink w:anchor="_Toc98349277" w:history="1">
        <w:r w:rsidRPr="00DF0D90">
          <w:rPr>
            <w:rStyle w:val="aa"/>
            <w:rFonts w:eastAsia="MS Mincho"/>
          </w:rPr>
          <w:t>2.3 Лабораторные диагностические исследования</w:t>
        </w:r>
        <w:r w:rsidRPr="00DF0D90">
          <w:rPr>
            <w:webHidden/>
          </w:rPr>
          <w:tab/>
        </w:r>
        <w:r w:rsidRPr="00DF0D90">
          <w:rPr>
            <w:webHidden/>
          </w:rPr>
          <w:fldChar w:fldCharType="begin"/>
        </w:r>
        <w:r w:rsidRPr="00DF0D90">
          <w:rPr>
            <w:webHidden/>
          </w:rPr>
          <w:instrText xml:space="preserve"> PAGEREF _Toc98349277 \h </w:instrText>
        </w:r>
        <w:r w:rsidRPr="00DF0D90">
          <w:rPr>
            <w:webHidden/>
          </w:rPr>
        </w:r>
        <w:r w:rsidRPr="00DF0D90">
          <w:rPr>
            <w:webHidden/>
          </w:rPr>
          <w:fldChar w:fldCharType="separate"/>
        </w:r>
        <w:r w:rsidRPr="00DF0D90">
          <w:rPr>
            <w:webHidden/>
          </w:rPr>
          <w:t>13</w:t>
        </w:r>
        <w:r w:rsidRPr="00DF0D90">
          <w:rPr>
            <w:webHidden/>
          </w:rPr>
          <w:fldChar w:fldCharType="end"/>
        </w:r>
      </w:hyperlink>
    </w:p>
    <w:p w14:paraId="1E1C9F85" w14:textId="4DA94611" w:rsidR="00A60E04" w:rsidRPr="00DF0D90" w:rsidRDefault="00A60E04" w:rsidP="003640B7">
      <w:pPr>
        <w:pStyle w:val="21"/>
        <w:spacing w:line="360" w:lineRule="auto"/>
        <w:rPr>
          <w:rFonts w:ascii="Calibri" w:hAnsi="Calibri"/>
          <w:sz w:val="22"/>
        </w:rPr>
      </w:pPr>
      <w:hyperlink w:anchor="_Toc98349278" w:history="1">
        <w:r w:rsidRPr="00DF0D90">
          <w:rPr>
            <w:rStyle w:val="aa"/>
            <w:rFonts w:eastAsia="MS Mincho"/>
          </w:rPr>
          <w:t>2.4 Инструментальные диагностические исследования</w:t>
        </w:r>
      </w:hyperlink>
      <w:r w:rsidR="00A0073E">
        <w:t>…………………………………14</w:t>
      </w:r>
    </w:p>
    <w:p w14:paraId="4B206B63" w14:textId="3FD6763F" w:rsidR="00A60E04" w:rsidRPr="00DF0D90" w:rsidRDefault="00A60E04" w:rsidP="003640B7">
      <w:pPr>
        <w:pStyle w:val="21"/>
        <w:spacing w:line="360" w:lineRule="auto"/>
        <w:rPr>
          <w:rFonts w:ascii="Calibri" w:hAnsi="Calibri"/>
          <w:sz w:val="22"/>
        </w:rPr>
      </w:pPr>
      <w:hyperlink w:anchor="_Toc98349279" w:history="1">
        <w:r w:rsidRPr="00DF0D90">
          <w:rPr>
            <w:rStyle w:val="aa"/>
            <w:rFonts w:eastAsia="MS Mincho"/>
          </w:rPr>
          <w:t>2.5 Иные диагностические исследования</w:t>
        </w:r>
        <w:r w:rsidRPr="00DF0D90">
          <w:rPr>
            <w:webHidden/>
          </w:rPr>
          <w:tab/>
        </w:r>
      </w:hyperlink>
      <w:r w:rsidR="00FF6E31">
        <w:t>19</w:t>
      </w:r>
    </w:p>
    <w:p w14:paraId="35C4860A" w14:textId="77777777" w:rsidR="00A60E04" w:rsidRPr="00DF0D90" w:rsidRDefault="00A60E04" w:rsidP="003640B7">
      <w:pPr>
        <w:pStyle w:val="15"/>
        <w:spacing w:line="360" w:lineRule="auto"/>
        <w:rPr>
          <w:rFonts w:ascii="Calibri" w:hAnsi="Calibri"/>
          <w:noProof/>
          <w:sz w:val="22"/>
          <w:szCs w:val="22"/>
        </w:rPr>
      </w:pPr>
      <w:hyperlink w:anchor="_Toc98349280" w:history="1">
        <w:r w:rsidRPr="00DF0D90">
          <w:rPr>
            <w:rStyle w:val="aa"/>
            <w:rFonts w:eastAsia="MS Mincho"/>
            <w:noProof/>
          </w:rPr>
          <w:t>3. Лечение, включая медикаментозную и немедикаментозную терапии, диетотерапию, обезболивание, медицинские показания  и противопоказания к применению методов лечения</w:t>
        </w:r>
        <w:r w:rsidRPr="00DF0D90">
          <w:rPr>
            <w:noProof/>
            <w:webHidden/>
          </w:rPr>
          <w:tab/>
        </w:r>
        <w:r w:rsidRPr="00DF0D90">
          <w:rPr>
            <w:noProof/>
            <w:webHidden/>
          </w:rPr>
          <w:fldChar w:fldCharType="begin"/>
        </w:r>
        <w:r w:rsidRPr="00DF0D90">
          <w:rPr>
            <w:noProof/>
            <w:webHidden/>
          </w:rPr>
          <w:instrText xml:space="preserve"> PAGEREF _Toc98349280 \h </w:instrText>
        </w:r>
        <w:r w:rsidRPr="00DF0D90">
          <w:rPr>
            <w:noProof/>
            <w:webHidden/>
          </w:rPr>
        </w:r>
        <w:r w:rsidRPr="00DF0D90">
          <w:rPr>
            <w:noProof/>
            <w:webHidden/>
          </w:rPr>
          <w:fldChar w:fldCharType="separate"/>
        </w:r>
        <w:r w:rsidRPr="00DF0D90">
          <w:rPr>
            <w:noProof/>
            <w:webHidden/>
          </w:rPr>
          <w:t>20</w:t>
        </w:r>
        <w:r w:rsidRPr="00DF0D90">
          <w:rPr>
            <w:noProof/>
            <w:webHidden/>
          </w:rPr>
          <w:fldChar w:fldCharType="end"/>
        </w:r>
      </w:hyperlink>
    </w:p>
    <w:p w14:paraId="4F56F5A3" w14:textId="77777777" w:rsidR="00A60E04" w:rsidRPr="00DF0D90" w:rsidRDefault="00A60E04" w:rsidP="003640B7">
      <w:pPr>
        <w:pStyle w:val="21"/>
        <w:spacing w:line="360" w:lineRule="auto"/>
        <w:rPr>
          <w:rFonts w:ascii="Calibri" w:hAnsi="Calibri"/>
          <w:sz w:val="22"/>
        </w:rPr>
      </w:pPr>
      <w:hyperlink w:anchor="_Toc98349281" w:history="1">
        <w:r w:rsidRPr="00DF0D90">
          <w:rPr>
            <w:rStyle w:val="aa"/>
            <w:rFonts w:eastAsia="MS Mincho"/>
          </w:rPr>
          <w:t>3.1 Хирургическое лечение</w:t>
        </w:r>
        <w:r w:rsidRPr="00DF0D90">
          <w:rPr>
            <w:webHidden/>
          </w:rPr>
          <w:tab/>
        </w:r>
        <w:r w:rsidRPr="00DF0D90">
          <w:rPr>
            <w:webHidden/>
          </w:rPr>
          <w:fldChar w:fldCharType="begin"/>
        </w:r>
        <w:r w:rsidRPr="00DF0D90">
          <w:rPr>
            <w:webHidden/>
          </w:rPr>
          <w:instrText xml:space="preserve"> PAGEREF _Toc98349281 \h </w:instrText>
        </w:r>
        <w:r w:rsidRPr="00DF0D90">
          <w:rPr>
            <w:webHidden/>
          </w:rPr>
        </w:r>
        <w:r w:rsidRPr="00DF0D90">
          <w:rPr>
            <w:webHidden/>
          </w:rPr>
          <w:fldChar w:fldCharType="separate"/>
        </w:r>
        <w:r w:rsidRPr="00DF0D90">
          <w:rPr>
            <w:webHidden/>
          </w:rPr>
          <w:t>21</w:t>
        </w:r>
        <w:r w:rsidRPr="00DF0D90">
          <w:rPr>
            <w:webHidden/>
          </w:rPr>
          <w:fldChar w:fldCharType="end"/>
        </w:r>
      </w:hyperlink>
    </w:p>
    <w:p w14:paraId="561A5D68" w14:textId="01631A3C" w:rsidR="00A60E04" w:rsidRPr="00DF0D90" w:rsidRDefault="00A60E04" w:rsidP="003640B7">
      <w:pPr>
        <w:pStyle w:val="21"/>
        <w:spacing w:line="360" w:lineRule="auto"/>
        <w:rPr>
          <w:rFonts w:ascii="Calibri" w:hAnsi="Calibri"/>
          <w:sz w:val="22"/>
        </w:rPr>
      </w:pPr>
      <w:hyperlink w:anchor="_Toc98349282" w:history="1">
        <w:r w:rsidRPr="00DF0D90">
          <w:rPr>
            <w:rStyle w:val="aa"/>
            <w:rFonts w:eastAsia="MS Mincho"/>
            <w:lang w:eastAsia="ko-KR"/>
          </w:rPr>
          <w:t>3.2 Методы локальной деструкции опухоли</w:t>
        </w:r>
      </w:hyperlink>
      <w:r w:rsidR="00A0073E">
        <w:t>……………………………………………...23</w:t>
      </w:r>
    </w:p>
    <w:p w14:paraId="4C7E4DE6" w14:textId="77777777" w:rsidR="00A60E04" w:rsidRPr="00DF0D90" w:rsidRDefault="00A60E04" w:rsidP="003640B7">
      <w:pPr>
        <w:pStyle w:val="21"/>
        <w:spacing w:line="360" w:lineRule="auto"/>
        <w:rPr>
          <w:rFonts w:ascii="Calibri" w:hAnsi="Calibri"/>
          <w:sz w:val="22"/>
        </w:rPr>
      </w:pPr>
      <w:hyperlink w:anchor="_Toc98349283" w:history="1">
        <w:r w:rsidRPr="00DF0D90">
          <w:rPr>
            <w:rStyle w:val="aa"/>
            <w:rFonts w:eastAsia="MS Mincho"/>
          </w:rPr>
          <w:t>3.3 Трансартериальная химиоэмболизация</w:t>
        </w:r>
        <w:r w:rsidRPr="00DF0D90">
          <w:rPr>
            <w:webHidden/>
          </w:rPr>
          <w:tab/>
        </w:r>
        <w:r w:rsidRPr="00DF0D90">
          <w:rPr>
            <w:webHidden/>
          </w:rPr>
          <w:fldChar w:fldCharType="begin"/>
        </w:r>
        <w:r w:rsidRPr="00DF0D90">
          <w:rPr>
            <w:webHidden/>
          </w:rPr>
          <w:instrText xml:space="preserve"> PAGEREF _Toc98349283 \h </w:instrText>
        </w:r>
        <w:r w:rsidRPr="00DF0D90">
          <w:rPr>
            <w:webHidden/>
          </w:rPr>
        </w:r>
        <w:r w:rsidRPr="00DF0D90">
          <w:rPr>
            <w:webHidden/>
          </w:rPr>
          <w:fldChar w:fldCharType="separate"/>
        </w:r>
        <w:r w:rsidRPr="00DF0D90">
          <w:rPr>
            <w:webHidden/>
          </w:rPr>
          <w:t>25</w:t>
        </w:r>
        <w:r w:rsidRPr="00DF0D90">
          <w:rPr>
            <w:webHidden/>
          </w:rPr>
          <w:fldChar w:fldCharType="end"/>
        </w:r>
      </w:hyperlink>
    </w:p>
    <w:p w14:paraId="247F58B5" w14:textId="6B936386" w:rsidR="00A60E04" w:rsidRPr="00DF0D90" w:rsidRDefault="00A60E04" w:rsidP="003640B7">
      <w:pPr>
        <w:pStyle w:val="21"/>
        <w:spacing w:line="360" w:lineRule="auto"/>
        <w:rPr>
          <w:rFonts w:ascii="Calibri" w:hAnsi="Calibri"/>
          <w:sz w:val="22"/>
        </w:rPr>
      </w:pPr>
      <w:hyperlink w:anchor="_Toc98349284" w:history="1">
        <w:r w:rsidRPr="00DF0D90">
          <w:rPr>
            <w:rStyle w:val="aa"/>
            <w:rFonts w:eastAsia="MS Mincho"/>
          </w:rPr>
          <w:t>3.4 Трансартериальная радиоэмболизация</w:t>
        </w:r>
      </w:hyperlink>
      <w:r w:rsidR="00A0073E">
        <w:t>………………………………………………..28</w:t>
      </w:r>
    </w:p>
    <w:p w14:paraId="447ADDA9" w14:textId="26A0F734" w:rsidR="00A60E04" w:rsidRPr="00DF0D90" w:rsidRDefault="00A60E04" w:rsidP="003640B7">
      <w:pPr>
        <w:pStyle w:val="21"/>
        <w:spacing w:line="360" w:lineRule="auto"/>
        <w:rPr>
          <w:rFonts w:ascii="Calibri" w:hAnsi="Calibri"/>
          <w:sz w:val="22"/>
        </w:rPr>
      </w:pPr>
      <w:hyperlink w:anchor="_Toc98349285" w:history="1">
        <w:r w:rsidRPr="00DF0D90">
          <w:rPr>
            <w:rStyle w:val="aa"/>
            <w:rFonts w:eastAsia="MS Mincho"/>
          </w:rPr>
          <w:t>3.5 Лучевая терапия</w:t>
        </w:r>
      </w:hyperlink>
      <w:r w:rsidR="00A0073E">
        <w:t>………………………………………………………………………...28</w:t>
      </w:r>
    </w:p>
    <w:p w14:paraId="3896884B" w14:textId="5D553E81" w:rsidR="00A60E04" w:rsidRPr="00DF0D90" w:rsidRDefault="00A60E04" w:rsidP="003640B7">
      <w:pPr>
        <w:pStyle w:val="21"/>
        <w:spacing w:line="360" w:lineRule="auto"/>
        <w:rPr>
          <w:rFonts w:ascii="Calibri" w:hAnsi="Calibri"/>
          <w:sz w:val="22"/>
        </w:rPr>
      </w:pPr>
      <w:hyperlink w:anchor="_Toc98349286" w:history="1">
        <w:r w:rsidRPr="00DF0D90">
          <w:rPr>
            <w:rStyle w:val="aa"/>
            <w:rFonts w:eastAsia="MS Mincho"/>
          </w:rPr>
          <w:t>3.6 Лекарственное лечение</w:t>
        </w:r>
      </w:hyperlink>
      <w:r w:rsidR="00A0073E">
        <w:t>………………………………………………………………...29</w:t>
      </w:r>
    </w:p>
    <w:p w14:paraId="01F76E4E" w14:textId="45005553" w:rsidR="00A60E04" w:rsidRPr="00DF0D90" w:rsidRDefault="00A60E04" w:rsidP="003640B7">
      <w:pPr>
        <w:pStyle w:val="33"/>
        <w:tabs>
          <w:tab w:val="right" w:leader="dot" w:pos="9339"/>
        </w:tabs>
        <w:spacing w:line="360" w:lineRule="auto"/>
        <w:rPr>
          <w:rFonts w:ascii="Calibri" w:hAnsi="Calibri"/>
          <w:noProof/>
          <w:sz w:val="22"/>
        </w:rPr>
      </w:pPr>
      <w:hyperlink w:anchor="_Toc98349287" w:history="1">
        <w:r w:rsidRPr="00DF0D90">
          <w:rPr>
            <w:rStyle w:val="aa"/>
            <w:rFonts w:eastAsia="MS Mincho"/>
            <w:noProof/>
          </w:rPr>
          <w:t>3.6.1. Системная терапия ГЦР первой линии</w:t>
        </w:r>
        <w:r w:rsidRPr="00DF0D90">
          <w:rPr>
            <w:noProof/>
            <w:webHidden/>
          </w:rPr>
          <w:tab/>
        </w:r>
      </w:hyperlink>
      <w:r w:rsidR="00FF6E31">
        <w:t>30</w:t>
      </w:r>
    </w:p>
    <w:p w14:paraId="0C4F5DA3" w14:textId="79798425" w:rsidR="00A60E04" w:rsidRPr="00DF0D90" w:rsidRDefault="00A60E04" w:rsidP="003640B7">
      <w:pPr>
        <w:pStyle w:val="33"/>
        <w:tabs>
          <w:tab w:val="right" w:leader="dot" w:pos="9339"/>
        </w:tabs>
        <w:spacing w:line="360" w:lineRule="auto"/>
        <w:rPr>
          <w:rFonts w:ascii="Calibri" w:hAnsi="Calibri"/>
          <w:noProof/>
          <w:sz w:val="22"/>
        </w:rPr>
      </w:pPr>
      <w:hyperlink w:anchor="_Toc98349288" w:history="1">
        <w:r w:rsidRPr="00DF0D90">
          <w:rPr>
            <w:rStyle w:val="aa"/>
            <w:rFonts w:eastAsia="MS Mincho"/>
            <w:noProof/>
          </w:rPr>
          <w:t>3.6.2. Системная терапия ГЦР второй и третьей линии</w:t>
        </w:r>
      </w:hyperlink>
      <w:r w:rsidR="00A0073E">
        <w:t>……………………………..32</w:t>
      </w:r>
    </w:p>
    <w:p w14:paraId="5BC7EBA4" w14:textId="69F03CE9" w:rsidR="00A60E04" w:rsidRPr="00DF0D90" w:rsidRDefault="00A60E04" w:rsidP="003640B7">
      <w:pPr>
        <w:pStyle w:val="21"/>
        <w:spacing w:line="360" w:lineRule="auto"/>
        <w:rPr>
          <w:rFonts w:ascii="Calibri" w:hAnsi="Calibri"/>
          <w:sz w:val="22"/>
        </w:rPr>
      </w:pPr>
      <w:hyperlink w:anchor="_Toc98349289" w:history="1">
        <w:r w:rsidRPr="00DF0D90">
          <w:rPr>
            <w:rStyle w:val="aa"/>
            <w:rFonts w:eastAsia="MS Mincho"/>
          </w:rPr>
          <w:t>3.7 Сопроводительная терапия и лечение фоновой патологии печени</w:t>
        </w:r>
      </w:hyperlink>
      <w:r w:rsidR="00A0073E">
        <w:t>…………………35</w:t>
      </w:r>
    </w:p>
    <w:p w14:paraId="1FA7D09B" w14:textId="1AF9C20A" w:rsidR="00A60E04" w:rsidRPr="00DF0D90" w:rsidRDefault="00A60E04" w:rsidP="003640B7">
      <w:pPr>
        <w:pStyle w:val="21"/>
        <w:spacing w:line="360" w:lineRule="auto"/>
        <w:rPr>
          <w:rFonts w:ascii="Calibri" w:hAnsi="Calibri"/>
          <w:sz w:val="22"/>
        </w:rPr>
      </w:pPr>
      <w:hyperlink w:anchor="_Toc98349290" w:history="1">
        <w:r w:rsidRPr="00DF0D90">
          <w:rPr>
            <w:rStyle w:val="aa"/>
            <w:rFonts w:eastAsia="MS Mincho" w:cs="Cambria"/>
          </w:rPr>
          <w:t>3.8. Обезболивающая терапия</w:t>
        </w:r>
      </w:hyperlink>
      <w:r w:rsidR="00A0073E">
        <w:t>……………………………………………………………..36</w:t>
      </w:r>
    </w:p>
    <w:p w14:paraId="03FA934B" w14:textId="3A6226C8" w:rsidR="00A60E04" w:rsidRPr="00DF0D90" w:rsidRDefault="00A60E04" w:rsidP="003640B7">
      <w:pPr>
        <w:pStyle w:val="15"/>
        <w:spacing w:line="360" w:lineRule="auto"/>
        <w:rPr>
          <w:rFonts w:ascii="Calibri" w:hAnsi="Calibri"/>
          <w:noProof/>
          <w:sz w:val="22"/>
          <w:szCs w:val="22"/>
        </w:rPr>
      </w:pPr>
      <w:hyperlink w:anchor="_Toc98349291" w:history="1">
        <w:r w:rsidRPr="00DF0D90">
          <w:rPr>
            <w:rStyle w:val="aa"/>
            <w:rFonts w:eastAsia="MS Mincho"/>
            <w:noProof/>
          </w:rPr>
          <w:t>4. Медицинская реабилитация, медицинские показания  и противопоказания к применению методов реабилитации</w:t>
        </w:r>
        <w:r w:rsidRPr="00DF0D90">
          <w:rPr>
            <w:noProof/>
            <w:webHidden/>
          </w:rPr>
          <w:tab/>
        </w:r>
      </w:hyperlink>
      <w:r w:rsidR="00FF6E31">
        <w:t>36</w:t>
      </w:r>
    </w:p>
    <w:p w14:paraId="3EF15493" w14:textId="2AE68B84" w:rsidR="00A60E04" w:rsidRPr="00DF0D90" w:rsidRDefault="00A60E04" w:rsidP="003640B7">
      <w:pPr>
        <w:pStyle w:val="21"/>
        <w:spacing w:line="360" w:lineRule="auto"/>
        <w:rPr>
          <w:rFonts w:ascii="Calibri" w:hAnsi="Calibri"/>
          <w:sz w:val="22"/>
        </w:rPr>
      </w:pPr>
      <w:hyperlink w:anchor="_Toc98349292" w:history="1">
        <w:r w:rsidRPr="00DF0D90">
          <w:rPr>
            <w:rStyle w:val="aa"/>
            <w:rFonts w:eastAsia="MS Mincho"/>
          </w:rPr>
          <w:t>4.1 Предреабилитация</w:t>
        </w:r>
        <w:r w:rsidRPr="00DF0D90">
          <w:rPr>
            <w:webHidden/>
          </w:rPr>
          <w:tab/>
        </w:r>
      </w:hyperlink>
      <w:r w:rsidR="00FF6E31">
        <w:t>37</w:t>
      </w:r>
    </w:p>
    <w:p w14:paraId="4B466B4F" w14:textId="51FFE7CA" w:rsidR="00A60E04" w:rsidRPr="00DF0D90" w:rsidRDefault="00A60E04" w:rsidP="003640B7">
      <w:pPr>
        <w:pStyle w:val="21"/>
        <w:spacing w:line="360" w:lineRule="auto"/>
        <w:rPr>
          <w:rFonts w:ascii="Calibri" w:hAnsi="Calibri"/>
          <w:sz w:val="22"/>
        </w:rPr>
      </w:pPr>
      <w:hyperlink w:anchor="_Toc98349293" w:history="1">
        <w:r w:rsidRPr="00DF0D90">
          <w:rPr>
            <w:rStyle w:val="aa"/>
            <w:rFonts w:eastAsia="MS Mincho"/>
          </w:rPr>
          <w:t>4.2 Реабилитация при хирургическом лечении</w:t>
        </w:r>
        <w:r w:rsidRPr="00DF0D90">
          <w:rPr>
            <w:webHidden/>
          </w:rPr>
          <w:tab/>
        </w:r>
      </w:hyperlink>
      <w:r w:rsidR="00FF6E31">
        <w:t>37</w:t>
      </w:r>
    </w:p>
    <w:p w14:paraId="678FA2B8" w14:textId="1DA8023D" w:rsidR="00A60E04" w:rsidRPr="00DF0D90" w:rsidRDefault="00A60E04" w:rsidP="003640B7">
      <w:pPr>
        <w:pStyle w:val="33"/>
        <w:tabs>
          <w:tab w:val="right" w:leader="dot" w:pos="9339"/>
        </w:tabs>
        <w:spacing w:line="360" w:lineRule="auto"/>
        <w:rPr>
          <w:rFonts w:ascii="Calibri" w:hAnsi="Calibri"/>
          <w:noProof/>
          <w:sz w:val="22"/>
        </w:rPr>
      </w:pPr>
      <w:hyperlink w:anchor="_Toc98349294" w:history="1">
        <w:r w:rsidRPr="00DF0D90">
          <w:rPr>
            <w:rStyle w:val="aa"/>
            <w:rFonts w:eastAsia="MS Mincho"/>
            <w:noProof/>
          </w:rPr>
          <w:t>4.2.1 Первый этап реабилитации</w:t>
        </w:r>
        <w:r w:rsidRPr="00DF0D90">
          <w:rPr>
            <w:noProof/>
            <w:webHidden/>
          </w:rPr>
          <w:tab/>
        </w:r>
      </w:hyperlink>
      <w:r w:rsidR="00FF6E31">
        <w:t>38</w:t>
      </w:r>
    </w:p>
    <w:p w14:paraId="0C6251B3" w14:textId="7C72A7DC" w:rsidR="00A60E04" w:rsidRPr="00DF0D90" w:rsidRDefault="00A60E04" w:rsidP="003640B7">
      <w:pPr>
        <w:pStyle w:val="33"/>
        <w:tabs>
          <w:tab w:val="right" w:leader="dot" w:pos="9339"/>
        </w:tabs>
        <w:spacing w:line="360" w:lineRule="auto"/>
        <w:rPr>
          <w:rFonts w:ascii="Calibri" w:hAnsi="Calibri"/>
          <w:noProof/>
          <w:sz w:val="22"/>
        </w:rPr>
      </w:pPr>
      <w:hyperlink w:anchor="_Toc98349295" w:history="1">
        <w:r w:rsidRPr="00DF0D90">
          <w:rPr>
            <w:rStyle w:val="aa"/>
            <w:rFonts w:eastAsia="MS Mincho"/>
            <w:noProof/>
          </w:rPr>
          <w:t>4.2.2 Второй этап реабилитации</w:t>
        </w:r>
        <w:r w:rsidRPr="00DF0D90">
          <w:rPr>
            <w:noProof/>
            <w:webHidden/>
          </w:rPr>
          <w:tab/>
        </w:r>
      </w:hyperlink>
      <w:r w:rsidR="00FF6E31">
        <w:t>38</w:t>
      </w:r>
    </w:p>
    <w:p w14:paraId="32E5063C" w14:textId="2FEA031D" w:rsidR="00A60E04" w:rsidRPr="00DF0D90" w:rsidRDefault="00A60E04" w:rsidP="003640B7">
      <w:pPr>
        <w:pStyle w:val="33"/>
        <w:tabs>
          <w:tab w:val="right" w:leader="dot" w:pos="9339"/>
        </w:tabs>
        <w:spacing w:line="360" w:lineRule="auto"/>
        <w:rPr>
          <w:rFonts w:ascii="Calibri" w:hAnsi="Calibri"/>
          <w:noProof/>
          <w:sz w:val="22"/>
        </w:rPr>
      </w:pPr>
      <w:hyperlink w:anchor="_Toc98349296" w:history="1">
        <w:r w:rsidRPr="00DF0D90">
          <w:rPr>
            <w:rStyle w:val="aa"/>
            <w:rFonts w:eastAsia="MS Mincho"/>
            <w:noProof/>
          </w:rPr>
          <w:t>4.2.3 Третий этап реабилитации</w:t>
        </w:r>
        <w:r w:rsidRPr="00DF0D90">
          <w:rPr>
            <w:noProof/>
            <w:webHidden/>
          </w:rPr>
          <w:tab/>
        </w:r>
      </w:hyperlink>
      <w:r w:rsidR="00FF6E31">
        <w:t>39</w:t>
      </w:r>
    </w:p>
    <w:p w14:paraId="172D0D35" w14:textId="2ACC5AC5" w:rsidR="00A60E04" w:rsidRPr="00DF0D90" w:rsidRDefault="00A60E04" w:rsidP="003640B7">
      <w:pPr>
        <w:pStyle w:val="21"/>
        <w:spacing w:line="360" w:lineRule="auto"/>
        <w:rPr>
          <w:rFonts w:ascii="Calibri" w:hAnsi="Calibri"/>
          <w:sz w:val="22"/>
        </w:rPr>
      </w:pPr>
      <w:hyperlink w:anchor="_Toc98349297" w:history="1">
        <w:r w:rsidRPr="00DF0D90">
          <w:rPr>
            <w:rStyle w:val="aa"/>
            <w:rFonts w:eastAsia="MS Mincho"/>
          </w:rPr>
          <w:t>4.3 Реабилитация при химиотерапии</w:t>
        </w:r>
        <w:r w:rsidRPr="00DF0D90">
          <w:rPr>
            <w:webHidden/>
          </w:rPr>
          <w:tab/>
        </w:r>
      </w:hyperlink>
      <w:r w:rsidR="00FF6E31">
        <w:t>39</w:t>
      </w:r>
    </w:p>
    <w:p w14:paraId="366062D3" w14:textId="0F32CE64" w:rsidR="00A60E04" w:rsidRPr="00DF0D90" w:rsidRDefault="00A60E04" w:rsidP="003640B7">
      <w:pPr>
        <w:pStyle w:val="15"/>
        <w:spacing w:line="360" w:lineRule="auto"/>
        <w:rPr>
          <w:rFonts w:ascii="Calibri" w:hAnsi="Calibri"/>
          <w:noProof/>
          <w:sz w:val="22"/>
          <w:szCs w:val="22"/>
        </w:rPr>
      </w:pPr>
      <w:hyperlink w:anchor="_Toc98349298" w:history="1">
        <w:r w:rsidRPr="00DF0D90">
          <w:rPr>
            <w:rStyle w:val="aa"/>
            <w:rFonts w:eastAsia="MS Mincho"/>
            <w:noProof/>
          </w:rPr>
          <w:t>5. Профилактика и диспансерное наблюдение, медицинские показания и противопоказания к применению методов профилактики</w:t>
        </w:r>
      </w:hyperlink>
      <w:r w:rsidR="00A0073E">
        <w:t>…………………………………..40</w:t>
      </w:r>
    </w:p>
    <w:p w14:paraId="2ABC17D0" w14:textId="2D76B284" w:rsidR="00A60E04" w:rsidRPr="00DF0D90" w:rsidRDefault="00A60E04" w:rsidP="003640B7">
      <w:pPr>
        <w:pStyle w:val="15"/>
        <w:spacing w:line="360" w:lineRule="auto"/>
        <w:rPr>
          <w:rFonts w:ascii="Calibri" w:hAnsi="Calibri"/>
          <w:noProof/>
          <w:sz w:val="22"/>
          <w:szCs w:val="22"/>
        </w:rPr>
      </w:pPr>
      <w:hyperlink w:anchor="_Toc98349299" w:history="1">
        <w:r w:rsidRPr="00DF0D90">
          <w:rPr>
            <w:rStyle w:val="aa"/>
            <w:rFonts w:eastAsia="MS Mincho"/>
            <w:noProof/>
          </w:rPr>
          <w:t>6. Организация медицинской помощи</w:t>
        </w:r>
      </w:hyperlink>
      <w:r w:rsidR="00A0073E">
        <w:t>………………………………………………………...41</w:t>
      </w:r>
    </w:p>
    <w:p w14:paraId="0CEA5444" w14:textId="40B70F82" w:rsidR="00A60E04" w:rsidRPr="00DF0D90" w:rsidRDefault="00A60E04" w:rsidP="003640B7">
      <w:pPr>
        <w:pStyle w:val="15"/>
        <w:spacing w:line="360" w:lineRule="auto"/>
        <w:rPr>
          <w:rFonts w:ascii="Calibri" w:hAnsi="Calibri"/>
          <w:noProof/>
          <w:sz w:val="22"/>
          <w:szCs w:val="22"/>
        </w:rPr>
      </w:pPr>
      <w:hyperlink w:anchor="_Toc98349300" w:history="1">
        <w:r w:rsidRPr="00DF0D90">
          <w:rPr>
            <w:rStyle w:val="aa"/>
            <w:rFonts w:eastAsia="MS Mincho"/>
            <w:noProof/>
          </w:rPr>
          <w:t>Критерии оценки качества медицинской помощи</w:t>
        </w:r>
      </w:hyperlink>
      <w:r w:rsidR="00A0073E">
        <w:t>…………………………………………...45</w:t>
      </w:r>
    </w:p>
    <w:p w14:paraId="14AF760B" w14:textId="0EE50AB9" w:rsidR="00A60E04" w:rsidRPr="00DF0D90" w:rsidRDefault="00A60E04" w:rsidP="003640B7">
      <w:pPr>
        <w:pStyle w:val="15"/>
        <w:spacing w:line="360" w:lineRule="auto"/>
        <w:rPr>
          <w:rFonts w:ascii="Calibri" w:hAnsi="Calibri"/>
          <w:noProof/>
          <w:sz w:val="22"/>
          <w:szCs w:val="22"/>
        </w:rPr>
      </w:pPr>
      <w:hyperlink w:anchor="_Toc98349301" w:history="1">
        <w:r w:rsidRPr="00DF0D90">
          <w:rPr>
            <w:rStyle w:val="aa"/>
            <w:rFonts w:eastAsia="MS Mincho"/>
            <w:noProof/>
          </w:rPr>
          <w:t>Список литературы</w:t>
        </w:r>
        <w:r w:rsidRPr="00DF0D90">
          <w:rPr>
            <w:noProof/>
            <w:webHidden/>
          </w:rPr>
          <w:tab/>
        </w:r>
      </w:hyperlink>
      <w:r w:rsidR="00FF6E31">
        <w:t>47</w:t>
      </w:r>
    </w:p>
    <w:p w14:paraId="2A504676" w14:textId="77F7EE4E" w:rsidR="00A60E04" w:rsidRPr="00DF0D90" w:rsidRDefault="00A60E04" w:rsidP="003640B7">
      <w:pPr>
        <w:pStyle w:val="15"/>
        <w:spacing w:line="360" w:lineRule="auto"/>
        <w:rPr>
          <w:rFonts w:ascii="Calibri" w:hAnsi="Calibri"/>
          <w:noProof/>
          <w:sz w:val="22"/>
          <w:szCs w:val="22"/>
        </w:rPr>
      </w:pPr>
      <w:hyperlink w:anchor="_Toc98349302" w:history="1">
        <w:r w:rsidRPr="00DF0D90">
          <w:rPr>
            <w:rStyle w:val="aa"/>
            <w:rFonts w:eastAsia="MS Mincho"/>
            <w:noProof/>
          </w:rPr>
          <w:t>Приложение А1. Состав рабочей группы по разработке и пересмотру клинических рекомендаций</w:t>
        </w:r>
      </w:hyperlink>
      <w:r w:rsidR="00A0073E">
        <w:t>…………………………………………………………………………………...56</w:t>
      </w:r>
    </w:p>
    <w:p w14:paraId="64ABD4C3" w14:textId="083B158B" w:rsidR="00A60E04" w:rsidRPr="00DF0D90" w:rsidRDefault="00A60E04" w:rsidP="003640B7">
      <w:pPr>
        <w:pStyle w:val="15"/>
        <w:spacing w:line="360" w:lineRule="auto"/>
        <w:rPr>
          <w:rFonts w:ascii="Calibri" w:hAnsi="Calibri"/>
          <w:noProof/>
          <w:sz w:val="22"/>
          <w:szCs w:val="22"/>
        </w:rPr>
      </w:pPr>
      <w:hyperlink w:anchor="_Toc98349303" w:history="1">
        <w:r w:rsidRPr="00DF0D90">
          <w:rPr>
            <w:rStyle w:val="aa"/>
            <w:rFonts w:eastAsia="MS Mincho"/>
            <w:noProof/>
          </w:rPr>
          <w:t>Приложение А2. Методология разработки клинических рекомендаций</w:t>
        </w:r>
        <w:r w:rsidRPr="00DF0D90">
          <w:rPr>
            <w:noProof/>
            <w:webHidden/>
          </w:rPr>
          <w:tab/>
        </w:r>
      </w:hyperlink>
      <w:r w:rsidR="00FF6E31">
        <w:t>58</w:t>
      </w:r>
    </w:p>
    <w:p w14:paraId="2F0E2A03" w14:textId="3C8B7BA3" w:rsidR="00A60E04" w:rsidRPr="00DF0D90" w:rsidRDefault="00A60E04" w:rsidP="003640B7">
      <w:pPr>
        <w:pStyle w:val="15"/>
        <w:spacing w:line="360" w:lineRule="auto"/>
        <w:rPr>
          <w:rFonts w:ascii="Calibri" w:hAnsi="Calibri"/>
          <w:noProof/>
          <w:sz w:val="22"/>
          <w:szCs w:val="22"/>
        </w:rPr>
      </w:pPr>
      <w:hyperlink w:anchor="_Toc98349304" w:history="1">
        <w:r w:rsidRPr="00DF0D90">
          <w:rPr>
            <w:rStyle w:val="aa"/>
            <w:rFonts w:eastAsia="MS Mincho"/>
            <w:noProof/>
          </w:rPr>
          <w:t>Приложение А3. Справочные материалы,  включая соответствие показаний к применению и противопоказаний, способов применения и доз лекарственных препаратов,  инструкции по применению лекарственного препарата</w:t>
        </w:r>
      </w:hyperlink>
      <w:r w:rsidR="008A723D">
        <w:t>…………………………………………………...61</w:t>
      </w:r>
    </w:p>
    <w:p w14:paraId="4D6E8184" w14:textId="3A0FE426" w:rsidR="00A60E04" w:rsidRPr="00DF0D90" w:rsidRDefault="00A60E04" w:rsidP="003640B7">
      <w:pPr>
        <w:pStyle w:val="15"/>
        <w:spacing w:line="360" w:lineRule="auto"/>
        <w:rPr>
          <w:rFonts w:ascii="Calibri" w:hAnsi="Calibri"/>
          <w:noProof/>
          <w:sz w:val="22"/>
          <w:szCs w:val="22"/>
        </w:rPr>
      </w:pPr>
      <w:hyperlink w:anchor="_Toc98349305" w:history="1">
        <w:r w:rsidRPr="00DF0D90">
          <w:rPr>
            <w:rStyle w:val="aa"/>
            <w:rFonts w:eastAsia="MS Mincho"/>
            <w:noProof/>
          </w:rPr>
          <w:t>Приложение Б. Алгоритмы действий врача</w:t>
        </w:r>
      </w:hyperlink>
      <w:r w:rsidR="008A723D">
        <w:t>…………………………………………………..64</w:t>
      </w:r>
    </w:p>
    <w:p w14:paraId="236B8949" w14:textId="58100C98" w:rsidR="00A60E04" w:rsidRPr="00DF0D90" w:rsidRDefault="00A60E04" w:rsidP="003640B7">
      <w:pPr>
        <w:pStyle w:val="15"/>
        <w:spacing w:line="360" w:lineRule="auto"/>
        <w:rPr>
          <w:rFonts w:ascii="Calibri" w:hAnsi="Calibri"/>
          <w:noProof/>
          <w:sz w:val="22"/>
          <w:szCs w:val="22"/>
        </w:rPr>
      </w:pPr>
      <w:hyperlink w:anchor="_Toc98349306" w:history="1">
        <w:r w:rsidRPr="00DF0D90">
          <w:rPr>
            <w:rStyle w:val="aa"/>
            <w:rFonts w:eastAsia="MS Mincho"/>
            <w:noProof/>
          </w:rPr>
          <w:t>Приложение В. Информация для пациента</w:t>
        </w:r>
      </w:hyperlink>
      <w:r w:rsidR="008A723D">
        <w:t>…………………………………………………..65</w:t>
      </w:r>
    </w:p>
    <w:p w14:paraId="27B6E452" w14:textId="0008414C" w:rsidR="0047066D" w:rsidRDefault="00AA3D60" w:rsidP="003640B7">
      <w:pPr>
        <w:pStyle w:val="15"/>
        <w:spacing w:line="360" w:lineRule="auto"/>
      </w:pPr>
      <w:r>
        <w:t>Приложение Г1-Г</w:t>
      </w:r>
      <w:r w:rsidR="0047066D" w:rsidRPr="0047066D">
        <w:t>N. Шкалы оценки, вопросники и другие оценочные инструменты состояния пациента, приведенные в клинических рекомендациях</w:t>
      </w:r>
      <w:r w:rsidR="00FF6E31">
        <w:t>…………………………</w:t>
      </w:r>
      <w:r w:rsidR="003640B7">
        <w:t>68</w:t>
      </w:r>
    </w:p>
    <w:p w14:paraId="6F7E714F" w14:textId="54C159AA" w:rsidR="00A60E04" w:rsidRPr="00DF0D90" w:rsidRDefault="00A60E04" w:rsidP="003640B7">
      <w:pPr>
        <w:pStyle w:val="15"/>
        <w:spacing w:line="360" w:lineRule="auto"/>
        <w:rPr>
          <w:rFonts w:ascii="Calibri" w:hAnsi="Calibri"/>
          <w:noProof/>
          <w:sz w:val="22"/>
          <w:szCs w:val="22"/>
        </w:rPr>
      </w:pPr>
      <w:hyperlink w:anchor="_Toc98349307" w:history="1">
        <w:r w:rsidRPr="00DF0D90">
          <w:rPr>
            <w:rStyle w:val="aa"/>
            <w:rFonts w:eastAsia="MS Mincho"/>
            <w:noProof/>
          </w:rPr>
          <w:t>Приложение Г1. Шкала оценки функции печени по Чалд-Пью</w:t>
        </w:r>
        <w:r w:rsidRPr="00DF0D90">
          <w:rPr>
            <w:noProof/>
            <w:webHidden/>
          </w:rPr>
          <w:tab/>
        </w:r>
      </w:hyperlink>
      <w:r w:rsidR="003640B7">
        <w:t>68</w:t>
      </w:r>
    </w:p>
    <w:p w14:paraId="60CDE1F4" w14:textId="4A596065" w:rsidR="00A60E04" w:rsidRPr="00DF0D90" w:rsidRDefault="00A60E04" w:rsidP="003640B7">
      <w:pPr>
        <w:pStyle w:val="15"/>
        <w:spacing w:line="360" w:lineRule="auto"/>
        <w:rPr>
          <w:rFonts w:ascii="Calibri" w:hAnsi="Calibri"/>
          <w:noProof/>
          <w:sz w:val="22"/>
          <w:szCs w:val="22"/>
        </w:rPr>
      </w:pPr>
      <w:hyperlink w:anchor="_Toc98349308" w:history="1">
        <w:r w:rsidRPr="00DF0D90">
          <w:rPr>
            <w:rStyle w:val="aa"/>
            <w:rFonts w:eastAsia="MS Mincho"/>
            <w:noProof/>
          </w:rPr>
          <w:t>Приложение Г2. Шкала оценки тяжести состояния пациента по версии ВОЗ/ECOG</w:t>
        </w:r>
      </w:hyperlink>
      <w:r w:rsidR="008A723D">
        <w:t>……..70</w:t>
      </w:r>
    </w:p>
    <w:p w14:paraId="55622A07" w14:textId="79BEB55C" w:rsidR="00A60E04" w:rsidRPr="00DF0D90" w:rsidRDefault="00A60E04" w:rsidP="003640B7">
      <w:pPr>
        <w:pStyle w:val="15"/>
        <w:spacing w:line="360" w:lineRule="auto"/>
        <w:rPr>
          <w:rFonts w:ascii="Calibri" w:hAnsi="Calibri"/>
          <w:noProof/>
          <w:sz w:val="22"/>
          <w:szCs w:val="22"/>
        </w:rPr>
      </w:pPr>
      <w:hyperlink w:anchor="_Toc98349309" w:history="1">
        <w:r w:rsidRPr="00DF0D90">
          <w:rPr>
            <w:rStyle w:val="aa"/>
            <w:rFonts w:eastAsia="MS Mincho"/>
            <w:noProof/>
          </w:rPr>
          <w:t>Приложение Г3. Шкала Карновского</w:t>
        </w:r>
      </w:hyperlink>
      <w:r w:rsidR="008A723D">
        <w:t>…………………………………………………………71</w:t>
      </w:r>
    </w:p>
    <w:p w14:paraId="31F326F6" w14:textId="5A9A5EE4" w:rsidR="00A60E04" w:rsidRPr="00DF0D90" w:rsidRDefault="00A60E04" w:rsidP="003640B7">
      <w:pPr>
        <w:pStyle w:val="15"/>
        <w:spacing w:line="360" w:lineRule="auto"/>
        <w:rPr>
          <w:rFonts w:ascii="Calibri" w:hAnsi="Calibri"/>
          <w:noProof/>
          <w:sz w:val="22"/>
          <w:szCs w:val="22"/>
        </w:rPr>
      </w:pPr>
      <w:hyperlink w:anchor="_Toc98349310" w:history="1">
        <w:r w:rsidRPr="00DF0D90">
          <w:rPr>
            <w:rStyle w:val="aa"/>
            <w:rFonts w:eastAsia="MS Mincho"/>
            <w:noProof/>
          </w:rPr>
          <w:t>Приложение Г4. Критерии оценки ответа опухоли на лечение  (</w:t>
        </w:r>
        <w:r w:rsidRPr="00DF0D90">
          <w:rPr>
            <w:rStyle w:val="aa"/>
            <w:rFonts w:eastAsia="MS Mincho"/>
            <w:noProof/>
            <w:lang w:val="en-US"/>
          </w:rPr>
          <w:t>RECIST</w:t>
        </w:r>
        <w:r w:rsidRPr="00DF0D90">
          <w:rPr>
            <w:rStyle w:val="aa"/>
            <w:rFonts w:eastAsia="MS Mincho"/>
            <w:noProof/>
          </w:rPr>
          <w:t xml:space="preserve"> 1.1)</w:t>
        </w:r>
      </w:hyperlink>
      <w:r w:rsidR="008A723D">
        <w:t>…………….72</w:t>
      </w:r>
    </w:p>
    <w:p w14:paraId="582A6BBB" w14:textId="13FD4465" w:rsidR="00A60E04" w:rsidRPr="00DF0D90" w:rsidRDefault="00A60E04" w:rsidP="003640B7">
      <w:pPr>
        <w:pStyle w:val="15"/>
        <w:spacing w:line="360" w:lineRule="auto"/>
        <w:rPr>
          <w:rFonts w:ascii="Calibri" w:hAnsi="Calibri"/>
          <w:noProof/>
          <w:sz w:val="22"/>
          <w:szCs w:val="22"/>
        </w:rPr>
      </w:pPr>
      <w:hyperlink w:anchor="_Toc98349311" w:history="1">
        <w:r w:rsidRPr="00DF0D90">
          <w:rPr>
            <w:rStyle w:val="aa"/>
            <w:rFonts w:eastAsia="MS Mincho"/>
            <w:noProof/>
          </w:rPr>
          <w:t>Приложение Г5. Критерии оценки ответа опухоли на лечение  (</w:t>
        </w:r>
        <w:r w:rsidRPr="00DF0D90">
          <w:rPr>
            <w:rStyle w:val="aa"/>
            <w:rFonts w:eastAsia="MS Mincho"/>
            <w:noProof/>
            <w:lang w:val="en-US"/>
          </w:rPr>
          <w:t>mRECIST</w:t>
        </w:r>
        <w:r w:rsidRPr="00DF0D90">
          <w:rPr>
            <w:rStyle w:val="aa"/>
            <w:rFonts w:eastAsia="MS Mincho"/>
            <w:noProof/>
          </w:rPr>
          <w:t>)</w:t>
        </w:r>
      </w:hyperlink>
      <w:bookmarkEnd w:id="4"/>
      <w:r w:rsidR="008A723D">
        <w:t>………………73</w:t>
      </w:r>
    </w:p>
    <w:p w14:paraId="507B361C" w14:textId="0CF6D4EB" w:rsidR="00953E98" w:rsidRPr="003640B7" w:rsidRDefault="00AB47DB" w:rsidP="003640B7">
      <w:pPr>
        <w:spacing w:after="120" w:line="360" w:lineRule="auto"/>
        <w:ind w:firstLine="567"/>
        <w:jc w:val="both"/>
      </w:pPr>
      <w:r w:rsidRPr="00DF0D90">
        <w:fldChar w:fldCharType="end"/>
      </w:r>
    </w:p>
    <w:p w14:paraId="21D7A36B" w14:textId="77777777" w:rsidR="00630BAC" w:rsidRPr="00DF0D90" w:rsidRDefault="00630BAC" w:rsidP="006D217F">
      <w:pPr>
        <w:pStyle w:val="31"/>
        <w:spacing w:after="120" w:line="360" w:lineRule="auto"/>
        <w:ind w:firstLine="567"/>
        <w:jc w:val="both"/>
      </w:pPr>
    </w:p>
    <w:p w14:paraId="68A51224" w14:textId="77777777" w:rsidR="00630BAC" w:rsidRPr="00DF0D90" w:rsidRDefault="00454D85" w:rsidP="00801019">
      <w:pPr>
        <w:pStyle w:val="42"/>
      </w:pPr>
      <w:r w:rsidRPr="00DF0D90">
        <w:br w:type="page"/>
      </w:r>
      <w:bookmarkStart w:id="5" w:name="_Toc98349263"/>
      <w:bookmarkStart w:id="6" w:name="_Toc83293961"/>
      <w:r w:rsidR="00630BAC" w:rsidRPr="00DF0D90">
        <w:lastRenderedPageBreak/>
        <w:t>Список сокращений</w:t>
      </w:r>
      <w:bookmarkEnd w:id="5"/>
      <w:bookmarkEnd w:id="6"/>
    </w:p>
    <w:p w14:paraId="1FB5D9DA" w14:textId="77777777" w:rsidR="00940E4D" w:rsidRPr="00DF0D90" w:rsidRDefault="00940E4D" w:rsidP="00454D85">
      <w:pPr>
        <w:spacing w:after="120"/>
        <w:ind w:firstLine="567"/>
        <w:jc w:val="both"/>
      </w:pPr>
      <w:r w:rsidRPr="00DF0D90">
        <w:rPr>
          <w:b/>
          <w:bCs/>
        </w:rPr>
        <w:t>АЛТ</w:t>
      </w:r>
      <w:r w:rsidRPr="00DF0D90">
        <w:t xml:space="preserve"> – аланинаминотрансфераза</w:t>
      </w:r>
    </w:p>
    <w:p w14:paraId="1E7353D1" w14:textId="77777777" w:rsidR="00940E4D" w:rsidRPr="00DF0D90" w:rsidRDefault="00940E4D" w:rsidP="00454D85">
      <w:pPr>
        <w:spacing w:after="120"/>
        <w:ind w:firstLine="567"/>
        <w:jc w:val="both"/>
      </w:pPr>
      <w:r w:rsidRPr="00DF0D90">
        <w:rPr>
          <w:b/>
          <w:bCs/>
        </w:rPr>
        <w:t xml:space="preserve">АСТ </w:t>
      </w:r>
      <w:r w:rsidRPr="00DF0D90">
        <w:t xml:space="preserve">– </w:t>
      </w:r>
      <w:proofErr w:type="spellStart"/>
      <w:r w:rsidRPr="00DF0D90">
        <w:t>аспартатаминотрансфераза</w:t>
      </w:r>
      <w:proofErr w:type="spellEnd"/>
    </w:p>
    <w:p w14:paraId="496347AD" w14:textId="77777777" w:rsidR="00630BAC" w:rsidRPr="00DF0D90" w:rsidRDefault="00630BAC" w:rsidP="00454D85">
      <w:pPr>
        <w:spacing w:after="120"/>
        <w:ind w:firstLine="567"/>
        <w:jc w:val="both"/>
      </w:pPr>
      <w:r w:rsidRPr="00DF0D90">
        <w:rPr>
          <w:b/>
          <w:bCs/>
        </w:rPr>
        <w:t>АФП</w:t>
      </w:r>
      <w:r w:rsidRPr="00DF0D90">
        <w:t xml:space="preserve"> – альфа-</w:t>
      </w:r>
      <w:proofErr w:type="spellStart"/>
      <w:r w:rsidRPr="00DF0D90">
        <w:t>фетопротеин</w:t>
      </w:r>
      <w:proofErr w:type="spellEnd"/>
    </w:p>
    <w:p w14:paraId="00C18E05" w14:textId="77777777" w:rsidR="00630BAC" w:rsidRPr="00DF0D90" w:rsidRDefault="00630BAC" w:rsidP="00454D85">
      <w:pPr>
        <w:spacing w:after="120"/>
        <w:ind w:firstLine="567"/>
        <w:jc w:val="both"/>
      </w:pPr>
      <w:r w:rsidRPr="00DF0D90">
        <w:rPr>
          <w:b/>
          <w:bCs/>
        </w:rPr>
        <w:t>ГЦР</w:t>
      </w:r>
      <w:r w:rsidRPr="00DF0D90">
        <w:t xml:space="preserve"> – гепатоцеллюлярный рак</w:t>
      </w:r>
    </w:p>
    <w:p w14:paraId="1C7204F3" w14:textId="77777777" w:rsidR="00630BAC" w:rsidRPr="00DF0D90" w:rsidRDefault="00630BAC" w:rsidP="00454D85">
      <w:pPr>
        <w:spacing w:after="120"/>
        <w:ind w:firstLine="567"/>
        <w:jc w:val="both"/>
      </w:pPr>
      <w:r w:rsidRPr="00DF0D90">
        <w:rPr>
          <w:b/>
          <w:bCs/>
        </w:rPr>
        <w:t>КТ</w:t>
      </w:r>
      <w:r w:rsidRPr="00DF0D90">
        <w:t xml:space="preserve"> – компьютерная томография</w:t>
      </w:r>
    </w:p>
    <w:p w14:paraId="5D349B6B" w14:textId="77777777" w:rsidR="00630BAC" w:rsidRPr="00DF0D90" w:rsidRDefault="00630BAC" w:rsidP="00454D85">
      <w:pPr>
        <w:spacing w:after="120"/>
        <w:ind w:firstLine="567"/>
        <w:jc w:val="both"/>
      </w:pPr>
      <w:r w:rsidRPr="00DF0D90">
        <w:rPr>
          <w:b/>
          <w:bCs/>
        </w:rPr>
        <w:t>ЛФК</w:t>
      </w:r>
      <w:r w:rsidRPr="00DF0D90">
        <w:t xml:space="preserve"> – лечебная физкультура</w:t>
      </w:r>
    </w:p>
    <w:p w14:paraId="463B459B" w14:textId="77777777" w:rsidR="00630BAC" w:rsidRPr="00DF0D90" w:rsidRDefault="00630BAC" w:rsidP="00454D85">
      <w:pPr>
        <w:spacing w:after="120"/>
        <w:ind w:firstLine="567"/>
        <w:jc w:val="both"/>
      </w:pPr>
      <w:r w:rsidRPr="00DF0D90">
        <w:rPr>
          <w:b/>
          <w:bCs/>
        </w:rPr>
        <w:t xml:space="preserve">МРТ </w:t>
      </w:r>
      <w:r w:rsidRPr="00DF0D90">
        <w:t xml:space="preserve">– магнитно-резонансная томография </w:t>
      </w:r>
    </w:p>
    <w:p w14:paraId="6AEA127D" w14:textId="77777777" w:rsidR="00630BAC" w:rsidRPr="00DF0D90" w:rsidRDefault="00630BAC" w:rsidP="00454D85">
      <w:pPr>
        <w:spacing w:after="120"/>
        <w:ind w:firstLine="567"/>
        <w:jc w:val="both"/>
      </w:pPr>
      <w:r w:rsidRPr="00DF0D90">
        <w:rPr>
          <w:b/>
          <w:bCs/>
        </w:rPr>
        <w:t>ТАХЭ</w:t>
      </w:r>
      <w:r w:rsidRPr="00DF0D90">
        <w:t xml:space="preserve"> – </w:t>
      </w:r>
      <w:proofErr w:type="spellStart"/>
      <w:r w:rsidRPr="00DF0D90">
        <w:t>трансартериальная</w:t>
      </w:r>
      <w:proofErr w:type="spellEnd"/>
      <w:r w:rsidRPr="00DF0D90">
        <w:t xml:space="preserve"> </w:t>
      </w:r>
      <w:proofErr w:type="spellStart"/>
      <w:r w:rsidRPr="00DF0D90">
        <w:t>химиоэмболизация</w:t>
      </w:r>
      <w:proofErr w:type="spellEnd"/>
    </w:p>
    <w:p w14:paraId="30D434AE" w14:textId="77777777" w:rsidR="00630BAC" w:rsidRPr="00DF0D90" w:rsidRDefault="00630BAC" w:rsidP="00454D85">
      <w:pPr>
        <w:spacing w:after="120"/>
        <w:ind w:firstLine="567"/>
        <w:jc w:val="both"/>
      </w:pPr>
      <w:r w:rsidRPr="00DF0D90">
        <w:rPr>
          <w:b/>
          <w:bCs/>
        </w:rPr>
        <w:t>УЗИ</w:t>
      </w:r>
      <w:r w:rsidRPr="00DF0D90">
        <w:t xml:space="preserve"> – ультразвуковое исследование</w:t>
      </w:r>
    </w:p>
    <w:p w14:paraId="57F5C702" w14:textId="77777777" w:rsidR="00630BAC" w:rsidRPr="00DF0D90" w:rsidRDefault="00630BAC" w:rsidP="00454D85">
      <w:pPr>
        <w:spacing w:after="120"/>
        <w:ind w:firstLine="567"/>
        <w:jc w:val="both"/>
      </w:pPr>
      <w:r w:rsidRPr="00DF0D90">
        <w:rPr>
          <w:b/>
          <w:bCs/>
          <w:lang w:val="en-US"/>
        </w:rPr>
        <w:t>AASLD</w:t>
      </w:r>
      <w:r w:rsidRPr="00DF0D90">
        <w:t xml:space="preserve"> – </w:t>
      </w:r>
      <w:r w:rsidRPr="00DF0D90">
        <w:rPr>
          <w:lang w:val="en-US"/>
        </w:rPr>
        <w:t>American</w:t>
      </w:r>
      <w:r w:rsidR="003D52BF" w:rsidRPr="00DF0D90">
        <w:t xml:space="preserve"> </w:t>
      </w:r>
      <w:r w:rsidRPr="00DF0D90">
        <w:rPr>
          <w:lang w:val="en-US"/>
        </w:rPr>
        <w:t>Association</w:t>
      </w:r>
      <w:r w:rsidR="003D52BF" w:rsidRPr="00DF0D90">
        <w:t xml:space="preserve"> </w:t>
      </w:r>
      <w:r w:rsidRPr="00DF0D90">
        <w:rPr>
          <w:lang w:val="en-US"/>
        </w:rPr>
        <w:t>for</w:t>
      </w:r>
      <w:r w:rsidR="003D52BF" w:rsidRPr="00DF0D90">
        <w:t xml:space="preserve"> </w:t>
      </w:r>
      <w:r w:rsidRPr="00DF0D90">
        <w:rPr>
          <w:lang w:val="en-US"/>
        </w:rPr>
        <w:t>the</w:t>
      </w:r>
      <w:r w:rsidR="003D52BF" w:rsidRPr="00DF0D90">
        <w:t xml:space="preserve"> </w:t>
      </w:r>
      <w:r w:rsidRPr="00DF0D90">
        <w:rPr>
          <w:lang w:val="en-US"/>
        </w:rPr>
        <w:t>Study</w:t>
      </w:r>
      <w:r w:rsidR="003D52BF" w:rsidRPr="00DF0D90">
        <w:t xml:space="preserve"> </w:t>
      </w:r>
      <w:r w:rsidRPr="00DF0D90">
        <w:rPr>
          <w:lang w:val="en-US"/>
        </w:rPr>
        <w:t>of</w:t>
      </w:r>
      <w:r w:rsidR="003D52BF" w:rsidRPr="00DF0D90">
        <w:t xml:space="preserve"> </w:t>
      </w:r>
      <w:r w:rsidRPr="00DF0D90">
        <w:rPr>
          <w:lang w:val="en-US"/>
        </w:rPr>
        <w:t>Liver</w:t>
      </w:r>
      <w:r w:rsidR="003D52BF" w:rsidRPr="00DF0D90">
        <w:t xml:space="preserve"> </w:t>
      </w:r>
      <w:r w:rsidRPr="00DF0D90">
        <w:rPr>
          <w:lang w:val="en-US"/>
        </w:rPr>
        <w:t>Disease</w:t>
      </w:r>
      <w:r w:rsidRPr="00DF0D90">
        <w:t>, Американская</w:t>
      </w:r>
      <w:r w:rsidR="003D52BF" w:rsidRPr="00DF0D90">
        <w:t xml:space="preserve"> </w:t>
      </w:r>
      <w:r w:rsidRPr="00DF0D90">
        <w:t>ассоциация</w:t>
      </w:r>
      <w:r w:rsidR="003D52BF" w:rsidRPr="00DF0D90">
        <w:t xml:space="preserve"> </w:t>
      </w:r>
      <w:r w:rsidRPr="00DF0D90">
        <w:t>по</w:t>
      </w:r>
      <w:r w:rsidR="003D52BF" w:rsidRPr="00DF0D90">
        <w:t xml:space="preserve"> </w:t>
      </w:r>
      <w:r w:rsidRPr="00DF0D90">
        <w:t>изучению</w:t>
      </w:r>
      <w:r w:rsidR="003D52BF" w:rsidRPr="00DF0D90">
        <w:t xml:space="preserve"> </w:t>
      </w:r>
      <w:r w:rsidRPr="00DF0D90">
        <w:t>заболеваний</w:t>
      </w:r>
      <w:r w:rsidR="003D52BF" w:rsidRPr="00DF0D90">
        <w:t xml:space="preserve"> </w:t>
      </w:r>
      <w:r w:rsidRPr="00DF0D90">
        <w:t>печени</w:t>
      </w:r>
    </w:p>
    <w:p w14:paraId="0AE082BA" w14:textId="77777777" w:rsidR="00630BAC" w:rsidRPr="00DF0D90" w:rsidRDefault="00630BAC" w:rsidP="00454D85">
      <w:pPr>
        <w:spacing w:after="120"/>
        <w:ind w:firstLine="567"/>
        <w:jc w:val="both"/>
        <w:rPr>
          <w:lang w:val="en-US"/>
        </w:rPr>
      </w:pPr>
      <w:r w:rsidRPr="00DF0D90">
        <w:rPr>
          <w:b/>
          <w:bCs/>
          <w:lang w:val="en-US"/>
        </w:rPr>
        <w:t>EASL</w:t>
      </w:r>
      <w:r w:rsidRPr="00DF0D90">
        <w:rPr>
          <w:lang w:val="en-US"/>
        </w:rPr>
        <w:t xml:space="preserve"> – The European Association for the Study of the Liver, </w:t>
      </w:r>
      <w:r w:rsidRPr="00DF0D90">
        <w:t>Европейская</w:t>
      </w:r>
      <w:r w:rsidR="003D52BF" w:rsidRPr="00DF0D90">
        <w:rPr>
          <w:lang w:val="en-US"/>
        </w:rPr>
        <w:t xml:space="preserve"> </w:t>
      </w:r>
      <w:r w:rsidRPr="00DF0D90">
        <w:t>ассоциация</w:t>
      </w:r>
      <w:r w:rsidR="003D52BF" w:rsidRPr="00DF0D90">
        <w:rPr>
          <w:lang w:val="en-US"/>
        </w:rPr>
        <w:t xml:space="preserve"> </w:t>
      </w:r>
      <w:r w:rsidRPr="00DF0D90">
        <w:t>по</w:t>
      </w:r>
      <w:r w:rsidR="003D52BF" w:rsidRPr="00DF0D90">
        <w:rPr>
          <w:lang w:val="en-US"/>
        </w:rPr>
        <w:t xml:space="preserve"> </w:t>
      </w:r>
      <w:r w:rsidRPr="00DF0D90">
        <w:t>изучению</w:t>
      </w:r>
      <w:r w:rsidR="003D52BF" w:rsidRPr="00DF0D90">
        <w:rPr>
          <w:lang w:val="en-US"/>
        </w:rPr>
        <w:t xml:space="preserve"> </w:t>
      </w:r>
      <w:r w:rsidRPr="00DF0D90">
        <w:t>печени</w:t>
      </w:r>
    </w:p>
    <w:p w14:paraId="6203DBBB" w14:textId="77777777" w:rsidR="00630BAC" w:rsidRPr="00DF0D90" w:rsidRDefault="00630BAC" w:rsidP="00454D85">
      <w:pPr>
        <w:spacing w:after="120"/>
        <w:ind w:firstLine="567"/>
        <w:jc w:val="both"/>
        <w:rPr>
          <w:lang w:val="en-US"/>
        </w:rPr>
      </w:pPr>
      <w:r w:rsidRPr="00DF0D90">
        <w:rPr>
          <w:b/>
          <w:bCs/>
          <w:lang w:val="en-US"/>
        </w:rPr>
        <w:t>BCLC</w:t>
      </w:r>
      <w:r w:rsidRPr="00DF0D90">
        <w:rPr>
          <w:lang w:val="en-US"/>
        </w:rPr>
        <w:t xml:space="preserve"> – Barcelona Clinic Liver Cancer (classification), </w:t>
      </w:r>
      <w:r w:rsidRPr="00DF0D90">
        <w:t>Барселонская</w:t>
      </w:r>
      <w:r w:rsidR="003D52BF" w:rsidRPr="00DF0D90">
        <w:rPr>
          <w:lang w:val="en-US"/>
        </w:rPr>
        <w:t xml:space="preserve"> </w:t>
      </w:r>
      <w:r w:rsidRPr="00DF0D90">
        <w:t>система</w:t>
      </w:r>
      <w:r w:rsidR="003D52BF" w:rsidRPr="00DF0D90">
        <w:rPr>
          <w:lang w:val="en-US"/>
        </w:rPr>
        <w:t xml:space="preserve"> </w:t>
      </w:r>
      <w:r w:rsidRPr="00DF0D90">
        <w:t>стадирования</w:t>
      </w:r>
      <w:r w:rsidR="003D52BF" w:rsidRPr="00DF0D90">
        <w:rPr>
          <w:lang w:val="en-US"/>
        </w:rPr>
        <w:t xml:space="preserve"> </w:t>
      </w:r>
      <w:r w:rsidRPr="00DF0D90">
        <w:t>рака</w:t>
      </w:r>
      <w:r w:rsidR="003D52BF" w:rsidRPr="00DF0D90">
        <w:rPr>
          <w:lang w:val="en-US"/>
        </w:rPr>
        <w:t xml:space="preserve"> </w:t>
      </w:r>
      <w:r w:rsidRPr="00DF0D90">
        <w:t>печени</w:t>
      </w:r>
    </w:p>
    <w:p w14:paraId="49117DAF" w14:textId="77777777" w:rsidR="00630BAC" w:rsidRPr="00DF0D90" w:rsidRDefault="00630BAC" w:rsidP="00454D85">
      <w:pPr>
        <w:spacing w:after="120"/>
        <w:ind w:firstLine="567"/>
        <w:jc w:val="both"/>
        <w:rPr>
          <w:lang w:val="en-US"/>
        </w:rPr>
      </w:pPr>
      <w:r w:rsidRPr="00DF0D90">
        <w:rPr>
          <w:b/>
          <w:bCs/>
          <w:lang w:val="en-US"/>
        </w:rPr>
        <w:t>ECOG PS</w:t>
      </w:r>
      <w:r w:rsidRPr="00DF0D90">
        <w:rPr>
          <w:lang w:val="en-US"/>
        </w:rPr>
        <w:t xml:space="preserve"> – Eastern Cooperative Oncology Group Performance Status, </w:t>
      </w:r>
      <w:r w:rsidRPr="00DF0D90">
        <w:t>шкала</w:t>
      </w:r>
      <w:r w:rsidR="003D52BF" w:rsidRPr="00DF0D90">
        <w:rPr>
          <w:lang w:val="en-US"/>
        </w:rPr>
        <w:t xml:space="preserve"> </w:t>
      </w:r>
      <w:r w:rsidRPr="00DF0D90">
        <w:t>оценки</w:t>
      </w:r>
      <w:r w:rsidR="003D52BF" w:rsidRPr="00DF0D90">
        <w:rPr>
          <w:lang w:val="en-US"/>
        </w:rPr>
        <w:t xml:space="preserve"> </w:t>
      </w:r>
      <w:r w:rsidRPr="00DF0D90">
        <w:t>общего</w:t>
      </w:r>
      <w:r w:rsidR="003D52BF" w:rsidRPr="00DF0D90">
        <w:rPr>
          <w:lang w:val="en-US"/>
        </w:rPr>
        <w:t xml:space="preserve"> </w:t>
      </w:r>
      <w:r w:rsidRPr="00DF0D90">
        <w:t>состояния</w:t>
      </w:r>
      <w:r w:rsidR="003D52BF" w:rsidRPr="00DF0D90">
        <w:rPr>
          <w:lang w:val="en-US"/>
        </w:rPr>
        <w:t xml:space="preserve"> </w:t>
      </w:r>
      <w:r w:rsidRPr="00DF0D90">
        <w:t>пациента</w:t>
      </w:r>
      <w:r w:rsidRPr="00DF0D90">
        <w:rPr>
          <w:lang w:val="en-US"/>
        </w:rPr>
        <w:t xml:space="preserve">, </w:t>
      </w:r>
      <w:r w:rsidRPr="00DF0D90">
        <w:t>разработанная</w:t>
      </w:r>
      <w:r w:rsidR="003D52BF" w:rsidRPr="00DF0D90">
        <w:rPr>
          <w:lang w:val="en-US"/>
        </w:rPr>
        <w:t xml:space="preserve"> </w:t>
      </w:r>
      <w:r w:rsidRPr="00DF0D90">
        <w:t>Восточной</w:t>
      </w:r>
      <w:r w:rsidR="003D52BF" w:rsidRPr="00DF0D90">
        <w:rPr>
          <w:lang w:val="en-US"/>
        </w:rPr>
        <w:t xml:space="preserve"> </w:t>
      </w:r>
      <w:r w:rsidRPr="00DF0D90">
        <w:t>объединенной</w:t>
      </w:r>
      <w:r w:rsidR="003D52BF" w:rsidRPr="00DF0D90">
        <w:rPr>
          <w:lang w:val="en-US"/>
        </w:rPr>
        <w:t xml:space="preserve"> </w:t>
      </w:r>
      <w:r w:rsidRPr="00DF0D90">
        <w:t>онкологической</w:t>
      </w:r>
      <w:r w:rsidR="003D52BF" w:rsidRPr="00DF0D90">
        <w:rPr>
          <w:lang w:val="en-US"/>
        </w:rPr>
        <w:t xml:space="preserve"> </w:t>
      </w:r>
      <w:r w:rsidRPr="00DF0D90">
        <w:t>группой</w:t>
      </w:r>
    </w:p>
    <w:p w14:paraId="3F0F79DE" w14:textId="77777777" w:rsidR="00630BAC" w:rsidRPr="00DF0D90" w:rsidRDefault="00630BAC" w:rsidP="00454D85">
      <w:pPr>
        <w:spacing w:after="120"/>
        <w:ind w:firstLine="567"/>
        <w:jc w:val="both"/>
      </w:pPr>
      <w:r w:rsidRPr="00DF0D90">
        <w:rPr>
          <w:b/>
          <w:bCs/>
          <w:lang w:val="en-US"/>
        </w:rPr>
        <w:t>LI</w:t>
      </w:r>
      <w:r w:rsidRPr="00DF0D90">
        <w:rPr>
          <w:b/>
          <w:bCs/>
        </w:rPr>
        <w:t>-</w:t>
      </w:r>
      <w:r w:rsidRPr="00DF0D90">
        <w:rPr>
          <w:b/>
          <w:bCs/>
          <w:lang w:val="en-US"/>
        </w:rPr>
        <w:t>RADS</w:t>
      </w:r>
      <w:r w:rsidRPr="00DF0D90">
        <w:t xml:space="preserve"> – </w:t>
      </w:r>
      <w:r w:rsidRPr="00DF0D90">
        <w:rPr>
          <w:lang w:val="en-US"/>
        </w:rPr>
        <w:t>Liver</w:t>
      </w:r>
      <w:r w:rsidRPr="00DF0D90">
        <w:t xml:space="preserve"> </w:t>
      </w:r>
      <w:r w:rsidRPr="00DF0D90">
        <w:rPr>
          <w:lang w:val="en-US"/>
        </w:rPr>
        <w:t>Imaging</w:t>
      </w:r>
      <w:r w:rsidRPr="00DF0D90">
        <w:t xml:space="preserve"> </w:t>
      </w:r>
      <w:r w:rsidRPr="00DF0D90">
        <w:rPr>
          <w:lang w:val="en-US"/>
        </w:rPr>
        <w:t>Reporting</w:t>
      </w:r>
      <w:r w:rsidRPr="00DF0D90">
        <w:t xml:space="preserve"> </w:t>
      </w:r>
      <w:r w:rsidRPr="00DF0D90">
        <w:rPr>
          <w:lang w:val="en-US"/>
        </w:rPr>
        <w:t>and</w:t>
      </w:r>
      <w:r w:rsidRPr="00DF0D90">
        <w:t xml:space="preserve"> </w:t>
      </w:r>
      <w:r w:rsidRPr="00DF0D90">
        <w:rPr>
          <w:lang w:val="en-US"/>
        </w:rPr>
        <w:t>Data</w:t>
      </w:r>
      <w:r w:rsidRPr="00DF0D90">
        <w:t xml:space="preserve"> </w:t>
      </w:r>
      <w:r w:rsidRPr="00DF0D90">
        <w:rPr>
          <w:lang w:val="en-US"/>
        </w:rPr>
        <w:t>System</w:t>
      </w:r>
      <w:r w:rsidR="00025625" w:rsidRPr="00DF0D90">
        <w:t>,</w:t>
      </w:r>
      <w:r w:rsidR="00440F8C" w:rsidRPr="00DF0D90">
        <w:t xml:space="preserve"> </w:t>
      </w:r>
      <w:r w:rsidR="00025625" w:rsidRPr="00DF0D90">
        <w:t>система</w:t>
      </w:r>
      <w:r w:rsidR="00440F8C" w:rsidRPr="00DF0D90">
        <w:t xml:space="preserve"> отчетов и данных </w:t>
      </w:r>
      <w:r w:rsidR="00440F8C" w:rsidRPr="00DF0D90">
        <w:rPr>
          <w:i/>
          <w:iCs/>
        </w:rPr>
        <w:t>(интерпретации и протоколирования</w:t>
      </w:r>
      <w:r w:rsidR="00440F8C" w:rsidRPr="00DF0D90">
        <w:t xml:space="preserve">) визуализации </w:t>
      </w:r>
      <w:r w:rsidR="00025625" w:rsidRPr="00DF0D90">
        <w:t xml:space="preserve">печени. </w:t>
      </w:r>
      <w:r w:rsidRPr="00DF0D90">
        <w:t xml:space="preserve"> </w:t>
      </w:r>
    </w:p>
    <w:p w14:paraId="4FC30493" w14:textId="77777777" w:rsidR="00630BAC" w:rsidRPr="00DF0D90" w:rsidRDefault="00630BAC" w:rsidP="00454D85">
      <w:pPr>
        <w:spacing w:after="120"/>
        <w:ind w:firstLine="567"/>
        <w:jc w:val="both"/>
      </w:pPr>
      <w:r w:rsidRPr="00DF0D90">
        <w:rPr>
          <w:b/>
          <w:bCs/>
          <w:lang w:val="en-US"/>
        </w:rPr>
        <w:t>RECIST</w:t>
      </w:r>
      <w:r w:rsidRPr="00DF0D90">
        <w:t xml:space="preserve"> – </w:t>
      </w:r>
      <w:r w:rsidRPr="00DF0D90">
        <w:rPr>
          <w:lang w:val="en-US"/>
        </w:rPr>
        <w:t>Response</w:t>
      </w:r>
      <w:r w:rsidRPr="00DF0D90">
        <w:t xml:space="preserve"> </w:t>
      </w:r>
      <w:r w:rsidRPr="00DF0D90">
        <w:rPr>
          <w:lang w:val="en-US"/>
        </w:rPr>
        <w:t>Evaluation</w:t>
      </w:r>
      <w:r w:rsidRPr="00DF0D90">
        <w:t xml:space="preserve"> </w:t>
      </w:r>
      <w:r w:rsidRPr="00DF0D90">
        <w:rPr>
          <w:lang w:val="en-US"/>
        </w:rPr>
        <w:t>Criteria</w:t>
      </w:r>
      <w:r w:rsidRPr="00DF0D90">
        <w:t xml:space="preserve"> </w:t>
      </w:r>
      <w:r w:rsidRPr="00DF0D90">
        <w:rPr>
          <w:lang w:val="en-US"/>
        </w:rPr>
        <w:t>in</w:t>
      </w:r>
      <w:r w:rsidRPr="00DF0D90">
        <w:t xml:space="preserve"> </w:t>
      </w:r>
      <w:r w:rsidRPr="00DF0D90">
        <w:rPr>
          <w:lang w:val="en-US"/>
        </w:rPr>
        <w:t>Solid</w:t>
      </w:r>
      <w:r w:rsidRPr="00DF0D90">
        <w:t xml:space="preserve"> </w:t>
      </w:r>
      <w:r w:rsidRPr="00DF0D90">
        <w:rPr>
          <w:lang w:val="en-US"/>
        </w:rPr>
        <w:t>Tumors</w:t>
      </w:r>
      <w:r w:rsidRPr="00DF0D90">
        <w:t>, критерии</w:t>
      </w:r>
      <w:r w:rsidR="00025625" w:rsidRPr="00DF0D90">
        <w:t xml:space="preserve"> </w:t>
      </w:r>
      <w:r w:rsidRPr="00DF0D90">
        <w:t>оценки</w:t>
      </w:r>
      <w:r w:rsidR="00025625" w:rsidRPr="00DF0D90">
        <w:t xml:space="preserve"> </w:t>
      </w:r>
      <w:r w:rsidRPr="00DF0D90">
        <w:t>ответа</w:t>
      </w:r>
      <w:r w:rsidR="00025625" w:rsidRPr="00DF0D90">
        <w:t xml:space="preserve"> </w:t>
      </w:r>
      <w:r w:rsidRPr="00DF0D90">
        <w:t>солидных</w:t>
      </w:r>
      <w:r w:rsidR="00025625" w:rsidRPr="00DF0D90">
        <w:t xml:space="preserve"> </w:t>
      </w:r>
      <w:r w:rsidRPr="00DF0D90">
        <w:t>опухолей</w:t>
      </w:r>
      <w:r w:rsidR="00025625" w:rsidRPr="00DF0D90">
        <w:t xml:space="preserve"> </w:t>
      </w:r>
      <w:r w:rsidRPr="00DF0D90">
        <w:t>на</w:t>
      </w:r>
      <w:r w:rsidR="00025625" w:rsidRPr="00DF0D90">
        <w:t xml:space="preserve"> </w:t>
      </w:r>
      <w:r w:rsidRPr="00DF0D90">
        <w:t>лечение</w:t>
      </w:r>
    </w:p>
    <w:p w14:paraId="07936DD2" w14:textId="77777777" w:rsidR="00630BAC" w:rsidRPr="00DF0D90" w:rsidRDefault="00630BAC" w:rsidP="00454D85">
      <w:pPr>
        <w:spacing w:after="120"/>
        <w:ind w:firstLine="567"/>
        <w:jc w:val="both"/>
      </w:pPr>
      <w:proofErr w:type="spellStart"/>
      <w:r w:rsidRPr="00DF0D90">
        <w:rPr>
          <w:b/>
          <w:bCs/>
          <w:lang w:val="en-US"/>
        </w:rPr>
        <w:t>mRECIST</w:t>
      </w:r>
      <w:proofErr w:type="spellEnd"/>
      <w:r w:rsidRPr="00DF0D90">
        <w:t xml:space="preserve"> – </w:t>
      </w:r>
      <w:r w:rsidRPr="00DF0D90">
        <w:rPr>
          <w:lang w:val="en-US"/>
        </w:rPr>
        <w:t>modified</w:t>
      </w:r>
      <w:r w:rsidRPr="00DF0D90">
        <w:t xml:space="preserve"> </w:t>
      </w:r>
      <w:r w:rsidRPr="00DF0D90">
        <w:rPr>
          <w:lang w:val="en-US"/>
        </w:rPr>
        <w:t>Response</w:t>
      </w:r>
      <w:r w:rsidRPr="00DF0D90">
        <w:t xml:space="preserve"> </w:t>
      </w:r>
      <w:r w:rsidRPr="00DF0D90">
        <w:rPr>
          <w:lang w:val="en-US"/>
        </w:rPr>
        <w:t>Evaluation</w:t>
      </w:r>
      <w:r w:rsidRPr="00DF0D90">
        <w:t xml:space="preserve"> </w:t>
      </w:r>
      <w:r w:rsidRPr="00DF0D90">
        <w:rPr>
          <w:lang w:val="en-US"/>
        </w:rPr>
        <w:t>Criteria</w:t>
      </w:r>
      <w:r w:rsidRPr="00DF0D90">
        <w:t xml:space="preserve"> </w:t>
      </w:r>
      <w:r w:rsidRPr="00DF0D90">
        <w:rPr>
          <w:lang w:val="en-US"/>
        </w:rPr>
        <w:t>in</w:t>
      </w:r>
      <w:r w:rsidRPr="00DF0D90">
        <w:t xml:space="preserve"> </w:t>
      </w:r>
      <w:r w:rsidRPr="00DF0D90">
        <w:rPr>
          <w:lang w:val="en-US"/>
        </w:rPr>
        <w:t>Solid</w:t>
      </w:r>
      <w:r w:rsidRPr="00DF0D90">
        <w:t xml:space="preserve"> </w:t>
      </w:r>
      <w:r w:rsidRPr="00DF0D90">
        <w:rPr>
          <w:lang w:val="en-US"/>
        </w:rPr>
        <w:t>Tumors</w:t>
      </w:r>
      <w:r w:rsidRPr="00DF0D90">
        <w:t>, модифицированные</w:t>
      </w:r>
      <w:r w:rsidR="00025625" w:rsidRPr="00DF0D90">
        <w:t xml:space="preserve"> </w:t>
      </w:r>
      <w:r w:rsidRPr="00DF0D90">
        <w:t>критерии</w:t>
      </w:r>
      <w:r w:rsidR="00025625" w:rsidRPr="00DF0D90">
        <w:t xml:space="preserve"> </w:t>
      </w:r>
      <w:r w:rsidRPr="00DF0D90">
        <w:t>оценки</w:t>
      </w:r>
      <w:r w:rsidR="00025625" w:rsidRPr="00DF0D90">
        <w:t xml:space="preserve"> </w:t>
      </w:r>
      <w:r w:rsidRPr="00DF0D90">
        <w:t>ответа</w:t>
      </w:r>
      <w:r w:rsidR="00025625" w:rsidRPr="00DF0D90">
        <w:t xml:space="preserve"> </w:t>
      </w:r>
      <w:r w:rsidRPr="00DF0D90">
        <w:t>солидных</w:t>
      </w:r>
      <w:r w:rsidR="00025625" w:rsidRPr="00DF0D90">
        <w:t xml:space="preserve"> </w:t>
      </w:r>
      <w:r w:rsidRPr="00DF0D90">
        <w:t>опухолей</w:t>
      </w:r>
      <w:r w:rsidR="00025625" w:rsidRPr="00DF0D90">
        <w:t xml:space="preserve"> </w:t>
      </w:r>
      <w:r w:rsidRPr="00DF0D90">
        <w:t>на</w:t>
      </w:r>
      <w:r w:rsidR="00025625" w:rsidRPr="00DF0D90">
        <w:t xml:space="preserve"> </w:t>
      </w:r>
      <w:r w:rsidRPr="00DF0D90">
        <w:t>лечение</w:t>
      </w:r>
    </w:p>
    <w:p w14:paraId="3DE8D2C7" w14:textId="77777777" w:rsidR="00630BAC" w:rsidRPr="00DF0D90" w:rsidRDefault="00630BAC" w:rsidP="00454D85">
      <w:pPr>
        <w:spacing w:after="120"/>
        <w:ind w:firstLine="567"/>
        <w:jc w:val="both"/>
      </w:pPr>
      <w:r w:rsidRPr="00DF0D90">
        <w:rPr>
          <w:b/>
          <w:bCs/>
          <w:lang w:val="en-US"/>
        </w:rPr>
        <w:t>PD</w:t>
      </w:r>
      <w:r w:rsidRPr="00DF0D90">
        <w:rPr>
          <w:b/>
          <w:bCs/>
        </w:rPr>
        <w:t>1/</w:t>
      </w:r>
      <w:r w:rsidRPr="00DF0D90">
        <w:rPr>
          <w:b/>
          <w:bCs/>
          <w:lang w:val="en-US"/>
        </w:rPr>
        <w:t>PD</w:t>
      </w:r>
      <w:r w:rsidRPr="00DF0D90">
        <w:rPr>
          <w:b/>
          <w:bCs/>
        </w:rPr>
        <w:t>-</w:t>
      </w:r>
      <w:r w:rsidRPr="00DF0D90">
        <w:rPr>
          <w:b/>
          <w:bCs/>
          <w:lang w:val="en-US"/>
        </w:rPr>
        <w:t>L</w:t>
      </w:r>
      <w:r w:rsidRPr="00DF0D90">
        <w:rPr>
          <w:b/>
          <w:bCs/>
        </w:rPr>
        <w:t>1</w:t>
      </w:r>
      <w:r w:rsidRPr="00DF0D90">
        <w:t xml:space="preserve"> – </w:t>
      </w:r>
      <w:r w:rsidRPr="00DF0D90">
        <w:rPr>
          <w:lang w:val="en-US"/>
        </w:rPr>
        <w:t>programmed</w:t>
      </w:r>
      <w:r w:rsidRPr="00DF0D90">
        <w:t xml:space="preserve"> </w:t>
      </w:r>
      <w:r w:rsidRPr="00DF0D90">
        <w:rPr>
          <w:lang w:val="en-US"/>
        </w:rPr>
        <w:t>cell</w:t>
      </w:r>
      <w:r w:rsidRPr="00DF0D90">
        <w:t xml:space="preserve"> </w:t>
      </w:r>
      <w:r w:rsidRPr="00DF0D90">
        <w:rPr>
          <w:lang w:val="en-US"/>
        </w:rPr>
        <w:t>death</w:t>
      </w:r>
      <w:r w:rsidRPr="00DF0D90">
        <w:t xml:space="preserve"> 1/</w:t>
      </w:r>
      <w:r w:rsidRPr="00DF0D90">
        <w:rPr>
          <w:lang w:val="en-US"/>
        </w:rPr>
        <w:t>programmed</w:t>
      </w:r>
      <w:r w:rsidRPr="00DF0D90">
        <w:t xml:space="preserve"> </w:t>
      </w:r>
      <w:r w:rsidRPr="00DF0D90">
        <w:rPr>
          <w:lang w:val="en-US"/>
        </w:rPr>
        <w:t>cell</w:t>
      </w:r>
      <w:r w:rsidRPr="00DF0D90">
        <w:t xml:space="preserve"> </w:t>
      </w:r>
      <w:r w:rsidRPr="00DF0D90">
        <w:rPr>
          <w:lang w:val="en-US"/>
        </w:rPr>
        <w:t>death</w:t>
      </w:r>
      <w:r w:rsidRPr="00DF0D90">
        <w:t xml:space="preserve"> 1 </w:t>
      </w:r>
      <w:r w:rsidRPr="00DF0D90">
        <w:rPr>
          <w:lang w:val="en-US"/>
        </w:rPr>
        <w:t>ligand</w:t>
      </w:r>
      <w:r w:rsidRPr="00DF0D90">
        <w:t>, мембранный</w:t>
      </w:r>
      <w:r w:rsidR="00025625" w:rsidRPr="00DF0D90">
        <w:t xml:space="preserve"> </w:t>
      </w:r>
      <w:r w:rsidRPr="00DF0D90">
        <w:t>белок</w:t>
      </w:r>
      <w:r w:rsidR="00025625" w:rsidRPr="00DF0D90">
        <w:t xml:space="preserve"> </w:t>
      </w:r>
      <w:r w:rsidRPr="00DF0D90">
        <w:t>запрограммированной</w:t>
      </w:r>
      <w:r w:rsidR="00025625" w:rsidRPr="00DF0D90">
        <w:t xml:space="preserve"> </w:t>
      </w:r>
      <w:r w:rsidRPr="00DF0D90">
        <w:t>смерти</w:t>
      </w:r>
      <w:r w:rsidR="00025625" w:rsidRPr="00DF0D90">
        <w:t xml:space="preserve"> </w:t>
      </w:r>
      <w:r w:rsidRPr="00DF0D90">
        <w:t>клеток/его</w:t>
      </w:r>
      <w:r w:rsidR="00025625" w:rsidRPr="00DF0D90">
        <w:t xml:space="preserve"> </w:t>
      </w:r>
      <w:r w:rsidRPr="00DF0D90">
        <w:t>лиганд</w:t>
      </w:r>
    </w:p>
    <w:p w14:paraId="27EAECB1" w14:textId="77777777" w:rsidR="00940E4D" w:rsidRPr="00DF0D90" w:rsidRDefault="00940E4D" w:rsidP="00454D85">
      <w:pPr>
        <w:spacing w:after="120"/>
        <w:ind w:firstLine="567"/>
        <w:jc w:val="both"/>
      </w:pPr>
      <w:r w:rsidRPr="00DF0D90">
        <w:rPr>
          <w:b/>
          <w:bCs/>
          <w:lang w:val="en-US"/>
        </w:rPr>
        <w:t>TNM</w:t>
      </w:r>
      <w:r w:rsidRPr="00DF0D90">
        <w:t xml:space="preserve"> – </w:t>
      </w:r>
      <w:r w:rsidRPr="00DF0D90">
        <w:rPr>
          <w:rFonts w:eastAsia="GalsLightC"/>
          <w:color w:val="000000"/>
        </w:rPr>
        <w:t>(</w:t>
      </w:r>
      <w:hyperlink r:id="rId8" w:tooltip="Аббревиатура" w:history="1">
        <w:r w:rsidRPr="00DF0D90">
          <w:rPr>
            <w:rFonts w:eastAsia="GalsLightC"/>
            <w:color w:val="000000"/>
          </w:rPr>
          <w:t>аббревиатура</w:t>
        </w:r>
      </w:hyperlink>
      <w:r w:rsidRPr="00DF0D90">
        <w:rPr>
          <w:rFonts w:eastAsia="GalsLightC"/>
          <w:color w:val="000000"/>
        </w:rPr>
        <w:t> от </w:t>
      </w:r>
      <w:r w:rsidR="007259DF" w:rsidRPr="00DF0D90">
        <w:rPr>
          <w:rFonts w:eastAsia="GalsLightC"/>
          <w:color w:val="000000"/>
          <w:lang w:val="en-US"/>
        </w:rPr>
        <w:t>T</w:t>
      </w:r>
      <w:proofErr w:type="spellStart"/>
      <w:r w:rsidRPr="00DF0D90">
        <w:rPr>
          <w:rFonts w:eastAsia="GalsLightC"/>
          <w:color w:val="000000"/>
        </w:rPr>
        <w:t>umor</w:t>
      </w:r>
      <w:proofErr w:type="spellEnd"/>
      <w:r w:rsidRPr="00DF0D90">
        <w:rPr>
          <w:rFonts w:eastAsia="GalsLightC"/>
          <w:color w:val="000000"/>
        </w:rPr>
        <w:t>,</w:t>
      </w:r>
      <w:r w:rsidR="0017591B" w:rsidRPr="00DF0D90">
        <w:rPr>
          <w:rFonts w:eastAsia="GalsLightC"/>
          <w:color w:val="000000"/>
        </w:rPr>
        <w:t xml:space="preserve"> </w:t>
      </w:r>
      <w:r w:rsidR="007259DF" w:rsidRPr="00DF0D90">
        <w:rPr>
          <w:rFonts w:eastAsia="GalsLightC"/>
          <w:color w:val="000000"/>
          <w:lang w:val="en-US"/>
        </w:rPr>
        <w:t>N</w:t>
      </w:r>
      <w:proofErr w:type="spellStart"/>
      <w:r w:rsidRPr="00DF0D90">
        <w:rPr>
          <w:rFonts w:eastAsia="GalsLightC"/>
          <w:color w:val="000000"/>
        </w:rPr>
        <w:t>odus</w:t>
      </w:r>
      <w:proofErr w:type="spellEnd"/>
      <w:r w:rsidR="00025625" w:rsidRPr="00DF0D90">
        <w:rPr>
          <w:rFonts w:eastAsia="GalsLightC"/>
          <w:color w:val="000000"/>
        </w:rPr>
        <w:t>,</w:t>
      </w:r>
      <w:r w:rsidR="0017591B" w:rsidRPr="00DF0D90">
        <w:rPr>
          <w:rFonts w:eastAsia="GalsLightC"/>
          <w:color w:val="000000"/>
        </w:rPr>
        <w:t xml:space="preserve"> </w:t>
      </w:r>
      <w:r w:rsidR="007259DF" w:rsidRPr="00DF0D90">
        <w:rPr>
          <w:rFonts w:eastAsia="GalsLightC"/>
          <w:color w:val="000000"/>
          <w:lang w:val="en-US"/>
        </w:rPr>
        <w:t>M</w:t>
      </w:r>
      <w:proofErr w:type="spellStart"/>
      <w:r w:rsidRPr="00DF0D90">
        <w:rPr>
          <w:rFonts w:eastAsia="GalsLightC"/>
          <w:color w:val="000000"/>
        </w:rPr>
        <w:t>etastasis</w:t>
      </w:r>
      <w:proofErr w:type="spellEnd"/>
      <w:r w:rsidRPr="00DF0D90">
        <w:rPr>
          <w:rFonts w:eastAsia="GalsLightC"/>
          <w:color w:val="000000"/>
        </w:rPr>
        <w:t>)</w:t>
      </w:r>
      <w:r w:rsidR="007259DF" w:rsidRPr="00DF0D90">
        <w:rPr>
          <w:rFonts w:eastAsia="GalsLightC"/>
          <w:color w:val="000000"/>
        </w:rPr>
        <w:t xml:space="preserve">, </w:t>
      </w:r>
      <w:r w:rsidRPr="00DF0D90">
        <w:rPr>
          <w:rFonts w:eastAsia="GalsLightC"/>
          <w:color w:val="000000"/>
        </w:rPr>
        <w:t>международная классификация стадий </w:t>
      </w:r>
      <w:hyperlink r:id="rId9" w:tooltip="Злокачественная опухоль" w:history="1">
        <w:r w:rsidRPr="00DF0D90">
          <w:rPr>
            <w:rFonts w:eastAsia="GalsLightC"/>
            <w:color w:val="000000"/>
          </w:rPr>
          <w:t>злокачественных новообразований</w:t>
        </w:r>
      </w:hyperlink>
    </w:p>
    <w:p w14:paraId="7A871851" w14:textId="77777777" w:rsidR="00630BAC" w:rsidRPr="00DF0D90" w:rsidRDefault="00630BAC" w:rsidP="00454D85">
      <w:pPr>
        <w:spacing w:after="120"/>
        <w:ind w:firstLine="567"/>
        <w:jc w:val="both"/>
        <w:rPr>
          <w:rFonts w:eastAsia="GalsLightC"/>
        </w:rPr>
      </w:pPr>
      <w:r w:rsidRPr="00DF0D90">
        <w:rPr>
          <w:rFonts w:eastAsia="GalsLightC"/>
        </w:rPr>
        <w:t>** – жизненно необходимые и важнейшие лекарственные препараты</w:t>
      </w:r>
    </w:p>
    <w:p w14:paraId="2BBCC959" w14:textId="77777777" w:rsidR="00FC5F6F" w:rsidRPr="00DF0D90" w:rsidRDefault="00FC5F6F" w:rsidP="00454D85">
      <w:pPr>
        <w:spacing w:after="120"/>
        <w:ind w:firstLine="567"/>
        <w:jc w:val="both"/>
        <w:rPr>
          <w:rFonts w:eastAsia="GalsLightC"/>
        </w:rPr>
      </w:pPr>
    </w:p>
    <w:p w14:paraId="048520CB" w14:textId="77777777" w:rsidR="00FC5F6F" w:rsidRPr="00DF0D90" w:rsidRDefault="00FC5F6F" w:rsidP="00454D85">
      <w:pPr>
        <w:spacing w:after="120"/>
        <w:ind w:firstLine="567"/>
        <w:jc w:val="both"/>
        <w:rPr>
          <w:rFonts w:eastAsia="GalsLightC"/>
        </w:rPr>
      </w:pPr>
    </w:p>
    <w:p w14:paraId="0247CDD6" w14:textId="77777777" w:rsidR="00FC5F6F" w:rsidRPr="00DF0D90" w:rsidRDefault="00FC5F6F" w:rsidP="00454D85">
      <w:pPr>
        <w:spacing w:after="120"/>
        <w:ind w:firstLine="567"/>
        <w:jc w:val="both"/>
        <w:rPr>
          <w:rFonts w:eastAsia="GalsLightC"/>
        </w:rPr>
      </w:pPr>
    </w:p>
    <w:p w14:paraId="17B0462A" w14:textId="77777777" w:rsidR="00630BAC" w:rsidRPr="00DF0D90" w:rsidRDefault="00630BAC" w:rsidP="00801019">
      <w:pPr>
        <w:pStyle w:val="42"/>
      </w:pPr>
      <w:r w:rsidRPr="00DF0D90">
        <w:br w:type="page"/>
      </w:r>
      <w:bookmarkStart w:id="7" w:name="_Toc98349264"/>
      <w:bookmarkStart w:id="8" w:name="_Toc83293962"/>
      <w:r w:rsidRPr="00DF0D90">
        <w:lastRenderedPageBreak/>
        <w:t>Термины и определения</w:t>
      </w:r>
      <w:bookmarkEnd w:id="7"/>
      <w:bookmarkEnd w:id="8"/>
    </w:p>
    <w:p w14:paraId="60806E4F" w14:textId="77777777" w:rsidR="00630BAC" w:rsidRPr="00DF0D90" w:rsidRDefault="00630BAC" w:rsidP="006D217F">
      <w:pPr>
        <w:suppressAutoHyphens/>
        <w:spacing w:after="120" w:line="360" w:lineRule="auto"/>
        <w:ind w:firstLine="567"/>
        <w:jc w:val="both"/>
      </w:pPr>
      <w:r w:rsidRPr="00DF0D90">
        <w:rPr>
          <w:b/>
          <w:bCs/>
        </w:rPr>
        <w:t xml:space="preserve">Блокатор </w:t>
      </w:r>
      <w:r w:rsidRPr="00DF0D90">
        <w:rPr>
          <w:b/>
          <w:bCs/>
          <w:lang w:val="en-US"/>
        </w:rPr>
        <w:t>CTLA</w:t>
      </w:r>
      <w:r w:rsidRPr="00DF0D90">
        <w:rPr>
          <w:b/>
          <w:bCs/>
        </w:rPr>
        <w:t>4</w:t>
      </w:r>
      <w:r w:rsidRPr="00DF0D90">
        <w:t xml:space="preserve"> – моноклональное антитело, блокирующее антиген цитотоксических Т-лимфоцитов 4-го типа.</w:t>
      </w:r>
    </w:p>
    <w:p w14:paraId="3A14AE42" w14:textId="77777777" w:rsidR="00630BAC" w:rsidRPr="00DF0D90" w:rsidRDefault="00630BAC" w:rsidP="006D217F">
      <w:pPr>
        <w:suppressAutoHyphens/>
        <w:spacing w:after="120" w:line="360" w:lineRule="auto"/>
        <w:ind w:firstLine="567"/>
        <w:jc w:val="both"/>
      </w:pPr>
      <w:r w:rsidRPr="00DF0D90">
        <w:rPr>
          <w:b/>
          <w:bCs/>
        </w:rPr>
        <w:t xml:space="preserve">Блокатор </w:t>
      </w:r>
      <w:r w:rsidRPr="00DF0D90">
        <w:rPr>
          <w:b/>
          <w:bCs/>
          <w:lang w:val="en-US"/>
        </w:rPr>
        <w:t>PD</w:t>
      </w:r>
      <w:r w:rsidRPr="00DF0D90">
        <w:rPr>
          <w:b/>
          <w:bCs/>
        </w:rPr>
        <w:t>1</w:t>
      </w:r>
      <w:r w:rsidRPr="00DF0D90">
        <w:t xml:space="preserve"> – моноклональное антитело, блокирующее рецептор программируемой смерти 1.</w:t>
      </w:r>
    </w:p>
    <w:p w14:paraId="466DE07C" w14:textId="77777777" w:rsidR="00630BAC" w:rsidRPr="00DF0D90" w:rsidRDefault="00630BAC" w:rsidP="006D217F">
      <w:pPr>
        <w:suppressAutoHyphens/>
        <w:spacing w:after="120" w:line="360" w:lineRule="auto"/>
        <w:ind w:firstLine="567"/>
        <w:jc w:val="both"/>
        <w:rPr>
          <w:iCs/>
        </w:rPr>
      </w:pPr>
      <w:r w:rsidRPr="00DF0D90">
        <w:rPr>
          <w:b/>
          <w:bCs/>
        </w:rPr>
        <w:t xml:space="preserve">Класс цирроза по </w:t>
      </w:r>
      <w:r w:rsidRPr="00DF0D90">
        <w:rPr>
          <w:b/>
          <w:bCs/>
          <w:lang w:val="en-US"/>
        </w:rPr>
        <w:t>Child</w:t>
      </w:r>
      <w:r w:rsidR="00401438" w:rsidRPr="00DF0D90">
        <w:rPr>
          <w:b/>
          <w:bCs/>
        </w:rPr>
        <w:t xml:space="preserve"> – </w:t>
      </w:r>
      <w:r w:rsidRPr="00DF0D90">
        <w:rPr>
          <w:b/>
          <w:bCs/>
          <w:lang w:val="en-US"/>
        </w:rPr>
        <w:t>Pugh</w:t>
      </w:r>
      <w:r w:rsidRPr="00DF0D90">
        <w:t xml:space="preserve"> – степень выраженности нарушения функции печени (А, В, С), рассчитываемая по сумме баллов.</w:t>
      </w:r>
    </w:p>
    <w:p w14:paraId="0049CBF8" w14:textId="77777777" w:rsidR="00630BAC" w:rsidRPr="00DF0D90" w:rsidRDefault="00630BAC" w:rsidP="006D217F">
      <w:pPr>
        <w:suppressAutoHyphens/>
        <w:spacing w:after="120" w:line="360" w:lineRule="auto"/>
        <w:ind w:firstLine="567"/>
        <w:jc w:val="both"/>
        <w:rPr>
          <w:iCs/>
        </w:rPr>
      </w:pPr>
      <w:r w:rsidRPr="00DF0D90">
        <w:rPr>
          <w:b/>
          <w:bCs/>
          <w:iCs/>
        </w:rPr>
        <w:t>Компьютерная томография</w:t>
      </w:r>
      <w:r w:rsidRPr="00DF0D90">
        <w:rPr>
          <w:iCs/>
        </w:rPr>
        <w:t xml:space="preserve"> – метод послойной внутренней диагностики.</w:t>
      </w:r>
    </w:p>
    <w:p w14:paraId="2A22912F" w14:textId="77777777" w:rsidR="00630BAC" w:rsidRPr="00DF0D90" w:rsidRDefault="00630BAC" w:rsidP="006D217F">
      <w:pPr>
        <w:suppressAutoHyphens/>
        <w:spacing w:after="120" w:line="360" w:lineRule="auto"/>
        <w:ind w:firstLine="567"/>
        <w:jc w:val="both"/>
        <w:rPr>
          <w:iCs/>
        </w:rPr>
      </w:pPr>
      <w:r w:rsidRPr="00DF0D90">
        <w:rPr>
          <w:b/>
          <w:bCs/>
          <w:iCs/>
        </w:rPr>
        <w:t>Магнитно-резонансная томография</w:t>
      </w:r>
      <w:r w:rsidRPr="00DF0D90">
        <w:rPr>
          <w:iCs/>
        </w:rPr>
        <w:t xml:space="preserve"> – метод послойной внутренней диагностики с помощью эффекта ядерного магнитного резонанса.</w:t>
      </w:r>
    </w:p>
    <w:p w14:paraId="0B287260" w14:textId="77777777" w:rsidR="00630BAC" w:rsidRPr="00DF0D90" w:rsidRDefault="00630BAC" w:rsidP="006D217F">
      <w:pPr>
        <w:suppressAutoHyphens/>
        <w:spacing w:after="120" w:line="360" w:lineRule="auto"/>
        <w:ind w:firstLine="567"/>
        <w:jc w:val="both"/>
        <w:rPr>
          <w:iCs/>
        </w:rPr>
      </w:pPr>
      <w:r w:rsidRPr="00DF0D90">
        <w:rPr>
          <w:b/>
          <w:bCs/>
          <w:iCs/>
        </w:rPr>
        <w:t>Позитронно-эмиссионная томография</w:t>
      </w:r>
      <w:r w:rsidRPr="00DF0D90">
        <w:rPr>
          <w:iCs/>
        </w:rPr>
        <w:t xml:space="preserve"> – метод радионуклидной диагностики.</w:t>
      </w:r>
    </w:p>
    <w:p w14:paraId="29B87484" w14:textId="77777777" w:rsidR="00940E4D" w:rsidRPr="00DF0D90" w:rsidRDefault="00940E4D" w:rsidP="006D217F">
      <w:pPr>
        <w:suppressAutoHyphens/>
        <w:spacing w:after="120" w:line="360" w:lineRule="auto"/>
        <w:ind w:firstLine="567"/>
        <w:jc w:val="both"/>
        <w:rPr>
          <w:iCs/>
        </w:rPr>
      </w:pPr>
      <w:r w:rsidRPr="00DF0D90">
        <w:rPr>
          <w:b/>
          <w:bCs/>
        </w:rPr>
        <w:t>Терапия «понижения</w:t>
      </w:r>
      <w:r w:rsidR="00E06FCA" w:rsidRPr="00DF0D90">
        <w:rPr>
          <w:b/>
          <w:bCs/>
        </w:rPr>
        <w:t xml:space="preserve"> </w:t>
      </w:r>
      <w:r w:rsidRPr="00DF0D90">
        <w:rPr>
          <w:b/>
          <w:bCs/>
        </w:rPr>
        <w:t>стадии»</w:t>
      </w:r>
      <w:r w:rsidR="00025625" w:rsidRPr="00DF0D90">
        <w:t xml:space="preserve"> – </w:t>
      </w:r>
      <w:proofErr w:type="spellStart"/>
      <w:r w:rsidRPr="00DF0D90">
        <w:t>down-staging</w:t>
      </w:r>
      <w:proofErr w:type="spellEnd"/>
      <w:r w:rsidRPr="00DF0D90">
        <w:t>, направлена на уменьшение внутрипеченочной распространенности опухолевого процесса при отсутствии внепеченочных изменений.</w:t>
      </w:r>
    </w:p>
    <w:p w14:paraId="245AA2CD" w14:textId="77777777" w:rsidR="00630BAC" w:rsidRPr="00DF0D90" w:rsidRDefault="00630BAC" w:rsidP="006D217F">
      <w:pPr>
        <w:suppressAutoHyphens/>
        <w:spacing w:after="120" w:line="360" w:lineRule="auto"/>
        <w:ind w:firstLine="567"/>
        <w:jc w:val="both"/>
        <w:rPr>
          <w:shd w:val="clear" w:color="auto" w:fill="FFFFFF"/>
        </w:rPr>
      </w:pPr>
      <w:proofErr w:type="spellStart"/>
      <w:r w:rsidRPr="00DF0D90">
        <w:rPr>
          <w:b/>
          <w:bCs/>
          <w:shd w:val="clear" w:color="auto" w:fill="FFFFFF"/>
        </w:rPr>
        <w:t>Трансартериальная</w:t>
      </w:r>
      <w:proofErr w:type="spellEnd"/>
      <w:r w:rsidRPr="00DF0D90">
        <w:rPr>
          <w:b/>
          <w:bCs/>
          <w:shd w:val="clear" w:color="auto" w:fill="FFFFFF"/>
        </w:rPr>
        <w:t xml:space="preserve"> </w:t>
      </w:r>
      <w:proofErr w:type="spellStart"/>
      <w:r w:rsidRPr="00DF0D90">
        <w:rPr>
          <w:b/>
          <w:bCs/>
          <w:shd w:val="clear" w:color="auto" w:fill="FFFFFF"/>
        </w:rPr>
        <w:t>химиоэмболизация</w:t>
      </w:r>
      <w:proofErr w:type="spellEnd"/>
      <w:r w:rsidRPr="00DF0D90">
        <w:rPr>
          <w:shd w:val="clear" w:color="auto" w:fill="FFFFFF"/>
        </w:rPr>
        <w:t xml:space="preserve"> – метод локального лечения внутрипеченочных опухолей с использованием </w:t>
      </w:r>
      <w:proofErr w:type="spellStart"/>
      <w:r w:rsidRPr="00DF0D90">
        <w:rPr>
          <w:shd w:val="clear" w:color="auto" w:fill="FFFFFF"/>
        </w:rPr>
        <w:t>эмболизирующего</w:t>
      </w:r>
      <w:proofErr w:type="spellEnd"/>
      <w:r w:rsidRPr="00DF0D90">
        <w:rPr>
          <w:shd w:val="clear" w:color="auto" w:fill="FFFFFF"/>
        </w:rPr>
        <w:t xml:space="preserve"> агента в сочетании с цитостатиком.</w:t>
      </w:r>
    </w:p>
    <w:p w14:paraId="44246AD0" w14:textId="77777777" w:rsidR="00630BAC" w:rsidRPr="00DF0D90" w:rsidRDefault="00630BAC" w:rsidP="006D217F">
      <w:pPr>
        <w:suppressAutoHyphens/>
        <w:spacing w:after="120" w:line="360" w:lineRule="auto"/>
        <w:ind w:firstLine="567"/>
        <w:jc w:val="both"/>
        <w:rPr>
          <w:shd w:val="clear" w:color="auto" w:fill="FFFFFF"/>
        </w:rPr>
      </w:pPr>
      <w:proofErr w:type="spellStart"/>
      <w:r w:rsidRPr="00DF0D90">
        <w:rPr>
          <w:b/>
          <w:bCs/>
          <w:shd w:val="clear" w:color="auto" w:fill="FFFFFF"/>
        </w:rPr>
        <w:t>Трансартериальная</w:t>
      </w:r>
      <w:proofErr w:type="spellEnd"/>
      <w:r w:rsidRPr="00DF0D90">
        <w:rPr>
          <w:b/>
          <w:bCs/>
          <w:shd w:val="clear" w:color="auto" w:fill="FFFFFF"/>
        </w:rPr>
        <w:t xml:space="preserve"> </w:t>
      </w:r>
      <w:proofErr w:type="spellStart"/>
      <w:r w:rsidR="008462BF" w:rsidRPr="00DF0D90">
        <w:rPr>
          <w:b/>
          <w:bCs/>
          <w:shd w:val="clear" w:color="auto" w:fill="FFFFFF"/>
        </w:rPr>
        <w:t>радио</w:t>
      </w:r>
      <w:r w:rsidRPr="00DF0D90">
        <w:rPr>
          <w:b/>
          <w:bCs/>
          <w:shd w:val="clear" w:color="auto" w:fill="FFFFFF"/>
        </w:rPr>
        <w:t>эмболизация</w:t>
      </w:r>
      <w:proofErr w:type="spellEnd"/>
      <w:r w:rsidRPr="00DF0D90">
        <w:rPr>
          <w:shd w:val="clear" w:color="auto" w:fill="FFFFFF"/>
        </w:rPr>
        <w:t xml:space="preserve"> – метод локального лечения внутрипеченочных опухолей с использованием </w:t>
      </w:r>
      <w:proofErr w:type="spellStart"/>
      <w:r w:rsidRPr="00DF0D90">
        <w:rPr>
          <w:shd w:val="clear" w:color="auto" w:fill="FFFFFF"/>
        </w:rPr>
        <w:t>эмболизирующего</w:t>
      </w:r>
      <w:proofErr w:type="spellEnd"/>
      <w:r w:rsidRPr="00DF0D90">
        <w:rPr>
          <w:shd w:val="clear" w:color="auto" w:fill="FFFFFF"/>
        </w:rPr>
        <w:t xml:space="preserve"> агента в сочетании с изотопом.</w:t>
      </w:r>
    </w:p>
    <w:p w14:paraId="44228D52" w14:textId="77777777" w:rsidR="00630BAC" w:rsidRPr="00DF0D90" w:rsidRDefault="00630BAC" w:rsidP="006D217F">
      <w:pPr>
        <w:suppressAutoHyphens/>
        <w:spacing w:after="120" w:line="360" w:lineRule="auto"/>
        <w:ind w:firstLine="567"/>
        <w:jc w:val="both"/>
        <w:rPr>
          <w:i/>
          <w:iCs/>
        </w:rPr>
      </w:pPr>
      <w:r w:rsidRPr="00DF0D90">
        <w:rPr>
          <w:b/>
          <w:bCs/>
          <w:iCs/>
        </w:rPr>
        <w:t>Ультразвуковое исследование</w:t>
      </w:r>
      <w:r w:rsidRPr="00DF0D90">
        <w:rPr>
          <w:iCs/>
        </w:rPr>
        <w:t xml:space="preserve"> – неинвазивное исследование организма с помощью ультразвуковых волн</w:t>
      </w:r>
      <w:r w:rsidRPr="00DF0D90">
        <w:rPr>
          <w:i/>
          <w:iCs/>
        </w:rPr>
        <w:t>.</w:t>
      </w:r>
    </w:p>
    <w:p w14:paraId="7C9461DF" w14:textId="77777777" w:rsidR="00940E4D" w:rsidRPr="00DF0D90" w:rsidRDefault="00940E4D" w:rsidP="006D217F">
      <w:pPr>
        <w:suppressAutoHyphens/>
        <w:spacing w:after="120" w:line="360" w:lineRule="auto"/>
        <w:ind w:firstLine="567"/>
        <w:jc w:val="both"/>
        <w:rPr>
          <w:i/>
          <w:iCs/>
        </w:rPr>
      </w:pPr>
      <w:r w:rsidRPr="00DF0D90">
        <w:rPr>
          <w:b/>
          <w:bCs/>
          <w:lang w:val="en-US"/>
        </w:rPr>
        <w:t>B</w:t>
      </w:r>
      <w:proofErr w:type="spellStart"/>
      <w:r w:rsidRPr="00DF0D90">
        <w:rPr>
          <w:b/>
          <w:bCs/>
        </w:rPr>
        <w:t>ridge</w:t>
      </w:r>
      <w:proofErr w:type="spellEnd"/>
      <w:r w:rsidRPr="00DF0D90">
        <w:rPr>
          <w:b/>
          <w:bCs/>
        </w:rPr>
        <w:t>-терапия</w:t>
      </w:r>
      <w:r w:rsidR="00025625" w:rsidRPr="00DF0D90">
        <w:t xml:space="preserve"> – </w:t>
      </w:r>
      <w:r w:rsidRPr="00DF0D90">
        <w:t>терапия «ожидания», которая направлена на замедление прогрессирования опухоли и уменьшение вероятности выбытия из листа ожидания трансплантации.</w:t>
      </w:r>
    </w:p>
    <w:p w14:paraId="637B951B" w14:textId="77777777" w:rsidR="00630BAC" w:rsidRPr="00DF0D90" w:rsidRDefault="00630BAC" w:rsidP="006D217F">
      <w:pPr>
        <w:suppressAutoHyphens/>
        <w:spacing w:after="120" w:line="360" w:lineRule="auto"/>
        <w:ind w:firstLine="567"/>
        <w:jc w:val="both"/>
      </w:pPr>
      <w:r w:rsidRPr="00DF0D90">
        <w:rPr>
          <w:b/>
          <w:bCs/>
          <w:lang w:val="en-US"/>
        </w:rPr>
        <w:t>CTLA</w:t>
      </w:r>
      <w:r w:rsidRPr="00DF0D90">
        <w:rPr>
          <w:b/>
          <w:bCs/>
        </w:rPr>
        <w:t>4</w:t>
      </w:r>
      <w:r w:rsidRPr="00DF0D90">
        <w:t xml:space="preserve"> – антиген цитотоксических Т-лимфоцитов 4-го типа, также известен как С</w:t>
      </w:r>
      <w:r w:rsidRPr="00DF0D90">
        <w:rPr>
          <w:lang w:val="en-US"/>
        </w:rPr>
        <w:t>D</w:t>
      </w:r>
      <w:r w:rsidRPr="00DF0D90">
        <w:t xml:space="preserve">152. Выполняет функции рецептора, лигандом служит молекула </w:t>
      </w:r>
      <w:r w:rsidRPr="00DF0D90">
        <w:rPr>
          <w:lang w:val="en-US"/>
        </w:rPr>
        <w:t>B</w:t>
      </w:r>
      <w:r w:rsidRPr="00DF0D90">
        <w:t xml:space="preserve">7.1 или </w:t>
      </w:r>
      <w:r w:rsidRPr="00DF0D90">
        <w:rPr>
          <w:lang w:val="en-US"/>
        </w:rPr>
        <w:t>B</w:t>
      </w:r>
      <w:r w:rsidRPr="00DF0D90">
        <w:t>7.2.</w:t>
      </w:r>
    </w:p>
    <w:p w14:paraId="171418A2" w14:textId="77777777" w:rsidR="00630BAC" w:rsidRPr="00DF0D90" w:rsidRDefault="00630BAC" w:rsidP="006D217F">
      <w:pPr>
        <w:suppressAutoHyphens/>
        <w:spacing w:after="120" w:line="360" w:lineRule="auto"/>
        <w:ind w:firstLine="567"/>
        <w:jc w:val="both"/>
        <w:rPr>
          <w:color w:val="333333"/>
          <w:shd w:val="clear" w:color="auto" w:fill="FFFFFF"/>
        </w:rPr>
      </w:pPr>
      <w:r w:rsidRPr="00DF0D90">
        <w:rPr>
          <w:b/>
          <w:bCs/>
          <w:color w:val="333333"/>
          <w:shd w:val="clear" w:color="auto" w:fill="FFFFFF"/>
        </w:rPr>
        <w:t xml:space="preserve">Response </w:t>
      </w:r>
      <w:proofErr w:type="spellStart"/>
      <w:r w:rsidRPr="00DF0D90">
        <w:rPr>
          <w:b/>
          <w:bCs/>
          <w:color w:val="333333"/>
          <w:shd w:val="clear" w:color="auto" w:fill="FFFFFF"/>
        </w:rPr>
        <w:t>Evaluation</w:t>
      </w:r>
      <w:proofErr w:type="spellEnd"/>
      <w:r w:rsidRPr="00DF0D90">
        <w:rPr>
          <w:b/>
          <w:bCs/>
          <w:color w:val="333333"/>
          <w:shd w:val="clear" w:color="auto" w:fill="FFFFFF"/>
        </w:rPr>
        <w:t xml:space="preserve"> </w:t>
      </w:r>
      <w:proofErr w:type="spellStart"/>
      <w:r w:rsidRPr="00DF0D90">
        <w:rPr>
          <w:b/>
          <w:bCs/>
          <w:color w:val="333333"/>
          <w:shd w:val="clear" w:color="auto" w:fill="FFFFFF"/>
        </w:rPr>
        <w:t>Criteria</w:t>
      </w:r>
      <w:proofErr w:type="spellEnd"/>
      <w:r w:rsidRPr="00DF0D90">
        <w:rPr>
          <w:b/>
          <w:bCs/>
          <w:color w:val="333333"/>
          <w:shd w:val="clear" w:color="auto" w:fill="FFFFFF"/>
        </w:rPr>
        <w:t xml:space="preserve"> </w:t>
      </w:r>
      <w:proofErr w:type="spellStart"/>
      <w:r w:rsidRPr="00DF0D90">
        <w:rPr>
          <w:b/>
          <w:bCs/>
          <w:color w:val="333333"/>
          <w:shd w:val="clear" w:color="auto" w:fill="FFFFFF"/>
        </w:rPr>
        <w:t>in</w:t>
      </w:r>
      <w:proofErr w:type="spellEnd"/>
      <w:r w:rsidRPr="00DF0D90">
        <w:rPr>
          <w:b/>
          <w:bCs/>
          <w:color w:val="333333"/>
          <w:shd w:val="clear" w:color="auto" w:fill="FFFFFF"/>
        </w:rPr>
        <w:t xml:space="preserve"> </w:t>
      </w:r>
      <w:proofErr w:type="spellStart"/>
      <w:r w:rsidRPr="00DF0D90">
        <w:rPr>
          <w:b/>
          <w:bCs/>
          <w:color w:val="333333"/>
          <w:shd w:val="clear" w:color="auto" w:fill="FFFFFF"/>
        </w:rPr>
        <w:t>Solid</w:t>
      </w:r>
      <w:proofErr w:type="spellEnd"/>
      <w:r w:rsidRPr="00DF0D90">
        <w:rPr>
          <w:b/>
          <w:bCs/>
          <w:color w:val="333333"/>
          <w:shd w:val="clear" w:color="auto" w:fill="FFFFFF"/>
        </w:rPr>
        <w:t xml:space="preserve"> </w:t>
      </w:r>
      <w:proofErr w:type="spellStart"/>
      <w:r w:rsidRPr="00DF0D90">
        <w:rPr>
          <w:b/>
          <w:bCs/>
          <w:color w:val="333333"/>
          <w:shd w:val="clear" w:color="auto" w:fill="FFFFFF"/>
        </w:rPr>
        <w:t>Tumours</w:t>
      </w:r>
      <w:proofErr w:type="spellEnd"/>
      <w:r w:rsidRPr="00DF0D90">
        <w:rPr>
          <w:color w:val="333333"/>
          <w:shd w:val="clear" w:color="auto" w:fill="FFFFFF"/>
        </w:rPr>
        <w:t xml:space="preserve"> – набор стандартизированных критериев, используемых для оценки изменения размеров опухоли в ответ на проводимую терапию.</w:t>
      </w:r>
    </w:p>
    <w:p w14:paraId="7901C0EF" w14:textId="77777777" w:rsidR="00630BAC" w:rsidRPr="00DF0D90" w:rsidRDefault="00630BAC" w:rsidP="006D217F">
      <w:pPr>
        <w:suppressAutoHyphens/>
        <w:spacing w:after="120" w:line="360" w:lineRule="auto"/>
        <w:ind w:firstLine="567"/>
        <w:jc w:val="both"/>
        <w:rPr>
          <w:spacing w:val="-2"/>
        </w:rPr>
      </w:pPr>
      <w:r w:rsidRPr="00DF0D90">
        <w:rPr>
          <w:b/>
          <w:bCs/>
          <w:color w:val="333333"/>
          <w:spacing w:val="-2"/>
          <w:shd w:val="clear" w:color="auto" w:fill="FFFFFF"/>
          <w:lang w:val="en-US"/>
        </w:rPr>
        <w:lastRenderedPageBreak/>
        <w:t>Modified</w:t>
      </w:r>
      <w:r w:rsidR="00E06FCA" w:rsidRPr="00DF0D90">
        <w:rPr>
          <w:b/>
          <w:bCs/>
          <w:color w:val="333333"/>
          <w:spacing w:val="-2"/>
          <w:shd w:val="clear" w:color="auto" w:fill="FFFFFF"/>
        </w:rPr>
        <w:t xml:space="preserve"> </w:t>
      </w:r>
      <w:r w:rsidRPr="00DF0D90">
        <w:rPr>
          <w:b/>
          <w:bCs/>
          <w:color w:val="333333"/>
          <w:spacing w:val="-2"/>
          <w:shd w:val="clear" w:color="auto" w:fill="FFFFFF"/>
          <w:lang w:val="en-US"/>
        </w:rPr>
        <w:t>Response</w:t>
      </w:r>
      <w:r w:rsidR="00E06FCA" w:rsidRPr="00DF0D90">
        <w:rPr>
          <w:b/>
          <w:bCs/>
          <w:color w:val="333333"/>
          <w:spacing w:val="-2"/>
          <w:shd w:val="clear" w:color="auto" w:fill="FFFFFF"/>
        </w:rPr>
        <w:t xml:space="preserve"> </w:t>
      </w:r>
      <w:r w:rsidRPr="00DF0D90">
        <w:rPr>
          <w:b/>
          <w:bCs/>
          <w:color w:val="333333"/>
          <w:spacing w:val="-2"/>
          <w:shd w:val="clear" w:color="auto" w:fill="FFFFFF"/>
          <w:lang w:val="en-US"/>
        </w:rPr>
        <w:t>Evaluation</w:t>
      </w:r>
      <w:r w:rsidR="00E06FCA" w:rsidRPr="00DF0D90">
        <w:rPr>
          <w:b/>
          <w:bCs/>
          <w:color w:val="333333"/>
          <w:spacing w:val="-2"/>
          <w:shd w:val="clear" w:color="auto" w:fill="FFFFFF"/>
        </w:rPr>
        <w:t xml:space="preserve"> </w:t>
      </w:r>
      <w:r w:rsidRPr="00DF0D90">
        <w:rPr>
          <w:b/>
          <w:bCs/>
          <w:color w:val="333333"/>
          <w:spacing w:val="-2"/>
          <w:shd w:val="clear" w:color="auto" w:fill="FFFFFF"/>
          <w:lang w:val="en-US"/>
        </w:rPr>
        <w:t>Criteria</w:t>
      </w:r>
      <w:r w:rsidR="0017591B" w:rsidRPr="00DF0D90">
        <w:rPr>
          <w:b/>
          <w:bCs/>
          <w:color w:val="333333"/>
          <w:spacing w:val="-2"/>
          <w:shd w:val="clear" w:color="auto" w:fill="FFFFFF"/>
        </w:rPr>
        <w:t xml:space="preserve"> </w:t>
      </w:r>
      <w:r w:rsidRPr="00DF0D90">
        <w:rPr>
          <w:b/>
          <w:bCs/>
          <w:color w:val="333333"/>
          <w:spacing w:val="-2"/>
          <w:shd w:val="clear" w:color="auto" w:fill="FFFFFF"/>
          <w:lang w:val="en-US"/>
        </w:rPr>
        <w:t>in</w:t>
      </w:r>
      <w:r w:rsidR="00E06FCA" w:rsidRPr="00DF0D90">
        <w:rPr>
          <w:b/>
          <w:bCs/>
          <w:color w:val="333333"/>
          <w:spacing w:val="-2"/>
          <w:shd w:val="clear" w:color="auto" w:fill="FFFFFF"/>
        </w:rPr>
        <w:t xml:space="preserve"> </w:t>
      </w:r>
      <w:r w:rsidRPr="00DF0D90">
        <w:rPr>
          <w:b/>
          <w:bCs/>
          <w:color w:val="333333"/>
          <w:spacing w:val="-2"/>
          <w:shd w:val="clear" w:color="auto" w:fill="FFFFFF"/>
          <w:lang w:val="en-US"/>
        </w:rPr>
        <w:t>Solid</w:t>
      </w:r>
      <w:r w:rsidR="00E06FCA" w:rsidRPr="00DF0D90">
        <w:rPr>
          <w:b/>
          <w:bCs/>
          <w:color w:val="333333"/>
          <w:spacing w:val="-2"/>
          <w:shd w:val="clear" w:color="auto" w:fill="FFFFFF"/>
        </w:rPr>
        <w:t xml:space="preserve"> </w:t>
      </w:r>
      <w:r w:rsidRPr="00DF0D90">
        <w:rPr>
          <w:b/>
          <w:bCs/>
          <w:color w:val="333333"/>
          <w:spacing w:val="-2"/>
          <w:shd w:val="clear" w:color="auto" w:fill="FFFFFF"/>
          <w:lang w:val="en-US"/>
        </w:rPr>
        <w:t>Tumors</w:t>
      </w:r>
      <w:r w:rsidRPr="00DF0D90">
        <w:rPr>
          <w:color w:val="333333"/>
          <w:spacing w:val="-2"/>
          <w:shd w:val="clear" w:color="auto" w:fill="FFFFFF"/>
        </w:rPr>
        <w:t xml:space="preserve"> – набор стандартизирован</w:t>
      </w:r>
      <w:r w:rsidRPr="00DF0D90">
        <w:rPr>
          <w:color w:val="333333"/>
          <w:spacing w:val="-2"/>
          <w:shd w:val="clear" w:color="auto" w:fill="FFFFFF"/>
        </w:rPr>
        <w:softHyphen/>
        <w:t>ных критериев, используемых для оценки изменения размеров опухоли в ответ на про</w:t>
      </w:r>
      <w:r w:rsidRPr="00DF0D90">
        <w:rPr>
          <w:color w:val="333333"/>
          <w:spacing w:val="-2"/>
          <w:shd w:val="clear" w:color="auto" w:fill="FFFFFF"/>
        </w:rPr>
        <w:softHyphen/>
        <w:t xml:space="preserve">водимую терапию методом измерения </w:t>
      </w:r>
      <w:proofErr w:type="spellStart"/>
      <w:r w:rsidRPr="00DF0D90">
        <w:rPr>
          <w:color w:val="333333"/>
          <w:spacing w:val="-2"/>
          <w:shd w:val="clear" w:color="auto" w:fill="FFFFFF"/>
        </w:rPr>
        <w:t>васкуляризованного</w:t>
      </w:r>
      <w:proofErr w:type="spellEnd"/>
      <w:r w:rsidRPr="00DF0D90">
        <w:rPr>
          <w:color w:val="333333"/>
          <w:spacing w:val="-2"/>
          <w:shd w:val="clear" w:color="auto" w:fill="FFFFFF"/>
        </w:rPr>
        <w:t xml:space="preserve"> компонента опухолевого узла.</w:t>
      </w:r>
    </w:p>
    <w:p w14:paraId="535398F8" w14:textId="77777777" w:rsidR="00630BAC" w:rsidRPr="00DF0D90" w:rsidRDefault="00630BAC" w:rsidP="006D217F">
      <w:pPr>
        <w:suppressAutoHyphens/>
        <w:spacing w:after="120" w:line="360" w:lineRule="auto"/>
        <w:ind w:firstLine="567"/>
        <w:jc w:val="both"/>
      </w:pPr>
      <w:r w:rsidRPr="00DF0D90">
        <w:rPr>
          <w:b/>
          <w:bCs/>
          <w:shd w:val="clear" w:color="auto" w:fill="FFFFFF"/>
        </w:rPr>
        <w:t>Предреабилитация (</w:t>
      </w:r>
      <w:proofErr w:type="spellStart"/>
      <w:r w:rsidRPr="00DF0D90">
        <w:rPr>
          <w:b/>
          <w:bCs/>
          <w:shd w:val="clear" w:color="auto" w:fill="FFFFFF"/>
        </w:rPr>
        <w:t>prehabilitation</w:t>
      </w:r>
      <w:proofErr w:type="spellEnd"/>
      <w:r w:rsidRPr="00DF0D90">
        <w:rPr>
          <w:b/>
          <w:bCs/>
          <w:shd w:val="clear" w:color="auto" w:fill="FFFFFF"/>
        </w:rPr>
        <w:t>)</w:t>
      </w:r>
      <w:r w:rsidRPr="00DF0D90">
        <w:t xml:space="preserve"> – реабилитация с момента постановки диагноза до начала лечения (хирургического лечения/химиотерапии/лучевой терапии).</w:t>
      </w:r>
    </w:p>
    <w:p w14:paraId="49203D95" w14:textId="77777777" w:rsidR="00630BAC" w:rsidRPr="00DF0D90" w:rsidRDefault="00630BAC" w:rsidP="006D217F">
      <w:pPr>
        <w:suppressAutoHyphens/>
        <w:spacing w:after="120" w:line="360" w:lineRule="auto"/>
        <w:ind w:firstLine="567"/>
        <w:jc w:val="both"/>
      </w:pPr>
      <w:r w:rsidRPr="00DF0D90">
        <w:rPr>
          <w:b/>
          <w:bCs/>
        </w:rPr>
        <w:t>Первый этап реабилитации</w:t>
      </w:r>
      <w:r w:rsidRPr="00DF0D90">
        <w:t xml:space="preserve"> – реабилитация в период специализированного лечения основного заболевания (включая хирургическое лечение/химиотерапию/лучевую терапию) в отделениях медицинских организаций по профилю основного заболевания.</w:t>
      </w:r>
    </w:p>
    <w:p w14:paraId="74E74EA6" w14:textId="77777777" w:rsidR="00630BAC" w:rsidRPr="00DF0D90" w:rsidRDefault="00630BAC" w:rsidP="006D217F">
      <w:pPr>
        <w:suppressAutoHyphens/>
        <w:spacing w:after="120" w:line="360" w:lineRule="auto"/>
        <w:ind w:firstLine="567"/>
        <w:jc w:val="both"/>
        <w:rPr>
          <w:shd w:val="clear" w:color="auto" w:fill="FFFFFF"/>
        </w:rPr>
      </w:pPr>
      <w:r w:rsidRPr="00DF0D90">
        <w:rPr>
          <w:b/>
          <w:bCs/>
        </w:rPr>
        <w:t>Второй этап реабилитации</w:t>
      </w:r>
      <w:r w:rsidRPr="00DF0D90">
        <w:t xml:space="preserve"> – реабилитация в стационарных условиях медицинских организаций (реабилитационных центров, отделений реабилитации), в ранний восстановительный период, поздний реабилитационный период, период остаточных явлений заболевания.</w:t>
      </w:r>
    </w:p>
    <w:p w14:paraId="68C1281E" w14:textId="77777777" w:rsidR="00630BAC" w:rsidRPr="00DF0D90" w:rsidRDefault="00630BAC" w:rsidP="006D217F">
      <w:pPr>
        <w:suppressAutoHyphens/>
        <w:spacing w:after="120" w:line="360" w:lineRule="auto"/>
        <w:ind w:firstLine="567"/>
        <w:jc w:val="both"/>
      </w:pPr>
      <w:r w:rsidRPr="00DF0D90">
        <w:rPr>
          <w:b/>
          <w:bCs/>
        </w:rPr>
        <w:t>Третий этап реабилитации</w:t>
      </w:r>
      <w:r w:rsidRPr="00DF0D90">
        <w:t xml:space="preserve"> – реабилитация в ранний и поздний реабилитационные периоды, период остаточных явлений заболевания в отделениях (кабинетах) реабилитации, физиотерапии, лечебной физкультуры, рефлексотерапии, мануальной терапии, психотерапии, медицинской психологии, оказывающих медицинскую помощь в амбулаторных условиях, дневных стационарах, а также выездными бригадами на дому (в том числе</w:t>
      </w:r>
      <w:r w:rsidR="007F4DC4" w:rsidRPr="00DF0D90">
        <w:t>,</w:t>
      </w:r>
      <w:r w:rsidRPr="00DF0D90">
        <w:t xml:space="preserve"> в условиях санаторно-курортных организаций)</w:t>
      </w:r>
      <w:r w:rsidR="009C7804" w:rsidRPr="00DF0D90">
        <w:t>,</w:t>
      </w:r>
      <w:r w:rsidR="00E06FCA" w:rsidRPr="00DF0D90">
        <w:t xml:space="preserve"> </w:t>
      </w:r>
      <w:r w:rsidR="009C7804" w:rsidRPr="00DF0D90">
        <w:t>кабинетах логопеда (учителя-дефектолога)</w:t>
      </w:r>
      <w:r w:rsidRPr="00DF0D90">
        <w:t>.</w:t>
      </w:r>
    </w:p>
    <w:p w14:paraId="552D03CE" w14:textId="77777777" w:rsidR="00630BAC" w:rsidRPr="00DF0D90" w:rsidRDefault="00630BAC" w:rsidP="00801019">
      <w:pPr>
        <w:pStyle w:val="42"/>
      </w:pPr>
      <w:r w:rsidRPr="00DF0D90">
        <w:br w:type="page"/>
      </w:r>
      <w:bookmarkStart w:id="9" w:name="_Toc470722673"/>
      <w:bookmarkStart w:id="10" w:name="_Toc470722782"/>
      <w:bookmarkStart w:id="11" w:name="_Toc98349265"/>
      <w:bookmarkStart w:id="12" w:name="_Toc83293963"/>
      <w:r w:rsidRPr="00DF0D90">
        <w:lastRenderedPageBreak/>
        <w:t xml:space="preserve">1. </w:t>
      </w:r>
      <w:bookmarkEnd w:id="0"/>
      <w:bookmarkEnd w:id="1"/>
      <w:bookmarkEnd w:id="9"/>
      <w:bookmarkEnd w:id="10"/>
      <w:r w:rsidRPr="00DF0D90">
        <w:t xml:space="preserve">Краткая информация по заболеванию или состоянию </w:t>
      </w:r>
      <w:r w:rsidRPr="00DF0D90">
        <w:br/>
        <w:t>(группе заболеваний или состояний)</w:t>
      </w:r>
      <w:bookmarkEnd w:id="11"/>
      <w:bookmarkEnd w:id="12"/>
    </w:p>
    <w:p w14:paraId="3AF7C7CF" w14:textId="77777777" w:rsidR="00630BAC" w:rsidRPr="00DF0D90" w:rsidRDefault="00630BAC" w:rsidP="00D30C2B">
      <w:pPr>
        <w:pStyle w:val="2"/>
        <w:spacing w:before="0" w:after="120" w:line="360" w:lineRule="auto"/>
        <w:jc w:val="both"/>
      </w:pPr>
      <w:bookmarkStart w:id="13" w:name="_Toc467601691"/>
      <w:bookmarkStart w:id="14" w:name="_Toc470722674"/>
      <w:bookmarkStart w:id="15" w:name="_Toc470722783"/>
      <w:bookmarkStart w:id="16" w:name="_Toc98349266"/>
      <w:bookmarkStart w:id="17" w:name="_Toc83293964"/>
      <w:r w:rsidRPr="00DF0D90">
        <w:t>1.1 О</w:t>
      </w:r>
      <w:r w:rsidRPr="00DF0D90">
        <w:rPr>
          <w:rStyle w:val="30"/>
          <w:b/>
        </w:rPr>
        <w:t>п</w:t>
      </w:r>
      <w:r w:rsidRPr="00DF0D90">
        <w:t>ределение</w:t>
      </w:r>
      <w:bookmarkEnd w:id="13"/>
      <w:bookmarkEnd w:id="14"/>
      <w:bookmarkEnd w:id="15"/>
      <w:r w:rsidR="00E06FCA" w:rsidRPr="00DF0D90">
        <w:rPr>
          <w:lang w:val="ru-RU"/>
        </w:rPr>
        <w:t xml:space="preserve"> </w:t>
      </w:r>
      <w:r w:rsidR="00180B8B" w:rsidRPr="00DF0D90">
        <w:t>заболевания или состояния (группы заболеваний или состояний)</w:t>
      </w:r>
      <w:bookmarkEnd w:id="16"/>
      <w:bookmarkEnd w:id="17"/>
    </w:p>
    <w:p w14:paraId="4EB91F19" w14:textId="77777777" w:rsidR="00630BAC" w:rsidRPr="00DF0D90" w:rsidRDefault="00630BAC" w:rsidP="006D217F">
      <w:pPr>
        <w:spacing w:after="120" w:line="360" w:lineRule="auto"/>
        <w:ind w:firstLine="567"/>
        <w:jc w:val="both"/>
        <w:rPr>
          <w:spacing w:val="-2"/>
        </w:rPr>
      </w:pPr>
      <w:r w:rsidRPr="00DF0D90">
        <w:rPr>
          <w:spacing w:val="-2"/>
        </w:rPr>
        <w:t xml:space="preserve">Гепатоцеллюлярный рак (ГЦР) (гепатоцеллюлярная карцинома, печеночно-клеточный рак) – наиболее частая (около 85 % случаев) злокачественная опухоль печени, исходящая из гепатоцитов. Реже встречается </w:t>
      </w:r>
      <w:proofErr w:type="spellStart"/>
      <w:r w:rsidRPr="00DF0D90">
        <w:rPr>
          <w:spacing w:val="-2"/>
        </w:rPr>
        <w:t>холангиоцеллюлярный</w:t>
      </w:r>
      <w:proofErr w:type="spellEnd"/>
      <w:r w:rsidRPr="00DF0D90">
        <w:rPr>
          <w:spacing w:val="-2"/>
        </w:rPr>
        <w:t xml:space="preserve"> рак (холангио</w:t>
      </w:r>
      <w:r w:rsidRPr="00DF0D90">
        <w:rPr>
          <w:spacing w:val="-2"/>
        </w:rPr>
        <w:softHyphen/>
        <w:t xml:space="preserve">карцинома) – злокачественная опухоль, исходящая из эпителия внутрипеченочных желчных протоков, а также смешанные </w:t>
      </w:r>
      <w:proofErr w:type="spellStart"/>
      <w:r w:rsidRPr="00DF0D90">
        <w:rPr>
          <w:spacing w:val="-2"/>
        </w:rPr>
        <w:t>гепатохолангиокарциномы</w:t>
      </w:r>
      <w:proofErr w:type="spellEnd"/>
      <w:r w:rsidRPr="00DF0D90">
        <w:rPr>
          <w:spacing w:val="-2"/>
        </w:rPr>
        <w:t xml:space="preserve">, </w:t>
      </w:r>
      <w:proofErr w:type="spellStart"/>
      <w:r w:rsidRPr="00DF0D90">
        <w:rPr>
          <w:spacing w:val="-2"/>
        </w:rPr>
        <w:t>фиброламеллярная</w:t>
      </w:r>
      <w:proofErr w:type="spellEnd"/>
      <w:r w:rsidRPr="00DF0D90">
        <w:rPr>
          <w:spacing w:val="-2"/>
        </w:rPr>
        <w:t xml:space="preserve"> карцинома, которая формально классифицируется как вариант печеночно-клеточного рака.</w:t>
      </w:r>
    </w:p>
    <w:p w14:paraId="2EEAE630" w14:textId="77777777" w:rsidR="00630BAC" w:rsidRPr="00DF0D90" w:rsidRDefault="00630BAC" w:rsidP="006D217F">
      <w:pPr>
        <w:pStyle w:val="2"/>
        <w:spacing w:before="0" w:after="120" w:line="360" w:lineRule="auto"/>
        <w:ind w:firstLine="567"/>
        <w:jc w:val="both"/>
      </w:pPr>
      <w:bookmarkStart w:id="18" w:name="_Toc467601692"/>
      <w:bookmarkStart w:id="19" w:name="_Toc470722675"/>
      <w:bookmarkStart w:id="20" w:name="_Toc470722784"/>
      <w:bookmarkStart w:id="21" w:name="_Toc98349267"/>
      <w:bookmarkStart w:id="22" w:name="_Toc83293965"/>
      <w:r w:rsidRPr="00DF0D90">
        <w:t>1.2 Этиология</w:t>
      </w:r>
      <w:bookmarkEnd w:id="18"/>
      <w:bookmarkEnd w:id="19"/>
      <w:bookmarkEnd w:id="20"/>
      <w:r w:rsidR="00ED3BC3" w:rsidRPr="00DF0D90">
        <w:rPr>
          <w:lang w:val="ru-RU"/>
        </w:rPr>
        <w:t xml:space="preserve"> </w:t>
      </w:r>
      <w:r w:rsidR="00180B8B" w:rsidRPr="00DF0D90">
        <w:t>и патогенез</w:t>
      </w:r>
      <w:r w:rsidR="00E06FCA" w:rsidRPr="00DF0D90">
        <w:rPr>
          <w:lang w:val="ru-RU"/>
        </w:rPr>
        <w:t xml:space="preserve"> </w:t>
      </w:r>
      <w:r w:rsidR="00180B8B" w:rsidRPr="00DF0D90">
        <w:t>заболевания или состояния (группы заболеваний или состояний)</w:t>
      </w:r>
      <w:bookmarkEnd w:id="21"/>
      <w:bookmarkEnd w:id="22"/>
    </w:p>
    <w:p w14:paraId="048D8CB1" w14:textId="412A0434" w:rsidR="00630BAC" w:rsidRPr="00DF0D90" w:rsidRDefault="00630BAC" w:rsidP="006D217F">
      <w:pPr>
        <w:autoSpaceDE w:val="0"/>
        <w:autoSpaceDN w:val="0"/>
        <w:adjustRightInd w:val="0"/>
        <w:spacing w:after="120" w:line="360" w:lineRule="auto"/>
        <w:ind w:firstLine="567"/>
        <w:jc w:val="both"/>
      </w:pPr>
      <w:r w:rsidRPr="00DF0D90">
        <w:t>Гепатоцеллюлярный рак развивается</w:t>
      </w:r>
      <w:r w:rsidR="00E06FCA" w:rsidRPr="00DF0D90">
        <w:t xml:space="preserve"> </w:t>
      </w:r>
      <w:r w:rsidRPr="00DF0D90">
        <w:t>чаще всего на фоне цирроза печени (около 80 % случаев) или</w:t>
      </w:r>
      <w:r w:rsidR="00E06FCA" w:rsidRPr="00DF0D90">
        <w:t xml:space="preserve"> </w:t>
      </w:r>
      <w:r w:rsidRPr="00DF0D90">
        <w:t>хронического</w:t>
      </w:r>
      <w:r w:rsidR="00E06FCA" w:rsidRPr="00DF0D90">
        <w:t xml:space="preserve"> </w:t>
      </w:r>
      <w:r w:rsidRPr="00DF0D90">
        <w:t>воспаления</w:t>
      </w:r>
      <w:r w:rsidR="00E06FCA" w:rsidRPr="00DF0D90">
        <w:t xml:space="preserve"> </w:t>
      </w:r>
      <w:r w:rsidRPr="00DF0D90">
        <w:t xml:space="preserve">любой этиологии: вирусных гепатитов В и С, алкогольного и неалкогольного </w:t>
      </w:r>
      <w:proofErr w:type="spellStart"/>
      <w:r w:rsidRPr="00DF0D90">
        <w:t>стеатогепатита</w:t>
      </w:r>
      <w:proofErr w:type="spellEnd"/>
      <w:r w:rsidRPr="00DF0D90">
        <w:t>, первичного склерозирующего</w:t>
      </w:r>
      <w:r w:rsidR="00E06FCA" w:rsidRPr="00DF0D90">
        <w:t xml:space="preserve"> </w:t>
      </w:r>
      <w:r w:rsidRPr="00DF0D90">
        <w:t xml:space="preserve">и аутоиммунного гепатита, вследствие экзогенных токсических повреждений печени (под действием </w:t>
      </w:r>
      <w:proofErr w:type="spellStart"/>
      <w:r w:rsidRPr="00DF0D90">
        <w:t>афлотоксинов</w:t>
      </w:r>
      <w:proofErr w:type="spellEnd"/>
      <w:r w:rsidRPr="00DF0D90">
        <w:t xml:space="preserve">, винилхлорида, на фоне применения стероидных гормонов), а также при наследственных заболеваниях (дефиците альфа-1-антитрипсина, </w:t>
      </w:r>
      <w:proofErr w:type="spellStart"/>
      <w:r w:rsidRPr="00DF0D90">
        <w:t>тирозинемии</w:t>
      </w:r>
      <w:proofErr w:type="spellEnd"/>
      <w:r w:rsidRPr="00DF0D90">
        <w:t xml:space="preserve"> и гемохроматозе)</w:t>
      </w:r>
      <w:r w:rsidR="008462BF" w:rsidRPr="00DF0D90">
        <w:t xml:space="preserve"> </w:t>
      </w:r>
      <w:r w:rsidRPr="00DF0D90">
        <w:t xml:space="preserve">и нарушениях состояния иммунной системы, при которых происходит повреждение печени с исходом в хронический гепатит и цирроз. </w:t>
      </w:r>
      <w:r w:rsidR="00840561" w:rsidRPr="00DF0D90">
        <w:t>Вирусны</w:t>
      </w:r>
      <w:r w:rsidR="00B33106" w:rsidRPr="00DF0D90">
        <w:t>е</w:t>
      </w:r>
      <w:r w:rsidR="00840561" w:rsidRPr="00DF0D90">
        <w:t xml:space="preserve"> гепатит</w:t>
      </w:r>
      <w:r w:rsidR="00B33106" w:rsidRPr="00DF0D90">
        <w:t>ы</w:t>
      </w:r>
      <w:r w:rsidR="00E06FCA" w:rsidRPr="00DF0D90">
        <w:t xml:space="preserve"> </w:t>
      </w:r>
      <w:r w:rsidR="002715C3" w:rsidRPr="00DF0D90">
        <w:t xml:space="preserve">В и С </w:t>
      </w:r>
      <w:r w:rsidR="00840561" w:rsidRPr="00DF0D90">
        <w:t>– самый частый фактор риска, являющийся причиной ГЦР в 50%</w:t>
      </w:r>
      <w:r w:rsidR="002715C3" w:rsidRPr="00DF0D90">
        <w:t xml:space="preserve"> и 15%</w:t>
      </w:r>
      <w:r w:rsidR="00840561" w:rsidRPr="00DF0D90">
        <w:t xml:space="preserve"> случаев</w:t>
      </w:r>
      <w:r w:rsidR="002715C3" w:rsidRPr="00DF0D90">
        <w:t xml:space="preserve"> соответственно</w:t>
      </w:r>
      <w:r w:rsidR="00840561" w:rsidRPr="00DF0D90">
        <w:t xml:space="preserve">. </w:t>
      </w:r>
      <w:r w:rsidR="00B33106" w:rsidRPr="00DF0D90">
        <w:t xml:space="preserve">С </w:t>
      </w:r>
      <w:r w:rsidR="002715C3" w:rsidRPr="00DF0D90">
        <w:t>внедрением</w:t>
      </w:r>
      <w:r w:rsidR="008462BF" w:rsidRPr="00DF0D90">
        <w:t xml:space="preserve"> </w:t>
      </w:r>
      <w:r w:rsidR="002715C3" w:rsidRPr="00DF0D90">
        <w:t xml:space="preserve">вакцинации против гепатита В и эффективной </w:t>
      </w:r>
      <w:r w:rsidR="00B33106" w:rsidRPr="00DF0D90">
        <w:t xml:space="preserve">противовирусной терапии </w:t>
      </w:r>
      <w:r w:rsidR="002715C3" w:rsidRPr="00DF0D90">
        <w:t xml:space="preserve">гепатита С </w:t>
      </w:r>
      <w:r w:rsidR="00B33106" w:rsidRPr="00DF0D90">
        <w:t xml:space="preserve">роль </w:t>
      </w:r>
      <w:r w:rsidR="002715C3" w:rsidRPr="00DF0D90">
        <w:t xml:space="preserve">вирусных </w:t>
      </w:r>
      <w:r w:rsidR="00B33106" w:rsidRPr="00DF0D90">
        <w:t>гепатит</w:t>
      </w:r>
      <w:r w:rsidR="002715C3" w:rsidRPr="00DF0D90">
        <w:t>ов</w:t>
      </w:r>
      <w:r w:rsidR="00B33106" w:rsidRPr="00DF0D90">
        <w:t xml:space="preserve"> постепенно снижается. В развитых странах повышается роль неалкогольной жировой болезни печени</w:t>
      </w:r>
      <w:r w:rsidR="000C56A6" w:rsidRPr="00DF0D90">
        <w:t xml:space="preserve"> </w:t>
      </w:r>
      <w:r w:rsidR="000C56A6" w:rsidRPr="00DF0D90">
        <w:fldChar w:fldCharType="begin" w:fldLock="1"/>
      </w:r>
      <w:r w:rsidR="000C56A6" w:rsidRPr="00DF0D90">
        <w:instrText>ADDIN CSL_CITATION {"citationItems":[{"id":"ITEM-1","itemData":{"DOI":"10.1001/jamaoncol.2017.3055","ISSN":"2374-2437","author":[{"dropping-particle":"","family":"Akinyemiju","given":"Tomi","non-dropping-particle":"","parse-names":false,"suffix":""},{"dropping-particle":"","family":"Abera","given":"Semaw","non-dropping-particle":"","parse-names":false,"suffix":""},{"dropping-particle":"","family":"Ahmed","given":"Muktar","non-dropping-particle":"","parse-names":false,"suffix":""},{"dropping-particle":"","family":"Alam","given":"Noore","non-dropping-particle":"","parse-names":false,"suffix":""},{"dropping-particle":"","family":"Alemayohu","given":"Mulubirhan Assefa","non-dropping-particle":"","parse-names":false,"suffix":""},{"dropping-particle":"","family":"Allen","given":"Christine","non-dropping-particle":"","parse-names":false,"suffix":""},{"dropping-particle":"","family":"Al-Raddadi","given":"Rajaa","non-dropping-particle":"","parse-names":false,"suffix":""},{"dropping-particle":"","family":"Alvis-Guzman","given":"Nelson","non-dropping-particle":"","parse-names":false,"suffix":""},{"dropping-particle":"","family":"Amoako","given":"Yaw","non-dropping-particle":"","parse-names":false,"suffix":""},{"dropping-particle":"","family":"Artaman","given":"Al","non-dropping-particle":"","parse-names":false,"suffix":""},{"dropping-particle":"","family":"Ayele","given":"Tadesse Awoke","non-dropping-particle":"","parse-names":false,"suffix":""},{"dropping-particle":"","family":"Barac","given":"Aleksandra","non-dropping-particle":"","parse-names":false,"suffix":""},{"dropping-particle":"","family":"Bensenor","given":"Isabela","non-dropping-particle":"","parse-names":false,"suffix":""},{"dropping-particle":"","family":"Berhane","given":"Adugnaw","non-dropping-particle":"","parse-names":false,"suffix":""},{"dropping-particle":"","family":"Bhutta","given":"Zulfiqar","non-dropping-particle":"","parse-names":false,"suffix":""},{"dropping-particle":"","family":"Castillo-Rivas","given":"Jacqueline","non-dropping-particle":"","parse-names":false,"suffix":""},{"dropping-particle":"","family":"Chitheer","given":"Abdulaal","non-dropping-particle":"","parse-names":false,"suffix":""},{"dropping-particle":"","family":"Choi","given":"Jee-Young","non-dropping-particle":"","parse-names":false,"suffix":""},{"dropping-particle":"","family":"Cowie","given":"Benjamin","non-dropping-particle":"","parse-names":false,"suffix":""},{"dropping-particle":"","family":"Dandona","given":"Lalit","non-dropping-particle":"","parse-names":false,"suffix":""},{"dropping-particle":"","family":"Dandona","given":"Rakhi","non-dropping-particle":"","parse-names":false,"suffix":""},{"dropping-particle":"","family":"Dey","given":"Subhojit","non-dropping-particle":"","parse-names":false,"suffix":""},{"dropping-particle":"","family":"Dicker","given":"Daniel","non-dropping-particle":"","parse-names":false,"suffix":""},{"dropping-particle":"","family":"Phuc","given":"Huyen","non-dropping-particle":"","parse-names":false,"suffix":""},{"dropping-particle":"","family":"Ekwueme","given":"Donatus U.","non-dropping-particle":"","parse-names":false,"suffix":""},{"dropping-particle":"","family":"Zaki","given":"Maysaa El Sayed","non-dropping-particle":"","parse-names":false,"suffix":""},{"dropping-particle":"","family":"Fischer","given":"Florian","non-dropping-particle":"","parse-names":false,"suffix":""},{"dropping-particle":"","family":"Fürst","given":"Thomas","non-dropping-particle":"","parse-names":false,"suffix":""},{"dropping-particle":"","family":"Hancock","given":"Jamie","non-dropping-particle":"","parse-names":false,"suffix":""},{"dropping-particle":"","family":"Hay","given":"Simon I.","non-dropping-particle":"","parse-names":false,"suffix":""},{"dropping-particle":"","family":"Hotez","given":"Peter","non-dropping-particle":"","parse-names":false,"suffix":""},{"dropping-particle":"","family":"Jee","given":"Sun Ha","non-dropping-particle":"","parse-names":false,"suffix":""},{"dropping-particle":"","family":"Kasaeian","given":"Amir","non-dropping-particle":"","parse-names":false,"suffix":""},{"dropping-particle":"","family":"Khader","given":"Yousef","non-dropping-particle":"","parse-names":false,"suffix":""},{"dropping-particle":"","family":"Khang","given":"Young-Ho","non-dropping-particle":"","parse-names":false,"suffix":""},{"dropping-particle":"","family":"Kumar","given":"G Anil","non-dropping-particle":"","parse-names":false,"suffix":""},{"dropping-particle":"","family":"Kutz","given":"Michael","non-dropping-particle":"","parse-names":false,"suffix":""},{"dropping-particle":"","family":"Larson","given":"Heidi","non-dropping-particle":"","parse-names":false,"suffix":""},{"dropping-particle":"","family":"Lopez","given":"Alan","non-dropping-particle":"","parse-names":false,"suffix":""},{"dropping-particle":"","family":"Lunevicius","given":"Raimundas","non-dropping-particle":"","parse-names":false,"suffix":""},{"dropping-particle":"","family":"Malekzadeh","given":"Reza","non-dropping-particle":"","parse-names":false,"suffix":""},{"dropping-particle":"","family":"McAlinden","given":"Colm","non-dropping-particle":"","parse-names":false,"suffix":""},{"dropping-particle":"","family":"Meier","given":"Toni","non-dropping-particle":"","parse-names":false,"suffix":""},{"dropping-particle":"","family":"Mendoza","given":"Walter","non-dropping-particle":"","parse-names":false,"suffix":""},{"dropping-particle":"","family":"Mokdad","given":"Ali","non-dropping-particle":"","parse-names":false,"suffix":""},{"dropping-particle":"","family":"Moradi-Lakeh","given":"Maziar","non-dropping-particle":"","parse-names":false,"suffix":""},{"dropping-particle":"","family":"Nagel","given":"Gabriele","non-dropping-particle":"","parse-names":false,"suffix":""},{"dropping-particle":"","family":"Nguyen","given":"Quyen","non-dropping-particle":"","parse-names":false,"suffix":""},{"dropping-particle":"","family":"Nguyen","given":"Grant","non-dropping-particle":"","parse-names":false,"suffix":""},{"dropping-particle":"","family":"Ogbo","given":"Felix","non-dropping-particle":"","parse-names":false,"suffix":""},{"dropping-particle":"","family":"Patton","given":"George","non-dropping-particle":"","parse-names":false,"suffix":""},{"dropping-particle":"","family":"Pereira","given":"David M.","non-dropping-particle":"","parse-names":false,"suffix":""},{"dropping-particle":"","family":"Pourmalek","given":"Farshad","non-dropping-particle":"","parse-names":false,"suffix":""},{"dropping-particle":"","family":"Qorbani","given":"Mostafa","non-dropping-particle":"","parse-names":false,"suffix":""},{"dropping-particle":"","family":"Radfar","given":"Amir","non-dropping-particle":"","parse-names":false,"suffix":""},{"dropping-particle":"","family":"Roshandel","given":"Gholamreza","non-dropping-particle":"","parse-names":false,"suffix":""},{"dropping-particle":"","family":"Salomon","given":"Joshua A","non-dropping-particle":"","parse-names":false,"suffix":""},{"dropping-particle":"","family":"Sanabria","given":"Juan","non-dropping-particle":"","parse-names":false,"suffix":""},{"dropping-particle":"","family":"Sartorius","given":"Benn","non-dropping-particle":"","parse-names":false,"suffix":""},{"dropping-particle":"","family":"Satpathy","given":"Maheswar","non-dropping-particle":"","parse-names":false,"suffix":""},{"dropping-particle":"","family":"Sawhney","given":"Monika","non-dropping-particle":"","parse-names":false,"suffix":""},{"dropping-particle":"","family":"Sepanlou","given":"Sadaf","non-dropping-particle":"","parse-names":false,"suffix":""},{"dropping-particle":"","family":"Shackelford","given":"Katya","non-dropping-particle":"","parse-names":false,"suffix":""},{"dropping-particle":"","family":"Shore","given":"Hirbo","non-dropping-particle":"","parse-names":false,"suffix":""},{"dropping-particle":"","family":"Sun","given":"Jiandong","non-dropping-particle":"","parse-names":false,"suffix":""},{"dropping-particle":"","family":"Mengistu","given":"Desalegn Tadese","non-dropping-particle":"","parse-names":false,"suffix":""},{"dropping-particle":"","family":"Topór-Madry","given":"Roman","non-dropping-particle":"","parse-names":false,"suffix":""},{"dropping-particle":"","family":"Tran","given":"Bach","non-dropping-particle":"","parse-names":false,"suffix":""},{"dropping-particle":"","family":"Ukwaja","given":"Kingsley Nnanna","non-dropping-particle":"","parse-names":false,"suffix":""},{"dropping-particle":"","family":"Vlassov","given":"Vasiliy","non-dropping-particle":"","parse-names":false,"suffix":""},{"dropping-particle":"","family":"Vollset","given":"Stein Emil","non-dropping-particle":"","parse-names":false,"suffix":""},{"dropping-particle":"","family":"Vos","given":"Theo","non-dropping-particle":"","parse-names":false,"suffix":""},{"dropping-particle":"","family":"Wakayo","given":"Tolassa","non-dropping-particle":"","parse-names":false,"suffix":""},{"dropping-particle":"","family":"Weiderpass","given":"Elisabete","non-dropping-particle":"","parse-names":false,"suffix":""},{"dropping-particle":"","family":"Werdecker","given":"Andrea","non-dropping-particle":"","parse-names":false,"suffix":""},{"dropping-particle":"","family":"Yonemoto","given":"Naohiro","non-dropping-particle":"","parse-names":false,"suffix":""},{"dropping-particle":"","family":"Younis","given":"Mustafa","non-dropping-particle":"","parse-names":false,"suffix":""},{"dropping-particle":"","family":"Yu","given":"Chuanhua","non-dropping-particle":"","parse-names":false,"suffix":""},{"dropping-particle":"","family":"Zaidi","given":"Zoubida","non-dropping-particle":"","parse-names":false,"suffix":""},{"dropping-particle":"","family":"Zhu","given":"Liguo","non-dropping-particle":"","parse-names":false,"suffix":""},{"dropping-particle":"","family":"Murray","given":"Christopher J. L.","non-dropping-particle":"","parse-names":false,"suffix":""},{"dropping-particle":"","family":"Naghavi","given":"Mohsen","non-dropping-particle":"","parse-names":false,"suffix":""},{"dropping-particle":"","family":"Fitzmaurice","given":"Christina","non-dropping-particle":"","parse-names":false,"suffix":""}],"container-title":"JAMA Oncology","id":"ITEM-1","issue":"12","issued":{"date-parts":[["2017","12","1"]]},"page":"1683","title":"The Burden of Primary Liver Cancer and Underlying Etiologies From 1990 to 2015 at the Global, Regional, and National Level","type":"article-journal","volume":"3"},"uris":["http://www.mendeley.com/documents/?uuid=113fb983-3271-4839-bfff-7153badf6471"]},{"id":"ITEM-2","itemData":{"DOI":"10.1002/hep.29466","ISSN":"15273350","PMID":"28802062","abstract":"Nonalcoholic fatty liver disease (NAFLD) and resulting nonalcoholic steatohepatitis (NASH) are highly prevalent in the United States, where they are a growing cause of cirrhosis and hepatocellular carcinoma (HCC) and increasingly an indicator for liver transplantation. A Markov model was used to forecast NAFLD disease progression. Incidence of NAFLD was based on historical and projected changes in adult prevalence of obesity and type 2 diabetes mellitus (DM). Assumptions were derived from published literature where available and validated using national surveillance data for incidence of NAFLD-related HCC. Projected changes in NAFLD-related cirrhosis, advanced liver disease, and liver-related mortality were quantified through 2030. Prevalent NAFLD cases are forecasted to increase 21%, from 83.1 million (2015) to 100.9 million (2030), while prevalent NASH cases will increase 63% from 16.52 million to 27.00 million cases. Overall NAFLD prevalence among the adult population (aged ≥15 years) is projected at 33.5% in 2030, and the median age of the NAFLD population will increase from 50 to 55 years during 2015-2030. In 2015, approximately 20% of NAFLD cases were classified as NASH, increasing to 27% by 2030, a reflection of both disease progression and an aging population. Incidence of decompensated cirrhosis will increase 168% to 105,430 cases by 2030, while incidence of HCC will increase by 137% to 12,240 cases. Liver deaths will increase 178% to an estimated 78,300 deaths in 2030. During 2015-2030, there are projected to be nearly 800,000 excess liver deaths. Conclusion: With continued high rates of adult obesity and DM along with an aging population, NAFLD-related liver disease and mortality will increase in the United States. Strategies to slow the growth of NAFLD cases and therapeutic options are necessary to mitigate disease burden. (Hepatology 2018;67:123-133).","author":[{"dropping-particle":"","family":"Estes","given":"Chris","non-dropping-particle":"","parse-names":false,"suffix":""},{"dropping-particle":"","family":"Razavi","given":"Homie","non-dropping-particle":"","parse-names":false,"suffix":""},{"dropping-particle":"","family":"Loomba","given":"Rohit","non-dropping-particle":"","parse-names":false,"suffix":""},{"dropping-particle":"","family":"Younossi","given":"Zobair","non-dropping-particle":"","parse-names":false,"suffix":""},{"dropping-particle":"","family":"Sanyal","given":"Arun J.","non-dropping-particle":"","parse-names":false,"suffix":""}],"container-title":"Hepatology","id":"ITEM-2","issue":"1","issued":{"date-parts":[["2018","1"]]},"page":"123-133","title":"Modeling the epidemic of nonalcoholic fatty liver disease demonstrates an exponential increase in burden of disease","type":"article-journal","volume":"67"},"uris":["http://www.mendeley.com/documents/?uuid=97c8f224-e74d-3f0d-9a79-b8fbb4d0e35e"]},{"id":"ITEM-3","itemData":{"DOI":"10.1053/j.gastro.2004.09.014","ISSN":"00165085","PMID":"15508101","abstract":"Emerging data indicate that the mortality rate of hepatocellular carcinoma (HCC) associated with cirrhosis is rising in some developed countries, whereas mortality from non-HCC complications of cirrhosis is decreasing or is stable. Cohort studies indicate that HCC is currently the major cause of liver-related death in patients with compensated cirrhosis. Hepatitis C virus (HCV) infection is associated with the highest HCC incidence in persons with cirrhosis, occurring twice as commonly in Japan than in the West (5-year cumulative incidence, 30% and 17%, respectively), followed by hereditary hemochromatosis (5-year cumulative incidence, 21%). In hepatitis B virus (HBV)-related cirrhosis, the 5-year cumulative HCC risk is 15% in high endemic areas and 10% in the West. In the absence of HCV and HBV infection, the HCC incidence is lower in alcoholic cirrhotics (5-year cumulative risk, 8%) and subjects with advanced biliary cirrhosis (5-year cumulative risk, 4%). There are limited data on HCC risk in cirrhosis of other causes. Older age, male sex, severity of compensated cirrhosis at presentation, and sustained activity of liver disease are important predictors of HCC, independent of etiology of cirrhosis. In viral-related cirrhosis, HBV/HCV and HBV/HDV coinfections increase the HCC risk (2- to 6-fold relative to each infection alone) as does alcohol abuse (2- to 4-fold relative to alcohol abstinence). Sustained reduction of HBV replication lowers the risk of HCC in HBV-related cirrhosis. Further studies are needed to investigate other viral factors (eg, HBV genotype/mutant, occult HBV, HIV coinfection) and preventable or treatable comorbidities (eg, obesity, diabetes) in the HCC risk in cirrhosis.","author":[{"dropping-particle":"","family":"Fattovich","given":"Giovanna","non-dropping-particle":"","parse-names":false,"suffix":""},{"dropping-particle":"","family":"Stroffolini","given":"Tommaso","non-dropping-particle":"","parse-names":false,"suffix":""},{"dropping-particle":"","family":"Zagni","given":"Irene","non-dropping-particle":"","parse-names":false,"suffix":""},{"dropping-particle":"","family":"Donato","given":"Francesco","non-dropping-particle":"","parse-names":false,"suffix":""}],"container-title":"Gastroenterology","id":"ITEM-3","issue":"5 SUPPL.","issued":{"date-parts":[["2004"]]},"publisher":"W.B. Saunders","title":"Hepatocellular carcinoma in cirrhosis: Incidence and risk factors","type":"paper-conference","volume":"127"},"uris":["http://www.mendeley.com/documents/?uuid=c1598796-2bb1-364a-aa47-7c79558b7954"]}],"mendeley":{"formattedCitation":"[1–3]","plainTextFormattedCitation":"[1–3]","previouslyFormattedCitation":"[1–3]"},"properties":{"noteIndex":0},"schema":"https://github.com/citation-style-language/schema/raw/master/csl-citation.json"}</w:instrText>
      </w:r>
      <w:r w:rsidR="000C56A6" w:rsidRPr="00DF0D90">
        <w:fldChar w:fldCharType="separate"/>
      </w:r>
      <w:r w:rsidR="000C56A6" w:rsidRPr="00DF0D90">
        <w:rPr>
          <w:noProof/>
        </w:rPr>
        <w:t>[1–3]</w:t>
      </w:r>
      <w:r w:rsidR="000C56A6" w:rsidRPr="00DF0D90">
        <w:fldChar w:fldCharType="end"/>
      </w:r>
      <w:r w:rsidR="00B33106" w:rsidRPr="00DF0D90">
        <w:t xml:space="preserve">. </w:t>
      </w:r>
      <w:r w:rsidRPr="00DF0D90">
        <w:t>Менее 10%</w:t>
      </w:r>
      <w:r w:rsidR="003330DB" w:rsidRPr="00DF0D90">
        <w:t xml:space="preserve"> </w:t>
      </w:r>
      <w:r w:rsidRPr="00DF0D90">
        <w:t>случаев ГЦР развивается в здоровой ткани печени.</w:t>
      </w:r>
    </w:p>
    <w:p w14:paraId="455B2031" w14:textId="77777777" w:rsidR="00630BAC" w:rsidRPr="00DF0D90" w:rsidRDefault="00630BAC" w:rsidP="006D217F">
      <w:pPr>
        <w:pStyle w:val="2"/>
        <w:spacing w:before="0" w:after="120" w:line="360" w:lineRule="auto"/>
        <w:ind w:firstLine="567"/>
        <w:jc w:val="both"/>
      </w:pPr>
      <w:bookmarkStart w:id="23" w:name="_Toc467601693"/>
      <w:bookmarkStart w:id="24" w:name="_Toc470722676"/>
      <w:bookmarkStart w:id="25" w:name="_Toc470722785"/>
      <w:bookmarkStart w:id="26" w:name="_Toc98349268"/>
      <w:bookmarkStart w:id="27" w:name="_Toc83293966"/>
      <w:r w:rsidRPr="00DF0D90">
        <w:t>1.3 Эпидемиология</w:t>
      </w:r>
      <w:bookmarkEnd w:id="23"/>
      <w:bookmarkEnd w:id="24"/>
      <w:bookmarkEnd w:id="25"/>
      <w:r w:rsidR="00E06FCA" w:rsidRPr="00DF0D90">
        <w:rPr>
          <w:lang w:val="ru-RU"/>
        </w:rPr>
        <w:t xml:space="preserve"> </w:t>
      </w:r>
      <w:r w:rsidR="00180B8B" w:rsidRPr="00DF0D90">
        <w:t>заболевания или состояния (группы заболеваний или состояний)</w:t>
      </w:r>
      <w:bookmarkEnd w:id="26"/>
      <w:bookmarkEnd w:id="27"/>
    </w:p>
    <w:p w14:paraId="53EED2FD" w14:textId="03F011B1" w:rsidR="00630BAC" w:rsidRDefault="00630BAC" w:rsidP="006D217F">
      <w:pPr>
        <w:autoSpaceDE w:val="0"/>
        <w:autoSpaceDN w:val="0"/>
        <w:adjustRightInd w:val="0"/>
        <w:spacing w:after="120" w:line="360" w:lineRule="auto"/>
        <w:ind w:firstLine="567"/>
        <w:jc w:val="both"/>
      </w:pPr>
      <w:r w:rsidRPr="00DF0D90">
        <w:t>В Российской Федерации ГЦР встречается достаточно редко.</w:t>
      </w:r>
      <w:r w:rsidR="00E06FCA" w:rsidRPr="00DF0D90">
        <w:t xml:space="preserve"> </w:t>
      </w:r>
      <w:r w:rsidRPr="00DF0D90">
        <w:t>В</w:t>
      </w:r>
      <w:r w:rsidR="00401438" w:rsidRPr="00DF0D90">
        <w:t xml:space="preserve"> </w:t>
      </w:r>
      <w:r w:rsidR="00D62EE7" w:rsidRPr="00DF0D90">
        <w:t>2019</w:t>
      </w:r>
      <w:r w:rsidR="00401438" w:rsidRPr="00DF0D90">
        <w:t xml:space="preserve"> </w:t>
      </w:r>
      <w:r w:rsidRPr="00DF0D90">
        <w:t xml:space="preserve">г. в России зарегистрировано </w:t>
      </w:r>
      <w:r w:rsidR="00D62EE7" w:rsidRPr="00DF0D90">
        <w:t>9</w:t>
      </w:r>
      <w:r w:rsidR="00401438" w:rsidRPr="00DF0D90">
        <w:t> </w:t>
      </w:r>
      <w:r w:rsidR="00D62EE7" w:rsidRPr="00DF0D90">
        <w:t>324</w:t>
      </w:r>
      <w:r w:rsidR="00401438" w:rsidRPr="00DF0D90">
        <w:t xml:space="preserve"> </w:t>
      </w:r>
      <w:r w:rsidRPr="00DF0D90">
        <w:t xml:space="preserve">новых случая ГЦР и рака внутрипеченочных желчных протоков, умерло по этой причине </w:t>
      </w:r>
      <w:r w:rsidR="00D62EE7" w:rsidRPr="00DF0D90">
        <w:t>10</w:t>
      </w:r>
      <w:r w:rsidR="00401438" w:rsidRPr="00DF0D90">
        <w:t> </w:t>
      </w:r>
      <w:r w:rsidR="00D62EE7" w:rsidRPr="00DF0D90">
        <w:t>430</w:t>
      </w:r>
      <w:r w:rsidR="00401438" w:rsidRPr="00DF0D90">
        <w:t xml:space="preserve"> </w:t>
      </w:r>
      <w:r w:rsidRPr="00DF0D90">
        <w:t>пациентов</w:t>
      </w:r>
      <w:r w:rsidR="000C56A6" w:rsidRPr="00DF0D90">
        <w:t xml:space="preserve"> </w:t>
      </w:r>
      <w:r w:rsidR="000C56A6" w:rsidRPr="00DF0D90">
        <w:fldChar w:fldCharType="begin" w:fldLock="1"/>
      </w:r>
      <w:r w:rsidR="00F9552E" w:rsidRPr="00DF0D90">
        <w:instrText>ADDIN CSL_CITATION {"citationItems":[{"id":"ITEM-1","itemData":{"author":[{"dropping-particle":"","family":"Карпин","given":"А.Д.","non-dropping-particle":"","parse-names":false,"suffix":""},{"dropping-particle":"","family":"Старинский","given":"В.В.","non-dropping-particle":"","parse-names":false,"suffix":""},{"dropping-particle":"","family":"Шахзадова","given":"А.О.","non-dropping-particle":"","parse-names":false,"suffix":""}],"id":"ITEM-1","issued":{"date-parts":[["2020"]]},"note":"1","number-of-pages":"252","publisher":"МНИОИ им. П.А. Герцена − филиал ФГБУ «НМИЦ радиологии» Минздрава России","publisher-place":"Москва","title":"Злокачественные новообразования в России в 2019 году (заболеваемость и смертность)","type":"report"},"uris":["http://www.mendeley.com/documents/?uuid=3922456b-663a-308f-8cfd-54be230cb81f"]}],"mendeley":{"formattedCitation":"[4]","plainTextFormattedCitation":"[4]","previouslyFormattedCitation":"[4]"},"properties":{"noteIndex":0},"schema":"https://github.com/citation-style-language/schema/raw/master/csl-citation.json"}</w:instrText>
      </w:r>
      <w:r w:rsidR="000C56A6" w:rsidRPr="00DF0D90">
        <w:fldChar w:fldCharType="separate"/>
      </w:r>
      <w:r w:rsidR="000C56A6" w:rsidRPr="00DF0D90">
        <w:rPr>
          <w:noProof/>
        </w:rPr>
        <w:t>[4]</w:t>
      </w:r>
      <w:r w:rsidR="000C56A6" w:rsidRPr="00DF0D90">
        <w:fldChar w:fldCharType="end"/>
      </w:r>
      <w:r w:rsidRPr="00DF0D90">
        <w:t>.</w:t>
      </w:r>
      <w:r w:rsidR="005C7163" w:rsidRPr="00DF0D90">
        <w:t xml:space="preserve"> </w:t>
      </w:r>
      <w:r w:rsidR="00DE7A8A" w:rsidRPr="00DF0D90">
        <w:t xml:space="preserve">В РФ по данным статистических отчетов за период с </w:t>
      </w:r>
      <w:r w:rsidR="00710407" w:rsidRPr="00DF0D90">
        <w:t>2009</w:t>
      </w:r>
      <w:r w:rsidR="00401438" w:rsidRPr="00DF0D90">
        <w:t xml:space="preserve"> </w:t>
      </w:r>
      <w:r w:rsidR="00DE7A8A" w:rsidRPr="00DF0D90">
        <w:t xml:space="preserve">по </w:t>
      </w:r>
      <w:r w:rsidR="00710407" w:rsidRPr="00DF0D90">
        <w:t>2019</w:t>
      </w:r>
      <w:r w:rsidR="005C7163" w:rsidRPr="00DF0D90">
        <w:t xml:space="preserve"> </w:t>
      </w:r>
      <w:r w:rsidR="00DE7A8A" w:rsidRPr="00DF0D90">
        <w:t>гг.</w:t>
      </w:r>
      <w:r w:rsidR="00401438" w:rsidRPr="00DF0D90">
        <w:t xml:space="preserve"> </w:t>
      </w:r>
      <w:r w:rsidR="00DE7A8A" w:rsidRPr="00DF0D90">
        <w:t>отмечается</w:t>
      </w:r>
      <w:r w:rsidR="00CB5730" w:rsidRPr="00DF0D90">
        <w:t xml:space="preserve"> самый высокий из онкологических заболеваний</w:t>
      </w:r>
      <w:r w:rsidR="00401438" w:rsidRPr="00DF0D90">
        <w:t xml:space="preserve"> </w:t>
      </w:r>
      <w:r w:rsidR="005C7163" w:rsidRPr="00DF0D90">
        <w:t>– более</w:t>
      </w:r>
      <w:r w:rsidR="00DE7A8A" w:rsidRPr="00DF0D90">
        <w:t xml:space="preserve"> чем 4</w:t>
      </w:r>
      <w:r w:rsidR="00710407" w:rsidRPr="00DF0D90">
        <w:t>8</w:t>
      </w:r>
      <w:r w:rsidR="00DE7A8A" w:rsidRPr="00DF0D90">
        <w:t>%</w:t>
      </w:r>
      <w:r w:rsidR="00401438" w:rsidRPr="00DF0D90">
        <w:t xml:space="preserve"> – </w:t>
      </w:r>
      <w:r w:rsidR="00DE7A8A" w:rsidRPr="00DF0D90">
        <w:t>прирост «грубого» показателя заболеваемости</w:t>
      </w:r>
      <w:r w:rsidR="00CB5730" w:rsidRPr="00DF0D90">
        <w:t xml:space="preserve"> (для мужчин +57</w:t>
      </w:r>
      <w:proofErr w:type="gramStart"/>
      <w:r w:rsidR="00CB5730" w:rsidRPr="00DF0D90">
        <w:t>%</w:t>
      </w:r>
      <w:r w:rsidR="00401438" w:rsidRPr="00DF0D90">
        <w:t xml:space="preserve"> </w:t>
      </w:r>
      <w:r w:rsidR="00CB5730" w:rsidRPr="00DF0D90">
        <w:t>)</w:t>
      </w:r>
      <w:proofErr w:type="gramEnd"/>
      <w:r w:rsidR="00E06FCA" w:rsidRPr="00DF0D90">
        <w:t xml:space="preserve"> </w:t>
      </w:r>
      <w:r w:rsidR="00CB5730" w:rsidRPr="00DF0D90">
        <w:t>пр</w:t>
      </w:r>
      <w:r w:rsidR="00DE7A8A" w:rsidRPr="00DF0D90">
        <w:t xml:space="preserve">и </w:t>
      </w:r>
      <w:r w:rsidR="00710407" w:rsidRPr="00DF0D90">
        <w:t>более 29</w:t>
      </w:r>
      <w:r w:rsidR="00DE7A8A" w:rsidRPr="00DF0D90">
        <w:t>% прирост</w:t>
      </w:r>
      <w:r w:rsidR="00710407" w:rsidRPr="00DF0D90">
        <w:t>а</w:t>
      </w:r>
      <w:r w:rsidR="00DE7A8A" w:rsidRPr="00DF0D90">
        <w:t xml:space="preserve"> стандартизованного показателя заболеваемости ГЦР. Показатели динамики смертности от ГЦР указывают на 2</w:t>
      </w:r>
      <w:r w:rsidR="00CB5730" w:rsidRPr="00DF0D90">
        <w:t>1,6</w:t>
      </w:r>
      <w:r w:rsidR="00DE7A8A" w:rsidRPr="00DF0D90">
        <w:t xml:space="preserve">% прирост абсолютного числа случаев </w:t>
      </w:r>
      <w:r w:rsidR="00DE7A8A" w:rsidRPr="00DF0D90">
        <w:lastRenderedPageBreak/>
        <w:t xml:space="preserve">смерти от рака печени и </w:t>
      </w:r>
      <w:r w:rsidR="00CB5730" w:rsidRPr="00DF0D90">
        <w:t>5</w:t>
      </w:r>
      <w:r w:rsidR="00DE7A8A" w:rsidRPr="00DF0D90">
        <w:t>,</w:t>
      </w:r>
      <w:r w:rsidR="00CB5730" w:rsidRPr="00DF0D90">
        <w:t>65</w:t>
      </w:r>
      <w:r w:rsidR="00DE7A8A" w:rsidRPr="00DF0D90">
        <w:t xml:space="preserve">% прироста стандартизованного показателя смертности (на 100 тыс. населения). Обращает внимание различие в смертности: она превышает заболеваемость первичным раком печени </w:t>
      </w:r>
      <w:r w:rsidR="00CB5730" w:rsidRPr="00DF0D90">
        <w:t xml:space="preserve">на </w:t>
      </w:r>
      <w:r w:rsidR="00DE7A8A" w:rsidRPr="00DF0D90">
        <w:t>~1</w:t>
      </w:r>
      <w:r w:rsidR="00CB5730" w:rsidRPr="00DF0D90">
        <w:t>1</w:t>
      </w:r>
      <w:r w:rsidR="00DE7A8A" w:rsidRPr="00DF0D90">
        <w:t>00 случаев в 201</w:t>
      </w:r>
      <w:r w:rsidR="00CB5730" w:rsidRPr="00DF0D90">
        <w:t>9</w:t>
      </w:r>
      <w:r w:rsidR="00DE7A8A" w:rsidRPr="00DF0D90">
        <w:t xml:space="preserve"> году. </w:t>
      </w:r>
    </w:p>
    <w:p w14:paraId="2AE5AFC5" w14:textId="77777777" w:rsidR="00C47CD1" w:rsidRPr="00DF0D90" w:rsidRDefault="00C47CD1" w:rsidP="006D217F">
      <w:pPr>
        <w:autoSpaceDE w:val="0"/>
        <w:autoSpaceDN w:val="0"/>
        <w:adjustRightInd w:val="0"/>
        <w:spacing w:after="120" w:line="360" w:lineRule="auto"/>
        <w:ind w:firstLine="567"/>
        <w:jc w:val="both"/>
        <w:rPr>
          <w:color w:val="000000"/>
        </w:rPr>
      </w:pPr>
    </w:p>
    <w:p w14:paraId="0C210FED" w14:textId="77777777" w:rsidR="00180B8B" w:rsidRPr="00DF0D90" w:rsidRDefault="00630BAC" w:rsidP="006D217F">
      <w:pPr>
        <w:pStyle w:val="2"/>
        <w:spacing w:before="0" w:after="120" w:line="360" w:lineRule="auto"/>
        <w:ind w:firstLine="567"/>
        <w:jc w:val="both"/>
        <w:rPr>
          <w:lang w:eastAsia="ru-RU"/>
        </w:rPr>
      </w:pPr>
      <w:bookmarkStart w:id="28" w:name="_Toc98349269"/>
      <w:bookmarkStart w:id="29" w:name="_Toc83293967"/>
      <w:bookmarkStart w:id="30" w:name="_Toc467601694"/>
      <w:bookmarkStart w:id="31" w:name="_Toc470722677"/>
      <w:bookmarkStart w:id="32" w:name="_Toc470722786"/>
      <w:r w:rsidRPr="00DF0D90">
        <w:t xml:space="preserve">1.4 </w:t>
      </w:r>
      <w:r w:rsidR="00180B8B" w:rsidRPr="00DF0D90">
        <w:t>Особенности кодирования заболевания или состояния (группы заболеваний или состояний) по Международной статистической классификации болезни и проблем, связанных со здоровьем</w:t>
      </w:r>
      <w:bookmarkEnd w:id="28"/>
      <w:bookmarkEnd w:id="29"/>
    </w:p>
    <w:bookmarkEnd w:id="30"/>
    <w:bookmarkEnd w:id="31"/>
    <w:bookmarkEnd w:id="32"/>
    <w:p w14:paraId="1A759662" w14:textId="77777777" w:rsidR="00630BAC" w:rsidRDefault="00630BAC" w:rsidP="006D217F">
      <w:pPr>
        <w:autoSpaceDE w:val="0"/>
        <w:autoSpaceDN w:val="0"/>
        <w:adjustRightInd w:val="0"/>
        <w:spacing w:after="120" w:line="360" w:lineRule="auto"/>
        <w:ind w:firstLine="567"/>
        <w:jc w:val="both"/>
      </w:pPr>
      <w:r w:rsidRPr="00DF0D90">
        <w:t>С22.0 Печеночно-клеточный рак. Гепатоцеллюлярный рак.</w:t>
      </w:r>
    </w:p>
    <w:p w14:paraId="08F127B8" w14:textId="1D780DC4" w:rsidR="00C47CD1" w:rsidRDefault="00C47CD1" w:rsidP="006D217F">
      <w:pPr>
        <w:autoSpaceDE w:val="0"/>
        <w:autoSpaceDN w:val="0"/>
        <w:adjustRightInd w:val="0"/>
        <w:spacing w:after="120" w:line="360" w:lineRule="auto"/>
        <w:ind w:firstLine="567"/>
        <w:jc w:val="both"/>
      </w:pPr>
      <w:r w:rsidRPr="00C47CD1">
        <w:t>D37.6 Новообразование неопределенного или неизвестного характера печени, желчного пузыря и желчных протоков</w:t>
      </w:r>
      <w:r>
        <w:t>.</w:t>
      </w:r>
    </w:p>
    <w:p w14:paraId="3D250E3E" w14:textId="77777777" w:rsidR="00C47CD1" w:rsidRPr="00DF0D90" w:rsidRDefault="00C47CD1" w:rsidP="006D217F">
      <w:pPr>
        <w:autoSpaceDE w:val="0"/>
        <w:autoSpaceDN w:val="0"/>
        <w:adjustRightInd w:val="0"/>
        <w:spacing w:after="120" w:line="360" w:lineRule="auto"/>
        <w:ind w:firstLine="567"/>
        <w:jc w:val="both"/>
      </w:pPr>
    </w:p>
    <w:p w14:paraId="5184EBC2" w14:textId="77777777" w:rsidR="002127BA" w:rsidRPr="00DF0D90" w:rsidRDefault="002127BA" w:rsidP="002127BA">
      <w:pPr>
        <w:pStyle w:val="2"/>
        <w:spacing w:before="0" w:after="120" w:line="360" w:lineRule="auto"/>
        <w:ind w:firstLine="567"/>
        <w:jc w:val="both"/>
      </w:pPr>
      <w:bookmarkStart w:id="33" w:name="_Toc467601695"/>
      <w:bookmarkStart w:id="34" w:name="_Toc470722678"/>
      <w:bookmarkStart w:id="35" w:name="_Toc470722787"/>
      <w:bookmarkStart w:id="36" w:name="_Toc98349270"/>
      <w:bookmarkStart w:id="37" w:name="_Toc83293968"/>
      <w:r w:rsidRPr="00DF0D90">
        <w:t>1.5 Классификация</w:t>
      </w:r>
      <w:r w:rsidRPr="00DF0D90">
        <w:rPr>
          <w:lang w:val="ru-RU"/>
        </w:rPr>
        <w:t xml:space="preserve"> </w:t>
      </w:r>
      <w:r w:rsidRPr="00DF0D90">
        <w:t>заболевания или состояния (группы заболеваний или состояний)</w:t>
      </w:r>
    </w:p>
    <w:p w14:paraId="735546F8" w14:textId="77777777" w:rsidR="002127BA" w:rsidRPr="00DF0D90" w:rsidRDefault="002127BA" w:rsidP="002127BA">
      <w:pPr>
        <w:pStyle w:val="a8"/>
        <w:outlineLvl w:val="2"/>
      </w:pPr>
      <w:r w:rsidRPr="00DF0D90">
        <w:t>1.5.1 Международная гистологическая классификация (201</w:t>
      </w:r>
      <w:r w:rsidRPr="00DF0D90">
        <w:rPr>
          <w:lang w:val="ru-RU"/>
        </w:rPr>
        <w:t>9</w:t>
      </w:r>
      <w:r w:rsidRPr="00DF0D90">
        <w:t xml:space="preserve">) </w:t>
      </w:r>
    </w:p>
    <w:p w14:paraId="29907B9A" w14:textId="77777777" w:rsidR="002127BA" w:rsidRPr="00DF0D90" w:rsidRDefault="002127BA" w:rsidP="002127BA">
      <w:pPr>
        <w:spacing w:after="240" w:line="360" w:lineRule="auto"/>
        <w:ind w:firstLine="567"/>
        <w:jc w:val="both"/>
        <w:rPr>
          <w:b/>
        </w:rPr>
      </w:pPr>
      <w:r w:rsidRPr="00DF0D90">
        <w:rPr>
          <w:b/>
        </w:rPr>
        <w:t>Гепатоцеллюлярные доброкачественные опухоли:</w:t>
      </w:r>
    </w:p>
    <w:p w14:paraId="26E27ED1" w14:textId="77777777" w:rsidR="002127BA" w:rsidRPr="00DF0D90" w:rsidRDefault="002127BA" w:rsidP="002127BA">
      <w:pPr>
        <w:spacing w:after="240" w:line="360" w:lineRule="auto"/>
        <w:ind w:firstLine="567"/>
        <w:jc w:val="both"/>
        <w:rPr>
          <w:b/>
        </w:rPr>
      </w:pPr>
      <w:r w:rsidRPr="00DF0D90">
        <w:t>Гепатоцеллюлярная аденома 8170/0</w:t>
      </w:r>
    </w:p>
    <w:p w14:paraId="5A27D06C" w14:textId="77777777" w:rsidR="002127BA" w:rsidRPr="00DF0D90" w:rsidRDefault="002127BA" w:rsidP="002127BA">
      <w:pPr>
        <w:spacing w:after="120" w:line="360" w:lineRule="auto"/>
        <w:ind w:firstLine="567"/>
        <w:jc w:val="both"/>
        <w:rPr>
          <w:b/>
        </w:rPr>
      </w:pPr>
      <w:r w:rsidRPr="00DF0D90">
        <w:t xml:space="preserve">Злокачественные и </w:t>
      </w:r>
      <w:r w:rsidRPr="00DF0D90">
        <w:rPr>
          <w:b/>
        </w:rPr>
        <w:t>предраковые новообразования:</w:t>
      </w:r>
    </w:p>
    <w:p w14:paraId="4473976D" w14:textId="77777777" w:rsidR="002127BA" w:rsidRPr="00DF0D90" w:rsidRDefault="002127BA" w:rsidP="002127BA">
      <w:pPr>
        <w:tabs>
          <w:tab w:val="left" w:pos="220"/>
          <w:tab w:val="left" w:pos="720"/>
        </w:tabs>
        <w:autoSpaceDE w:val="0"/>
        <w:autoSpaceDN w:val="0"/>
        <w:adjustRightInd w:val="0"/>
        <w:spacing w:after="120" w:line="360" w:lineRule="auto"/>
        <w:ind w:firstLine="567"/>
        <w:jc w:val="both"/>
        <w:rPr>
          <w:b/>
        </w:rPr>
      </w:pPr>
      <w:r w:rsidRPr="00DF0D90">
        <w:rPr>
          <w:b/>
        </w:rPr>
        <w:t>Злокачественные гепатоцеллюлярные опухоли:</w:t>
      </w:r>
    </w:p>
    <w:p w14:paraId="2185026C" w14:textId="77777777" w:rsidR="002127BA" w:rsidRPr="00DF0D90" w:rsidRDefault="002127BA" w:rsidP="002127BA">
      <w:pPr>
        <w:tabs>
          <w:tab w:val="left" w:pos="220"/>
          <w:tab w:val="left" w:pos="720"/>
        </w:tabs>
        <w:autoSpaceDE w:val="0"/>
        <w:autoSpaceDN w:val="0"/>
        <w:adjustRightInd w:val="0"/>
        <w:spacing w:after="120" w:line="360" w:lineRule="auto"/>
        <w:ind w:left="709" w:firstLine="567"/>
      </w:pPr>
      <w:r w:rsidRPr="00DF0D90">
        <w:t>Гепатоцеллюлярный рак 8170/3</w:t>
      </w:r>
    </w:p>
    <w:p w14:paraId="06BAAA33" w14:textId="77777777" w:rsidR="002127BA" w:rsidRPr="00DF0D90" w:rsidRDefault="002127BA" w:rsidP="002127BA">
      <w:pPr>
        <w:tabs>
          <w:tab w:val="left" w:pos="220"/>
          <w:tab w:val="left" w:pos="720"/>
        </w:tabs>
        <w:autoSpaceDE w:val="0"/>
        <w:autoSpaceDN w:val="0"/>
        <w:adjustRightInd w:val="0"/>
        <w:spacing w:after="120" w:line="360" w:lineRule="auto"/>
        <w:ind w:left="709" w:firstLine="567"/>
      </w:pPr>
      <w:r w:rsidRPr="00DF0D90">
        <w:t>Гепатоцеллюлярный рак (</w:t>
      </w:r>
      <w:proofErr w:type="spellStart"/>
      <w:r w:rsidRPr="00DF0D90">
        <w:t>фиброламеллярный</w:t>
      </w:r>
      <w:proofErr w:type="spellEnd"/>
      <w:r w:rsidRPr="00DF0D90">
        <w:t xml:space="preserve"> подтип) 8171/3</w:t>
      </w:r>
    </w:p>
    <w:p w14:paraId="42202C83" w14:textId="4AD6DCB7" w:rsidR="002127BA" w:rsidRPr="00DF0D90" w:rsidRDefault="002127BA" w:rsidP="002127BA">
      <w:pPr>
        <w:tabs>
          <w:tab w:val="left" w:pos="220"/>
          <w:tab w:val="left" w:pos="720"/>
        </w:tabs>
        <w:autoSpaceDE w:val="0"/>
        <w:autoSpaceDN w:val="0"/>
        <w:adjustRightInd w:val="0"/>
        <w:spacing w:after="120" w:line="360" w:lineRule="auto"/>
        <w:ind w:left="709" w:firstLine="567"/>
      </w:pPr>
      <w:r w:rsidRPr="00DF0D90">
        <w:t xml:space="preserve">Гепатоцеллюлярный рак, </w:t>
      </w:r>
      <w:proofErr w:type="spellStart"/>
      <w:r w:rsidRPr="00DF0D90">
        <w:t>скиррозный</w:t>
      </w:r>
      <w:proofErr w:type="spellEnd"/>
      <w:r w:rsidRPr="00DF0D90">
        <w:t xml:space="preserve"> подтип 8172/3</w:t>
      </w:r>
      <w:r w:rsidRPr="00DF0D90">
        <w:br/>
        <w:t xml:space="preserve">Гепатоцеллюлярный вариант, светлоклеточный </w:t>
      </w:r>
      <w:r w:rsidR="00917EAB" w:rsidRPr="00DF0D90">
        <w:t>тип 8174</w:t>
      </w:r>
      <w:r w:rsidRPr="00DF0D90">
        <w:t>/3</w:t>
      </w:r>
    </w:p>
    <w:p w14:paraId="67586A17" w14:textId="77777777" w:rsidR="002127BA" w:rsidRPr="00DF0D90" w:rsidRDefault="002127BA" w:rsidP="002127BA">
      <w:pPr>
        <w:tabs>
          <w:tab w:val="left" w:pos="220"/>
          <w:tab w:val="left" w:pos="720"/>
        </w:tabs>
        <w:autoSpaceDE w:val="0"/>
        <w:autoSpaceDN w:val="0"/>
        <w:adjustRightInd w:val="0"/>
        <w:spacing w:after="120" w:line="360" w:lineRule="auto"/>
        <w:ind w:left="709" w:firstLine="567"/>
      </w:pPr>
      <w:r w:rsidRPr="00DF0D90">
        <w:t xml:space="preserve">Гепатоцеллюлярный вариант, </w:t>
      </w:r>
      <w:proofErr w:type="spellStart"/>
      <w:r w:rsidRPr="00DF0D90">
        <w:t>стетогепатитный</w:t>
      </w:r>
      <w:proofErr w:type="spellEnd"/>
      <w:r w:rsidRPr="00DF0D90">
        <w:t xml:space="preserve"> подтип 8174/3</w:t>
      </w:r>
    </w:p>
    <w:p w14:paraId="45EADFA7" w14:textId="7AA4C0CD" w:rsidR="002127BA" w:rsidRPr="00DF0D90" w:rsidRDefault="002127BA" w:rsidP="002127BA">
      <w:pPr>
        <w:tabs>
          <w:tab w:val="left" w:pos="220"/>
          <w:tab w:val="left" w:pos="720"/>
        </w:tabs>
        <w:autoSpaceDE w:val="0"/>
        <w:autoSpaceDN w:val="0"/>
        <w:adjustRightInd w:val="0"/>
        <w:spacing w:after="120" w:line="360" w:lineRule="auto"/>
        <w:ind w:left="709" w:firstLine="567"/>
      </w:pPr>
      <w:r w:rsidRPr="00DF0D90">
        <w:t xml:space="preserve">Гепатоцеллюлярный вариант, </w:t>
      </w:r>
      <w:proofErr w:type="spellStart"/>
      <w:r w:rsidRPr="00DF0D90">
        <w:t>мактротрабекулярный</w:t>
      </w:r>
      <w:proofErr w:type="spellEnd"/>
      <w:r w:rsidRPr="00DF0D90">
        <w:t xml:space="preserve"> массивный </w:t>
      </w:r>
      <w:r w:rsidR="00917EAB" w:rsidRPr="00DF0D90">
        <w:t>подтип 8174</w:t>
      </w:r>
      <w:r w:rsidRPr="00DF0D90">
        <w:t>/3</w:t>
      </w:r>
    </w:p>
    <w:p w14:paraId="5E92E7B4" w14:textId="77777777" w:rsidR="002127BA" w:rsidRPr="00DF0D90" w:rsidRDefault="002127BA" w:rsidP="002127BA">
      <w:pPr>
        <w:tabs>
          <w:tab w:val="left" w:pos="220"/>
          <w:tab w:val="left" w:pos="720"/>
        </w:tabs>
        <w:autoSpaceDE w:val="0"/>
        <w:autoSpaceDN w:val="0"/>
        <w:adjustRightInd w:val="0"/>
        <w:spacing w:after="120" w:line="360" w:lineRule="auto"/>
        <w:ind w:left="709" w:firstLine="567"/>
      </w:pPr>
      <w:r w:rsidRPr="00DF0D90">
        <w:t xml:space="preserve">Гепатоцеллюлярный рак, </w:t>
      </w:r>
      <w:proofErr w:type="spellStart"/>
      <w:r w:rsidRPr="00DF0D90">
        <w:t>хромофобный</w:t>
      </w:r>
      <w:proofErr w:type="spellEnd"/>
      <w:r w:rsidRPr="00DF0D90">
        <w:t xml:space="preserve"> подтип 8174/3</w:t>
      </w:r>
    </w:p>
    <w:p w14:paraId="44CFBCA8" w14:textId="77777777" w:rsidR="002127BA" w:rsidRPr="00DF0D90" w:rsidRDefault="002127BA" w:rsidP="002127BA">
      <w:pPr>
        <w:tabs>
          <w:tab w:val="left" w:pos="220"/>
          <w:tab w:val="left" w:pos="720"/>
        </w:tabs>
        <w:autoSpaceDE w:val="0"/>
        <w:autoSpaceDN w:val="0"/>
        <w:adjustRightInd w:val="0"/>
        <w:spacing w:after="120" w:line="360" w:lineRule="auto"/>
        <w:ind w:left="709" w:firstLine="567"/>
      </w:pPr>
      <w:r w:rsidRPr="00DF0D90">
        <w:t>Гепатоцеллюлярный рак, с инфильтрацией нейтрофилами 8174/3</w:t>
      </w:r>
    </w:p>
    <w:p w14:paraId="708551D2" w14:textId="77777777" w:rsidR="002127BA" w:rsidRPr="00DF0D90" w:rsidRDefault="002127BA" w:rsidP="002127BA">
      <w:pPr>
        <w:tabs>
          <w:tab w:val="left" w:pos="220"/>
          <w:tab w:val="left" w:pos="720"/>
        </w:tabs>
        <w:autoSpaceDE w:val="0"/>
        <w:autoSpaceDN w:val="0"/>
        <w:adjustRightInd w:val="0"/>
        <w:spacing w:after="120" w:line="360" w:lineRule="auto"/>
        <w:ind w:left="709" w:firstLine="567"/>
      </w:pPr>
      <w:r w:rsidRPr="00DF0D90">
        <w:t>Гепатоцеллюлярный рак, с инфильтрацией лимфоцитами 8174/3</w:t>
      </w:r>
    </w:p>
    <w:p w14:paraId="45A0C87E" w14:textId="25258E94" w:rsidR="002127BA" w:rsidRPr="00DF0D90" w:rsidRDefault="00917EAB" w:rsidP="002127BA">
      <w:pPr>
        <w:tabs>
          <w:tab w:val="left" w:pos="220"/>
          <w:tab w:val="left" w:pos="720"/>
        </w:tabs>
        <w:autoSpaceDE w:val="0"/>
        <w:autoSpaceDN w:val="0"/>
        <w:adjustRightInd w:val="0"/>
        <w:spacing w:after="120" w:line="360" w:lineRule="auto"/>
        <w:ind w:left="709" w:firstLine="567"/>
        <w:jc w:val="both"/>
      </w:pPr>
      <w:proofErr w:type="spellStart"/>
      <w:r w:rsidRPr="00DF0D90">
        <w:lastRenderedPageBreak/>
        <w:t>Гепатобластома</w:t>
      </w:r>
      <w:proofErr w:type="spellEnd"/>
      <w:r w:rsidRPr="00DF0D90">
        <w:t xml:space="preserve"> 8970</w:t>
      </w:r>
      <w:r w:rsidR="002127BA" w:rsidRPr="00DF0D90">
        <w:t>/3</w:t>
      </w:r>
    </w:p>
    <w:p w14:paraId="0B2923CA" w14:textId="77777777" w:rsidR="00357D90" w:rsidRPr="00DF0D90" w:rsidRDefault="00357D90" w:rsidP="00357D90">
      <w:pPr>
        <w:tabs>
          <w:tab w:val="left" w:pos="220"/>
          <w:tab w:val="left" w:pos="720"/>
        </w:tabs>
        <w:autoSpaceDE w:val="0"/>
        <w:autoSpaceDN w:val="0"/>
        <w:adjustRightInd w:val="0"/>
        <w:spacing w:after="120" w:line="360" w:lineRule="auto"/>
        <w:ind w:left="709" w:firstLine="567"/>
        <w:jc w:val="both"/>
      </w:pPr>
      <w:bookmarkStart w:id="38" w:name="_Toc98349271"/>
      <w:bookmarkStart w:id="39" w:name="_Toc83293969"/>
      <w:bookmarkEnd w:id="33"/>
      <w:bookmarkEnd w:id="34"/>
      <w:bookmarkEnd w:id="35"/>
      <w:bookmarkEnd w:id="36"/>
      <w:bookmarkEnd w:id="37"/>
    </w:p>
    <w:p w14:paraId="0A007615" w14:textId="77777777" w:rsidR="00630BAC" w:rsidRPr="00DF0D90" w:rsidRDefault="00180B8B" w:rsidP="00697BE7">
      <w:pPr>
        <w:pStyle w:val="a8"/>
        <w:outlineLvl w:val="2"/>
      </w:pPr>
      <w:bookmarkStart w:id="40" w:name="_Toc467601696"/>
      <w:bookmarkStart w:id="41" w:name="_Toc470722679"/>
      <w:bookmarkStart w:id="42" w:name="_Toc470722788"/>
      <w:bookmarkStart w:id="43" w:name="_Toc98349272"/>
      <w:bookmarkStart w:id="44" w:name="_Toc83293970"/>
      <w:bookmarkEnd w:id="38"/>
      <w:bookmarkEnd w:id="39"/>
      <w:r w:rsidRPr="00DF0D90">
        <w:t xml:space="preserve">1.5.2. </w:t>
      </w:r>
      <w:r w:rsidR="00630BAC" w:rsidRPr="00DF0D90">
        <w:t>Стадирование</w:t>
      </w:r>
      <w:bookmarkEnd w:id="40"/>
      <w:bookmarkEnd w:id="41"/>
      <w:bookmarkEnd w:id="42"/>
      <w:bookmarkEnd w:id="43"/>
      <w:bookmarkEnd w:id="44"/>
    </w:p>
    <w:p w14:paraId="4EBEB4C8" w14:textId="77777777" w:rsidR="00630BAC" w:rsidRPr="00DF0D90" w:rsidRDefault="00630BAC" w:rsidP="00ED3BC3">
      <w:pPr>
        <w:spacing w:after="240" w:line="360" w:lineRule="auto"/>
        <w:ind w:firstLine="567"/>
        <w:jc w:val="both"/>
        <w:rPr>
          <w:b/>
          <w:bCs/>
        </w:rPr>
      </w:pPr>
      <w:r w:rsidRPr="00DF0D90">
        <w:rPr>
          <w:b/>
          <w:bCs/>
        </w:rPr>
        <w:t xml:space="preserve">Стадирование по системе TNM (8-й редакции, 2017 г.) </w:t>
      </w:r>
      <w:r w:rsidR="000C56A6" w:rsidRPr="00DF0D90">
        <w:rPr>
          <w:b/>
          <w:bCs/>
        </w:rPr>
        <w:fldChar w:fldCharType="begin" w:fldLock="1"/>
      </w:r>
      <w:r w:rsidR="00E8134C" w:rsidRPr="00DF0D90">
        <w:rPr>
          <w:b/>
          <w:bCs/>
        </w:rPr>
        <w:instrText>ADDIN CSL_CITATION {"citationItems":[{"id":"ITEM-1","itemData":{"edition":"8","editor":[{"dropping-particle":"","family":"Amin","given":"Mahul B","non-dropping-particle":"","parse-names":false,"suffix":""},{"dropping-particle":"","family":"Edge","given":"Stephen B","non-dropping-particle":"","parse-names":false,"suffix":""},{"dropping-particle":"","family":"Greene","given":"Frederick L","non-dropping-particle":"","parse-names":false,"suffix":""},{"dropping-particle":"","family":"Byrd","given":"David R","non-dropping-particle":"","parse-names":false,"suffix":""},{"dropping-particle":"","family":"Brookland","given":"Robert K","non-dropping-particle":"","parse-names":false,"suffix":""},{"dropping-particle":"","family":"Washington","given":"Mary Kay","non-dropping-particle":"","parse-names":false,"suffix":""},{"dropping-particle":"","family":"Gershenwald","given":"Jeffrey E","non-dropping-particle":"","parse-names":false,"suffix":""},{"dropping-particle":"","family":"Compton","given":"Carolyn C","non-dropping-particle":"","parse-names":false,"suffix":""},{"dropping-particle":"","family":"Hess","given":"Kenneth R","non-dropping-particle":"","parse-names":false,"suffix":""},{"dropping-particle":"","family":"Sullivan","given":"Daniel C","non-dropping-particle":"","parse-names":false,"suffix":""},{"dropping-particle":"","family":"Jessup","given":"J. Milburn","non-dropping-particle":"","parse-names":false,"suffix":""},{"dropping-particle":"","family":"Brierley","given":"James D","non-dropping-particle":"","parse-names":false,"suffix":""},{"dropping-particle":"","family":"Schilsky","given":"Richard L","non-dropping-particle":"","parse-names":false,"suffix":""},{"dropping-particle":"","family":"Balch","given":"Charles M","non-dropping-particle":"","parse-names":false,"suffix":""},{"dropping-particle":"","family":"Winchester","given":"David P","non-dropping-particle":"","parse-names":false,"suffix":""},{"dropping-particle":"","family":"Asare","given":"Elliot A","non-dropping-particle":"","parse-names":false,"suffix":""},{"dropping-particle":"","family":"Madera","given":"Martin","non-dropping-particle":"","parse-names":false,"suffix":""},{"dropping-particle":"","family":"Gress","given":"Donna M","non-dropping-particle":"","parse-names":false,"suffix":""},{"dropping-particle":"","family":"Meyer","given":"Laura R","non-dropping-particle":"","parse-names":false,"suffix":""}],"id":"ITEM-1","issued":{"date-parts":[["2017"]]},"publisher":"Springer","title":"AJCC Cancer Staging Manual","type":"book"},"uris":["http://www.mendeley.com/documents/?uuid=289f6abf-5393-38b7-ae00-4cf92af8c86c"]}],"mendeley":{"formattedCitation":"[5]","plainTextFormattedCitation":"[5]","previouslyFormattedCitation":"[5]"},"properties":{"noteIndex":0},"schema":"https://github.com/citation-style-language/schema/raw/master/csl-citation.json"}</w:instrText>
      </w:r>
      <w:r w:rsidR="000C56A6" w:rsidRPr="00DF0D90">
        <w:rPr>
          <w:b/>
          <w:bCs/>
        </w:rPr>
        <w:fldChar w:fldCharType="separate"/>
      </w:r>
      <w:r w:rsidR="000C56A6" w:rsidRPr="00DF0D90">
        <w:rPr>
          <w:bCs/>
          <w:noProof/>
        </w:rPr>
        <w:t>[5]</w:t>
      </w:r>
      <w:r w:rsidR="000C56A6" w:rsidRPr="00DF0D90">
        <w:rPr>
          <w:b/>
          <w:bCs/>
        </w:rPr>
        <w:fldChar w:fldCharType="end"/>
      </w:r>
      <w:r w:rsidR="00641949" w:rsidRPr="00DF0D90">
        <w:rPr>
          <w:b/>
          <w:bCs/>
        </w:rPr>
        <w:t>.</w:t>
      </w:r>
    </w:p>
    <w:p w14:paraId="052A3C7E" w14:textId="77777777" w:rsidR="00630BAC" w:rsidRPr="00DF0D90" w:rsidRDefault="00630BAC" w:rsidP="006D217F">
      <w:pPr>
        <w:spacing w:after="120" w:line="360" w:lineRule="auto"/>
        <w:ind w:firstLine="567"/>
        <w:jc w:val="both"/>
        <w:rPr>
          <w:b/>
        </w:rPr>
      </w:pPr>
      <w:r w:rsidRPr="00DF0D90">
        <w:rPr>
          <w:b/>
        </w:rPr>
        <w:t>T – первичная опухоль.</w:t>
      </w:r>
    </w:p>
    <w:p w14:paraId="405F6D76" w14:textId="77777777" w:rsidR="00630BAC" w:rsidRPr="00DF0D90" w:rsidRDefault="00630BAC" w:rsidP="006D217F">
      <w:pPr>
        <w:spacing w:after="120" w:line="360" w:lineRule="auto"/>
        <w:ind w:firstLine="567"/>
        <w:jc w:val="both"/>
      </w:pPr>
      <w:r w:rsidRPr="00DF0D90">
        <w:t>T</w:t>
      </w:r>
      <w:r w:rsidRPr="00DF0D90">
        <w:rPr>
          <w:vertAlign w:val="subscript"/>
        </w:rPr>
        <w:t>X</w:t>
      </w:r>
      <w:r w:rsidRPr="00DF0D90">
        <w:t xml:space="preserve"> – оценить первичную опухоль невозможно.</w:t>
      </w:r>
    </w:p>
    <w:p w14:paraId="27F730D8" w14:textId="77777777" w:rsidR="00630BAC" w:rsidRPr="00DF0D90" w:rsidRDefault="00630BAC" w:rsidP="006D217F">
      <w:pPr>
        <w:spacing w:after="120" w:line="360" w:lineRule="auto"/>
        <w:ind w:firstLine="567"/>
        <w:jc w:val="both"/>
      </w:pPr>
      <w:r w:rsidRPr="00DF0D90">
        <w:t>T0 – признаков первичной опухоли нет</w:t>
      </w:r>
    </w:p>
    <w:p w14:paraId="5119944D" w14:textId="77777777" w:rsidR="00630BAC" w:rsidRPr="00DF0D90" w:rsidRDefault="00630BAC" w:rsidP="006D217F">
      <w:pPr>
        <w:autoSpaceDE w:val="0"/>
        <w:autoSpaceDN w:val="0"/>
        <w:adjustRightInd w:val="0"/>
        <w:spacing w:after="120" w:line="360" w:lineRule="auto"/>
        <w:ind w:firstLine="567"/>
        <w:jc w:val="both"/>
        <w:rPr>
          <w:color w:val="212529"/>
        </w:rPr>
      </w:pPr>
      <w:r w:rsidRPr="00DF0D90">
        <w:rPr>
          <w:bCs/>
          <w:color w:val="212529"/>
        </w:rPr>
        <w:t>Т1</w:t>
      </w:r>
      <w:r w:rsidRPr="00DF0D90">
        <w:rPr>
          <w:color w:val="212529"/>
        </w:rPr>
        <w:t xml:space="preserve"> – </w:t>
      </w:r>
      <w:r w:rsidRPr="00DF0D90">
        <w:t xml:space="preserve">одиночная </w:t>
      </w:r>
      <w:r w:rsidRPr="00DF0D90">
        <w:rPr>
          <w:color w:val="212529"/>
        </w:rPr>
        <w:t>опухоль.</w:t>
      </w:r>
    </w:p>
    <w:p w14:paraId="5D5B32E6" w14:textId="77777777" w:rsidR="00630BAC" w:rsidRPr="00DF0D90" w:rsidRDefault="00630BAC" w:rsidP="006D217F">
      <w:pPr>
        <w:autoSpaceDE w:val="0"/>
        <w:autoSpaceDN w:val="0"/>
        <w:adjustRightInd w:val="0"/>
        <w:spacing w:after="120" w:line="360" w:lineRule="auto"/>
        <w:ind w:left="709" w:firstLine="567"/>
        <w:jc w:val="both"/>
      </w:pPr>
      <w:r w:rsidRPr="00DF0D90">
        <w:t>T1a – одиночная опухоль ≤2 см в наибольшем измерении</w:t>
      </w:r>
      <w:r w:rsidR="00E06FCA" w:rsidRPr="00DF0D90">
        <w:t xml:space="preserve"> </w:t>
      </w:r>
      <w:r w:rsidRPr="00DF0D90">
        <w:t>с сосудистой инвазией или без нее.</w:t>
      </w:r>
    </w:p>
    <w:p w14:paraId="0EBC9519" w14:textId="77777777" w:rsidR="00630BAC" w:rsidRPr="00DF0D90" w:rsidRDefault="00630BAC" w:rsidP="006D217F">
      <w:pPr>
        <w:autoSpaceDE w:val="0"/>
        <w:autoSpaceDN w:val="0"/>
        <w:adjustRightInd w:val="0"/>
        <w:spacing w:after="120" w:line="360" w:lineRule="auto"/>
        <w:ind w:left="709" w:firstLine="567"/>
        <w:jc w:val="both"/>
      </w:pPr>
      <w:r w:rsidRPr="00DF0D90">
        <w:t>T1b – одиночная опухоль &gt;2 см в наибольшем измерении</w:t>
      </w:r>
      <w:r w:rsidR="00E06FCA" w:rsidRPr="00DF0D90">
        <w:t xml:space="preserve"> </w:t>
      </w:r>
      <w:r w:rsidRPr="00DF0D90">
        <w:t>без сосудистой инвазии.</w:t>
      </w:r>
    </w:p>
    <w:p w14:paraId="73B09700" w14:textId="77777777" w:rsidR="00630BAC" w:rsidRPr="00DF0D90" w:rsidRDefault="00630BAC" w:rsidP="006D217F">
      <w:pPr>
        <w:autoSpaceDE w:val="0"/>
        <w:autoSpaceDN w:val="0"/>
        <w:adjustRightInd w:val="0"/>
        <w:spacing w:after="120" w:line="360" w:lineRule="auto"/>
        <w:ind w:firstLine="567"/>
        <w:jc w:val="both"/>
      </w:pPr>
      <w:r w:rsidRPr="00DF0D90">
        <w:t>T2 – одиночная опухоль размером &gt;2 см с сосудистой инвазией</w:t>
      </w:r>
      <w:r w:rsidR="00401438" w:rsidRPr="00DF0D90">
        <w:t xml:space="preserve"> </w:t>
      </w:r>
      <w:r w:rsidRPr="00DF0D90">
        <w:t>или множественные опухоли ≤5 см в наибольшем измерении.</w:t>
      </w:r>
    </w:p>
    <w:p w14:paraId="589DE0AC" w14:textId="77777777" w:rsidR="00630BAC" w:rsidRPr="00DF0D90" w:rsidRDefault="00630BAC" w:rsidP="006D217F">
      <w:pPr>
        <w:autoSpaceDE w:val="0"/>
        <w:autoSpaceDN w:val="0"/>
        <w:adjustRightInd w:val="0"/>
        <w:spacing w:after="120" w:line="360" w:lineRule="auto"/>
        <w:ind w:firstLine="567"/>
        <w:jc w:val="both"/>
      </w:pPr>
      <w:r w:rsidRPr="00DF0D90">
        <w:t>T3 – множественные опухоли, в том числе хотя бы одна</w:t>
      </w:r>
      <w:r w:rsidR="00E06FCA" w:rsidRPr="00DF0D90">
        <w:t xml:space="preserve"> </w:t>
      </w:r>
      <w:r w:rsidRPr="00DF0D90">
        <w:t>опухоль &gt;5 см в наибольшем измерении.</w:t>
      </w:r>
    </w:p>
    <w:p w14:paraId="3BC1021F" w14:textId="77777777" w:rsidR="00630BAC" w:rsidRPr="00DF0D90" w:rsidRDefault="00630BAC" w:rsidP="006D217F">
      <w:pPr>
        <w:autoSpaceDE w:val="0"/>
        <w:autoSpaceDN w:val="0"/>
        <w:adjustRightInd w:val="0"/>
        <w:spacing w:after="120" w:line="360" w:lineRule="auto"/>
        <w:ind w:firstLine="567"/>
        <w:jc w:val="both"/>
      </w:pPr>
      <w:r w:rsidRPr="00DF0D90">
        <w:t>T4 – одиночная опухоль или множественные опухоли</w:t>
      </w:r>
      <w:r w:rsidR="00E06FCA" w:rsidRPr="00DF0D90">
        <w:t xml:space="preserve"> </w:t>
      </w:r>
      <w:r w:rsidRPr="00DF0D90">
        <w:t>любого размера с прорастанием в крупную</w:t>
      </w:r>
      <w:r w:rsidR="00E06FCA" w:rsidRPr="00DF0D90">
        <w:t xml:space="preserve"> </w:t>
      </w:r>
      <w:r w:rsidRPr="00DF0D90">
        <w:t>ветвь воротной вены либо в печеночную</w:t>
      </w:r>
      <w:r w:rsidR="00E06FCA" w:rsidRPr="00DF0D90">
        <w:t xml:space="preserve"> </w:t>
      </w:r>
      <w:r w:rsidRPr="00DF0D90">
        <w:t>вену, или с прорастанием в соседние органы, включая диафрагму</w:t>
      </w:r>
      <w:r w:rsidR="00E06FCA" w:rsidRPr="00DF0D90">
        <w:t xml:space="preserve"> </w:t>
      </w:r>
      <w:r w:rsidRPr="00DF0D90">
        <w:t>(кроме желчного пузыря), или с прорастанием в висцеральную</w:t>
      </w:r>
      <w:r w:rsidR="00E06FCA" w:rsidRPr="00DF0D90">
        <w:t xml:space="preserve"> </w:t>
      </w:r>
      <w:r w:rsidRPr="00DF0D90">
        <w:t>брюшину.</w:t>
      </w:r>
    </w:p>
    <w:p w14:paraId="767B3EB8" w14:textId="77777777" w:rsidR="00630BAC" w:rsidRPr="00DF0D90" w:rsidRDefault="00630BAC" w:rsidP="006D217F">
      <w:pPr>
        <w:autoSpaceDE w:val="0"/>
        <w:autoSpaceDN w:val="0"/>
        <w:adjustRightInd w:val="0"/>
        <w:spacing w:after="120" w:line="360" w:lineRule="auto"/>
        <w:ind w:firstLine="567"/>
        <w:jc w:val="both"/>
      </w:pPr>
      <w:r w:rsidRPr="00DF0D90">
        <w:rPr>
          <w:b/>
        </w:rPr>
        <w:t>N – вовлечение регионарных лимфатических узлов.</w:t>
      </w:r>
      <w:r w:rsidRPr="00DF0D90">
        <w:t xml:space="preserve"> Регионарными лимфатическими</w:t>
      </w:r>
      <w:r w:rsidR="00E06FCA" w:rsidRPr="00DF0D90">
        <w:t xml:space="preserve"> </w:t>
      </w:r>
      <w:r w:rsidRPr="00DF0D90">
        <w:t>узлами являются лимфатические узлы ворот печени (расположенные в</w:t>
      </w:r>
      <w:r w:rsidR="00E06FCA" w:rsidRPr="00DF0D90">
        <w:t xml:space="preserve"> </w:t>
      </w:r>
      <w:r w:rsidRPr="00DF0D90">
        <w:t>печеночно-двенадцатиперстной связке).</w:t>
      </w:r>
    </w:p>
    <w:p w14:paraId="7122026A" w14:textId="77777777" w:rsidR="00630BAC" w:rsidRPr="00DF0D90" w:rsidRDefault="00630BAC" w:rsidP="006D217F">
      <w:pPr>
        <w:autoSpaceDE w:val="0"/>
        <w:autoSpaceDN w:val="0"/>
        <w:adjustRightInd w:val="0"/>
        <w:spacing w:after="120" w:line="360" w:lineRule="auto"/>
        <w:ind w:firstLine="567"/>
        <w:jc w:val="both"/>
      </w:pPr>
      <w:r w:rsidRPr="00DF0D90">
        <w:t>N</w:t>
      </w:r>
      <w:r w:rsidRPr="00DF0D90">
        <w:rPr>
          <w:vertAlign w:val="subscript"/>
        </w:rPr>
        <w:t>X</w:t>
      </w:r>
      <w:r w:rsidRPr="00DF0D90">
        <w:t xml:space="preserve"> – недостаточно данных для оценки состояния регионарных лимфатических узлов.</w:t>
      </w:r>
    </w:p>
    <w:p w14:paraId="40C39A2A" w14:textId="77777777" w:rsidR="00630BAC" w:rsidRPr="00DF0D90" w:rsidRDefault="00630BAC" w:rsidP="006D217F">
      <w:pPr>
        <w:autoSpaceDE w:val="0"/>
        <w:autoSpaceDN w:val="0"/>
        <w:adjustRightInd w:val="0"/>
        <w:spacing w:after="120" w:line="360" w:lineRule="auto"/>
        <w:ind w:firstLine="567"/>
        <w:jc w:val="both"/>
      </w:pPr>
      <w:r w:rsidRPr="00DF0D90">
        <w:t>N0 – нет признаков метастатического поражения регионарных лимфатических узлов.</w:t>
      </w:r>
    </w:p>
    <w:p w14:paraId="2AFE0843" w14:textId="77777777" w:rsidR="00630BAC" w:rsidRPr="00DF0D90" w:rsidRDefault="00630BAC" w:rsidP="006D217F">
      <w:pPr>
        <w:autoSpaceDE w:val="0"/>
        <w:autoSpaceDN w:val="0"/>
        <w:adjustRightInd w:val="0"/>
        <w:spacing w:after="120" w:line="360" w:lineRule="auto"/>
        <w:ind w:firstLine="567"/>
        <w:jc w:val="both"/>
      </w:pPr>
      <w:r w:rsidRPr="00DF0D90">
        <w:t>N1 – имеется поражение регионарных лимфатических узлов метастазами.</w:t>
      </w:r>
    </w:p>
    <w:p w14:paraId="6E8FC55C" w14:textId="77777777" w:rsidR="00630BAC" w:rsidRPr="00DF0D90" w:rsidRDefault="00630BAC" w:rsidP="006D217F">
      <w:pPr>
        <w:autoSpaceDE w:val="0"/>
        <w:autoSpaceDN w:val="0"/>
        <w:adjustRightInd w:val="0"/>
        <w:spacing w:after="120" w:line="360" w:lineRule="auto"/>
        <w:ind w:firstLine="567"/>
        <w:jc w:val="both"/>
        <w:rPr>
          <w:b/>
        </w:rPr>
      </w:pPr>
      <w:r w:rsidRPr="00DF0D90">
        <w:rPr>
          <w:b/>
        </w:rPr>
        <w:t>M – отдаленные метастазы.</w:t>
      </w:r>
    </w:p>
    <w:p w14:paraId="1C933E27" w14:textId="77777777" w:rsidR="00630BAC" w:rsidRPr="00DF0D90" w:rsidRDefault="00630BAC" w:rsidP="006D217F">
      <w:pPr>
        <w:autoSpaceDE w:val="0"/>
        <w:autoSpaceDN w:val="0"/>
        <w:adjustRightInd w:val="0"/>
        <w:spacing w:after="120" w:line="360" w:lineRule="auto"/>
        <w:ind w:firstLine="567"/>
        <w:jc w:val="both"/>
      </w:pPr>
      <w:r w:rsidRPr="00DF0D90">
        <w:t>М</w:t>
      </w:r>
      <w:r w:rsidRPr="00DF0D90">
        <w:rPr>
          <w:vertAlign w:val="subscript"/>
        </w:rPr>
        <w:t>Х</w:t>
      </w:r>
      <w:r w:rsidRPr="00DF0D90">
        <w:t xml:space="preserve"> – недостаточно данных для определения отдаленных метастазов.</w:t>
      </w:r>
    </w:p>
    <w:p w14:paraId="57C42F04" w14:textId="77777777" w:rsidR="00630BAC" w:rsidRPr="00DF0D90" w:rsidRDefault="00630BAC" w:rsidP="006D217F">
      <w:pPr>
        <w:autoSpaceDE w:val="0"/>
        <w:autoSpaceDN w:val="0"/>
        <w:adjustRightInd w:val="0"/>
        <w:spacing w:after="120" w:line="360" w:lineRule="auto"/>
        <w:ind w:firstLine="567"/>
        <w:jc w:val="both"/>
      </w:pPr>
      <w:r w:rsidRPr="00DF0D90">
        <w:t>M0 – отдаленных метастазов нет.</w:t>
      </w:r>
    </w:p>
    <w:p w14:paraId="1C4C85EC" w14:textId="77777777" w:rsidR="00630BAC" w:rsidRPr="00DF0D90" w:rsidRDefault="00630BAC" w:rsidP="006D217F">
      <w:pPr>
        <w:autoSpaceDE w:val="0"/>
        <w:autoSpaceDN w:val="0"/>
        <w:adjustRightInd w:val="0"/>
        <w:spacing w:after="120" w:line="360" w:lineRule="auto"/>
        <w:ind w:firstLine="567"/>
        <w:jc w:val="both"/>
      </w:pPr>
      <w:r w:rsidRPr="00DF0D90">
        <w:lastRenderedPageBreak/>
        <w:t>M1 – имеются отдаленные метастазы.</w:t>
      </w:r>
    </w:p>
    <w:p w14:paraId="3EBA5D91" w14:textId="77777777" w:rsidR="00630BAC" w:rsidRPr="00DF0D90" w:rsidRDefault="00630BAC" w:rsidP="006D217F">
      <w:pPr>
        <w:autoSpaceDE w:val="0"/>
        <w:autoSpaceDN w:val="0"/>
        <w:adjustRightInd w:val="0"/>
        <w:spacing w:after="120" w:line="360" w:lineRule="auto"/>
        <w:ind w:firstLine="567"/>
        <w:jc w:val="both"/>
        <w:rPr>
          <w:b/>
        </w:rPr>
      </w:pPr>
      <w:proofErr w:type="spellStart"/>
      <w:r w:rsidRPr="00DF0D90">
        <w:rPr>
          <w:b/>
        </w:rPr>
        <w:t>pTNM</w:t>
      </w:r>
      <w:proofErr w:type="spellEnd"/>
      <w:r w:rsidRPr="00DF0D90">
        <w:rPr>
          <w:b/>
        </w:rPr>
        <w:t xml:space="preserve"> – патогистологическая классификация. </w:t>
      </w:r>
    </w:p>
    <w:p w14:paraId="0EA44B50" w14:textId="77777777" w:rsidR="00630BAC" w:rsidRPr="00DF0D90" w:rsidRDefault="00630BAC" w:rsidP="006D217F">
      <w:pPr>
        <w:autoSpaceDE w:val="0"/>
        <w:autoSpaceDN w:val="0"/>
        <w:adjustRightInd w:val="0"/>
        <w:spacing w:after="120" w:line="360" w:lineRule="auto"/>
        <w:ind w:firstLine="567"/>
        <w:jc w:val="both"/>
      </w:pPr>
      <w:r w:rsidRPr="00DF0D90">
        <w:t xml:space="preserve">Требования к определению категорий </w:t>
      </w:r>
      <w:proofErr w:type="spellStart"/>
      <w:r w:rsidRPr="00DF0D90">
        <w:t>рТ</w:t>
      </w:r>
      <w:proofErr w:type="spellEnd"/>
      <w:r w:rsidRPr="00DF0D90">
        <w:t xml:space="preserve">, </w:t>
      </w:r>
      <w:proofErr w:type="spellStart"/>
      <w:r w:rsidRPr="00DF0D90">
        <w:t>pN</w:t>
      </w:r>
      <w:proofErr w:type="spellEnd"/>
      <w:r w:rsidRPr="00DF0D90">
        <w:t xml:space="preserve">, </w:t>
      </w:r>
      <w:proofErr w:type="spellStart"/>
      <w:r w:rsidRPr="00DF0D90">
        <w:t>рМ</w:t>
      </w:r>
      <w:proofErr w:type="spellEnd"/>
      <w:r w:rsidRPr="00DF0D90">
        <w:t xml:space="preserve"> соответствуют требованиям к определению категорий Т, N, М (табл</w:t>
      </w:r>
      <w:r w:rsidR="00D95F2E" w:rsidRPr="00DF0D90">
        <w:t>ица</w:t>
      </w:r>
      <w:r w:rsidRPr="00DF0D90">
        <w:t xml:space="preserve"> 1).</w:t>
      </w:r>
    </w:p>
    <w:p w14:paraId="4FE9E20D" w14:textId="77777777" w:rsidR="00630BAC" w:rsidRPr="00DF0D90" w:rsidRDefault="00630BAC" w:rsidP="006D217F">
      <w:pPr>
        <w:autoSpaceDE w:val="0"/>
        <w:autoSpaceDN w:val="0"/>
        <w:adjustRightInd w:val="0"/>
        <w:spacing w:after="120" w:line="360" w:lineRule="auto"/>
        <w:ind w:firstLine="567"/>
        <w:jc w:val="both"/>
        <w:rPr>
          <w:b/>
        </w:rPr>
      </w:pPr>
      <w:r w:rsidRPr="00DF0D90">
        <w:rPr>
          <w:b/>
        </w:rPr>
        <w:t>G – гистопатологическая дифференцировка.</w:t>
      </w:r>
    </w:p>
    <w:p w14:paraId="5A91EA15" w14:textId="77777777" w:rsidR="00630BAC" w:rsidRPr="00DF0D90" w:rsidRDefault="00630BAC" w:rsidP="006D217F">
      <w:pPr>
        <w:autoSpaceDE w:val="0"/>
        <w:autoSpaceDN w:val="0"/>
        <w:adjustRightInd w:val="0"/>
        <w:spacing w:after="120" w:line="360" w:lineRule="auto"/>
        <w:ind w:firstLine="567"/>
        <w:jc w:val="both"/>
      </w:pPr>
      <w:proofErr w:type="spellStart"/>
      <w:r w:rsidRPr="00DF0D90">
        <w:t>G</w:t>
      </w:r>
      <w:r w:rsidRPr="00DF0D90">
        <w:rPr>
          <w:vertAlign w:val="subscript"/>
        </w:rPr>
        <w:t>x</w:t>
      </w:r>
      <w:proofErr w:type="spellEnd"/>
      <w:r w:rsidRPr="00DF0D90">
        <w:t xml:space="preserve"> – степень дифференцировки не может быть установлена.</w:t>
      </w:r>
    </w:p>
    <w:p w14:paraId="2ACE0DE8" w14:textId="77777777" w:rsidR="00630BAC" w:rsidRPr="00DF0D90" w:rsidRDefault="00630BAC" w:rsidP="006D217F">
      <w:pPr>
        <w:autoSpaceDE w:val="0"/>
        <w:autoSpaceDN w:val="0"/>
        <w:adjustRightInd w:val="0"/>
        <w:spacing w:after="120" w:line="360" w:lineRule="auto"/>
        <w:ind w:firstLine="567"/>
        <w:jc w:val="both"/>
      </w:pPr>
      <w:r w:rsidRPr="00DF0D90">
        <w:t>G</w:t>
      </w:r>
      <w:r w:rsidRPr="00DF0D90">
        <w:rPr>
          <w:vertAlign w:val="subscript"/>
        </w:rPr>
        <w:t>1</w:t>
      </w:r>
      <w:r w:rsidRPr="00DF0D90">
        <w:t xml:space="preserve"> – высокая степень дифференцировки.</w:t>
      </w:r>
    </w:p>
    <w:p w14:paraId="3DF854CC" w14:textId="77777777" w:rsidR="00630BAC" w:rsidRPr="00DF0D90" w:rsidRDefault="00630BAC" w:rsidP="006D217F">
      <w:pPr>
        <w:autoSpaceDE w:val="0"/>
        <w:autoSpaceDN w:val="0"/>
        <w:adjustRightInd w:val="0"/>
        <w:spacing w:after="120" w:line="360" w:lineRule="auto"/>
        <w:ind w:firstLine="567"/>
        <w:jc w:val="both"/>
      </w:pPr>
      <w:r w:rsidRPr="00DF0D90">
        <w:t>G</w:t>
      </w:r>
      <w:r w:rsidRPr="00DF0D90">
        <w:rPr>
          <w:vertAlign w:val="subscript"/>
        </w:rPr>
        <w:t>2</w:t>
      </w:r>
      <w:r w:rsidRPr="00DF0D90">
        <w:t xml:space="preserve"> – средняя степень дифференцировки.</w:t>
      </w:r>
    </w:p>
    <w:p w14:paraId="7AD9F5F0" w14:textId="77777777" w:rsidR="00630BAC" w:rsidRPr="00DF0D90" w:rsidRDefault="00630BAC" w:rsidP="006D217F">
      <w:pPr>
        <w:autoSpaceDE w:val="0"/>
        <w:autoSpaceDN w:val="0"/>
        <w:adjustRightInd w:val="0"/>
        <w:spacing w:after="120" w:line="360" w:lineRule="auto"/>
        <w:ind w:firstLine="567"/>
        <w:jc w:val="both"/>
      </w:pPr>
      <w:r w:rsidRPr="00DF0D90">
        <w:t>G</w:t>
      </w:r>
      <w:r w:rsidRPr="00DF0D90">
        <w:rPr>
          <w:vertAlign w:val="subscript"/>
        </w:rPr>
        <w:t xml:space="preserve">3 </w:t>
      </w:r>
      <w:r w:rsidRPr="00DF0D90">
        <w:t>– низкая степень дифференцировки.</w:t>
      </w:r>
    </w:p>
    <w:p w14:paraId="16BD049B" w14:textId="77777777" w:rsidR="00630BAC" w:rsidRPr="00DF0D90" w:rsidRDefault="00630BAC" w:rsidP="006D217F">
      <w:pPr>
        <w:autoSpaceDE w:val="0"/>
        <w:autoSpaceDN w:val="0"/>
        <w:adjustRightInd w:val="0"/>
        <w:spacing w:after="120" w:line="360" w:lineRule="auto"/>
        <w:ind w:firstLine="567"/>
        <w:jc w:val="both"/>
      </w:pPr>
      <w:r w:rsidRPr="00DF0D90">
        <w:t>G</w:t>
      </w:r>
      <w:r w:rsidRPr="00DF0D90">
        <w:rPr>
          <w:vertAlign w:val="subscript"/>
        </w:rPr>
        <w:t>4</w:t>
      </w:r>
      <w:r w:rsidRPr="00DF0D90">
        <w:t xml:space="preserve"> – недифференцированные опухоли.</w:t>
      </w:r>
    </w:p>
    <w:p w14:paraId="6C667111" w14:textId="77777777" w:rsidR="00630BAC" w:rsidRPr="00DF0D90" w:rsidRDefault="00630BAC" w:rsidP="006D217F">
      <w:pPr>
        <w:spacing w:after="120" w:line="360" w:lineRule="auto"/>
        <w:ind w:firstLine="567"/>
        <w:jc w:val="both"/>
        <w:rPr>
          <w:b/>
          <w:bCs/>
        </w:rPr>
      </w:pPr>
      <w:r w:rsidRPr="00DF0D90">
        <w:rPr>
          <w:b/>
          <w:bCs/>
        </w:rPr>
        <w:t>Таблица 1. Группировка гепатоцеллюлярных карцином по стадиям (</w:t>
      </w:r>
      <w:r w:rsidRPr="00DF0D90">
        <w:rPr>
          <w:b/>
          <w:bCs/>
          <w:lang w:val="en-US"/>
        </w:rPr>
        <w:t>UICC</w:t>
      </w:r>
      <w:r w:rsidRPr="00DF0D90">
        <w:rPr>
          <w:b/>
          <w:bCs/>
        </w:rPr>
        <w:t>)</w:t>
      </w: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71"/>
        <w:gridCol w:w="2256"/>
        <w:gridCol w:w="2256"/>
        <w:gridCol w:w="2256"/>
      </w:tblGrid>
      <w:tr w:rsidR="00630BAC" w:rsidRPr="00DF0D90" w14:paraId="1FA80969" w14:textId="77777777">
        <w:tc>
          <w:tcPr>
            <w:tcW w:w="1376" w:type="pct"/>
            <w:shd w:val="clear" w:color="auto" w:fill="C6D9F1"/>
            <w:vAlign w:val="center"/>
          </w:tcPr>
          <w:p w14:paraId="310C934F" w14:textId="77777777" w:rsidR="00630BAC" w:rsidRPr="00DF0D90" w:rsidRDefault="00630BAC" w:rsidP="006D217F">
            <w:pPr>
              <w:spacing w:after="120" w:line="360" w:lineRule="auto"/>
              <w:ind w:firstLine="567"/>
              <w:jc w:val="both"/>
              <w:rPr>
                <w:b/>
              </w:rPr>
            </w:pPr>
            <w:r w:rsidRPr="00DF0D90">
              <w:rPr>
                <w:b/>
              </w:rPr>
              <w:t>Стадия</w:t>
            </w:r>
          </w:p>
        </w:tc>
        <w:tc>
          <w:tcPr>
            <w:tcW w:w="1208" w:type="pct"/>
            <w:shd w:val="clear" w:color="auto" w:fill="C6D9F1"/>
            <w:vAlign w:val="center"/>
          </w:tcPr>
          <w:p w14:paraId="4A7C1A89" w14:textId="77777777" w:rsidR="00630BAC" w:rsidRPr="00DF0D90" w:rsidRDefault="00630BAC" w:rsidP="006D217F">
            <w:pPr>
              <w:spacing w:after="120" w:line="360" w:lineRule="auto"/>
              <w:ind w:firstLine="567"/>
              <w:jc w:val="both"/>
              <w:rPr>
                <w:b/>
              </w:rPr>
            </w:pPr>
            <w:r w:rsidRPr="00DF0D90">
              <w:rPr>
                <w:b/>
              </w:rPr>
              <w:t>Т</w:t>
            </w:r>
          </w:p>
        </w:tc>
        <w:tc>
          <w:tcPr>
            <w:tcW w:w="1208" w:type="pct"/>
            <w:shd w:val="clear" w:color="auto" w:fill="C6D9F1"/>
            <w:vAlign w:val="center"/>
          </w:tcPr>
          <w:p w14:paraId="1612D5A2" w14:textId="77777777" w:rsidR="00630BAC" w:rsidRPr="00DF0D90" w:rsidRDefault="00630BAC" w:rsidP="006D217F">
            <w:pPr>
              <w:spacing w:after="120" w:line="360" w:lineRule="auto"/>
              <w:ind w:firstLine="567"/>
              <w:jc w:val="both"/>
              <w:rPr>
                <w:b/>
              </w:rPr>
            </w:pPr>
            <w:r w:rsidRPr="00DF0D90">
              <w:rPr>
                <w:b/>
                <w:lang w:val="en-US"/>
              </w:rPr>
              <w:t>N</w:t>
            </w:r>
          </w:p>
        </w:tc>
        <w:tc>
          <w:tcPr>
            <w:tcW w:w="1208" w:type="pct"/>
            <w:shd w:val="clear" w:color="auto" w:fill="C6D9F1"/>
            <w:vAlign w:val="center"/>
          </w:tcPr>
          <w:p w14:paraId="6B9A75D9" w14:textId="77777777" w:rsidR="00630BAC" w:rsidRPr="00DF0D90" w:rsidRDefault="00630BAC" w:rsidP="006D217F">
            <w:pPr>
              <w:spacing w:after="120" w:line="360" w:lineRule="auto"/>
              <w:ind w:firstLine="567"/>
              <w:jc w:val="both"/>
              <w:rPr>
                <w:b/>
              </w:rPr>
            </w:pPr>
            <w:r w:rsidRPr="00DF0D90">
              <w:rPr>
                <w:b/>
                <w:lang w:val="en-US"/>
              </w:rPr>
              <w:t>M</w:t>
            </w:r>
          </w:p>
        </w:tc>
      </w:tr>
      <w:tr w:rsidR="00630BAC" w:rsidRPr="00DF0D90" w14:paraId="2D6FEA21" w14:textId="77777777">
        <w:tc>
          <w:tcPr>
            <w:tcW w:w="1376" w:type="pct"/>
          </w:tcPr>
          <w:p w14:paraId="0C7DB320" w14:textId="77777777" w:rsidR="00630BAC" w:rsidRPr="00DF0D90" w:rsidRDefault="00630BAC" w:rsidP="006D217F">
            <w:pPr>
              <w:spacing w:after="120" w:line="360" w:lineRule="auto"/>
              <w:ind w:firstLine="567"/>
              <w:jc w:val="both"/>
            </w:pPr>
            <w:r w:rsidRPr="00DF0D90">
              <w:rPr>
                <w:lang w:val="en-US"/>
              </w:rPr>
              <w:t>IA</w:t>
            </w:r>
          </w:p>
        </w:tc>
        <w:tc>
          <w:tcPr>
            <w:tcW w:w="1208" w:type="pct"/>
          </w:tcPr>
          <w:p w14:paraId="4D4D8C05" w14:textId="77777777" w:rsidR="00630BAC" w:rsidRPr="00DF0D90" w:rsidRDefault="00630BAC" w:rsidP="006D217F">
            <w:pPr>
              <w:spacing w:after="120" w:line="360" w:lineRule="auto"/>
              <w:ind w:firstLine="567"/>
              <w:jc w:val="both"/>
              <w:rPr>
                <w:lang w:val="en-US"/>
              </w:rPr>
            </w:pPr>
            <w:r w:rsidRPr="00DF0D90">
              <w:rPr>
                <w:lang w:val="en-US"/>
              </w:rPr>
              <w:t>T</w:t>
            </w:r>
            <w:r w:rsidRPr="00DF0D90">
              <w:t>1</w:t>
            </w:r>
            <w:r w:rsidRPr="00DF0D90">
              <w:rPr>
                <w:lang w:val="en-US"/>
              </w:rPr>
              <w:t>a</w:t>
            </w:r>
          </w:p>
        </w:tc>
        <w:tc>
          <w:tcPr>
            <w:tcW w:w="1208" w:type="pct"/>
          </w:tcPr>
          <w:p w14:paraId="33017AE7" w14:textId="77777777" w:rsidR="00630BAC" w:rsidRPr="00DF0D90" w:rsidRDefault="00630BAC" w:rsidP="006D217F">
            <w:pPr>
              <w:spacing w:after="120" w:line="360" w:lineRule="auto"/>
              <w:ind w:firstLine="567"/>
              <w:jc w:val="both"/>
            </w:pPr>
            <w:r w:rsidRPr="00DF0D90">
              <w:rPr>
                <w:lang w:val="en-US"/>
              </w:rPr>
              <w:t>N</w:t>
            </w:r>
            <w:r w:rsidRPr="00DF0D90">
              <w:t>0</w:t>
            </w:r>
          </w:p>
        </w:tc>
        <w:tc>
          <w:tcPr>
            <w:tcW w:w="1208" w:type="pct"/>
          </w:tcPr>
          <w:p w14:paraId="5AD4B6A6" w14:textId="77777777" w:rsidR="00630BAC" w:rsidRPr="00DF0D90" w:rsidRDefault="00630BAC" w:rsidP="006D217F">
            <w:pPr>
              <w:spacing w:after="120" w:line="360" w:lineRule="auto"/>
              <w:ind w:firstLine="567"/>
              <w:jc w:val="both"/>
            </w:pPr>
            <w:r w:rsidRPr="00DF0D90">
              <w:rPr>
                <w:lang w:val="en-US"/>
              </w:rPr>
              <w:t>M</w:t>
            </w:r>
            <w:r w:rsidRPr="00DF0D90">
              <w:t>0</w:t>
            </w:r>
          </w:p>
        </w:tc>
      </w:tr>
      <w:tr w:rsidR="00630BAC" w:rsidRPr="00DF0D90" w14:paraId="3EA6F4CE" w14:textId="77777777">
        <w:tc>
          <w:tcPr>
            <w:tcW w:w="1376" w:type="pct"/>
          </w:tcPr>
          <w:p w14:paraId="3975B613" w14:textId="77777777" w:rsidR="00630BAC" w:rsidRPr="00DF0D90" w:rsidRDefault="00630BAC" w:rsidP="006D217F">
            <w:pPr>
              <w:spacing w:after="120" w:line="360" w:lineRule="auto"/>
              <w:ind w:firstLine="567"/>
              <w:jc w:val="both"/>
            </w:pPr>
            <w:r w:rsidRPr="00DF0D90">
              <w:rPr>
                <w:lang w:val="en-US"/>
              </w:rPr>
              <w:t>IB</w:t>
            </w:r>
          </w:p>
        </w:tc>
        <w:tc>
          <w:tcPr>
            <w:tcW w:w="1208" w:type="pct"/>
          </w:tcPr>
          <w:p w14:paraId="73D6D8AE" w14:textId="77777777" w:rsidR="00630BAC" w:rsidRPr="00DF0D90" w:rsidRDefault="00630BAC" w:rsidP="006D217F">
            <w:pPr>
              <w:spacing w:after="120" w:line="360" w:lineRule="auto"/>
              <w:ind w:firstLine="567"/>
              <w:jc w:val="both"/>
              <w:rPr>
                <w:lang w:val="en-US"/>
              </w:rPr>
            </w:pPr>
            <w:r w:rsidRPr="00DF0D90">
              <w:rPr>
                <w:lang w:val="en-US"/>
              </w:rPr>
              <w:t>T</w:t>
            </w:r>
            <w:r w:rsidRPr="00DF0D90">
              <w:t>1</w:t>
            </w:r>
            <w:r w:rsidRPr="00DF0D90">
              <w:rPr>
                <w:lang w:val="en-US"/>
              </w:rPr>
              <w:t>b</w:t>
            </w:r>
          </w:p>
        </w:tc>
        <w:tc>
          <w:tcPr>
            <w:tcW w:w="1208" w:type="pct"/>
          </w:tcPr>
          <w:p w14:paraId="14438CFD" w14:textId="77777777" w:rsidR="00630BAC" w:rsidRPr="00DF0D90" w:rsidRDefault="00630BAC" w:rsidP="006D217F">
            <w:pPr>
              <w:spacing w:after="120" w:line="360" w:lineRule="auto"/>
              <w:ind w:firstLine="567"/>
              <w:jc w:val="both"/>
            </w:pPr>
            <w:r w:rsidRPr="00DF0D90">
              <w:rPr>
                <w:lang w:val="en-US"/>
              </w:rPr>
              <w:t>N</w:t>
            </w:r>
            <w:r w:rsidRPr="00DF0D90">
              <w:t>0</w:t>
            </w:r>
          </w:p>
        </w:tc>
        <w:tc>
          <w:tcPr>
            <w:tcW w:w="1208" w:type="pct"/>
          </w:tcPr>
          <w:p w14:paraId="7E849076" w14:textId="77777777" w:rsidR="00630BAC" w:rsidRPr="00DF0D90" w:rsidRDefault="00630BAC" w:rsidP="006D217F">
            <w:pPr>
              <w:spacing w:after="120" w:line="360" w:lineRule="auto"/>
              <w:ind w:firstLine="567"/>
              <w:jc w:val="both"/>
            </w:pPr>
            <w:r w:rsidRPr="00DF0D90">
              <w:rPr>
                <w:lang w:val="en-US"/>
              </w:rPr>
              <w:t>M</w:t>
            </w:r>
            <w:r w:rsidRPr="00DF0D90">
              <w:t>0</w:t>
            </w:r>
          </w:p>
        </w:tc>
      </w:tr>
      <w:tr w:rsidR="00630BAC" w:rsidRPr="00DF0D90" w14:paraId="400E1118" w14:textId="77777777">
        <w:tc>
          <w:tcPr>
            <w:tcW w:w="1376" w:type="pct"/>
          </w:tcPr>
          <w:p w14:paraId="260A5915" w14:textId="77777777" w:rsidR="00630BAC" w:rsidRPr="00DF0D90" w:rsidRDefault="00630BAC" w:rsidP="006D217F">
            <w:pPr>
              <w:spacing w:after="120" w:line="360" w:lineRule="auto"/>
              <w:ind w:firstLine="567"/>
              <w:jc w:val="both"/>
            </w:pPr>
            <w:r w:rsidRPr="00DF0D90">
              <w:rPr>
                <w:lang w:val="en-US"/>
              </w:rPr>
              <w:t>II</w:t>
            </w:r>
          </w:p>
        </w:tc>
        <w:tc>
          <w:tcPr>
            <w:tcW w:w="1208" w:type="pct"/>
          </w:tcPr>
          <w:p w14:paraId="760830B9" w14:textId="77777777" w:rsidR="00630BAC" w:rsidRPr="00DF0D90" w:rsidRDefault="00630BAC" w:rsidP="006D217F">
            <w:pPr>
              <w:spacing w:after="120" w:line="360" w:lineRule="auto"/>
              <w:ind w:firstLine="567"/>
              <w:jc w:val="both"/>
            </w:pPr>
            <w:r w:rsidRPr="00DF0D90">
              <w:rPr>
                <w:lang w:val="en-US"/>
              </w:rPr>
              <w:t>T</w:t>
            </w:r>
            <w:r w:rsidRPr="00DF0D90">
              <w:t>2</w:t>
            </w:r>
          </w:p>
        </w:tc>
        <w:tc>
          <w:tcPr>
            <w:tcW w:w="1208" w:type="pct"/>
          </w:tcPr>
          <w:p w14:paraId="33422EF5" w14:textId="77777777" w:rsidR="00630BAC" w:rsidRPr="00DF0D90" w:rsidRDefault="00630BAC" w:rsidP="006D217F">
            <w:pPr>
              <w:spacing w:after="120" w:line="360" w:lineRule="auto"/>
              <w:ind w:firstLine="567"/>
              <w:jc w:val="both"/>
            </w:pPr>
            <w:r w:rsidRPr="00DF0D90">
              <w:rPr>
                <w:lang w:val="en-US"/>
              </w:rPr>
              <w:t>N</w:t>
            </w:r>
            <w:r w:rsidRPr="00DF0D90">
              <w:t>0</w:t>
            </w:r>
          </w:p>
        </w:tc>
        <w:tc>
          <w:tcPr>
            <w:tcW w:w="1208" w:type="pct"/>
          </w:tcPr>
          <w:p w14:paraId="0D102953" w14:textId="77777777" w:rsidR="00630BAC" w:rsidRPr="00DF0D90" w:rsidRDefault="00630BAC" w:rsidP="006D217F">
            <w:pPr>
              <w:spacing w:after="120" w:line="360" w:lineRule="auto"/>
              <w:ind w:firstLine="567"/>
              <w:jc w:val="both"/>
            </w:pPr>
            <w:r w:rsidRPr="00DF0D90">
              <w:rPr>
                <w:lang w:val="en-US"/>
              </w:rPr>
              <w:t>M</w:t>
            </w:r>
            <w:r w:rsidRPr="00DF0D90">
              <w:t>0</w:t>
            </w:r>
          </w:p>
        </w:tc>
      </w:tr>
      <w:tr w:rsidR="00630BAC" w:rsidRPr="00DF0D90" w14:paraId="08CE8A45" w14:textId="77777777">
        <w:tc>
          <w:tcPr>
            <w:tcW w:w="1376" w:type="pct"/>
          </w:tcPr>
          <w:p w14:paraId="76B2AB8B" w14:textId="77777777" w:rsidR="00630BAC" w:rsidRPr="00DF0D90" w:rsidRDefault="00630BAC" w:rsidP="006D217F">
            <w:pPr>
              <w:spacing w:after="120" w:line="360" w:lineRule="auto"/>
              <w:ind w:firstLine="567"/>
              <w:jc w:val="both"/>
              <w:rPr>
                <w:lang w:val="en-US"/>
              </w:rPr>
            </w:pPr>
            <w:r w:rsidRPr="00DF0D90">
              <w:rPr>
                <w:lang w:val="en-US"/>
              </w:rPr>
              <w:t>IIIA</w:t>
            </w:r>
          </w:p>
        </w:tc>
        <w:tc>
          <w:tcPr>
            <w:tcW w:w="1208" w:type="pct"/>
          </w:tcPr>
          <w:p w14:paraId="3F6BEDEE" w14:textId="77777777" w:rsidR="00630BAC" w:rsidRPr="00DF0D90" w:rsidRDefault="00630BAC" w:rsidP="006D217F">
            <w:pPr>
              <w:spacing w:after="120" w:line="360" w:lineRule="auto"/>
              <w:ind w:firstLine="567"/>
              <w:jc w:val="both"/>
              <w:rPr>
                <w:lang w:val="en-US"/>
              </w:rPr>
            </w:pPr>
            <w:r w:rsidRPr="00DF0D90">
              <w:rPr>
                <w:lang w:val="en-US"/>
              </w:rPr>
              <w:t>T3</w:t>
            </w:r>
          </w:p>
        </w:tc>
        <w:tc>
          <w:tcPr>
            <w:tcW w:w="1208" w:type="pct"/>
          </w:tcPr>
          <w:p w14:paraId="2A9395CF" w14:textId="77777777" w:rsidR="00630BAC" w:rsidRPr="00DF0D90" w:rsidRDefault="00630BAC" w:rsidP="006D217F">
            <w:pPr>
              <w:spacing w:after="120" w:line="360" w:lineRule="auto"/>
              <w:ind w:firstLine="567"/>
              <w:jc w:val="both"/>
              <w:rPr>
                <w:lang w:val="en-US"/>
              </w:rPr>
            </w:pPr>
            <w:r w:rsidRPr="00DF0D90">
              <w:rPr>
                <w:lang w:val="en-US"/>
              </w:rPr>
              <w:t>N0</w:t>
            </w:r>
          </w:p>
        </w:tc>
        <w:tc>
          <w:tcPr>
            <w:tcW w:w="1208" w:type="pct"/>
          </w:tcPr>
          <w:p w14:paraId="7AE6F193" w14:textId="77777777" w:rsidR="00630BAC" w:rsidRPr="00DF0D90" w:rsidRDefault="00630BAC" w:rsidP="006D217F">
            <w:pPr>
              <w:spacing w:after="120" w:line="360" w:lineRule="auto"/>
              <w:ind w:firstLine="567"/>
              <w:jc w:val="both"/>
              <w:rPr>
                <w:lang w:val="en-US"/>
              </w:rPr>
            </w:pPr>
            <w:r w:rsidRPr="00DF0D90">
              <w:rPr>
                <w:lang w:val="en-US"/>
              </w:rPr>
              <w:t>M0</w:t>
            </w:r>
          </w:p>
        </w:tc>
      </w:tr>
      <w:tr w:rsidR="00630BAC" w:rsidRPr="00DF0D90" w14:paraId="159822C9" w14:textId="77777777">
        <w:tc>
          <w:tcPr>
            <w:tcW w:w="1376" w:type="pct"/>
          </w:tcPr>
          <w:p w14:paraId="769B21E6" w14:textId="77777777" w:rsidR="00630BAC" w:rsidRPr="00DF0D90" w:rsidRDefault="00630BAC" w:rsidP="006D217F">
            <w:pPr>
              <w:spacing w:after="120" w:line="360" w:lineRule="auto"/>
              <w:ind w:firstLine="567"/>
              <w:jc w:val="both"/>
              <w:rPr>
                <w:lang w:val="en-US"/>
              </w:rPr>
            </w:pPr>
            <w:r w:rsidRPr="00DF0D90">
              <w:rPr>
                <w:lang w:val="en-US"/>
              </w:rPr>
              <w:t>IIIB</w:t>
            </w:r>
          </w:p>
        </w:tc>
        <w:tc>
          <w:tcPr>
            <w:tcW w:w="1208" w:type="pct"/>
          </w:tcPr>
          <w:p w14:paraId="38707488" w14:textId="77777777" w:rsidR="00630BAC" w:rsidRPr="00DF0D90" w:rsidRDefault="00630BAC" w:rsidP="006D217F">
            <w:pPr>
              <w:spacing w:after="120" w:line="360" w:lineRule="auto"/>
              <w:ind w:firstLine="567"/>
              <w:jc w:val="both"/>
              <w:rPr>
                <w:lang w:val="en-US"/>
              </w:rPr>
            </w:pPr>
            <w:r w:rsidRPr="00DF0D90">
              <w:rPr>
                <w:lang w:val="en-US"/>
              </w:rPr>
              <w:t>T4</w:t>
            </w:r>
          </w:p>
        </w:tc>
        <w:tc>
          <w:tcPr>
            <w:tcW w:w="1208" w:type="pct"/>
          </w:tcPr>
          <w:p w14:paraId="4D336889" w14:textId="77777777" w:rsidR="00630BAC" w:rsidRPr="00DF0D90" w:rsidRDefault="00630BAC" w:rsidP="006D217F">
            <w:pPr>
              <w:spacing w:after="120" w:line="360" w:lineRule="auto"/>
              <w:ind w:firstLine="567"/>
              <w:jc w:val="both"/>
              <w:rPr>
                <w:lang w:val="en-US"/>
              </w:rPr>
            </w:pPr>
            <w:r w:rsidRPr="00DF0D90">
              <w:rPr>
                <w:lang w:val="en-US"/>
              </w:rPr>
              <w:t>N0</w:t>
            </w:r>
          </w:p>
        </w:tc>
        <w:tc>
          <w:tcPr>
            <w:tcW w:w="1208" w:type="pct"/>
          </w:tcPr>
          <w:p w14:paraId="483E3586" w14:textId="77777777" w:rsidR="00630BAC" w:rsidRPr="00DF0D90" w:rsidRDefault="00630BAC" w:rsidP="006D217F">
            <w:pPr>
              <w:spacing w:after="120" w:line="360" w:lineRule="auto"/>
              <w:ind w:firstLine="567"/>
              <w:jc w:val="both"/>
              <w:rPr>
                <w:lang w:val="en-US"/>
              </w:rPr>
            </w:pPr>
            <w:r w:rsidRPr="00DF0D90">
              <w:rPr>
                <w:lang w:val="en-US"/>
              </w:rPr>
              <w:t>M0</w:t>
            </w:r>
          </w:p>
        </w:tc>
      </w:tr>
      <w:tr w:rsidR="00630BAC" w:rsidRPr="00DF0D90" w14:paraId="1BA8F0C8" w14:textId="77777777">
        <w:trPr>
          <w:trHeight w:val="309"/>
        </w:trPr>
        <w:tc>
          <w:tcPr>
            <w:tcW w:w="1376" w:type="pct"/>
          </w:tcPr>
          <w:p w14:paraId="087B28FA" w14:textId="77777777" w:rsidR="00630BAC" w:rsidRPr="00DF0D90" w:rsidRDefault="00630BAC" w:rsidP="006D217F">
            <w:pPr>
              <w:spacing w:after="120" w:line="360" w:lineRule="auto"/>
              <w:ind w:firstLine="567"/>
              <w:jc w:val="both"/>
              <w:rPr>
                <w:lang w:val="en-US"/>
              </w:rPr>
            </w:pPr>
            <w:r w:rsidRPr="00DF0D90">
              <w:rPr>
                <w:lang w:val="en-US"/>
              </w:rPr>
              <w:t>IVА</w:t>
            </w:r>
          </w:p>
        </w:tc>
        <w:tc>
          <w:tcPr>
            <w:tcW w:w="1208" w:type="pct"/>
          </w:tcPr>
          <w:p w14:paraId="77DFBBE2" w14:textId="77777777" w:rsidR="00630BAC" w:rsidRPr="00DF0D90" w:rsidRDefault="00630BAC" w:rsidP="006D217F">
            <w:pPr>
              <w:spacing w:after="120" w:line="360" w:lineRule="auto"/>
              <w:ind w:firstLine="567"/>
              <w:jc w:val="both"/>
            </w:pPr>
            <w:r w:rsidRPr="00DF0D90">
              <w:t>Любая Т</w:t>
            </w:r>
          </w:p>
        </w:tc>
        <w:tc>
          <w:tcPr>
            <w:tcW w:w="1208" w:type="pct"/>
          </w:tcPr>
          <w:p w14:paraId="5D37CEBA" w14:textId="77777777" w:rsidR="00630BAC" w:rsidRPr="00DF0D90" w:rsidRDefault="00630BAC" w:rsidP="006D217F">
            <w:pPr>
              <w:spacing w:after="120" w:line="360" w:lineRule="auto"/>
              <w:ind w:firstLine="567"/>
              <w:jc w:val="both"/>
              <w:rPr>
                <w:lang w:val="en-US"/>
              </w:rPr>
            </w:pPr>
            <w:r w:rsidRPr="00DF0D90">
              <w:rPr>
                <w:lang w:val="en-US"/>
              </w:rPr>
              <w:t>N</w:t>
            </w:r>
            <w:r w:rsidRPr="00DF0D90">
              <w:t>1</w:t>
            </w:r>
          </w:p>
        </w:tc>
        <w:tc>
          <w:tcPr>
            <w:tcW w:w="1208" w:type="pct"/>
          </w:tcPr>
          <w:p w14:paraId="410298B3" w14:textId="77777777" w:rsidR="00630BAC" w:rsidRPr="00DF0D90" w:rsidRDefault="00630BAC" w:rsidP="006D217F">
            <w:pPr>
              <w:spacing w:after="120" w:line="360" w:lineRule="auto"/>
              <w:ind w:firstLine="567"/>
              <w:jc w:val="both"/>
              <w:rPr>
                <w:lang w:val="en-US"/>
              </w:rPr>
            </w:pPr>
            <w:r w:rsidRPr="00DF0D90">
              <w:rPr>
                <w:lang w:val="en-US"/>
              </w:rPr>
              <w:t>M0</w:t>
            </w:r>
          </w:p>
        </w:tc>
      </w:tr>
      <w:tr w:rsidR="00630BAC" w:rsidRPr="00DF0D90" w14:paraId="65326CA6" w14:textId="77777777">
        <w:tc>
          <w:tcPr>
            <w:tcW w:w="1376" w:type="pct"/>
          </w:tcPr>
          <w:p w14:paraId="3B29F5C2" w14:textId="77777777" w:rsidR="00630BAC" w:rsidRPr="00DF0D90" w:rsidRDefault="00630BAC" w:rsidP="006D217F">
            <w:pPr>
              <w:spacing w:after="120" w:line="360" w:lineRule="auto"/>
              <w:ind w:firstLine="567"/>
              <w:jc w:val="both"/>
              <w:rPr>
                <w:lang w:val="en-US"/>
              </w:rPr>
            </w:pPr>
            <w:r w:rsidRPr="00DF0D90">
              <w:rPr>
                <w:lang w:val="en-US"/>
              </w:rPr>
              <w:t>IVВ</w:t>
            </w:r>
          </w:p>
        </w:tc>
        <w:tc>
          <w:tcPr>
            <w:tcW w:w="1208" w:type="pct"/>
          </w:tcPr>
          <w:p w14:paraId="53C5E9CB" w14:textId="77777777" w:rsidR="00630BAC" w:rsidRPr="00DF0D90" w:rsidRDefault="00630BAC" w:rsidP="006D217F">
            <w:pPr>
              <w:spacing w:after="120" w:line="360" w:lineRule="auto"/>
              <w:ind w:firstLine="567"/>
              <w:jc w:val="both"/>
              <w:rPr>
                <w:lang w:val="en-US"/>
              </w:rPr>
            </w:pPr>
            <w:r w:rsidRPr="00DF0D90">
              <w:t>Любая Т</w:t>
            </w:r>
          </w:p>
        </w:tc>
        <w:tc>
          <w:tcPr>
            <w:tcW w:w="1208" w:type="pct"/>
          </w:tcPr>
          <w:p w14:paraId="6AA6F42C" w14:textId="77777777" w:rsidR="00630BAC" w:rsidRPr="00DF0D90" w:rsidRDefault="00630BAC" w:rsidP="006D217F">
            <w:pPr>
              <w:spacing w:after="120" w:line="360" w:lineRule="auto"/>
              <w:ind w:firstLine="567"/>
              <w:jc w:val="both"/>
              <w:rPr>
                <w:lang w:val="en-US"/>
              </w:rPr>
            </w:pPr>
            <w:r w:rsidRPr="00DF0D90">
              <w:t>Любая</w:t>
            </w:r>
            <w:r w:rsidRPr="00DF0D90">
              <w:rPr>
                <w:lang w:val="en-US"/>
              </w:rPr>
              <w:t>N</w:t>
            </w:r>
          </w:p>
        </w:tc>
        <w:tc>
          <w:tcPr>
            <w:tcW w:w="1208" w:type="pct"/>
          </w:tcPr>
          <w:p w14:paraId="21F23D9D" w14:textId="77777777" w:rsidR="00630BAC" w:rsidRPr="00DF0D90" w:rsidRDefault="00630BAC" w:rsidP="006D217F">
            <w:pPr>
              <w:spacing w:after="120" w:line="360" w:lineRule="auto"/>
              <w:ind w:firstLine="567"/>
              <w:jc w:val="both"/>
              <w:rPr>
                <w:lang w:val="en-US"/>
              </w:rPr>
            </w:pPr>
            <w:r w:rsidRPr="00DF0D90">
              <w:rPr>
                <w:lang w:val="en-US"/>
              </w:rPr>
              <w:t>M1</w:t>
            </w:r>
          </w:p>
        </w:tc>
      </w:tr>
    </w:tbl>
    <w:p w14:paraId="5A7F1A7C" w14:textId="77777777" w:rsidR="00697BE7" w:rsidRPr="00DF0D90" w:rsidRDefault="00697BE7" w:rsidP="006D217F">
      <w:pPr>
        <w:spacing w:after="120" w:line="360" w:lineRule="auto"/>
        <w:ind w:firstLine="567"/>
        <w:jc w:val="both"/>
        <w:rPr>
          <w:b/>
          <w:bCs/>
        </w:rPr>
      </w:pPr>
      <w:bookmarkStart w:id="45" w:name="_Toc467601697"/>
    </w:p>
    <w:p w14:paraId="5927DC64" w14:textId="77777777" w:rsidR="00630BAC" w:rsidRPr="00DF0D90" w:rsidRDefault="00630BAC" w:rsidP="006D217F">
      <w:pPr>
        <w:spacing w:after="120" w:line="360" w:lineRule="auto"/>
        <w:ind w:firstLine="567"/>
        <w:jc w:val="both"/>
        <w:rPr>
          <w:b/>
          <w:bCs/>
        </w:rPr>
      </w:pPr>
      <w:r w:rsidRPr="00DF0D90">
        <w:rPr>
          <w:b/>
          <w:bCs/>
        </w:rPr>
        <w:t>Стадирование по Барселонской системе</w:t>
      </w:r>
    </w:p>
    <w:p w14:paraId="693EBDE5" w14:textId="0F869D86" w:rsidR="00630BAC" w:rsidRPr="00DF0D90" w:rsidRDefault="006D217F" w:rsidP="006D217F">
      <w:pPr>
        <w:tabs>
          <w:tab w:val="left" w:pos="284"/>
          <w:tab w:val="left" w:pos="426"/>
          <w:tab w:val="left" w:pos="709"/>
          <w:tab w:val="left" w:pos="851"/>
        </w:tabs>
        <w:spacing w:after="120" w:line="360" w:lineRule="auto"/>
        <w:ind w:firstLine="567"/>
        <w:jc w:val="both"/>
        <w:rPr>
          <w:spacing w:val="-2"/>
        </w:rPr>
      </w:pPr>
      <w:r w:rsidRPr="00DF0D90">
        <w:rPr>
          <w:bCs/>
          <w:spacing w:val="-2"/>
        </w:rPr>
        <w:tab/>
      </w:r>
      <w:r w:rsidR="00630BAC" w:rsidRPr="00DF0D90">
        <w:rPr>
          <w:bCs/>
          <w:spacing w:val="-2"/>
        </w:rPr>
        <w:t>Барселонская система стадирования</w:t>
      </w:r>
      <w:r w:rsidR="00630BAC" w:rsidRPr="00DF0D90">
        <w:rPr>
          <w:spacing w:val="-2"/>
        </w:rPr>
        <w:t xml:space="preserve"> рака печени (</w:t>
      </w:r>
      <w:proofErr w:type="spellStart"/>
      <w:r w:rsidR="00630BAC" w:rsidRPr="00DF0D90">
        <w:rPr>
          <w:spacing w:val="-2"/>
        </w:rPr>
        <w:t>Barcelona</w:t>
      </w:r>
      <w:proofErr w:type="spellEnd"/>
      <w:r w:rsidR="00630BAC" w:rsidRPr="00DF0D90">
        <w:rPr>
          <w:spacing w:val="-2"/>
        </w:rPr>
        <w:t xml:space="preserve"> </w:t>
      </w:r>
      <w:proofErr w:type="spellStart"/>
      <w:r w:rsidR="00630BAC" w:rsidRPr="00DF0D90">
        <w:rPr>
          <w:spacing w:val="-2"/>
        </w:rPr>
        <w:t>Clinic</w:t>
      </w:r>
      <w:proofErr w:type="spellEnd"/>
      <w:r w:rsidR="00630BAC" w:rsidRPr="00DF0D90">
        <w:rPr>
          <w:spacing w:val="-2"/>
        </w:rPr>
        <w:t xml:space="preserve"> </w:t>
      </w:r>
      <w:proofErr w:type="spellStart"/>
      <w:r w:rsidR="00630BAC" w:rsidRPr="00DF0D90">
        <w:rPr>
          <w:spacing w:val="-2"/>
        </w:rPr>
        <w:t>Liver</w:t>
      </w:r>
      <w:proofErr w:type="spellEnd"/>
      <w:r w:rsidR="00630BAC" w:rsidRPr="00DF0D90">
        <w:rPr>
          <w:spacing w:val="-2"/>
        </w:rPr>
        <w:t xml:space="preserve"> </w:t>
      </w:r>
      <w:proofErr w:type="spellStart"/>
      <w:r w:rsidR="00630BAC" w:rsidRPr="00DF0D90">
        <w:rPr>
          <w:spacing w:val="-2"/>
        </w:rPr>
        <w:t>Cancer</w:t>
      </w:r>
      <w:proofErr w:type="spellEnd"/>
      <w:r w:rsidR="00630BAC" w:rsidRPr="00DF0D90">
        <w:rPr>
          <w:spacing w:val="-2"/>
        </w:rPr>
        <w:t xml:space="preserve"> (BCLC) </w:t>
      </w:r>
      <w:proofErr w:type="spellStart"/>
      <w:r w:rsidR="00630BAC" w:rsidRPr="00DF0D90">
        <w:rPr>
          <w:spacing w:val="-2"/>
        </w:rPr>
        <w:t>classification</w:t>
      </w:r>
      <w:proofErr w:type="spellEnd"/>
      <w:r w:rsidR="00630BAC" w:rsidRPr="00DF0D90">
        <w:rPr>
          <w:spacing w:val="-2"/>
        </w:rPr>
        <w:t xml:space="preserve">) – наиболее часто используемая классификация ГЦР, которая учитывает распространенность опухолевого процесса, функциональное состояние печени, объективное состояние </w:t>
      </w:r>
      <w:r w:rsidR="00716ADB" w:rsidRPr="00DF0D90">
        <w:rPr>
          <w:spacing w:val="-2"/>
        </w:rPr>
        <w:t>пациента</w:t>
      </w:r>
      <w:r w:rsidR="00E06FCA" w:rsidRPr="00DF0D90">
        <w:rPr>
          <w:spacing w:val="-2"/>
        </w:rPr>
        <w:t xml:space="preserve"> </w:t>
      </w:r>
      <w:r w:rsidR="00630BAC" w:rsidRPr="00DF0D90">
        <w:rPr>
          <w:spacing w:val="-2"/>
        </w:rPr>
        <w:t>и предполагаемую эффективность лечения (см. рисунок</w:t>
      </w:r>
      <w:r w:rsidR="000952B5" w:rsidRPr="00DF0D90">
        <w:rPr>
          <w:spacing w:val="-2"/>
        </w:rPr>
        <w:t xml:space="preserve"> А1</w:t>
      </w:r>
      <w:r w:rsidR="005C7163" w:rsidRPr="00DF0D90">
        <w:rPr>
          <w:spacing w:val="-2"/>
        </w:rPr>
        <w:t xml:space="preserve"> </w:t>
      </w:r>
      <w:r w:rsidR="000952B5" w:rsidRPr="00DF0D90">
        <w:rPr>
          <w:spacing w:val="-2"/>
        </w:rPr>
        <w:t>в приложении А3</w:t>
      </w:r>
      <w:r w:rsidR="00630BAC" w:rsidRPr="00DF0D90">
        <w:rPr>
          <w:spacing w:val="-2"/>
        </w:rPr>
        <w:t xml:space="preserve">) </w:t>
      </w:r>
      <w:r w:rsidR="00E8134C" w:rsidRPr="00DF0D90">
        <w:rPr>
          <w:spacing w:val="-2"/>
        </w:rPr>
        <w:fldChar w:fldCharType="begin" w:fldLock="1"/>
      </w:r>
      <w:r w:rsidR="00E8134C" w:rsidRPr="00DF0D90">
        <w:rPr>
          <w:spacing w:val="-2"/>
        </w:rPr>
        <w:instrText>ADDIN CSL_CITATION {"citationItems":[{"id":"ITEM-1","itemData":{"DOI":"10.1016/j.jhep.2018.03.019","ISSN":"16000641","PMID":"29628281","author":[{"dropping-particle":"","family":"Galle","given":"Peter R.","non-dropping-particle":"","parse-names":false,"suffix":""},{"dropping-particle":"","family":"Forner","given":"Alejandro","non-dropping-particle":"","parse-names":false,"suffix":""},{"dropping-particle":"","family":"Llovet","given":"Josep M.","non-dropping-particle":"","parse-names":false,"suffix":""},{"dropping-particle":"","family":"Mazzaferro","given":"Vincenzo","non-dropping-particle":"","parse-names":false,"suffix":""},{"dropping-particle":"","family":"Piscaglia","given":"Fabio","non-dropping-particle":"","parse-names":false,"suffix":""},{"dropping-particle":"","family":"Raoul","given":"Jean Luc","non-dropping-particle":"","parse-names":false,"suffix":""},{"dropping-particle":"","family":"Schirmacher","given":"Peter","non-dropping-particle":"","parse-names":false,"suffix":""},{"dropping-particle":"","family":"Vilgrain","given":"Valérie","non-dropping-particle":"","parse-names":false,"suffix":""}],"container-title":"Journal of Hepatology","id":"ITEM-1","issue":"1","issued":{"date-parts":[["2018","7","1"]]},"page":"182-236","publisher":"Elsevier B.V.","title":"EASL Clinical Practice Guidelines: Management of hepatocellular carcinoma","type":"article-journal","volume":"69"},"uris":["http://www.mendeley.com/documents/?uuid=055ddbc3-5b48-34fb-b03b-bdc43880d69c"]}],"mendeley":{"formattedCitation":"[6]","plainTextFormattedCitation":"[6]","previouslyFormattedCitation":"[6]"},"properties":{"noteIndex":0},"schema":"https://github.com/citation-style-language/schema/raw/master/csl-citation.json"}</w:instrText>
      </w:r>
      <w:r w:rsidR="00E8134C" w:rsidRPr="00DF0D90">
        <w:rPr>
          <w:spacing w:val="-2"/>
        </w:rPr>
        <w:fldChar w:fldCharType="separate"/>
      </w:r>
      <w:r w:rsidR="00E8134C" w:rsidRPr="00DF0D90">
        <w:rPr>
          <w:noProof/>
          <w:spacing w:val="-2"/>
        </w:rPr>
        <w:t>[6]</w:t>
      </w:r>
      <w:r w:rsidR="00E8134C" w:rsidRPr="00DF0D90">
        <w:rPr>
          <w:spacing w:val="-2"/>
        </w:rPr>
        <w:fldChar w:fldCharType="end"/>
      </w:r>
      <w:r w:rsidR="00630BAC" w:rsidRPr="00DF0D90">
        <w:rPr>
          <w:spacing w:val="-2"/>
        </w:rPr>
        <w:t xml:space="preserve">. </w:t>
      </w:r>
    </w:p>
    <w:p w14:paraId="2707E4AB" w14:textId="465FB92D" w:rsidR="00427638" w:rsidRPr="00DF0D90" w:rsidRDefault="006D217F" w:rsidP="006D217F">
      <w:pPr>
        <w:tabs>
          <w:tab w:val="left" w:pos="284"/>
          <w:tab w:val="left" w:pos="426"/>
          <w:tab w:val="left" w:pos="709"/>
          <w:tab w:val="left" w:pos="851"/>
        </w:tabs>
        <w:spacing w:after="120" w:line="360" w:lineRule="auto"/>
        <w:ind w:firstLine="567"/>
        <w:jc w:val="both"/>
        <w:rPr>
          <w:b/>
        </w:rPr>
      </w:pPr>
      <w:r w:rsidRPr="00DF0D90">
        <w:tab/>
      </w:r>
      <w:r w:rsidR="00630BAC" w:rsidRPr="00DF0D90">
        <w:t>Выделяют 5 стадий: от 0 – очень ранней</w:t>
      </w:r>
      <w:r w:rsidR="00E06FCA" w:rsidRPr="00DF0D90">
        <w:t xml:space="preserve"> </w:t>
      </w:r>
      <w:r w:rsidR="00630BAC" w:rsidRPr="00DF0D90">
        <w:t>и А – ранней до D – терминальной. Стадии по</w:t>
      </w:r>
      <w:r w:rsidR="00E06FCA" w:rsidRPr="00DF0D90">
        <w:t xml:space="preserve"> </w:t>
      </w:r>
      <w:r w:rsidR="00630BAC" w:rsidRPr="00DF0D90">
        <w:rPr>
          <w:lang w:val="en-US"/>
        </w:rPr>
        <w:t>BCLC</w:t>
      </w:r>
      <w:r w:rsidR="00630BAC" w:rsidRPr="00DF0D90">
        <w:t>, равно как прогноз заболевания и тактика лечения, могут меняться при прогрессировании заболевания</w:t>
      </w:r>
      <w:r w:rsidR="00E06FCA" w:rsidRPr="00DF0D90">
        <w:t xml:space="preserve"> </w:t>
      </w:r>
      <w:r w:rsidR="00630BAC" w:rsidRPr="00DF0D90">
        <w:t xml:space="preserve">либо эффективном лечении. Следует отметить </w:t>
      </w:r>
      <w:r w:rsidR="00630BAC" w:rsidRPr="00DF0D90">
        <w:lastRenderedPageBreak/>
        <w:t xml:space="preserve">прогностическую значимость классификации для </w:t>
      </w:r>
      <w:r w:rsidR="00716ADB" w:rsidRPr="00DF0D90">
        <w:t>пациентов с</w:t>
      </w:r>
      <w:r w:rsidR="00E06FCA" w:rsidRPr="00DF0D90">
        <w:t xml:space="preserve"> </w:t>
      </w:r>
      <w:r w:rsidR="00630BAC" w:rsidRPr="00DF0D90">
        <w:t xml:space="preserve">ГЦР безотносительно наличия цирроза печени. Важная особенность этой классификации в том, что в ней предложен алгоритм лечения в зависимости от стадии заболевания. </w:t>
      </w:r>
      <w:r w:rsidR="00E8134C" w:rsidRPr="00DF0D90">
        <w:fldChar w:fldCharType="begin" w:fldLock="1"/>
      </w:r>
      <w:r w:rsidR="00E8134C" w:rsidRPr="00DF0D90">
        <w:instrText>ADDIN CSL_CITATION {"citationItems":[{"id":"ITEM-1","itemData":{"DOI":"10.1016/S0140-6736(18)30010-2","ISSN":"1474547X","PMID":"29307467","abstract":"Hepatocellular carcinoma appears frequently in patients with cirrhosis. Surveillance by biannual ultrasound is recommended for such patients because it allows diagnosis at an early stage, when effective therapies are feasible. The best candidates for resection are patients with a solitary tumour and preserved liver function. Liver transplantation benefits patients who are not good candidates for surgical resection, and the best candidates are those within Milan criteria (solitary tumour ≤5 cm or up to three nodules ≤3 cm). Image-guided ablation is the most frequently used therapeutic strategy, but its efficacy is limited by the size of the tumour and its localisation. Chemoembolisation has survival benefit in asymptomatic patients with multifocal disease without vascular invasion or extrahepatic spread. Finally, sorafenib, lenvatinib, which is non-inferior to sorafenib, and regorafenib increase survival and are the standard treatments in advanced hepatocellular carcinoma. This Seminar summarises the scientific evidence that supports the current recommendations for clinical practice, and discusses the areas in which more research is needed.","author":[{"dropping-particle":"","family":"Forner","given":"Alejandro","non-dropping-particle":"","parse-names":false,"suffix":""},{"dropping-particle":"","family":"Reig","given":"María","non-dropping-particle":"","parse-names":false,"suffix":""},{"dropping-particle":"","family":"Bruix","given":"Jordi","non-dropping-particle":"","parse-names":false,"suffix":""}],"container-title":"The Lancet","id":"ITEM-1","issue":"10127","issued":{"date-parts":[["2018","3","31"]]},"page":"1301-1314","publisher":"Lancet Publishing Group","title":"Hepatocellular carcinoma","type":"article","volume":"391"},"uris":["http://www.mendeley.com/documents/?uuid=37999be8-613d-3e3d-8060-e8b96c36e91d"]}],"mendeley":{"formattedCitation":"[7]","plainTextFormattedCitation":"[7]","previouslyFormattedCitation":"[7]"},"properties":{"noteIndex":0},"schema":"https://github.com/citation-style-language/schema/raw/master/csl-citation.json"}</w:instrText>
      </w:r>
      <w:r w:rsidR="00E8134C" w:rsidRPr="00DF0D90">
        <w:fldChar w:fldCharType="separate"/>
      </w:r>
      <w:r w:rsidR="00E8134C" w:rsidRPr="00DF0D90">
        <w:rPr>
          <w:noProof/>
        </w:rPr>
        <w:t>[7]</w:t>
      </w:r>
      <w:r w:rsidR="00E8134C" w:rsidRPr="00DF0D90">
        <w:fldChar w:fldCharType="end"/>
      </w:r>
      <w:r w:rsidR="00630BAC" w:rsidRPr="00DF0D90">
        <w:t>.</w:t>
      </w:r>
      <w:r w:rsidR="000952B5" w:rsidRPr="00DF0D90">
        <w:rPr>
          <w:b/>
        </w:rPr>
        <w:tab/>
      </w:r>
      <w:r w:rsidR="000952B5" w:rsidRPr="00DF0D90">
        <w:rPr>
          <w:b/>
        </w:rPr>
        <w:tab/>
      </w:r>
      <w:r w:rsidR="000952B5" w:rsidRPr="00DF0D90">
        <w:rPr>
          <w:b/>
        </w:rPr>
        <w:tab/>
      </w:r>
    </w:p>
    <w:p w14:paraId="556C5A1C" w14:textId="77777777" w:rsidR="003A79E3" w:rsidRPr="00DF0D90" w:rsidRDefault="003A79E3" w:rsidP="003A79E3">
      <w:pPr>
        <w:autoSpaceDE w:val="0"/>
        <w:autoSpaceDN w:val="0"/>
        <w:adjustRightInd w:val="0"/>
        <w:spacing w:line="360" w:lineRule="auto"/>
        <w:ind w:left="142" w:hanging="142"/>
        <w:jc w:val="both"/>
        <w:rPr>
          <w:rFonts w:eastAsia="BlissPro-Light"/>
        </w:rPr>
      </w:pPr>
      <w:r w:rsidRPr="00DF0D90">
        <w:rPr>
          <w:rFonts w:eastAsia="BlissPro-Light"/>
        </w:rPr>
        <w:t xml:space="preserve">• Очень ранняя стадия (BCLC 0) — </w:t>
      </w:r>
      <w:proofErr w:type="spellStart"/>
      <w:r w:rsidRPr="00DF0D90">
        <w:rPr>
          <w:rFonts w:eastAsia="BlissPro-Light"/>
        </w:rPr>
        <w:t>солитарная</w:t>
      </w:r>
      <w:proofErr w:type="spellEnd"/>
      <w:r w:rsidRPr="00DF0D90">
        <w:rPr>
          <w:rFonts w:eastAsia="BlissPro-Light"/>
        </w:rPr>
        <w:t xml:space="preserve"> опухоль менее 2 см в диаметре при сохранной функции печени.</w:t>
      </w:r>
    </w:p>
    <w:p w14:paraId="38C9BED6" w14:textId="77777777" w:rsidR="003A79E3" w:rsidRPr="00DF0D90" w:rsidRDefault="003A79E3" w:rsidP="003A79E3">
      <w:pPr>
        <w:autoSpaceDE w:val="0"/>
        <w:autoSpaceDN w:val="0"/>
        <w:adjustRightInd w:val="0"/>
        <w:spacing w:line="360" w:lineRule="auto"/>
        <w:ind w:left="142" w:hanging="142"/>
        <w:jc w:val="both"/>
        <w:rPr>
          <w:rFonts w:eastAsia="BlissPro-Light"/>
        </w:rPr>
      </w:pPr>
      <w:r w:rsidRPr="00DF0D90">
        <w:rPr>
          <w:rFonts w:eastAsia="BlissPro-Light"/>
        </w:rPr>
        <w:t xml:space="preserve">• Ранняя стадия (BCLC A) — это </w:t>
      </w:r>
      <w:proofErr w:type="spellStart"/>
      <w:r w:rsidRPr="00DF0D90">
        <w:rPr>
          <w:rFonts w:eastAsia="BlissPro-Light"/>
        </w:rPr>
        <w:t>солитарная</w:t>
      </w:r>
      <w:proofErr w:type="spellEnd"/>
      <w:r w:rsidRPr="00DF0D90">
        <w:rPr>
          <w:rFonts w:eastAsia="BlissPro-Light"/>
        </w:rPr>
        <w:t xml:space="preserve"> опухоль печени любого размера или не более 3 узлов максимальным размером до 3 см, не распространяющаяся на магистральные сосуды печени, соседние анатомические структуры у больного без опухолеспецифических жалоб, в удовлетворительном объективном состоянии (ECOG 0 баллов) и при сохранной функции печени.</w:t>
      </w:r>
    </w:p>
    <w:p w14:paraId="2EAAE957" w14:textId="77777777" w:rsidR="003A79E3" w:rsidRPr="00DF0D90" w:rsidRDefault="003A79E3" w:rsidP="003A79E3">
      <w:pPr>
        <w:autoSpaceDE w:val="0"/>
        <w:autoSpaceDN w:val="0"/>
        <w:adjustRightInd w:val="0"/>
        <w:spacing w:line="360" w:lineRule="auto"/>
        <w:ind w:left="142" w:hanging="142"/>
        <w:jc w:val="both"/>
        <w:rPr>
          <w:rFonts w:eastAsia="BlissPro-Light"/>
        </w:rPr>
      </w:pPr>
      <w:r w:rsidRPr="00DF0D90">
        <w:rPr>
          <w:rFonts w:eastAsia="BlissPro-Light"/>
        </w:rPr>
        <w:t xml:space="preserve">• Промежуточная стадия (BCLC В) — это случаи изолированного бессимптомного множественного опухолевого поражения печени без </w:t>
      </w:r>
      <w:proofErr w:type="spellStart"/>
      <w:r w:rsidRPr="00DF0D90">
        <w:rPr>
          <w:rFonts w:eastAsia="BlissPro-Light"/>
        </w:rPr>
        <w:t>макрососудистой</w:t>
      </w:r>
      <w:proofErr w:type="spellEnd"/>
      <w:r w:rsidRPr="00DF0D90">
        <w:rPr>
          <w:rFonts w:eastAsia="BlissPro-Light"/>
        </w:rPr>
        <w:t xml:space="preserve"> инвазии, у больных в удовлетворительном состоянии (ECOG 0 баллов) и при сохранной функции печени. Эта стадия разделена на три подгруппы: </w:t>
      </w:r>
      <w:r w:rsidRPr="00DF0D90">
        <w:rPr>
          <w:rFonts w:eastAsia="BlissPro-Light"/>
          <w:lang w:val="en-US"/>
        </w:rPr>
        <w:t>B</w:t>
      </w:r>
      <w:r w:rsidRPr="00DF0D90">
        <w:rPr>
          <w:rFonts w:eastAsia="BlissPro-Light"/>
        </w:rPr>
        <w:t xml:space="preserve">1 с ограниченным внутрипеченочным поражением, имеющая перспективы радикального лечения при уменьшении стадии до BCLC А в результате эффективных </w:t>
      </w:r>
      <w:proofErr w:type="spellStart"/>
      <w:r w:rsidRPr="00DF0D90">
        <w:rPr>
          <w:rFonts w:eastAsia="BlissPro-Light"/>
        </w:rPr>
        <w:t>химиоэмболизации</w:t>
      </w:r>
      <w:proofErr w:type="spellEnd"/>
      <w:r w:rsidRPr="00DF0D90">
        <w:rPr>
          <w:rFonts w:eastAsia="BlissPro-Light"/>
        </w:rPr>
        <w:t xml:space="preserve"> / системного лечения; </w:t>
      </w:r>
      <w:r w:rsidRPr="00DF0D90">
        <w:rPr>
          <w:rFonts w:eastAsia="BlissPro-Light"/>
          <w:lang w:val="en-US"/>
        </w:rPr>
        <w:t>B</w:t>
      </w:r>
      <w:r w:rsidRPr="00DF0D90">
        <w:rPr>
          <w:rFonts w:eastAsia="BlissPro-Light"/>
        </w:rPr>
        <w:t xml:space="preserve">2 – ограниченное мультифокальное поражение и В3-подгруппа с диффузным и / или </w:t>
      </w:r>
      <w:proofErr w:type="gramStart"/>
      <w:r w:rsidRPr="00DF0D90">
        <w:rPr>
          <w:rFonts w:eastAsia="BlissPro-Light"/>
        </w:rPr>
        <w:t>много-очаговым</w:t>
      </w:r>
      <w:proofErr w:type="gramEnd"/>
      <w:r w:rsidRPr="00DF0D90">
        <w:rPr>
          <w:rFonts w:eastAsia="BlissPro-Light"/>
        </w:rPr>
        <w:t xml:space="preserve"> </w:t>
      </w:r>
      <w:proofErr w:type="spellStart"/>
      <w:r w:rsidRPr="00DF0D90">
        <w:rPr>
          <w:rFonts w:eastAsia="BlissPro-Light"/>
        </w:rPr>
        <w:t>билобарным</w:t>
      </w:r>
      <w:proofErr w:type="spellEnd"/>
      <w:r w:rsidRPr="00DF0D90">
        <w:rPr>
          <w:rFonts w:eastAsia="BlissPro-Light"/>
        </w:rPr>
        <w:t xml:space="preserve"> поражением как более подходящая для системной терапии.</w:t>
      </w:r>
    </w:p>
    <w:p w14:paraId="6DC68106" w14:textId="77777777" w:rsidR="003A79E3" w:rsidRPr="00DF0D90" w:rsidRDefault="003A79E3" w:rsidP="003A79E3">
      <w:pPr>
        <w:autoSpaceDE w:val="0"/>
        <w:autoSpaceDN w:val="0"/>
        <w:adjustRightInd w:val="0"/>
        <w:spacing w:line="360" w:lineRule="auto"/>
        <w:ind w:left="142" w:hanging="142"/>
        <w:jc w:val="both"/>
        <w:rPr>
          <w:rFonts w:eastAsia="BlissPro-Light"/>
        </w:rPr>
      </w:pPr>
      <w:r w:rsidRPr="00DF0D90">
        <w:rPr>
          <w:rFonts w:eastAsia="BlissPro-Light"/>
        </w:rPr>
        <w:t>• Распространенная стадия (BCLC С) — объективное состояние (ECOG 0–2 балла) опухоль любого размера в сочетании или без инвазии магистральных печеночных сосудов и / или внепеченочным распространением и при сохранной функции печени.</w:t>
      </w:r>
    </w:p>
    <w:p w14:paraId="7350BBE3" w14:textId="77777777" w:rsidR="003A79E3" w:rsidRPr="00DF0D90" w:rsidRDefault="003A79E3" w:rsidP="003A79E3">
      <w:pPr>
        <w:autoSpaceDE w:val="0"/>
        <w:autoSpaceDN w:val="0"/>
        <w:adjustRightInd w:val="0"/>
        <w:spacing w:line="360" w:lineRule="auto"/>
        <w:ind w:left="142" w:hanging="142"/>
        <w:jc w:val="both"/>
        <w:rPr>
          <w:rFonts w:eastAsia="BlissPro-Light"/>
        </w:rPr>
      </w:pPr>
      <w:r w:rsidRPr="00DF0D90">
        <w:rPr>
          <w:rFonts w:eastAsia="BlissPro-Light"/>
        </w:rPr>
        <w:t>• Терминальная стадия (BCLC D) — случаи заболевания с неудовлетворительным объективным состоянием (опухоль / цирроз), декомпенсированной функцией печени (C</w:t>
      </w:r>
      <w:r w:rsidRPr="00DF0D90">
        <w:rPr>
          <w:rFonts w:eastAsia="BlissPro-Light"/>
          <w:lang w:val="en-US"/>
        </w:rPr>
        <w:t>T</w:t>
      </w:r>
      <w:r w:rsidRPr="00DF0D90">
        <w:rPr>
          <w:rFonts w:eastAsia="BlissPro-Light"/>
        </w:rPr>
        <w:t>P В / С ≥ 8 баллов).</w:t>
      </w:r>
    </w:p>
    <w:p w14:paraId="1C03E1B6" w14:textId="77777777" w:rsidR="003A79E3" w:rsidRPr="00DF0D90" w:rsidRDefault="003A79E3" w:rsidP="006D217F">
      <w:pPr>
        <w:pStyle w:val="2"/>
        <w:spacing w:before="0" w:after="120" w:line="360" w:lineRule="auto"/>
        <w:ind w:firstLine="567"/>
        <w:jc w:val="both"/>
        <w:rPr>
          <w:b w:val="0"/>
          <w:u w:val="none"/>
          <w:lang w:val="ru-RU" w:eastAsia="ru-RU"/>
        </w:rPr>
      </w:pPr>
      <w:bookmarkStart w:id="46" w:name="_Toc98349273"/>
      <w:bookmarkStart w:id="47" w:name="_Toc83293971"/>
    </w:p>
    <w:p w14:paraId="1F502F85" w14:textId="77777777" w:rsidR="003C09D0" w:rsidRPr="00DF0D90" w:rsidRDefault="003D1794" w:rsidP="006D217F">
      <w:pPr>
        <w:pStyle w:val="2"/>
        <w:spacing w:before="0" w:after="120" w:line="360" w:lineRule="auto"/>
        <w:ind w:firstLine="567"/>
        <w:jc w:val="both"/>
      </w:pPr>
      <w:r w:rsidRPr="00917EAB">
        <w:rPr>
          <w:bCs/>
        </w:rPr>
        <w:t>1.6</w:t>
      </w:r>
      <w:r w:rsidRPr="00DF0D90">
        <w:t xml:space="preserve"> Клиническая картина </w:t>
      </w:r>
      <w:r w:rsidR="00325837" w:rsidRPr="00DF0D90">
        <w:t>заболевания или состояни</w:t>
      </w:r>
      <w:r w:rsidR="00325837" w:rsidRPr="00DF0D90">
        <w:rPr>
          <w:lang w:val="ru-RU"/>
        </w:rPr>
        <w:t>я</w:t>
      </w:r>
      <w:r w:rsidR="003C09D0" w:rsidRPr="00DF0D90">
        <w:t xml:space="preserve"> (группы заболеваний или состояний)</w:t>
      </w:r>
      <w:bookmarkEnd w:id="46"/>
      <w:bookmarkEnd w:id="47"/>
    </w:p>
    <w:p w14:paraId="623BD65C" w14:textId="77777777" w:rsidR="003D1794" w:rsidRPr="00DF0D90" w:rsidRDefault="003D1794" w:rsidP="006D217F">
      <w:pPr>
        <w:pStyle w:val="af2"/>
        <w:tabs>
          <w:tab w:val="left" w:pos="284"/>
          <w:tab w:val="left" w:pos="426"/>
          <w:tab w:val="left" w:pos="709"/>
          <w:tab w:val="left" w:pos="851"/>
        </w:tabs>
        <w:spacing w:after="120" w:line="360" w:lineRule="auto"/>
        <w:ind w:left="0" w:firstLine="567"/>
        <w:jc w:val="both"/>
      </w:pPr>
      <w:r w:rsidRPr="00DF0D90">
        <w:t>Клиническая картина, как правило, имеет скрытый характер, не имеет специфических симптомов. Чаще всего ГЦР обнаруживается на более поздних стадиях. Спектр проявлений может определяться фоновым заболеванием печени, циррозом и осложнени</w:t>
      </w:r>
      <w:r w:rsidR="004A3D5C" w:rsidRPr="00DF0D90">
        <w:t>я</w:t>
      </w:r>
      <w:r w:rsidRPr="00DF0D90">
        <w:t>м</w:t>
      </w:r>
      <w:r w:rsidR="004A3D5C" w:rsidRPr="00DF0D90">
        <w:t>и</w:t>
      </w:r>
      <w:r w:rsidRPr="00DF0D90">
        <w:t xml:space="preserve"> опухолевого процесса. </w:t>
      </w:r>
    </w:p>
    <w:p w14:paraId="2C9B677B" w14:textId="36A3514B" w:rsidR="00697BE7" w:rsidRPr="00DF0D90" w:rsidRDefault="003D1794" w:rsidP="00697BE7">
      <w:pPr>
        <w:pStyle w:val="af2"/>
        <w:tabs>
          <w:tab w:val="left" w:pos="0"/>
          <w:tab w:val="left" w:pos="284"/>
          <w:tab w:val="left" w:pos="426"/>
          <w:tab w:val="left" w:pos="851"/>
        </w:tabs>
        <w:spacing w:after="120" w:line="360" w:lineRule="auto"/>
        <w:ind w:left="0" w:firstLine="567"/>
        <w:jc w:val="both"/>
      </w:pPr>
      <w:r w:rsidRPr="00DF0D90">
        <w:t xml:space="preserve">В начале развития заболевания симптомы мало выражены. Поэтому пациенты не придают им особого значения, не обращаясь за медицинской помощью. Со временем симптомы нарастают и становятся более ощутимыми: появление болей чаще всего связано </w:t>
      </w:r>
      <w:r w:rsidR="00983D85" w:rsidRPr="00DF0D90">
        <w:lastRenderedPageBreak/>
        <w:t xml:space="preserve">с </w:t>
      </w:r>
      <w:r w:rsidRPr="00DF0D90">
        <w:t>прорастани</w:t>
      </w:r>
      <w:r w:rsidR="00983D85" w:rsidRPr="00DF0D90">
        <w:t>ем</w:t>
      </w:r>
      <w:r w:rsidRPr="00DF0D90">
        <w:t xml:space="preserve"> анатомических структур, включая магистральные сосуды, с образованием опухолевых тромбов</w:t>
      </w:r>
      <w:r w:rsidR="00906CE8" w:rsidRPr="00DF0D90">
        <w:t>,</w:t>
      </w:r>
      <w:r w:rsidRPr="00DF0D90">
        <w:t xml:space="preserve"> а также с метастатическим поражением органов.</w:t>
      </w:r>
      <w:r w:rsidR="00E06FCA" w:rsidRPr="00DF0D90">
        <w:t xml:space="preserve"> </w:t>
      </w:r>
      <w:r w:rsidR="004A3D5C" w:rsidRPr="00DF0D90">
        <w:t xml:space="preserve">Основными жалобами далеко зашедшего процесса являются выраженная общая слабость, вялость, быстрая утомляемость, увеличение размеров живота, дискомфорт и боли в правом подреберье, а также повышение температуры тела, появление отёков нижних конечностей. </w:t>
      </w:r>
      <w:proofErr w:type="spellStart"/>
      <w:r w:rsidR="004A3D5C" w:rsidRPr="00DF0D90">
        <w:t>Паранеопластические</w:t>
      </w:r>
      <w:proofErr w:type="spellEnd"/>
      <w:r w:rsidR="004A3D5C" w:rsidRPr="00DF0D90">
        <w:t xml:space="preserve"> синдромы встречаются у небольшой части пациентов и проявляются гипогликемией, эритроцитозом, гиперкальциемией.</w:t>
      </w:r>
      <w:bookmarkEnd w:id="45"/>
    </w:p>
    <w:p w14:paraId="60DDAE47" w14:textId="77777777" w:rsidR="00630BAC" w:rsidRPr="00DF0D90" w:rsidRDefault="00697BE7" w:rsidP="00801019">
      <w:pPr>
        <w:pStyle w:val="42"/>
      </w:pPr>
      <w:bookmarkStart w:id="48" w:name="_Toc98349274"/>
      <w:bookmarkStart w:id="49" w:name="_Toc83293972"/>
      <w:r w:rsidRPr="00DF0D90">
        <w:t xml:space="preserve">2. </w:t>
      </w:r>
      <w:r w:rsidR="00630BAC" w:rsidRPr="00DF0D90">
        <w:t xml:space="preserve">Диагностика заболевания или состояния </w:t>
      </w:r>
      <w:r w:rsidR="00630BAC" w:rsidRPr="00DF0D90">
        <w:br/>
        <w:t xml:space="preserve">(группы заболеваний или состояний), медицинские показания </w:t>
      </w:r>
      <w:r w:rsidR="00630BAC" w:rsidRPr="00DF0D90">
        <w:br/>
        <w:t>и противопоказания к применению методов диагностики</w:t>
      </w:r>
      <w:bookmarkEnd w:id="48"/>
      <w:bookmarkEnd w:id="49"/>
    </w:p>
    <w:p w14:paraId="3373B668" w14:textId="502ADF4E" w:rsidR="004F2BDF" w:rsidRPr="00DF0D90" w:rsidRDefault="004F2BDF" w:rsidP="006D217F">
      <w:pPr>
        <w:spacing w:after="120" w:line="360" w:lineRule="auto"/>
        <w:ind w:firstLine="567"/>
        <w:jc w:val="both"/>
      </w:pPr>
      <w:r w:rsidRPr="00DF0D90">
        <w:rPr>
          <w:b/>
        </w:rPr>
        <w:t>Критерии установления диагноза/состояния</w:t>
      </w:r>
      <w:r w:rsidR="00641949" w:rsidRPr="00DF0D90">
        <w:rPr>
          <w:b/>
        </w:rPr>
        <w:t xml:space="preserve"> – </w:t>
      </w:r>
      <w:r w:rsidRPr="00DF0D90">
        <w:t xml:space="preserve">на основании патогномоничных </w:t>
      </w:r>
      <w:r w:rsidR="00BE3A70" w:rsidRPr="00DF0D90">
        <w:t xml:space="preserve">клинико-рентгенологических </w:t>
      </w:r>
      <w:r w:rsidRPr="00DF0D90">
        <w:t>данных</w:t>
      </w:r>
      <w:r w:rsidR="00BE3A70" w:rsidRPr="00DF0D90">
        <w:t xml:space="preserve">, результатов </w:t>
      </w:r>
      <w:r w:rsidR="002127BA" w:rsidRPr="00DF0D90">
        <w:t xml:space="preserve">морфологического </w:t>
      </w:r>
      <w:r w:rsidR="00BE3A70" w:rsidRPr="00DF0D90">
        <w:t xml:space="preserve">исследования </w:t>
      </w:r>
      <w:proofErr w:type="spellStart"/>
      <w:r w:rsidR="009F4ACF" w:rsidRPr="00DF0D90">
        <w:t>биопсийного</w:t>
      </w:r>
      <w:proofErr w:type="spellEnd"/>
      <w:r w:rsidR="009F4ACF" w:rsidRPr="00DF0D90">
        <w:t xml:space="preserve"> или операционного материала</w:t>
      </w:r>
      <w:r w:rsidR="00556A96" w:rsidRPr="00DF0D90">
        <w:t>, лабораторных исследований, направленных на оценку функции печени и инструментального обследования распространенности опухолевого процесса и выраженности сопутствующих заболеваний</w:t>
      </w:r>
      <w:r w:rsidR="005C7163" w:rsidRPr="00DF0D90">
        <w:t>.</w:t>
      </w:r>
    </w:p>
    <w:p w14:paraId="79297ABC" w14:textId="6755AD3F" w:rsidR="00630BAC" w:rsidRPr="00DF0D90" w:rsidRDefault="00630BAC" w:rsidP="006D217F">
      <w:pPr>
        <w:pStyle w:val="31"/>
        <w:spacing w:after="120" w:line="360" w:lineRule="auto"/>
        <w:ind w:firstLine="567"/>
        <w:jc w:val="both"/>
        <w:rPr>
          <w:i/>
          <w:color w:val="auto"/>
          <w:spacing w:val="-4"/>
        </w:rPr>
      </w:pPr>
      <w:r w:rsidRPr="00DF0D90">
        <w:rPr>
          <w:b w:val="0"/>
          <w:i/>
          <w:color w:val="auto"/>
          <w:spacing w:val="-4"/>
        </w:rPr>
        <w:t xml:space="preserve">Чаще всего ГЦР развивается на фоне хронического заболевания печени – цирроза печени, вирусного гепатита, </w:t>
      </w:r>
      <w:proofErr w:type="spellStart"/>
      <w:r w:rsidRPr="00DF0D90">
        <w:rPr>
          <w:b w:val="0"/>
          <w:i/>
          <w:color w:val="auto"/>
          <w:spacing w:val="-4"/>
        </w:rPr>
        <w:t>стеатогепатита</w:t>
      </w:r>
      <w:proofErr w:type="spellEnd"/>
      <w:r w:rsidRPr="00DF0D90">
        <w:rPr>
          <w:b w:val="0"/>
          <w:i/>
          <w:color w:val="auto"/>
          <w:spacing w:val="-4"/>
        </w:rPr>
        <w:t xml:space="preserve"> – которое, как и опухолевый процесс, может проявляться специфическими симптомами, нуждаться в специфической терапии, конкурентно влиять на качество жизни и ухудшать выживаемость. В рамках мультидисциплинарной оценки состояния пациента необходимо оценить функциональные резервы печени, выраженность фоновой патологии печени и распространенность опухолевого процесса. </w:t>
      </w:r>
    </w:p>
    <w:p w14:paraId="47567F06" w14:textId="77777777" w:rsidR="00630BAC" w:rsidRPr="00DF0D90" w:rsidRDefault="00630BAC" w:rsidP="006D217F">
      <w:pPr>
        <w:pStyle w:val="2"/>
        <w:spacing w:before="0" w:after="120" w:line="360" w:lineRule="auto"/>
        <w:ind w:firstLine="567"/>
        <w:jc w:val="both"/>
      </w:pPr>
      <w:bookmarkStart w:id="50" w:name="_Toc467601698"/>
      <w:bookmarkStart w:id="51" w:name="_Toc470722681"/>
      <w:bookmarkStart w:id="52" w:name="_Toc470722790"/>
      <w:bookmarkStart w:id="53" w:name="_Toc98349275"/>
      <w:bookmarkStart w:id="54" w:name="_Toc83293973"/>
      <w:r w:rsidRPr="00DF0D90">
        <w:t>2.1 Жалобы и анамнез</w:t>
      </w:r>
      <w:bookmarkEnd w:id="50"/>
      <w:bookmarkEnd w:id="51"/>
      <w:bookmarkEnd w:id="52"/>
      <w:bookmarkEnd w:id="53"/>
      <w:bookmarkEnd w:id="54"/>
    </w:p>
    <w:p w14:paraId="5C53E56A" w14:textId="77777777" w:rsidR="00630BAC" w:rsidRPr="00DF0D90" w:rsidRDefault="00630BAC" w:rsidP="006D217F">
      <w:pPr>
        <w:pStyle w:val="a"/>
        <w:spacing w:before="0" w:after="120" w:line="360" w:lineRule="auto"/>
        <w:ind w:firstLine="567"/>
        <w:jc w:val="both"/>
        <w:rPr>
          <w:i/>
        </w:rPr>
      </w:pPr>
      <w:r w:rsidRPr="00DF0D90">
        <w:rPr>
          <w:b/>
        </w:rPr>
        <w:t>Рекомендуется</w:t>
      </w:r>
      <w:r w:rsidR="000D00C5" w:rsidRPr="00DF0D90">
        <w:rPr>
          <w:b/>
          <w:lang w:val="ru-RU"/>
        </w:rPr>
        <w:t xml:space="preserve"> </w:t>
      </w:r>
      <w:r w:rsidR="004F2BDF" w:rsidRPr="00DF0D90">
        <w:t xml:space="preserve">при </w:t>
      </w:r>
      <w:r w:rsidRPr="00DF0D90">
        <w:t>сбор</w:t>
      </w:r>
      <w:r w:rsidR="004F2BDF" w:rsidRPr="00DF0D90">
        <w:t>е</w:t>
      </w:r>
      <w:r w:rsidRPr="00DF0D90">
        <w:t xml:space="preserve"> жалоб и анамнеза</w:t>
      </w:r>
      <w:r w:rsidR="00A205D7" w:rsidRPr="00DF0D90">
        <w:t xml:space="preserve"> активное</w:t>
      </w:r>
      <w:r w:rsidRPr="00DF0D90">
        <w:t xml:space="preserve"> выявление факторов риска развития хронических заболеваний печени (злоупотреблени</w:t>
      </w:r>
      <w:r w:rsidR="00A205D7" w:rsidRPr="00DF0D90">
        <w:t>е</w:t>
      </w:r>
      <w:r w:rsidRPr="00DF0D90">
        <w:t xml:space="preserve"> алкоголем, прием наркотиков,</w:t>
      </w:r>
      <w:r w:rsidR="003324A8" w:rsidRPr="00DF0D90">
        <w:t xml:space="preserve"> анаболических стероидов,</w:t>
      </w:r>
      <w:r w:rsidR="000D00C5" w:rsidRPr="00DF0D90">
        <w:rPr>
          <w:lang w:val="ru-RU"/>
        </w:rPr>
        <w:t xml:space="preserve"> </w:t>
      </w:r>
      <w:r w:rsidR="00A205D7" w:rsidRPr="00DF0D90">
        <w:t>перенесенный вирусный</w:t>
      </w:r>
      <w:r w:rsidR="000D00C5" w:rsidRPr="00DF0D90">
        <w:rPr>
          <w:lang w:val="ru-RU"/>
        </w:rPr>
        <w:t xml:space="preserve"> </w:t>
      </w:r>
      <w:r w:rsidRPr="00DF0D90">
        <w:t>гепатит</w:t>
      </w:r>
      <w:r w:rsidR="00A205D7" w:rsidRPr="00DF0D90">
        <w:t>(ы)</w:t>
      </w:r>
      <w:r w:rsidRPr="00DF0D90">
        <w:t xml:space="preserve"> и </w:t>
      </w:r>
      <w:r w:rsidR="00A205D7" w:rsidRPr="00DF0D90">
        <w:t xml:space="preserve">признаки </w:t>
      </w:r>
      <w:r w:rsidRPr="00DF0D90">
        <w:t>метаболического синдрома</w:t>
      </w:r>
      <w:r w:rsidR="00A205D7" w:rsidRPr="00DF0D90">
        <w:t xml:space="preserve">, </w:t>
      </w:r>
      <w:r w:rsidRPr="00DF0D90">
        <w:t xml:space="preserve">включающего ожирение, </w:t>
      </w:r>
      <w:r w:rsidR="00325837" w:rsidRPr="00DF0D90">
        <w:rPr>
          <w:lang w:val="ru-RU"/>
        </w:rPr>
        <w:t xml:space="preserve">сахарный </w:t>
      </w:r>
      <w:r w:rsidRPr="00DF0D90">
        <w:t>диабет, артериальную гипертензию)</w:t>
      </w:r>
      <w:r w:rsidR="005C7163" w:rsidRPr="00DF0D90">
        <w:rPr>
          <w:lang w:val="ru-RU"/>
        </w:rPr>
        <w:t xml:space="preserve"> </w:t>
      </w:r>
      <w:r w:rsidR="004F2BDF" w:rsidRPr="00DF0D90">
        <w:t xml:space="preserve">с целью выявления факторов, которые могут повлиять на выбор тактики лечения </w:t>
      </w:r>
      <w:r w:rsidR="00571442" w:rsidRPr="00DF0D90">
        <w:fldChar w:fldCharType="begin" w:fldLock="1"/>
      </w:r>
      <w:r w:rsidR="00F9552E" w:rsidRPr="00DF0D90">
        <w:instrText>ADDIN CSL_CITATION {"citationItems":[{"id":"ITEM-1","itemData":{"DOI":"10.1016/j.jhep.2018.03.019","ISSN":"16000641","PMID":"29628281","author":[{"dropping-particle":"","family":"Galle","given":"Peter R.","non-dropping-particle":"","parse-names":false,"suffix":""},{"dropping-particle":"","family":"Forner","given":"Alejandro","non-dropping-particle":"","parse-names":false,"suffix":""},{"dropping-particle":"","family":"Llovet","given":"Josep M.","non-dropping-particle":"","parse-names":false,"suffix":""},{"dropping-particle":"","family":"Mazzaferro","given":"Vincenzo","non-dropping-particle":"","parse-names":false,"suffix":""},{"dropping-particle":"","family":"Piscaglia","given":"Fabio","non-dropping-particle":"","parse-names":false,"suffix":""},{"dropping-particle":"","family":"Raoul","given":"Jean Luc","non-dropping-particle":"","parse-names":false,"suffix":""},{"dropping-particle":"","family":"Schirmacher","given":"Peter","non-dropping-particle":"","parse-names":false,"suffix":""},{"dropping-particle":"","family":"Vilgrain","given":"Valérie","non-dropping-particle":"","parse-names":false,"suffix":""}],"container-title":"Journal of Hepatology","id":"ITEM-1","issue":"1","issued":{"date-parts":[["2018","7","1"]]},"page":"182-236","publisher":"Elsevier B.V.","title":"EASL Clinical Practice Guidelines: Management of hepatocellular carcinoma","type":"article-journal","volume":"69"},"uris":["http://www.mendeley.com/documents/?uuid=055ddbc3-5b48-34fb-b03b-bdc43880d69c"]},{"id":"ITEM-2","itemData":{"DOI":"10.1053/j.gastro.2004.09.014","ISSN":"00165085","PMID":"15508101","abstract":"Emerging data indicate that the mortality rate of hepatocellular carcinoma (HCC) associated with cirrhosis is rising in some developed countries, whereas mortality from non-HCC complications of cirrhosis is decreasing or is stable. Cohort studies indicate that HCC is currently the major cause of liver-related death in patients with compensated cirrhosis. Hepatitis C virus (HCV) infection is associated with the highest HCC incidence in persons with cirrhosis, occurring twice as commonly in Japan than in the West (5-year cumulative incidence, 30% and 17%, respectively), followed by hereditary hemochromatosis (5-year cumulative incidence, 21%). In hepatitis B virus (HBV)-related cirrhosis, the 5-year cumulative HCC risk is 15% in high endemic areas and 10% in the West. In the absence of HCV and HBV infection, the HCC incidence is lower in alcoholic cirrhotics (5-year cumulative risk, 8%) and subjects with advanced biliary cirrhosis (5-year cumulative risk, 4%). There are limited data on HCC risk in cirrhosis of other causes. Older age, male sex, severity of compensated cirrhosis at presentation, and sustained activity of liver disease are important predictors of HCC, independent of etiology of cirrhosis. In viral-related cirrhosis, HBV/HCV and HBV/HDV coinfections increase the HCC risk (2- to 6-fold relative to each infection alone) as does alcohol abuse (2- to 4-fold relative to alcohol abstinence). Sustained reduction of HBV replication lowers the risk of HCC in HBV-related cirrhosis. Further studies are needed to investigate other viral factors (eg, HBV genotype/mutant, occult HBV, HIV coinfection) and preventable or treatable comorbidities (eg, obesity, diabetes) in the HCC risk in cirrhosis.","author":[{"dropping-particle":"","family":"Fattovich","given":"Giovanna","non-dropping-particle":"","parse-names":false,"suffix":""},{"dropping-particle":"","family":"Stroffolini","given":"Tommaso","non-dropping-particle":"","parse-names":false,"suffix":""},{"dropping-particle":"","family":"Zagni","given":"Irene","non-dropping-particle":"","parse-names":false,"suffix":""},{"dropping-particle":"","family":"Donato","given":"Francesco","non-dropping-particle":"","parse-names":false,"suffix":""}],"container-title":"Gastroenterology","id":"ITEM-2","issue":"5 SUPPL.","issued":{"date-parts":[["2004"]]},"publisher":"W.B. Saunders","title":"Hepatocellular carcinoma in cirrhosis: Incidence and risk factors","type":"paper-conference","volume":"127"},"uris":["http://www.mendeley.com/documents/?uuid=c1598796-2bb1-364a-aa47-7c79558b7954"]},{"id":"ITEM-3","itemData":{"DOI":"10.1093/annonc/mdy308","ISSN":"15698041","PMID":"30285213","author":[{"dropping-particle":"","family":"Vogel","given":"A.","non-dropping-particle":"","parse-names":false,"suffix":""},{"dropping-particle":"","family":"Cervantes","given":"A.","non-dropping-particle":"","parse-names":false,"suffix":""},{"dropping-particle":"","family":"Chau","given":"I.","non-dropping-particle":"","parse-names":false,"suffix":""},{"dropping-particle":"","family":"Daniele","given":"B.","non-dropping-particle":"","parse-names":false,"suffix":""},{"dropping-particle":"","family":"Llovet","given":"J.","non-dropping-particle":"","parse-names":false,"suffix":""},{"dropping-particle":"","family":"Meyer","given":"T.","non-dropping-particle":"","parse-names":false,"suffix":""},{"dropping-particle":"","family":"Nault","given":"J. C.","non-dropping-particle":"","parse-names":false,"suffix":""},{"dropping-particle":"","family":"Neumann","given":"U.","non-dropping-particle":"","parse-names":false,"suffix":""},{"dropping-particle":"","family":"Ricke","given":"J.","non-dropping-particle":"","parse-names":false,"suffix":""},{"dropping-particle":"","family":"Sangro","given":"B.","non-dropping-particle":"","parse-names":false,"suffix":""},{"dropping-particle":"","family":"Schirmacher","given":"P.","non-dropping-particle":"","parse-names":false,"suffix":""},{"dropping-particle":"","family":"Verslype","given":"C.","non-dropping-particle":"","parse-names":false,"suffix":""},{"dropping-particle":"","family":"Zech","given":"C. J.","non-dropping-particle":"","parse-names":false,"suffix":""},{"dropping-particle":"","family":"Arnold","given":"D.","non-dropping-particle":"","parse-names":false,"suffix":""},{"dropping-particle":"","family":"Martinelli","given":"E.","non-dropping-particle":"","parse-names":false,"suffix":""}],"container-title":"Annals of Oncology","id":"ITEM-3","issued":{"date-parts":[["2018","10","1"]]},"page":"iv238-iv255","publisher":"Oxford University Press","title":"Hepatocellular carcinoma: ESMO Clinical Practice Guidelines for diagnosis, treatment and follow-up","type":"article-journal","volume":"29"},"uris":["http://www.mendeley.com/documents/?uuid=21b70589-bd16-3bd9-b432-9f2042108c3b"]}],"mendeley":{"formattedCitation":"[3,6,8]","plainTextFormattedCitation":"[3,6,8]","previouslyFormattedCitation":"[3,6,8]"},"properties":{"noteIndex":0},"schema":"https://github.com/citation-style-language/schema/raw/master/csl-citation.json"}</w:instrText>
      </w:r>
      <w:r w:rsidR="00571442" w:rsidRPr="00DF0D90">
        <w:fldChar w:fldCharType="separate"/>
      </w:r>
      <w:r w:rsidR="00571442" w:rsidRPr="00DF0D90">
        <w:rPr>
          <w:noProof/>
        </w:rPr>
        <w:t>[3,6,8]</w:t>
      </w:r>
      <w:r w:rsidR="00571442" w:rsidRPr="00DF0D90">
        <w:fldChar w:fldCharType="end"/>
      </w:r>
      <w:r w:rsidR="00E8134C" w:rsidRPr="00DF0D90">
        <w:rPr>
          <w:lang w:val="ru-RU"/>
        </w:rPr>
        <w:t xml:space="preserve"> </w:t>
      </w:r>
      <w:r w:rsidRPr="00DF0D90">
        <w:rPr>
          <w:rFonts w:eastAsia="GalsLightC"/>
        </w:rPr>
        <w:t xml:space="preserve">. </w:t>
      </w:r>
    </w:p>
    <w:p w14:paraId="1995045A" w14:textId="77777777" w:rsidR="00630BAC" w:rsidRPr="00DF0D90" w:rsidRDefault="00630BAC" w:rsidP="00E86998">
      <w:pPr>
        <w:pStyle w:val="afa"/>
        <w:spacing w:after="120" w:line="360" w:lineRule="auto"/>
        <w:jc w:val="both"/>
      </w:pPr>
      <w:r w:rsidRPr="00DF0D90">
        <w:t>Уровень убедительности рекомендаций –</w:t>
      </w:r>
      <w:r w:rsidR="004F2BDF" w:rsidRPr="00DF0D90">
        <w:t xml:space="preserve"> С</w:t>
      </w:r>
      <w:r w:rsidR="000D00C5" w:rsidRPr="00DF0D90">
        <w:rPr>
          <w:lang w:val="ru-RU"/>
        </w:rPr>
        <w:t xml:space="preserve"> </w:t>
      </w:r>
      <w:r w:rsidRPr="00DF0D90">
        <w:t xml:space="preserve">(уровень достоверности доказательств – </w:t>
      </w:r>
      <w:r w:rsidR="004F2BDF" w:rsidRPr="00DF0D90">
        <w:t>5</w:t>
      </w:r>
      <w:r w:rsidRPr="00DF0D90">
        <w:t>).</w:t>
      </w:r>
    </w:p>
    <w:p w14:paraId="04D4B94E" w14:textId="77777777" w:rsidR="00630BAC" w:rsidRPr="00DF0D90" w:rsidRDefault="00630BAC" w:rsidP="006D217F">
      <w:pPr>
        <w:pStyle w:val="2"/>
        <w:spacing w:before="0" w:after="120" w:line="360" w:lineRule="auto"/>
        <w:ind w:firstLine="567"/>
        <w:jc w:val="both"/>
      </w:pPr>
      <w:bookmarkStart w:id="55" w:name="_Toc467601699"/>
      <w:bookmarkStart w:id="56" w:name="_Toc470722682"/>
      <w:bookmarkStart w:id="57" w:name="_Toc470722791"/>
      <w:bookmarkStart w:id="58" w:name="_Toc98349276"/>
      <w:bookmarkStart w:id="59" w:name="_Toc83293974"/>
      <w:r w:rsidRPr="00DF0D90">
        <w:t>2.2 Физикальное обследование</w:t>
      </w:r>
      <w:bookmarkEnd w:id="55"/>
      <w:bookmarkEnd w:id="56"/>
      <w:bookmarkEnd w:id="57"/>
      <w:bookmarkEnd w:id="58"/>
      <w:bookmarkEnd w:id="59"/>
    </w:p>
    <w:p w14:paraId="6FD5992F" w14:textId="77777777" w:rsidR="00630BAC" w:rsidRPr="00DF0D90" w:rsidRDefault="00630BAC" w:rsidP="006D217F">
      <w:pPr>
        <w:pStyle w:val="a"/>
        <w:spacing w:before="0" w:after="120" w:line="360" w:lineRule="auto"/>
        <w:ind w:firstLine="567"/>
        <w:jc w:val="both"/>
      </w:pPr>
      <w:r w:rsidRPr="00DF0D90">
        <w:rPr>
          <w:b/>
        </w:rPr>
        <w:t>Рекомендуется</w:t>
      </w:r>
      <w:r w:rsidR="000D00C5" w:rsidRPr="00DF0D90">
        <w:rPr>
          <w:b/>
          <w:lang w:val="ru-RU"/>
        </w:rPr>
        <w:t xml:space="preserve"> </w:t>
      </w:r>
      <w:r w:rsidR="004F2BDF" w:rsidRPr="00DF0D90">
        <w:t>пациентам</w:t>
      </w:r>
      <w:r w:rsidR="000D00C5" w:rsidRPr="00DF0D90">
        <w:rPr>
          <w:lang w:val="ru-RU"/>
        </w:rPr>
        <w:t xml:space="preserve"> </w:t>
      </w:r>
      <w:r w:rsidR="00C956AA" w:rsidRPr="00DF0D90">
        <w:t>при подозрении на ГЦР или с установленным диагнозом ГЦР</w:t>
      </w:r>
      <w:r w:rsidR="000D00C5" w:rsidRPr="00DF0D90">
        <w:rPr>
          <w:lang w:val="ru-RU"/>
        </w:rPr>
        <w:t xml:space="preserve"> </w:t>
      </w:r>
      <w:r w:rsidRPr="00DF0D90">
        <w:t>выполнить стандартный</w:t>
      </w:r>
      <w:r w:rsidR="000D00C5" w:rsidRPr="00DF0D90">
        <w:rPr>
          <w:lang w:val="ru-RU"/>
        </w:rPr>
        <w:t xml:space="preserve"> </w:t>
      </w:r>
      <w:r w:rsidRPr="00DF0D90">
        <w:t xml:space="preserve">врачебный осмотр, </w:t>
      </w:r>
      <w:r w:rsidR="004F2BDF" w:rsidRPr="00DF0D90">
        <w:t xml:space="preserve">включая оценку </w:t>
      </w:r>
      <w:proofErr w:type="spellStart"/>
      <w:r w:rsidR="004F2BDF" w:rsidRPr="00DF0D90">
        <w:t>нутритивного</w:t>
      </w:r>
      <w:proofErr w:type="spellEnd"/>
      <w:r w:rsidR="000D00C5" w:rsidRPr="00DF0D90">
        <w:rPr>
          <w:lang w:val="ru-RU"/>
        </w:rPr>
        <w:t xml:space="preserve"> </w:t>
      </w:r>
      <w:r w:rsidRPr="00DF0D90">
        <w:t>статус</w:t>
      </w:r>
      <w:r w:rsidR="004F2BDF" w:rsidRPr="00DF0D90">
        <w:t>а</w:t>
      </w:r>
      <w:r w:rsidRPr="00DF0D90">
        <w:t xml:space="preserve">, </w:t>
      </w:r>
      <w:r w:rsidRPr="00DF0D90">
        <w:lastRenderedPageBreak/>
        <w:t>наличие симптомов хронического заболевания печени (асцита, желтухи, энцефалопатии, кровотечений, спленомегалии)</w:t>
      </w:r>
      <w:r w:rsidR="00571442" w:rsidRPr="00DF0D90">
        <w:rPr>
          <w:lang w:val="ru-RU"/>
        </w:rPr>
        <w:t xml:space="preserve"> </w:t>
      </w:r>
      <w:r w:rsidR="00571442" w:rsidRPr="00DF0D90">
        <w:rPr>
          <w:lang w:val="ru-RU"/>
        </w:rPr>
        <w:fldChar w:fldCharType="begin" w:fldLock="1"/>
      </w:r>
      <w:r w:rsidR="00F9552E" w:rsidRPr="00DF0D90">
        <w:rPr>
          <w:lang w:val="ru-RU"/>
        </w:rPr>
        <w:instrText>ADDIN CSL_CITATION {"citationItems":[{"id":"ITEM-1","itemData":{"DOI":"10.1093/annonc/mdy308","ISSN":"15698041","PMID":"30285213","author":[{"dropping-particle":"","family":"Vogel","given":"A.","non-dropping-particle":"","parse-names":false,"suffix":""},{"dropping-particle":"","family":"Cervantes","given":"A.","non-dropping-particle":"","parse-names":false,"suffix":""},{"dropping-particle":"","family":"Chau","given":"I.","non-dropping-particle":"","parse-names":false,"suffix":""},{"dropping-particle":"","family":"Daniele","given":"B.","non-dropping-particle":"","parse-names":false,"suffix":""},{"dropping-particle":"","family":"Llovet","given":"J.","non-dropping-particle":"","parse-names":false,"suffix":""},{"dropping-particle":"","family":"Meyer","given":"T.","non-dropping-particle":"","parse-names":false,"suffix":""},{"dropping-particle":"","family":"Nault","given":"J. C.","non-dropping-particle":"","parse-names":false,"suffix":""},{"dropping-particle":"","family":"Neumann","given":"U.","non-dropping-particle":"","parse-names":false,"suffix":""},{"dropping-particle":"","family":"Ricke","given":"J.","non-dropping-particle":"","parse-names":false,"suffix":""},{"dropping-particle":"","family":"Sangro","given":"B.","non-dropping-particle":"","parse-names":false,"suffix":""},{"dropping-particle":"","family":"Schirmacher","given":"P.","non-dropping-particle":"","parse-names":false,"suffix":""},{"dropping-particle":"","family":"Verslype","given":"C.","non-dropping-particle":"","parse-names":false,"suffix":""},{"dropping-particle":"","family":"Zech","given":"C. J.","non-dropping-particle":"","parse-names":false,"suffix":""},{"dropping-particle":"","family":"Arnold","given":"D.","non-dropping-particle":"","parse-names":false,"suffix":""},{"dropping-particle":"","family":"Martinelli","given":"E.","non-dropping-particle":"","parse-names":false,"suffix":""}],"container-title":"Annals of Oncology","id":"ITEM-1","issued":{"date-parts":[["2018","10","1"]]},"page":"iv238-iv255","publisher":"Oxford University Press","title":"Hepatocellular carcinoma: ESMO Clinical Practice Guidelines for diagnosis, treatment and follow-up","type":"article-journal","volume":"29"},"uris":["http://www.mendeley.com/documents/?uuid=21b70589-bd16-3bd9-b432-9f2042108c3b"]},{"id":"ITEM-2","itemData":{"DOI":"10.1002/hep.29913","ISSN":"15273350","PMID":"29624699","author":[{"dropping-particle":"","family":"Marrero","given":"Jorge A.","non-dropping-particle":"","parse-names":false,"suffix":""},{"dropping-particle":"","family":"Kulik","given":"Laura M.","non-dropping-particle":"","parse-names":false,"suffix":""},{"dropping-particle":"","family":"Sirlin","given":"Claude B.","non-dropping-particle":"","parse-names":false,"suffix":""},{"dropping-particle":"","family":"Zhu","given":"Andrew X.","non-dropping-particle":"","parse-names":false,"suffix":""},{"dropping-particle":"","family":"Finn","given":"Richard S.","non-dropping-particle":"","parse-names":false,"suffix":""},{"dropping-particle":"","family":"Abecassis","given":"Michael M.","non-dropping-particle":"","parse-names":false,"suffix":""},{"dropping-particle":"","family":"Roberts","given":"Lewis R.","non-dropping-particle":"","parse-names":false,"suffix":""},{"dropping-particle":"","family":"Heimbach","given":"Julie K.","non-dropping-particle":"","parse-names":false,"suffix":""}],"container-title":"Hepatology","id":"ITEM-2","issue":"2","issued":{"date-parts":[["2018","8","1"]]},"page":"723-750","publisher":"John Wiley and Sons Inc.","title":"Diagnosis, Staging, and Management of Hepatocellular Carcinoma: 2018 Practice Guidance by the American Association for the Study of Liver Diseases","type":"article-journal","volume":"68"},"uris":["http://www.mendeley.com/documents/?uuid=524b992f-ba18-31f8-aa7d-c271bdc57c09"]}],"mendeley":{"formattedCitation":"[8,9]","plainTextFormattedCitation":"[8,9]","previouslyFormattedCitation":"[8,9]"},"properties":{"noteIndex":0},"schema":"https://github.com/citation-style-language/schema/raw/master/csl-citation.json"}</w:instrText>
      </w:r>
      <w:r w:rsidR="00571442" w:rsidRPr="00DF0D90">
        <w:rPr>
          <w:lang w:val="ru-RU"/>
        </w:rPr>
        <w:fldChar w:fldCharType="separate"/>
      </w:r>
      <w:r w:rsidR="00571442" w:rsidRPr="00DF0D90">
        <w:rPr>
          <w:noProof/>
          <w:lang w:val="ru-RU"/>
        </w:rPr>
        <w:t>[8,9]</w:t>
      </w:r>
      <w:r w:rsidR="00571442" w:rsidRPr="00DF0D90">
        <w:rPr>
          <w:lang w:val="ru-RU"/>
        </w:rPr>
        <w:fldChar w:fldCharType="end"/>
      </w:r>
      <w:r w:rsidR="00641949" w:rsidRPr="00DF0D90">
        <w:rPr>
          <w:lang w:val="ru-RU"/>
        </w:rPr>
        <w:t>.</w:t>
      </w:r>
    </w:p>
    <w:p w14:paraId="70629496" w14:textId="77777777" w:rsidR="00630BAC" w:rsidRPr="00DF0D90" w:rsidRDefault="00630BAC" w:rsidP="00E86998">
      <w:pPr>
        <w:pStyle w:val="afa"/>
        <w:spacing w:after="120" w:line="360" w:lineRule="auto"/>
        <w:jc w:val="both"/>
      </w:pPr>
      <w:r w:rsidRPr="00DF0D90">
        <w:t xml:space="preserve">Уровень убедительности рекомендаций – С (уровень достоверности доказательств – </w:t>
      </w:r>
      <w:r w:rsidR="00017FB4" w:rsidRPr="00DF0D90">
        <w:t>5</w:t>
      </w:r>
      <w:r w:rsidRPr="00DF0D90">
        <w:t>).</w:t>
      </w:r>
    </w:p>
    <w:p w14:paraId="10EB29B8" w14:textId="77777777" w:rsidR="00017FB4" w:rsidRPr="00DF0D90" w:rsidRDefault="00017FB4" w:rsidP="00E86998">
      <w:pPr>
        <w:pStyle w:val="afa"/>
        <w:spacing w:after="120" w:line="360" w:lineRule="auto"/>
        <w:jc w:val="both"/>
      </w:pPr>
      <w:r w:rsidRPr="00DF0D90">
        <w:rPr>
          <w:i/>
        </w:rPr>
        <w:t>Комментарии:</w:t>
      </w:r>
      <w:r w:rsidRPr="00DF0D90">
        <w:t xml:space="preserve"> </w:t>
      </w:r>
      <w:r w:rsidRPr="00DF0D90">
        <w:rPr>
          <w:b w:val="0"/>
          <w:i/>
        </w:rPr>
        <w:t>Следует</w:t>
      </w:r>
      <w:r w:rsidR="003324A8" w:rsidRPr="00DF0D90">
        <w:rPr>
          <w:b w:val="0"/>
          <w:i/>
        </w:rPr>
        <w:t xml:space="preserve"> стремиться</w:t>
      </w:r>
      <w:r w:rsidRPr="00DF0D90">
        <w:rPr>
          <w:b w:val="0"/>
          <w:i/>
        </w:rPr>
        <w:t xml:space="preserve"> разграничить вызванные опухолью симптомы и длительно существующие симптомы цирроза печени</w:t>
      </w:r>
      <w:r w:rsidR="003324A8" w:rsidRPr="00DF0D90">
        <w:rPr>
          <w:b w:val="0"/>
          <w:i/>
        </w:rPr>
        <w:t xml:space="preserve"> и его осложнений</w:t>
      </w:r>
      <w:r w:rsidRPr="00DF0D90">
        <w:rPr>
          <w:b w:val="0"/>
          <w:i/>
        </w:rPr>
        <w:t>.</w:t>
      </w:r>
    </w:p>
    <w:p w14:paraId="28AC28A0" w14:textId="77777777" w:rsidR="00630BAC" w:rsidRPr="00DF0D90" w:rsidRDefault="00630BAC" w:rsidP="006D217F">
      <w:pPr>
        <w:pStyle w:val="2"/>
        <w:spacing w:before="0" w:after="120" w:line="360" w:lineRule="auto"/>
        <w:ind w:firstLine="567"/>
        <w:jc w:val="both"/>
      </w:pPr>
      <w:bookmarkStart w:id="60" w:name="_Toc467601700"/>
      <w:bookmarkStart w:id="61" w:name="_Toc470722683"/>
      <w:bookmarkStart w:id="62" w:name="_Toc470722792"/>
      <w:bookmarkStart w:id="63" w:name="_Toc98349277"/>
      <w:bookmarkStart w:id="64" w:name="_Toc83293975"/>
      <w:r w:rsidRPr="00DF0D90">
        <w:t>2.3 Лабораторн</w:t>
      </w:r>
      <w:r w:rsidR="00C51FAB" w:rsidRPr="00DF0D90">
        <w:t>ые</w:t>
      </w:r>
      <w:r w:rsidRPr="00DF0D90">
        <w:t xml:space="preserve"> диагности</w:t>
      </w:r>
      <w:r w:rsidR="00C51FAB" w:rsidRPr="00DF0D90">
        <w:t>ческие исследования</w:t>
      </w:r>
      <w:bookmarkEnd w:id="60"/>
      <w:bookmarkEnd w:id="61"/>
      <w:bookmarkEnd w:id="62"/>
      <w:bookmarkEnd w:id="63"/>
      <w:bookmarkEnd w:id="64"/>
    </w:p>
    <w:p w14:paraId="6F9F3F1D" w14:textId="300F1B82" w:rsidR="00630BAC" w:rsidRPr="00DF0D90" w:rsidRDefault="00630BAC" w:rsidP="006D217F">
      <w:pPr>
        <w:pStyle w:val="a"/>
        <w:spacing w:before="0" w:after="120" w:line="360" w:lineRule="auto"/>
        <w:ind w:firstLine="567"/>
        <w:jc w:val="both"/>
      </w:pPr>
      <w:r w:rsidRPr="00DF0D90">
        <w:rPr>
          <w:b/>
        </w:rPr>
        <w:t>Рекомендуется</w:t>
      </w:r>
      <w:r w:rsidRPr="00DF0D90">
        <w:t xml:space="preserve"> пациентам с подозрением на ГЦР или установленным диагнозом ГЦР с целью определения этиологии и выраженности сопутствующего заболевания печени, а также выявления показаний к назначению сопутствующей противовирусной терапии </w:t>
      </w:r>
      <w:r w:rsidR="001E1D85" w:rsidRPr="00DF0D90">
        <w:rPr>
          <w:color w:val="333333"/>
          <w:lang w:val="ru-RU"/>
        </w:rPr>
        <w:t>о</w:t>
      </w:r>
      <w:proofErr w:type="spellStart"/>
      <w:r w:rsidR="001E1D85" w:rsidRPr="00DF0D90">
        <w:rPr>
          <w:color w:val="333333"/>
        </w:rPr>
        <w:t>предел</w:t>
      </w:r>
      <w:r w:rsidR="001E1D85" w:rsidRPr="00DF0D90">
        <w:rPr>
          <w:color w:val="333333"/>
          <w:lang w:val="ru-RU"/>
        </w:rPr>
        <w:t>ить</w:t>
      </w:r>
      <w:proofErr w:type="spellEnd"/>
      <w:r w:rsidR="001E1D85" w:rsidRPr="00DF0D90">
        <w:rPr>
          <w:color w:val="333333"/>
        </w:rPr>
        <w:t xml:space="preserve"> антител</w:t>
      </w:r>
      <w:r w:rsidR="001E1D85" w:rsidRPr="00DF0D90">
        <w:rPr>
          <w:color w:val="333333"/>
          <w:lang w:val="ru-RU"/>
        </w:rPr>
        <w:t>а</w:t>
      </w:r>
      <w:r w:rsidR="001E1D85" w:rsidRPr="00DF0D90">
        <w:rPr>
          <w:color w:val="333333"/>
        </w:rPr>
        <w:t xml:space="preserve"> к поверхностному антигену (</w:t>
      </w:r>
      <w:proofErr w:type="spellStart"/>
      <w:r w:rsidR="001E1D85" w:rsidRPr="00DF0D90">
        <w:rPr>
          <w:color w:val="333333"/>
        </w:rPr>
        <w:t>HBsAg</w:t>
      </w:r>
      <w:proofErr w:type="spellEnd"/>
      <w:r w:rsidR="001E1D85" w:rsidRPr="00DF0D90">
        <w:rPr>
          <w:color w:val="333333"/>
        </w:rPr>
        <w:t xml:space="preserve">) вируса гепатита B </w:t>
      </w:r>
      <w:r w:rsidR="001E1D85" w:rsidRPr="00DF0D90">
        <w:rPr>
          <w:color w:val="333333"/>
          <w:szCs w:val="24"/>
        </w:rPr>
        <w:t>(</w:t>
      </w:r>
      <w:proofErr w:type="spellStart"/>
      <w:r w:rsidR="001E1D85" w:rsidRPr="00DF0D90">
        <w:rPr>
          <w:color w:val="333333"/>
          <w:szCs w:val="24"/>
        </w:rPr>
        <w:t>Hepatitis</w:t>
      </w:r>
      <w:proofErr w:type="spellEnd"/>
      <w:r w:rsidR="001E1D85" w:rsidRPr="00DF0D90">
        <w:rPr>
          <w:color w:val="333333"/>
          <w:szCs w:val="24"/>
        </w:rPr>
        <w:t xml:space="preserve"> B </w:t>
      </w:r>
      <w:proofErr w:type="spellStart"/>
      <w:r w:rsidR="001E1D85" w:rsidRPr="00DF0D90">
        <w:rPr>
          <w:color w:val="333333"/>
          <w:szCs w:val="24"/>
        </w:rPr>
        <w:t>virus</w:t>
      </w:r>
      <w:proofErr w:type="spellEnd"/>
      <w:r w:rsidR="001E1D85" w:rsidRPr="00DF0D90">
        <w:rPr>
          <w:color w:val="333333"/>
          <w:szCs w:val="24"/>
        </w:rPr>
        <w:t xml:space="preserve">) </w:t>
      </w:r>
      <w:r w:rsidR="001E1D85" w:rsidRPr="00DF0D90">
        <w:rPr>
          <w:color w:val="333333"/>
          <w:szCs w:val="24"/>
          <w:lang w:val="ru-RU"/>
        </w:rPr>
        <w:t xml:space="preserve">и </w:t>
      </w:r>
      <w:r w:rsidR="001E1D85" w:rsidRPr="00DF0D90">
        <w:rPr>
          <w:color w:val="333333"/>
          <w:szCs w:val="24"/>
        </w:rPr>
        <w:t>антител</w:t>
      </w:r>
      <w:r w:rsidR="001E1D85" w:rsidRPr="00DF0D90">
        <w:rPr>
          <w:color w:val="333333"/>
          <w:szCs w:val="24"/>
          <w:lang w:val="ru-RU"/>
        </w:rPr>
        <w:t>а</w:t>
      </w:r>
      <w:r w:rsidR="001E1D85" w:rsidRPr="00DF0D90">
        <w:rPr>
          <w:color w:val="333333"/>
          <w:szCs w:val="24"/>
        </w:rPr>
        <w:t xml:space="preserve"> классов M и G (</w:t>
      </w:r>
      <w:proofErr w:type="spellStart"/>
      <w:r w:rsidR="001E1D85" w:rsidRPr="00DF0D90">
        <w:rPr>
          <w:color w:val="333333"/>
          <w:szCs w:val="24"/>
        </w:rPr>
        <w:t>anti</w:t>
      </w:r>
      <w:proofErr w:type="spellEnd"/>
      <w:r w:rsidR="001E1D85" w:rsidRPr="00DF0D90">
        <w:rPr>
          <w:color w:val="333333"/>
          <w:szCs w:val="24"/>
        </w:rPr>
        <w:t xml:space="preserve">-HCV </w:t>
      </w:r>
      <w:proofErr w:type="spellStart"/>
      <w:r w:rsidR="001E1D85" w:rsidRPr="00DF0D90">
        <w:rPr>
          <w:color w:val="333333"/>
          <w:szCs w:val="24"/>
        </w:rPr>
        <w:t>IgG</w:t>
      </w:r>
      <w:proofErr w:type="spellEnd"/>
      <w:r w:rsidR="001E1D85" w:rsidRPr="00DF0D90">
        <w:rPr>
          <w:color w:val="333333"/>
          <w:szCs w:val="24"/>
        </w:rPr>
        <w:t xml:space="preserve"> и </w:t>
      </w:r>
      <w:proofErr w:type="spellStart"/>
      <w:r w:rsidR="001E1D85" w:rsidRPr="00DF0D90">
        <w:rPr>
          <w:color w:val="333333"/>
          <w:szCs w:val="24"/>
        </w:rPr>
        <w:t>anti</w:t>
      </w:r>
      <w:proofErr w:type="spellEnd"/>
      <w:r w:rsidR="001E1D85" w:rsidRPr="00DF0D90">
        <w:rPr>
          <w:color w:val="333333"/>
          <w:szCs w:val="24"/>
        </w:rPr>
        <w:t xml:space="preserve">-HCV </w:t>
      </w:r>
      <w:proofErr w:type="spellStart"/>
      <w:r w:rsidR="001E1D85" w:rsidRPr="00DF0D90">
        <w:rPr>
          <w:color w:val="333333"/>
          <w:szCs w:val="24"/>
        </w:rPr>
        <w:t>IgM</w:t>
      </w:r>
      <w:proofErr w:type="spellEnd"/>
      <w:r w:rsidR="001E1D85" w:rsidRPr="00DF0D90">
        <w:rPr>
          <w:color w:val="333333"/>
          <w:szCs w:val="24"/>
        </w:rPr>
        <w:t>) к вирусу гепатита C (</w:t>
      </w:r>
      <w:proofErr w:type="spellStart"/>
      <w:r w:rsidR="001E1D85" w:rsidRPr="00DF0D90">
        <w:rPr>
          <w:color w:val="333333"/>
          <w:szCs w:val="24"/>
        </w:rPr>
        <w:t>Hepatitis</w:t>
      </w:r>
      <w:proofErr w:type="spellEnd"/>
      <w:r w:rsidR="001E1D85" w:rsidRPr="00DF0D90">
        <w:rPr>
          <w:color w:val="333333"/>
          <w:szCs w:val="24"/>
        </w:rPr>
        <w:t xml:space="preserve"> C </w:t>
      </w:r>
      <w:proofErr w:type="spellStart"/>
      <w:r w:rsidR="001E1D85" w:rsidRPr="00DF0D90">
        <w:rPr>
          <w:color w:val="333333"/>
          <w:szCs w:val="24"/>
        </w:rPr>
        <w:t>virus</w:t>
      </w:r>
      <w:proofErr w:type="spellEnd"/>
      <w:r w:rsidR="001E1D85" w:rsidRPr="00DF0D90">
        <w:rPr>
          <w:color w:val="333333"/>
          <w:szCs w:val="24"/>
        </w:rPr>
        <w:t>) в крови</w:t>
      </w:r>
      <w:r w:rsidRPr="00DF0D90">
        <w:rPr>
          <w:szCs w:val="24"/>
        </w:rPr>
        <w:t xml:space="preserve">; при положительном результате теста на </w:t>
      </w:r>
      <w:r w:rsidRPr="00DF0D90">
        <w:rPr>
          <w:szCs w:val="24"/>
          <w:lang w:val="en-US"/>
        </w:rPr>
        <w:t>HBsAg</w:t>
      </w:r>
      <w:r w:rsidRPr="00DF0D90">
        <w:rPr>
          <w:szCs w:val="24"/>
        </w:rPr>
        <w:t xml:space="preserve"> необходимо </w:t>
      </w:r>
      <w:r w:rsidR="001E1D85" w:rsidRPr="00DF0D90">
        <w:rPr>
          <w:szCs w:val="24"/>
          <w:lang w:val="ru-RU"/>
        </w:rPr>
        <w:t>о</w:t>
      </w:r>
      <w:proofErr w:type="spellStart"/>
      <w:r w:rsidR="001E1D85" w:rsidRPr="00DF0D90">
        <w:rPr>
          <w:color w:val="333333"/>
          <w:szCs w:val="24"/>
        </w:rPr>
        <w:t>пределение</w:t>
      </w:r>
      <w:proofErr w:type="spellEnd"/>
      <w:r w:rsidR="001E1D85" w:rsidRPr="00DF0D90">
        <w:rPr>
          <w:color w:val="333333"/>
          <w:szCs w:val="24"/>
        </w:rPr>
        <w:t xml:space="preserve"> антигена (</w:t>
      </w:r>
      <w:proofErr w:type="spellStart"/>
      <w:r w:rsidR="001E1D85" w:rsidRPr="00DF0D90">
        <w:rPr>
          <w:color w:val="333333"/>
          <w:szCs w:val="24"/>
        </w:rPr>
        <w:t>HbeAg</w:t>
      </w:r>
      <w:proofErr w:type="spellEnd"/>
      <w:r w:rsidR="001E1D85" w:rsidRPr="00DF0D90">
        <w:rPr>
          <w:color w:val="333333"/>
          <w:szCs w:val="24"/>
        </w:rPr>
        <w:t>) вируса гепатита B (</w:t>
      </w:r>
      <w:proofErr w:type="spellStart"/>
      <w:r w:rsidR="001E1D85" w:rsidRPr="00DF0D90">
        <w:rPr>
          <w:color w:val="333333"/>
          <w:szCs w:val="24"/>
        </w:rPr>
        <w:t>Hepatitis</w:t>
      </w:r>
      <w:proofErr w:type="spellEnd"/>
      <w:r w:rsidR="001E1D85" w:rsidRPr="00DF0D90">
        <w:rPr>
          <w:color w:val="333333"/>
          <w:szCs w:val="24"/>
        </w:rPr>
        <w:t xml:space="preserve"> B </w:t>
      </w:r>
      <w:proofErr w:type="spellStart"/>
      <w:r w:rsidR="001E1D85" w:rsidRPr="00DF0D90">
        <w:rPr>
          <w:color w:val="333333"/>
          <w:szCs w:val="24"/>
        </w:rPr>
        <w:t>virus</w:t>
      </w:r>
      <w:proofErr w:type="spellEnd"/>
      <w:r w:rsidR="001E1D85" w:rsidRPr="00DF0D90">
        <w:rPr>
          <w:color w:val="333333"/>
          <w:szCs w:val="24"/>
        </w:rPr>
        <w:t>) в крови</w:t>
      </w:r>
      <w:r w:rsidRPr="00DF0D90">
        <w:rPr>
          <w:szCs w:val="24"/>
        </w:rPr>
        <w:t>, и определение</w:t>
      </w:r>
      <w:r w:rsidRPr="00DF0D90">
        <w:t xml:space="preserve"> ДНК </w:t>
      </w:r>
      <w:r w:rsidRPr="00DF0D90">
        <w:rPr>
          <w:lang w:val="en-US"/>
        </w:rPr>
        <w:t>HBV</w:t>
      </w:r>
      <w:r w:rsidR="003C7055" w:rsidRPr="00DF0D90">
        <w:t>(количественный тест) и РНК-ВГД (качественный тест); при положительном результате теста на</w:t>
      </w:r>
      <w:r w:rsidR="000D00C5" w:rsidRPr="00DF0D90">
        <w:rPr>
          <w:lang w:val="ru-RU"/>
        </w:rPr>
        <w:t xml:space="preserve"> </w:t>
      </w:r>
      <w:r w:rsidR="003C7055" w:rsidRPr="00DF0D90">
        <w:rPr>
          <w:lang w:val="en-US"/>
        </w:rPr>
        <w:t>anti</w:t>
      </w:r>
      <w:r w:rsidR="003C7055" w:rsidRPr="00DF0D90">
        <w:t>-</w:t>
      </w:r>
      <w:r w:rsidR="003C7055" w:rsidRPr="00DF0D90">
        <w:rPr>
          <w:lang w:val="en-US"/>
        </w:rPr>
        <w:t>HCV</w:t>
      </w:r>
      <w:r w:rsidR="003C7055" w:rsidRPr="00DF0D90">
        <w:t>–</w:t>
      </w:r>
      <w:r w:rsidR="006B072E">
        <w:rPr>
          <w:lang w:val="ru-RU"/>
        </w:rPr>
        <w:t>определение</w:t>
      </w:r>
      <w:r w:rsidR="006B072E" w:rsidRPr="006B072E">
        <w:t xml:space="preserve"> </w:t>
      </w:r>
      <w:r w:rsidR="006B072E" w:rsidRPr="006B072E">
        <w:rPr>
          <w:lang w:val="ru-RU"/>
        </w:rPr>
        <w:t>РНК вируса гепатита C (</w:t>
      </w:r>
      <w:proofErr w:type="spellStart"/>
      <w:r w:rsidR="006B072E" w:rsidRPr="006B072E">
        <w:rPr>
          <w:lang w:val="ru-RU"/>
        </w:rPr>
        <w:t>Hepatitis</w:t>
      </w:r>
      <w:proofErr w:type="spellEnd"/>
      <w:r w:rsidR="006B072E" w:rsidRPr="006B072E">
        <w:rPr>
          <w:lang w:val="ru-RU"/>
        </w:rPr>
        <w:t xml:space="preserve"> C </w:t>
      </w:r>
      <w:proofErr w:type="spellStart"/>
      <w:r w:rsidR="006B072E" w:rsidRPr="006B072E">
        <w:rPr>
          <w:lang w:val="ru-RU"/>
        </w:rPr>
        <w:t>virus</w:t>
      </w:r>
      <w:proofErr w:type="spellEnd"/>
      <w:r w:rsidR="006B072E" w:rsidRPr="006B072E">
        <w:rPr>
          <w:lang w:val="ru-RU"/>
        </w:rPr>
        <w:t>) в крови методом ПЦР, количественное исследование</w:t>
      </w:r>
      <w:r w:rsidR="006B072E">
        <w:rPr>
          <w:lang w:val="ru-RU"/>
        </w:rPr>
        <w:t>, о</w:t>
      </w:r>
      <w:r w:rsidR="006B072E" w:rsidRPr="006B072E">
        <w:rPr>
          <w:lang w:val="ru-RU"/>
        </w:rPr>
        <w:t>пределение генотипа вируса гепатита C (</w:t>
      </w:r>
      <w:proofErr w:type="spellStart"/>
      <w:r w:rsidR="006B072E" w:rsidRPr="006B072E">
        <w:rPr>
          <w:lang w:val="ru-RU"/>
        </w:rPr>
        <w:t>Hepatitis</w:t>
      </w:r>
      <w:proofErr w:type="spellEnd"/>
      <w:r w:rsidR="006B072E" w:rsidRPr="006B072E">
        <w:rPr>
          <w:lang w:val="ru-RU"/>
        </w:rPr>
        <w:t xml:space="preserve"> C </w:t>
      </w:r>
      <w:proofErr w:type="spellStart"/>
      <w:r w:rsidR="006B072E" w:rsidRPr="006B072E">
        <w:rPr>
          <w:lang w:val="ru-RU"/>
        </w:rPr>
        <w:t>virus</w:t>
      </w:r>
      <w:proofErr w:type="spellEnd"/>
      <w:r w:rsidR="006B072E" w:rsidRPr="006B072E">
        <w:rPr>
          <w:lang w:val="ru-RU"/>
        </w:rPr>
        <w:t>)</w:t>
      </w:r>
      <w:r w:rsidR="006B072E">
        <w:rPr>
          <w:lang w:val="ru-RU"/>
        </w:rPr>
        <w:t xml:space="preserve"> </w:t>
      </w:r>
      <w:r w:rsidR="00A60B04" w:rsidRPr="00DF0D90">
        <w:fldChar w:fldCharType="begin" w:fldLock="1"/>
      </w:r>
      <w:r w:rsidR="00A60B04" w:rsidRPr="00DF0D90">
        <w:instrText>ADDIN CSL_CITATION {"citationItems":[{"id":"ITEM-1","itemData":{"DOI":"10.1093/annonc/mdy308","ISSN":"15698041","PMID":"30285213","author":[{"dropping-particle":"","family":"Vogel","given":"A.","non-dropping-particle":"","parse-names":false,"suffix":""},{"dropping-particle":"","family":"Cervantes","given":"A.","non-dropping-particle":"","parse-names":false,"suffix":""},{"dropping-particle":"","family":"Chau","given":"I.","non-dropping-particle":"","parse-names":false,"suffix":""},{"dropping-particle":"","family":"Daniele","given":"B.","non-dropping-particle":"","parse-names":false,"suffix":""},{"dropping-particle":"","family":"Llovet","given":"J.","non-dropping-particle":"","parse-names":false,"suffix":""},{"dropping-particle":"","family":"Meyer","given":"T.","non-dropping-particle":"","parse-names":false,"suffix":""},{"dropping-particle":"","family":"Nault","given":"J. C.","non-dropping-particle":"","parse-names":false,"suffix":""},{"dropping-particle":"","family":"Neumann","given":"U.","non-dropping-particle":"","parse-names":false,"suffix":""},{"dropping-particle":"","family":"Ricke","given":"J.","non-dropping-particle":"","parse-names":false,"suffix":""},{"dropping-particle":"","family":"Sangro","given":"B.","non-dropping-particle":"","parse-names":false,"suffix":""},{"dropping-particle":"","family":"Schirmacher","given":"P.","non-dropping-particle":"","parse-names":false,"suffix":""},{"dropping-particle":"","family":"Verslype","given":"C.","non-dropping-particle":"","parse-names":false,"suffix":""},{"dropping-particle":"","family":"Zech","given":"C. J.","non-dropping-particle":"","parse-names":false,"suffix":""},{"dropping-particle":"","family":"Arnold","given":"D.","non-dropping-particle":"","parse-names":false,"suffix":""},{"dropping-particle":"","family":"Martinelli","given":"E.","non-dropping-particle":"","parse-names":false,"suffix":""}],"container-title":"Annals of Oncology","id":"ITEM-1","issued":{"date-parts":[["2018","10","1"]]},"page":"iv238-iv255","publisher":"Oxford University Press","title":"Hepatocellular carcinoma: ESMO Clinical Practice Guidelines for diagnosis, treatment and follow-up","type":"article-journal","volume":"29"},"uris":["http://www.mendeley.com/documents/?uuid=21b70589-bd16-3bd9-b432-9f2042108c3b"]},{"id":"ITEM-2","itemData":{"DOI":"10.1002/hep.29913","ISSN":"15273350","PMID":"29624699","author":[{"dropping-particle":"","family":"Marrero","given":"Jorge A.","non-dropping-particle":"","parse-names":false,"suffix":""},{"dropping-particle":"","family":"Kulik","given":"Laura M.","non-dropping-particle":"","parse-names":false,"suffix":""},{"dropping-particle":"","family":"Sirlin","given":"Claude B.","non-dropping-particle":"","parse-names":false,"suffix":""},{"dropping-particle":"","family":"Zhu","given":"Andrew X.","non-dropping-particle":"","parse-names":false,"suffix":""},{"dropping-particle":"","family":"Finn","given":"Richard S.","non-dropping-particle":"","parse-names":false,"suffix":""},{"dropping-particle":"","family":"Abecassis","given":"Michael M.","non-dropping-particle":"","parse-names":false,"suffix":""},{"dropping-particle":"","family":"Roberts","given":"Lewis R.","non-dropping-particle":"","parse-names":false,"suffix":""},{"dropping-particle":"","family":"Heimbach","given":"Julie K.","non-dropping-particle":"","parse-names":false,"suffix":""}],"container-title":"Hepatology","id":"ITEM-2","issue":"2","issued":{"date-parts":[["2018","8","1"]]},"page":"723-750","publisher":"John Wiley and Sons Inc.","title":"Diagnosis, Staging, and Management of Hepatocellular Carcinoma: 2018 Practice Guidance by the American Association for the Study of Liver Diseases","type":"article-journal","volume":"68"},"uris":["http://www.mendeley.com/documents/?uuid=524b992f-ba18-31f8-aa7d-c271bdc57c09"]},{"id":"ITEM-3","itemData":{"DOI":"10.1002/hep.28156","ISSN":"15273350","PMID":"26566064","author":[{"dropping-particle":"","family":"Terrault","given":"Norah A.","non-dropping-particle":"","parse-names":false,"suffix":""},{"dropping-particle":"","family":"Bzowej","given":"Natalie H.","non-dropping-particle":"","parse-names":false,"suffix":""},{"dropping-particle":"","family":"Chang","given":"Kyong Mi","non-dropping-particle":"","parse-names":false,"suffix":""},{"dropping-particle":"","family":"Hwang","given":"Jessica P.","non-dropping-particle":"","parse-names":false,"suffix":""},{"dropping-particle":"","family":"Jonas","given":"Maureen M.","non-dropping-particle":"","parse-names":false,"suffix":""},{"dropping-particle":"","family":"Murad","given":"M. Hassan","non-dropping-particle":"","parse-names":false,"suffix":""}],"container-title":"Hepatology","id":"ITEM-3","issue":"1","issued":{"date-parts":[["2016","1","1"]]},"page":"261-283","publisher":"John Wiley and Sons Inc.","title":"AASLD guidelines for treatment of chronic hepatitis B","type":"article-journal","volume":"63"},"uris":["http://www.mendeley.com/documents/?uuid=4faf7881-338d-3880-9d3a-7701f973c218"]},{"id":"ITEM-4","itemData":{"DOI":"10.1093/cid/ciy585","ISSN":"15376591","PMID":"30215672","abstract":"Recognizing the importance of timely guidance regarding the rapidly evolving field of hepatitis C management, the American Association for the Study of Liver Diseases (AASLD) and the Infectious Diseases Society of America (IDSA) developed a web-based process for the expeditious formulation and dissemination of evidence-based recommendations. Launched in 2014, the hepatitis C virus (HCV) guidance website undergoes periodic updates as necessitated by availability of new therapeutic agents and/or research data. A major update was released electronically in September 2017, prompted primarily by approval of new direct-acting antiviral agents and expansion of the guidance's scope. This update summarizes the latest release of the HCV guidance and focuses on new or amended recommendations since the previous September 2015 print publication. The recommendations herein were developed by volunteer hepatology and infectious disease experts representing AASLD and IDSA and have been peer reviewed and approved by each society's governing board.","author":[{"dropping-particle":"","family":"Chung","given":"Raymond T.","non-dropping-particle":"","parse-names":false,"suffix":""},{"dropping-particle":"","family":"Ghany","given":"Marc G.","non-dropping-particle":"","parse-names":false,"suffix":""},{"dropping-particle":"","family":"Kim","given":"Arthur Y.","non-dropping-particle":"","parse-names":false,"suffix":""},{"dropping-particle":"","family":"Marks","given":"Kristen M.","non-dropping-particle":"","parse-names":false,"suffix":""},{"dropping-particle":"","family":"Naggie","given":"Susanna","non-dropping-particle":"","parse-names":false,"suffix":""},{"dropping-particle":"","family":"Vargas","given":"Hugo E.","non-dropping-particle":"","parse-names":false,"suffix":""},{"dropping-particle":"","family":"Aronsohn","given":"Andrew I.","non-dropping-particle":"","parse-names":false,"suffix":""},{"dropping-particle":"","family":"Bhattacharya","given":"Debika","non-dropping-particle":"","parse-names":false,"suffix":""},{"dropping-particle":"","family":"Broder","given":"Tina","non-dropping-particle":"","parse-names":false,"suffix":""},{"dropping-particle":"","family":"Falade-Nwulia","given":"Oluwaseun O.","non-dropping-particle":"","parse-names":false,"suffix":""},{"dropping-particle":"","family":"Fontana","given":"Robert J.","non-dropping-particle":"","parse-names":false,"suffix":""},{"dropping-particle":"","family":"Gordon","given":"Stuart C.","non-dropping-particle":"","parse-names":false,"suffix":""},{"dropping-particle":"","family":"Heller","given":"Theo","non-dropping-particle":"","parse-names":false,"suffix":""},{"dropping-particle":"","family":"Holmberg","given":"Scott D.","non-dropping-particle":"","parse-names":false,"suffix":""},{"dropping-particle":"","family":"Jhaveri","given":"Ravi","non-dropping-particle":"","parse-names":false,"suffix":""},{"dropping-particle":"","family":"Jonas","given":"Maureen M.","non-dropping-particle":"","parse-names":false,"suffix":""},{"dropping-particle":"","family":"Kiser","given":"Jennifer J.","non-dropping-particle":"","parse-names":false,"suffix":""},{"dropping-particle":"","family":"Linas","given":"Benjamin P.","non-dropping-particle":"","parse-names":false,"suffix":""},{"dropping-particle":"","family":"Re","given":"Vincent","non-dropping-particle":"Lo","parse-names":false,"suffix":""},{"dropping-particle":"","family":"Morgan","given":"Timothy R.","non-dropping-particle":"","parse-names":false,"suffix":""},{"dropping-particle":"","family":"Nahass","given":"Ronald G.","non-dropping-particle":"","parse-names":false,"suffix":""},{"dropping-particle":"","family":"Peters","given":"Marion G.","non-dropping-particle":"","parse-names":false,"suffix":""},{"dropping-particle":"","family":"Reddy","given":"K. Rajender","non-dropping-particle":"","parse-names":false,"suffix":""},{"dropping-particle":"","family":"Reynolds","given":"Andrew","non-dropping-particle":"","parse-names":false,"suffix":""},{"dropping-particle":"","family":"Scott","given":"John D.","non-dropping-particle":"","parse-names":false,"suffix":""},{"dropping-particle":"","family":"Searson","given":"Gloria","non-dropping-particle":"","parse-names":false,"suffix":""},{"dropping-particle":"","family":"Swan","given":"Tracy","non-dropping-particle":"","parse-names":false,"suffix":""},{"dropping-particle":"","family":"Terrault","given":"Norah A.","non-dropping-particle":"","parse-names":false,"suffix":""},{"dropping-particle":"","family":"Trooskin","given":"Stacey B.","non-dropping-particle":"","parse-names":false,"suffix":""},{"dropping-particle":"","family":"Wong","given":"John B.","non-dropping-particle":"","parse-names":false,"suffix":""},{"dropping-particle":"","family":"Workowski","given":"Kimberly A.","non-dropping-particle":"","parse-names":false,"suffix":""}],"container-title":"Clinical Infectious Diseases","id":"ITEM-4","issue":"10","issued":{"date-parts":[["2018","10","30"]]},"page":"1477-1492","publisher":"Oxford University Press","title":"Hepatitis C guidance 2018 update: Aasld-idsa recommendations for testing, managing, and treating Hepatitis C Virus infection","type":"article-journal","volume":"67"},"uris":["http://www.mendeley.com/documents/?uuid=79a1d8b8-ffe0-3b66-b3a9-8297a8325613"]}],"mendeley":{"formattedCitation":"[8–11]","plainTextFormattedCitation":"[8–11]","previouslyFormattedCitation":"[8–11]"},"properties":{"noteIndex":0},"schema":"https://github.com/citation-style-language/schema/raw/master/csl-citation.json"}</w:instrText>
      </w:r>
      <w:r w:rsidR="00A60B04" w:rsidRPr="00DF0D90">
        <w:fldChar w:fldCharType="separate"/>
      </w:r>
      <w:r w:rsidR="00A60B04" w:rsidRPr="00DF0D90">
        <w:rPr>
          <w:noProof/>
        </w:rPr>
        <w:t>[8–11]</w:t>
      </w:r>
      <w:r w:rsidR="00A60B04" w:rsidRPr="00DF0D90">
        <w:fldChar w:fldCharType="end"/>
      </w:r>
      <w:r w:rsidR="00641949" w:rsidRPr="00DF0D90">
        <w:rPr>
          <w:lang w:val="ru-RU"/>
        </w:rPr>
        <w:t>.</w:t>
      </w:r>
      <w:r w:rsidR="00571442" w:rsidRPr="00DF0D90">
        <w:rPr>
          <w:lang w:val="ru-RU"/>
        </w:rPr>
        <w:t xml:space="preserve">     </w:t>
      </w:r>
    </w:p>
    <w:p w14:paraId="4B453631" w14:textId="77777777" w:rsidR="00630BAC" w:rsidRPr="00DF0D90" w:rsidRDefault="00630BAC" w:rsidP="00E86998">
      <w:pPr>
        <w:pStyle w:val="afa"/>
        <w:spacing w:after="120" w:line="360" w:lineRule="auto"/>
        <w:ind w:right="6"/>
        <w:jc w:val="both"/>
      </w:pPr>
      <w:r w:rsidRPr="00DF0D90">
        <w:t>Уровень убедительности рекомендаций – С (уровень достоверности доказательств – 5).</w:t>
      </w:r>
    </w:p>
    <w:p w14:paraId="393CDCFA" w14:textId="49FDF46F" w:rsidR="00630BAC" w:rsidRPr="00DF0D90" w:rsidRDefault="00630BAC" w:rsidP="006D217F">
      <w:pPr>
        <w:pStyle w:val="a"/>
        <w:spacing w:before="0" w:after="120" w:line="360" w:lineRule="auto"/>
        <w:ind w:firstLine="567"/>
        <w:jc w:val="both"/>
        <w:rPr>
          <w:color w:val="000000"/>
        </w:rPr>
      </w:pPr>
      <w:r w:rsidRPr="00DF0D90">
        <w:rPr>
          <w:b/>
        </w:rPr>
        <w:t>Рекомендуется</w:t>
      </w:r>
      <w:r w:rsidRPr="00DF0D90">
        <w:t xml:space="preserve"> пациентам с подозрением на ГЦР или установленным диагнозом ГЦР, получающим специализированное противоопухолевое лечение или находящимся в процессе динамического наблюдения после лечения</w:t>
      </w:r>
      <w:r w:rsidR="00C34389" w:rsidRPr="00DF0D90">
        <w:rPr>
          <w:lang w:val="ru-RU"/>
        </w:rPr>
        <w:t xml:space="preserve"> </w:t>
      </w:r>
      <w:r w:rsidRPr="00DF0D90">
        <w:t>для объективной оценки степени выраженности изменений в гемограмме и выявления возможного нарушения функции печени и почек</w:t>
      </w:r>
      <w:r w:rsidR="00C34389" w:rsidRPr="00DF0D90">
        <w:rPr>
          <w:lang w:val="ru-RU"/>
        </w:rPr>
        <w:t xml:space="preserve"> </w:t>
      </w:r>
      <w:r w:rsidR="005B577A" w:rsidRPr="00DF0D90">
        <w:t>выполнить</w:t>
      </w:r>
      <w:r w:rsidR="00C34389" w:rsidRPr="00DF0D90">
        <w:rPr>
          <w:lang w:val="ru-RU"/>
        </w:rPr>
        <w:t xml:space="preserve"> </w:t>
      </w:r>
      <w:r w:rsidR="00E67AEF" w:rsidRPr="00DF0D90">
        <w:rPr>
          <w:lang w:val="ru-RU"/>
        </w:rPr>
        <w:t>о</w:t>
      </w:r>
      <w:proofErr w:type="spellStart"/>
      <w:r w:rsidR="00E67AEF" w:rsidRPr="00DF0D90">
        <w:t>бщий</w:t>
      </w:r>
      <w:proofErr w:type="spellEnd"/>
      <w:r w:rsidR="00E67AEF" w:rsidRPr="00DF0D90">
        <w:t xml:space="preserve"> (клинический) анализ крови развернутый</w:t>
      </w:r>
      <w:r w:rsidR="00E67AEF" w:rsidRPr="00DF0D90" w:rsidDel="00E67AEF">
        <w:t xml:space="preserve"> </w:t>
      </w:r>
      <w:r w:rsidRPr="00DF0D90">
        <w:t xml:space="preserve">(с подсчетом количества тромбоцитов) и </w:t>
      </w:r>
      <w:r w:rsidR="00E67AEF" w:rsidRPr="00DF0D90">
        <w:t xml:space="preserve">анализ крови </w:t>
      </w:r>
      <w:r w:rsidRPr="00DF0D90">
        <w:t>биохимический</w:t>
      </w:r>
      <w:r w:rsidR="00E67AEF" w:rsidRPr="00DF0D90">
        <w:rPr>
          <w:lang w:val="ru-RU"/>
        </w:rPr>
        <w:t xml:space="preserve"> общетерапевтический </w:t>
      </w:r>
      <w:r w:rsidR="005C7163" w:rsidRPr="00DF0D90">
        <w:rPr>
          <w:lang w:val="ru-RU"/>
        </w:rPr>
        <w:t xml:space="preserve">– </w:t>
      </w:r>
      <w:r w:rsidRPr="00DF0D90">
        <w:t>с измерением уровня</w:t>
      </w:r>
      <w:r w:rsidR="00C34389" w:rsidRPr="00DF0D90">
        <w:rPr>
          <w:lang w:val="ru-RU"/>
        </w:rPr>
        <w:t xml:space="preserve"> </w:t>
      </w:r>
      <w:r w:rsidR="0069447A" w:rsidRPr="00DF0D90">
        <w:t xml:space="preserve">сывороточного </w:t>
      </w:r>
      <w:r w:rsidRPr="00DF0D90">
        <w:t>альбумина, общего и прямого билирубина</w:t>
      </w:r>
      <w:r w:rsidR="0069447A" w:rsidRPr="00DF0D90">
        <w:t>, мочевины и креатинина,</w:t>
      </w:r>
      <w:r w:rsidR="003C7055" w:rsidRPr="00DF0D90">
        <w:t xml:space="preserve"> АЛТ, АСТ, ГГТ, ЩФ</w:t>
      </w:r>
      <w:r w:rsidR="005C7163" w:rsidRPr="00DF0D90">
        <w:rPr>
          <w:lang w:val="ru-RU"/>
        </w:rPr>
        <w:t xml:space="preserve"> – </w:t>
      </w:r>
      <w:r w:rsidRPr="00DF0D90">
        <w:t xml:space="preserve">анализ крови, определение </w:t>
      </w:r>
      <w:proofErr w:type="spellStart"/>
      <w:r w:rsidRPr="00DF0D90">
        <w:t>протромбинового</w:t>
      </w:r>
      <w:proofErr w:type="spellEnd"/>
      <w:r w:rsidRPr="00DF0D90">
        <w:t xml:space="preserve"> времени и международного нормализованного отношения, общий </w:t>
      </w:r>
      <w:r w:rsidR="00E67AEF" w:rsidRPr="00DF0D90">
        <w:rPr>
          <w:rFonts w:eastAsia="Calibri"/>
          <w:szCs w:val="24"/>
          <w:lang w:val="ru-RU"/>
        </w:rPr>
        <w:t xml:space="preserve">(клинический) </w:t>
      </w:r>
      <w:r w:rsidRPr="00DF0D90">
        <w:t xml:space="preserve">анализ мочи </w:t>
      </w:r>
      <w:r w:rsidR="00A60B04" w:rsidRPr="00DF0D90">
        <w:fldChar w:fldCharType="begin" w:fldLock="1"/>
      </w:r>
      <w:r w:rsidR="00A60B04" w:rsidRPr="00DF0D90">
        <w:instrText>ADDIN CSL_CITATION {"citationItems":[{"id":"ITEM-1","itemData":{"DOI":"10.1053/j.gastro.2004.09.014","ISSN":"00165085","PMID":"15508101","abstract":"Emerging data indicate that the mortality rate of hepatocellular carcinoma (HCC) associated with cirrhosis is rising in some developed countries, whereas mortality from non-HCC complications of cirrhosis is decreasing or is stable. Cohort studies indicate that HCC is currently the major cause of liver-related death in patients with compensated cirrhosis. Hepatitis C virus (HCV) infection is associated with the highest HCC incidence in persons with cirrhosis, occurring twice as commonly in Japan than in the West (5-year cumulative incidence, 30% and 17%, respectively), followed by hereditary hemochromatosis (5-year cumulative incidence, 21%). In hepatitis B virus (HBV)-related cirrhosis, the 5-year cumulative HCC risk is 15% in high endemic areas and 10% in the West. In the absence of HCV and HBV infection, the HCC incidence is lower in alcoholic cirrhotics (5-year cumulative risk, 8%) and subjects with advanced biliary cirrhosis (5-year cumulative risk, 4%). There are limited data on HCC risk in cirrhosis of other causes. Older age, male sex, severity of compensated cirrhosis at presentation, and sustained activity of liver disease are important predictors of HCC, independent of etiology of cirrhosis. In viral-related cirrhosis, HBV/HCV and HBV/HDV coinfections increase the HCC risk (2- to 6-fold relative to each infection alone) as does alcohol abuse (2- to 4-fold relative to alcohol abstinence). Sustained reduction of HBV replication lowers the risk of HCC in HBV-related cirrhosis. Further studies are needed to investigate other viral factors (eg, HBV genotype/mutant, occult HBV, HIV coinfection) and preventable or treatable comorbidities (eg, obesity, diabetes) in the HCC risk in cirrhosis.","author":[{"dropping-particle":"","family":"Fattovich","given":"Giovanna","non-dropping-particle":"","parse-names":false,"suffix":""},{"dropping-particle":"","family":"Stroffolini","given":"Tommaso","non-dropping-particle":"","parse-names":false,"suffix":""},{"dropping-particle":"","family":"Zagni","given":"Irene","non-dropping-particle":"","parse-names":false,"suffix":""},{"dropping-particle":"","family":"Donato","given":"Francesco","non-dropping-particle":"","parse-names":false,"suffix":""}],"container-title":"Gastroenterology","id":"ITEM-1","issue":"5 SUPPL.","issued":{"date-parts":[["2004"]]},"publisher":"W.B. Saunders","title":"Hepatocellular carcinoma in cirrhosis: Incidence and risk factors","type":"paper-conference","volume":"127"},"uris":["http://www.mendeley.com/documents/?uuid=c1598796-2bb1-364a-aa47-7c79558b7954"]},{"id":"ITEM-2","itemData":{"DOI":"10.1002/hep.29913","ISSN":"15273350","PMID":"29624699","author":[{"dropping-particle":"","family":"Marrero","given":"Jorge A.","non-dropping-particle":"","parse-names":false,"suffix":""},{"dropping-particle":"","family":"Kulik","given":"Laura M.","non-dropping-particle":"","parse-names":false,"suffix":""},{"dropping-particle":"","family":"Sirlin","given":"Claude B.","non-dropping-particle":"","parse-names":false,"suffix":""},{"dropping-particle":"","family":"Zhu","given":"Andrew X.","non-dropping-particle":"","parse-names":false,"suffix":""},{"dropping-particle":"","family":"Finn","given":"Richard S.","non-dropping-particle":"","parse-names":false,"suffix":""},{"dropping-particle":"","family":"Abecassis","given":"Michael M.","non-dropping-particle":"","parse-names":false,"suffix":""},{"dropping-particle":"","family":"Roberts","given":"Lewis R.","non-dropping-particle":"","parse-names":false,"suffix":""},{"dropping-particle":"","family":"Heimbach","given":"Julie K.","non-dropping-particle":"","parse-names":false,"suffix":""}],"container-title":"Hepatology","id":"ITEM-2","issue":"2","issued":{"date-parts":[["2018","8","1"]]},"page":"723-750","publisher":"John Wiley and Sons Inc.","title":"Diagnosis, Staging, and Management of Hepatocellular Carcinoma: 2018 Practice Guidance by the American Association for the Study of Liver Diseases","type":"article-journal","volume":"68"},"uris":["http://www.mendeley.com/documents/?uuid=524b992f-ba18-31f8-aa7d-c271bdc57c09"]}],"mendeley":{"formattedCitation":"[3,9]","plainTextFormattedCitation":"[3,9]","previouslyFormattedCitation":"[3,9]"},"properties":{"noteIndex":0},"schema":"https://github.com/citation-style-language/schema/raw/master/csl-citation.json"}</w:instrText>
      </w:r>
      <w:r w:rsidR="00A60B04" w:rsidRPr="00DF0D90">
        <w:fldChar w:fldCharType="separate"/>
      </w:r>
      <w:r w:rsidR="00A60B04" w:rsidRPr="00DF0D90">
        <w:rPr>
          <w:noProof/>
        </w:rPr>
        <w:t>[3,9]</w:t>
      </w:r>
      <w:r w:rsidR="00A60B04" w:rsidRPr="00DF0D90">
        <w:fldChar w:fldCharType="end"/>
      </w:r>
      <w:r w:rsidR="000D58C5">
        <w:rPr>
          <w:lang w:val="ru-RU"/>
        </w:rPr>
        <w:t>.</w:t>
      </w:r>
    </w:p>
    <w:p w14:paraId="6EF6413A" w14:textId="77777777" w:rsidR="00630BAC" w:rsidRPr="00DF0D90" w:rsidRDefault="00630BAC" w:rsidP="00E86998">
      <w:pPr>
        <w:pStyle w:val="afa"/>
        <w:spacing w:after="120" w:line="360" w:lineRule="auto"/>
        <w:jc w:val="both"/>
        <w:rPr>
          <w:color w:val="000000"/>
        </w:rPr>
      </w:pPr>
      <w:r w:rsidRPr="00DF0D90">
        <w:t>Уровень убедительности рекомендаций – С (уровень достоверности доказательств – 5).</w:t>
      </w:r>
    </w:p>
    <w:p w14:paraId="7831492D" w14:textId="73EDFADD" w:rsidR="00630BAC" w:rsidRPr="00DF0D90" w:rsidRDefault="00630BAC" w:rsidP="006D217F">
      <w:pPr>
        <w:pStyle w:val="a"/>
        <w:spacing w:before="0" w:after="120" w:line="360" w:lineRule="auto"/>
        <w:ind w:firstLine="567"/>
        <w:jc w:val="both"/>
        <w:rPr>
          <w:rStyle w:val="doi"/>
          <w:b/>
        </w:rPr>
      </w:pPr>
      <w:r w:rsidRPr="00DF0D90">
        <w:rPr>
          <w:b/>
        </w:rPr>
        <w:t>Рекомендуется</w:t>
      </w:r>
      <w:r w:rsidR="00E06FCA" w:rsidRPr="00DF0D90">
        <w:rPr>
          <w:b/>
          <w:lang w:val="ru-RU"/>
        </w:rPr>
        <w:t xml:space="preserve"> </w:t>
      </w:r>
      <w:r w:rsidRPr="00DF0D90">
        <w:t xml:space="preserve">пациентам с подозрением на ГЦР или установленным диагнозом ГЦР, получающим специализированное противоопухолевое лечение или находящимся в процессе динамического наблюдения после лечения, </w:t>
      </w:r>
      <w:r w:rsidR="005B577A" w:rsidRPr="00DF0D90">
        <w:t xml:space="preserve">выполнить </w:t>
      </w:r>
      <w:r w:rsidRPr="00DF0D90">
        <w:t>определение концентрации в плазме опухолеспецифического маркера альфа-</w:t>
      </w:r>
      <w:proofErr w:type="spellStart"/>
      <w:r w:rsidRPr="00DF0D90">
        <w:t>фетопротеина</w:t>
      </w:r>
      <w:proofErr w:type="spellEnd"/>
      <w:r w:rsidRPr="00DF0D90">
        <w:t xml:space="preserve"> (АФП)</w:t>
      </w:r>
      <w:r w:rsidR="00C34389" w:rsidRPr="00DF0D90">
        <w:rPr>
          <w:lang w:val="ru-RU"/>
        </w:rPr>
        <w:t xml:space="preserve"> </w:t>
      </w:r>
      <w:r w:rsidRPr="00DF0D90">
        <w:t xml:space="preserve">для </w:t>
      </w:r>
      <w:r w:rsidRPr="00DF0D90">
        <w:lastRenderedPageBreak/>
        <w:t>оценки агрессивности заболевания и прогноза его течения, контроля эффективности лечения.</w:t>
      </w:r>
      <w:r w:rsidR="00B5247D" w:rsidRPr="00DF0D90">
        <w:rPr>
          <w:lang w:val="ru-RU"/>
        </w:rPr>
        <w:t xml:space="preserve"> </w:t>
      </w:r>
      <w:r w:rsidR="00B5247D" w:rsidRPr="00DF0D90">
        <w:rPr>
          <w:lang w:val="en-US"/>
        </w:rPr>
        <w:t>[8]</w:t>
      </w:r>
    </w:p>
    <w:p w14:paraId="15D12DF9" w14:textId="77777777" w:rsidR="00630BAC" w:rsidRPr="00DF0D90" w:rsidRDefault="00630BAC" w:rsidP="00E86998">
      <w:pPr>
        <w:pStyle w:val="afa"/>
        <w:spacing w:after="120" w:line="360" w:lineRule="auto"/>
        <w:jc w:val="both"/>
      </w:pPr>
      <w:r w:rsidRPr="00DF0D90">
        <w:t xml:space="preserve">Уровень убедительности рекомендаций – </w:t>
      </w:r>
      <w:r w:rsidR="00135B75" w:rsidRPr="00DF0D90">
        <w:t>С</w:t>
      </w:r>
      <w:r w:rsidR="00E06FCA" w:rsidRPr="00DF0D90">
        <w:rPr>
          <w:lang w:val="ru-RU"/>
        </w:rPr>
        <w:t xml:space="preserve"> </w:t>
      </w:r>
      <w:r w:rsidRPr="00DF0D90">
        <w:t xml:space="preserve">(уровень достоверности доказательств – </w:t>
      </w:r>
      <w:r w:rsidR="00135B75" w:rsidRPr="00DF0D90">
        <w:t>5</w:t>
      </w:r>
      <w:r w:rsidRPr="00DF0D90">
        <w:t>).</w:t>
      </w:r>
    </w:p>
    <w:p w14:paraId="14DD6F38" w14:textId="77777777" w:rsidR="00630BAC" w:rsidRPr="00DF0D90" w:rsidRDefault="00630BAC" w:rsidP="00E86998">
      <w:pPr>
        <w:tabs>
          <w:tab w:val="left" w:pos="284"/>
          <w:tab w:val="left" w:pos="426"/>
          <w:tab w:val="left" w:pos="709"/>
          <w:tab w:val="left" w:pos="851"/>
        </w:tabs>
        <w:spacing w:after="120" w:line="360" w:lineRule="auto"/>
        <w:jc w:val="both"/>
      </w:pPr>
      <w:r w:rsidRPr="00DF0D90">
        <w:rPr>
          <w:b/>
          <w:i/>
        </w:rPr>
        <w:t>Комментарии:</w:t>
      </w:r>
      <w:r w:rsidR="00E06FCA" w:rsidRPr="00DF0D90">
        <w:rPr>
          <w:b/>
        </w:rPr>
        <w:t xml:space="preserve"> </w:t>
      </w:r>
      <w:r w:rsidR="00017FB4" w:rsidRPr="00DF0D90">
        <w:rPr>
          <w:i/>
        </w:rPr>
        <w:t xml:space="preserve">Результат анализа на АФП считается положительным, если уровень АФП &gt;100 </w:t>
      </w:r>
      <w:proofErr w:type="spellStart"/>
      <w:r w:rsidR="00017FB4" w:rsidRPr="00DF0D90">
        <w:rPr>
          <w:i/>
        </w:rPr>
        <w:t>нг</w:t>
      </w:r>
      <w:proofErr w:type="spellEnd"/>
      <w:r w:rsidR="00017FB4" w:rsidRPr="00DF0D90">
        <w:rPr>
          <w:i/>
        </w:rPr>
        <w:t xml:space="preserve">/мл </w:t>
      </w:r>
      <w:r w:rsidR="00C34389" w:rsidRPr="00DF0D90">
        <w:rPr>
          <w:i/>
        </w:rPr>
        <w:fldChar w:fldCharType="begin" w:fldLock="1"/>
      </w:r>
      <w:r w:rsidR="007335C5" w:rsidRPr="00DF0D90">
        <w:rPr>
          <w:i/>
        </w:rPr>
        <w:instrText>ADDIN CSL_CITATION {"citationItems":[{"id":"ITEM-1","itemData":{"DOI":"10.1039/c5an01884f","ISSN":"13645528","PMID":"26606739","abstract":"Hepatocellular carcinoma (HCC) is one of the most recurrent and lethal cancers worldwide. The low survival rate of this particular strain of carcinoma is largely due to the late stages at which it is diagnosed. Tumorigenesis of hepatocellular carcinoma is most frequently detected through ultrasonography, magnetic resonance imaging and computerized tomography scans, however, these methods are poor for detection of early tumor development. This review presents alternative hepatocellular carcinoma detection techniques through the use of protein and enzyme/isozyme biomarkers. The detection methods used to determine the serum levels of α-fetoprotein (AFP), glypican-3 (GPC3), Golgi protein 73 (GP73), α-l-fucosidase (AFU), des-γ-carboxyprothrombin (DCP), γ-glutamyl transferase (GGT) and squamous cell carcinoma antigen (SCCA) are presented and each marker's respective validity in the diagnosis of hepatocellular carcinoma is evaluated.","author":[{"dropping-particle":"","family":"Waidely","given":"Eric","non-dropping-particle":"","parse-names":false,"suffix":""},{"dropping-particle":"","family":"Al-Yuobi","given":"Abdul Rahman Obaid","non-dropping-particle":"","parse-names":false,"suffix":""},{"dropping-particle":"","family":"Bashammakh","given":"A. S.","non-dropping-particle":"","parse-names":false,"suffix":""},{"dropping-particle":"","family":"El-Shahawi","given":"Mohammad S.","non-dropping-particle":"","parse-names":false,"suffix":""},{"dropping-particle":"","family":"Leblanc","given":"Roger M.","non-dropping-particle":"","parse-names":false,"suffix":""}],"container-title":"Analyst","id":"ITEM-1","issue":"1","issued":{"date-parts":[["2016","1","7"]]},"page":"36-44","publisher":"Royal Society of Chemistry","title":"Serum protein biomarkers relevant to hepatocellular carcinoma and their detection","type":"article","volume":"141"},"uris":["http://www.mendeley.com/documents/?uuid=fbdaf1c1-49b7-3fcd-adf9-54ec95322d29"]}],"mendeley":{"formattedCitation":"[12]","plainTextFormattedCitation":"[12]","previouslyFormattedCitation":"[12]"},"properties":{"noteIndex":0},"schema":"https://github.com/citation-style-language/schema/raw/master/csl-citation.json"}</w:instrText>
      </w:r>
      <w:r w:rsidR="00C34389" w:rsidRPr="00DF0D90">
        <w:rPr>
          <w:i/>
        </w:rPr>
        <w:fldChar w:fldCharType="separate"/>
      </w:r>
      <w:r w:rsidR="00C34389" w:rsidRPr="00DF0D90">
        <w:rPr>
          <w:noProof/>
        </w:rPr>
        <w:t>[12]</w:t>
      </w:r>
      <w:r w:rsidR="00C34389" w:rsidRPr="00DF0D90">
        <w:rPr>
          <w:i/>
        </w:rPr>
        <w:fldChar w:fldCharType="end"/>
      </w:r>
      <w:r w:rsidR="00C34389" w:rsidRPr="00DF0D90">
        <w:rPr>
          <w:i/>
        </w:rPr>
        <w:t xml:space="preserve"> </w:t>
      </w:r>
      <w:r w:rsidR="00017FB4" w:rsidRPr="00DF0D90">
        <w:rPr>
          <w:i/>
          <w:color w:val="000000"/>
        </w:rPr>
        <w:t xml:space="preserve">или если он увеличивался на 7 </w:t>
      </w:r>
      <w:proofErr w:type="spellStart"/>
      <w:r w:rsidR="00017FB4" w:rsidRPr="00DF0D90">
        <w:rPr>
          <w:i/>
          <w:color w:val="000000"/>
        </w:rPr>
        <w:t>нг</w:t>
      </w:r>
      <w:proofErr w:type="spellEnd"/>
      <w:r w:rsidR="00017FB4" w:rsidRPr="00DF0D90">
        <w:rPr>
          <w:i/>
          <w:color w:val="000000"/>
        </w:rPr>
        <w:t xml:space="preserve">/мл в месяц по результатам 3 последовательных измерений </w:t>
      </w:r>
      <w:r w:rsidR="00A60B04" w:rsidRPr="00DF0D90">
        <w:rPr>
          <w:i/>
          <w:color w:val="000000"/>
        </w:rPr>
        <w:fldChar w:fldCharType="begin" w:fldLock="1"/>
      </w:r>
      <w:r w:rsidR="007335C5" w:rsidRPr="00DF0D90">
        <w:rPr>
          <w:i/>
          <w:color w:val="000000"/>
        </w:rPr>
        <w:instrText>ADDIN CSL_CITATION {"citationItems":[{"id":"ITEM-1","itemData":{"DOI":"10.1186/1471-2407-7-28","ISSN":"14712407","PMID":"17288606","abstract":"Background: Hepatocellular carcinoma is the most common cause of primary liver neoplasms and is one of the main causes of death in patients with liver cirrhosis. High Alpha fetoprotein serum levels have been found in 60-70% of patients with Hepatocellular carcinoma; nevertheless, there are other causes that increase this protein. Alpha fetoprotein levels ≥200 and 400 ng/mL in patients with an identifiable liver mass by imaging techniques are diagnostic of hepatocellular carcinoma with high specificity. Methods: We analysed the sensitivity and specificity of the progressive increase of the levels of alpha fetoprotein for the detection of hepatocellular carcinoma in patients with liver cirrhosis. Seventy-four patients with cirrhosis without hepatocellular carcinoma and 193 with hepatic lesions diagnosed by biopsy and shown by image scans were included. Sensitivity and specificity of transversal determination of alpha fetoprotein ≥ 200 and 400 ng/mL and monthly progressive elevation of alpha fetoprotein were analysed. Areas under the ROC curves were compared. Positive and negative predictive values adjusted to a 5 and 10% prevalence were calculated. Results: For an elevation of alpha fetoprotein ≥ 200 and 400 ng/mL the specificity is of 100% in both cases, with a sensitivity of 36.3 and 20.2%, respectively. For an alpha fetoprotein elevation rate ≥7 ng/mL/ month, sensitivity was of 71.4% and specificity of 100%. The area under the ROC curve of the progressive elevation was significantly greater than that of the transversal determination of alpha fetoprotein. The positive and negative predictive values modified to a 10% prevalence are of: 98.8% and 96.92%, respectively; while for a prevalence of 5% they were of 97.4% and 98.52%, respectively. Conclusion: The progressive elevation of alpha fetoprotein ≥7 ng/mL/ month in patients with liver cirrhosis is useful for the diagnosis of hepatocellular carcinoma in patients that do not reach αFP levels ≥200 ng/mL. Prospective studies are required to confirm this observation. © 2007 Arrieta et al; licensee BioMed Central Ltd.","author":[{"dropping-particle":"","family":"Arrieta","given":"Oscar","non-dropping-particle":"","parse-names":false,"suffix":""},{"dropping-particle":"","family":"Cacho","given":"Bernardo","non-dropping-particle":"","parse-names":false,"suffix":""},{"dropping-particle":"","family":"Morales-Espinosa","given":"Daniela","non-dropping-particle":"","parse-names":false,"suffix":""},{"dropping-particle":"","family":"Ruelas-Villavicencio","given":"Ana","non-dropping-particle":"","parse-names":false,"suffix":""},{"dropping-particle":"","family":"Flores-Estrada","given":"Diana","non-dropping-particle":"","parse-names":false,"suffix":""},{"dropping-particle":"","family":"Hernández-Pedro","given":"Norma","non-dropping-particle":"","parse-names":false,"suffix":""}],"container-title":"BMC Cancer","id":"ITEM-1","issued":{"date-parts":[["2007"]]},"title":"The progressive elevation of alpha fetoprotein for the diagnosis of hepatocellular carcinoma in patients with liver cirrhosis","type":"article-journal","volume":"7"},"uris":["http://www.mendeley.com/documents/?uuid=31143cfb-d172-3ef6-a1cb-f84e44f1cd49"]}],"mendeley":{"formattedCitation":"[13]","plainTextFormattedCitation":"[13]","previouslyFormattedCitation":"[13]"},"properties":{"noteIndex":0},"schema":"https://github.com/citation-style-language/schema/raw/master/csl-citation.json"}</w:instrText>
      </w:r>
      <w:r w:rsidR="00A60B04" w:rsidRPr="00DF0D90">
        <w:rPr>
          <w:i/>
          <w:color w:val="000000"/>
        </w:rPr>
        <w:fldChar w:fldCharType="separate"/>
      </w:r>
      <w:r w:rsidR="00C34389" w:rsidRPr="00DF0D90">
        <w:rPr>
          <w:noProof/>
          <w:color w:val="000000"/>
        </w:rPr>
        <w:t>[13]</w:t>
      </w:r>
      <w:r w:rsidR="00A60B04" w:rsidRPr="00DF0D90">
        <w:rPr>
          <w:i/>
          <w:color w:val="000000"/>
        </w:rPr>
        <w:fldChar w:fldCharType="end"/>
      </w:r>
      <w:r w:rsidR="00017FB4" w:rsidRPr="00DF0D90">
        <w:rPr>
          <w:rStyle w:val="doi"/>
          <w:i/>
          <w:color w:val="000000"/>
        </w:rPr>
        <w:t xml:space="preserve">. </w:t>
      </w:r>
      <w:r w:rsidR="0069447A" w:rsidRPr="00DF0D90">
        <w:rPr>
          <w:rStyle w:val="doi"/>
          <w:i/>
          <w:color w:val="000000"/>
        </w:rPr>
        <w:t>Следует учитывать, что у</w:t>
      </w:r>
      <w:r w:rsidRPr="00DF0D90">
        <w:rPr>
          <w:i/>
          <w:noProof/>
          <w:color w:val="000000"/>
        </w:rPr>
        <w:t>ровень АФП</w:t>
      </w:r>
      <w:r w:rsidR="0069447A" w:rsidRPr="00DF0D90">
        <w:rPr>
          <w:i/>
          <w:noProof/>
          <w:color w:val="000000"/>
        </w:rPr>
        <w:t xml:space="preserve"> также</w:t>
      </w:r>
      <w:r w:rsidRPr="00DF0D90">
        <w:rPr>
          <w:i/>
          <w:noProof/>
          <w:color w:val="000000"/>
        </w:rPr>
        <w:t xml:space="preserve"> может повышаться при хронических заболеваниях печени, например</w:t>
      </w:r>
      <w:r w:rsidR="006F121D" w:rsidRPr="00DF0D90">
        <w:rPr>
          <w:i/>
          <w:noProof/>
          <w:color w:val="000000"/>
        </w:rPr>
        <w:t xml:space="preserve">, </w:t>
      </w:r>
      <w:r w:rsidRPr="00DF0D90">
        <w:rPr>
          <w:i/>
          <w:noProof/>
          <w:color w:val="000000"/>
        </w:rPr>
        <w:t>при острых и хронических вирусных гепатитах, при других онкологических заболеваиях (гепатоидном раке желудка, герминогенных опухолях и т.д.), при беременности.</w:t>
      </w:r>
    </w:p>
    <w:p w14:paraId="0E006EF2" w14:textId="77777777" w:rsidR="00630BAC" w:rsidRPr="00DF0D90" w:rsidRDefault="00630BAC" w:rsidP="006D217F">
      <w:pPr>
        <w:spacing w:after="120" w:line="360" w:lineRule="auto"/>
        <w:ind w:firstLine="567"/>
        <w:jc w:val="both"/>
        <w:rPr>
          <w:b/>
        </w:rPr>
      </w:pPr>
      <w:bookmarkStart w:id="65" w:name="_Toc470722684"/>
      <w:bookmarkStart w:id="66" w:name="_Toc470722793"/>
      <w:r w:rsidRPr="00DF0D90">
        <w:rPr>
          <w:b/>
        </w:rPr>
        <w:t>Оценка функционального статуса печени</w:t>
      </w:r>
      <w:bookmarkEnd w:id="65"/>
      <w:bookmarkEnd w:id="66"/>
    </w:p>
    <w:p w14:paraId="40F08BD4" w14:textId="289376B1" w:rsidR="004F7795" w:rsidRPr="00DF0D90" w:rsidRDefault="00630BAC" w:rsidP="004F7795">
      <w:pPr>
        <w:pStyle w:val="a"/>
        <w:spacing w:before="0" w:after="120" w:line="360" w:lineRule="auto"/>
        <w:ind w:firstLine="567"/>
        <w:jc w:val="both"/>
      </w:pPr>
      <w:bookmarkStart w:id="67" w:name="_Toc470722685"/>
      <w:bookmarkStart w:id="68" w:name="_Toc470722794"/>
      <w:r w:rsidRPr="00DF0D90">
        <w:rPr>
          <w:b/>
        </w:rPr>
        <w:t>Рекомендуется</w:t>
      </w:r>
      <w:r w:rsidR="00E06FCA" w:rsidRPr="00DF0D90">
        <w:rPr>
          <w:b/>
          <w:lang w:val="ru-RU"/>
        </w:rPr>
        <w:t xml:space="preserve"> </w:t>
      </w:r>
      <w:r w:rsidRPr="00DF0D90">
        <w:t xml:space="preserve">пациентам с установленным диагнозом ГЦР, получающим специализированное противоопухолевое лечение или находящимся в процессе динамического наблюдения после лечения, оценить функциональный статус печени по критериям </w:t>
      </w:r>
      <w:r w:rsidRPr="00DF0D90">
        <w:rPr>
          <w:bCs/>
        </w:rPr>
        <w:t xml:space="preserve">Child – </w:t>
      </w:r>
      <w:proofErr w:type="spellStart"/>
      <w:r w:rsidRPr="00DF0D90">
        <w:rPr>
          <w:bCs/>
        </w:rPr>
        <w:t>Pugh</w:t>
      </w:r>
      <w:proofErr w:type="spellEnd"/>
      <w:r w:rsidRPr="00DF0D90">
        <w:rPr>
          <w:bCs/>
        </w:rPr>
        <w:t xml:space="preserve"> (</w:t>
      </w:r>
      <w:r w:rsidR="002963BE" w:rsidRPr="00DF0D90">
        <w:rPr>
          <w:bCs/>
        </w:rPr>
        <w:t>Приложение Г1</w:t>
      </w:r>
      <w:r w:rsidR="004F7795" w:rsidRPr="00DF0D90">
        <w:rPr>
          <w:bCs/>
        </w:rPr>
        <w:t>A</w:t>
      </w:r>
      <w:r w:rsidRPr="00DF0D90">
        <w:rPr>
          <w:bCs/>
        </w:rPr>
        <w:t>) с</w:t>
      </w:r>
      <w:r w:rsidRPr="00DF0D90">
        <w:t xml:space="preserve"> целью оценки степени нарушения функций печени</w:t>
      </w:r>
      <w:r w:rsidR="00C34389" w:rsidRPr="00DF0D90">
        <w:rPr>
          <w:lang w:val="ru-RU"/>
        </w:rPr>
        <w:t xml:space="preserve"> </w:t>
      </w:r>
      <w:r w:rsidRPr="00DF0D90">
        <w:t>для определения переносимости планируемого лечения или токсичности проводимого противоопухолевого лечения и прогноза течения цирроза печени</w:t>
      </w:r>
      <w:r w:rsidR="00A60B04" w:rsidRPr="00DF0D90">
        <w:rPr>
          <w:lang w:val="ru-RU"/>
        </w:rPr>
        <w:t xml:space="preserve"> </w:t>
      </w:r>
      <w:r w:rsidR="002A48E8" w:rsidRPr="00DF0D90">
        <w:rPr>
          <w:lang w:val="ru-RU"/>
        </w:rPr>
        <w:fldChar w:fldCharType="begin" w:fldLock="1"/>
      </w:r>
      <w:r w:rsidR="007335C5" w:rsidRPr="00DF0D90">
        <w:rPr>
          <w:lang w:val="ru-RU"/>
        </w:rPr>
        <w:instrText>ADDIN CSL_CITATION {"citationItems":[{"id":"ITEM-1","itemData":{"DOI":"10.1093/annonc/mdy308","ISSN":"15698041","PMID":"30285213","author":[{"dropping-particle":"","family":"Vogel","given":"A.","non-dropping-particle":"","parse-names":false,"suffix":""},{"dropping-particle":"","family":"Cervantes","given":"A.","non-dropping-particle":"","parse-names":false,"suffix":""},{"dropping-particle":"","family":"Chau","given":"I.","non-dropping-particle":"","parse-names":false,"suffix":""},{"dropping-particle":"","family":"Daniele","given":"B.","non-dropping-particle":"","parse-names":false,"suffix":""},{"dropping-particle":"","family":"Llovet","given":"J.","non-dropping-particle":"","parse-names":false,"suffix":""},{"dropping-particle":"","family":"Meyer","given":"T.","non-dropping-particle":"","parse-names":false,"suffix":""},{"dropping-particle":"","family":"Nault","given":"J. C.","non-dropping-particle":"","parse-names":false,"suffix":""},{"dropping-particle":"","family":"Neumann","given":"U.","non-dropping-particle":"","parse-names":false,"suffix":""},{"dropping-particle":"","family":"Ricke","given":"J.","non-dropping-particle":"","parse-names":false,"suffix":""},{"dropping-particle":"","family":"Sangro","given":"B.","non-dropping-particle":"","parse-names":false,"suffix":""},{"dropping-particle":"","family":"Schirmacher","given":"P.","non-dropping-particle":"","parse-names":false,"suffix":""},{"dropping-particle":"","family":"Verslype","given":"C.","non-dropping-particle":"","parse-names":false,"suffix":""},{"dropping-particle":"","family":"Zech","given":"C. J.","non-dropping-particle":"","parse-names":false,"suffix":""},{"dropping-particle":"","family":"Arnold","given":"D.","non-dropping-particle":"","parse-names":false,"suffix":""},{"dropping-particle":"","family":"Martinelli","given":"E.","non-dropping-particle":"","parse-names":false,"suffix":""}],"container-title":"Annals of Oncology","id":"ITEM-1","issued":{"date-parts":[["2018","10","1"]]},"page":"iv238-iv255","publisher":"Oxford University Press","title":"Hepatocellular carcinoma: ESMO Clinical Practice Guidelines for diagnosis, treatment and follow-up","type":"article-journal","volume":"29"},"uris":["http://www.mendeley.com/documents/?uuid=21b70589-bd16-3bd9-b432-9f2042108c3b"]},{"id":"ITEM-2","itemData":{"DOI":"10.1002/hep.29913","ISSN":"15273350","PMID":"29624699","author":[{"dropping-particle":"","family":"Marrero","given":"Jorge A.","non-dropping-particle":"","parse-names":false,"suffix":""},{"dropping-particle":"","family":"Kulik","given":"Laura M.","non-dropping-particle":"","parse-names":false,"suffix":""},{"dropping-particle":"","family":"Sirlin","given":"Claude B.","non-dropping-particle":"","parse-names":false,"suffix":""},{"dropping-particle":"","family":"Zhu","given":"Andrew X.","non-dropping-particle":"","parse-names":false,"suffix":""},{"dropping-particle":"","family":"Finn","given":"Richard S.","non-dropping-particle":"","parse-names":false,"suffix":""},{"dropping-particle":"","family":"Abecassis","given":"Michael M.","non-dropping-particle":"","parse-names":false,"suffix":""},{"dropping-particle":"","family":"Roberts","given":"Lewis R.","non-dropping-particle":"","parse-names":false,"suffix":""},{"dropping-particle":"","family":"Heimbach","given":"Julie K.","non-dropping-particle":"","parse-names":false,"suffix":""}],"container-title":"Hepatology","id":"ITEM-2","issue":"2","issued":{"date-parts":[["2018","8","1"]]},"page":"723-750","publisher":"John Wiley and Sons Inc.","title":"Diagnosis, Staging, and Management of Hepatocellular Carcinoma: 2018 Practice Guidance by the American Association for the Study of Liver Diseases","type":"article-journal","volume":"68"},"uris":["http://www.mendeley.com/documents/?uuid=524b992f-ba18-31f8-aa7d-c271bdc57c09"]},{"id":"ITEM-3","itemData":{"author":[{"dropping-particle":"","family":"NCCN","given":"","non-dropping-particle":"","parse-names":false,"suffix":""}],"id":"ITEM-3","issued":{"date-parts":[["2021"]]},"title":"Clinical Practice Guidelines in Oncology. Hepatobiliary Cancers, version 4.2021","type":"article-journal"},"uris":["http://www.mendeley.com/documents/?uuid=db314d5f-b05a-4fec-a403-5589c18d9ebd"]},{"id":"ITEM-4","itemData":{"DOI":"10.1097/MD.0000000000002877","ISSN":"0025-7974","author":[{"dropping-particle":"","family":"Peng","given":"Ying","non-dropping-particle":"","parse-names":false,"suffix":""},{"dropping-particle":"","family":"Qi","given":"Xingshun","non-dropping-particle":"","parse-names":false,"suffix":""},{"dropping-particle":"","family":"Guo","given":"Xiaozhong","non-dropping-particle":"","parse-names":false,"suffix":""}],"container-title":"Medicine","id":"ITEM-4","issue":"8","issued":{"date-parts":[["2016","2"]]},"page":"e2877","title":"Child–Pugh Versus MELD Score for the Assessment of Prognosis in Liver Cirrhosis","type":"article-journal","volume":"95"},"uris":["http://www.mendeley.com/documents/?uuid=6e57c1a0-ff76-4c26-9176-9e88900c29c9"]}],"mendeley":{"formattedCitation":"[8,9,14,15]","plainTextFormattedCitation":"[8,9,14,15]","previouslyFormattedCitation":"[8,9,14,15]"},"properties":{"noteIndex":0},"schema":"https://github.com/citation-style-language/schema/raw/master/csl-citation.json"}</w:instrText>
      </w:r>
      <w:r w:rsidR="002A48E8" w:rsidRPr="00DF0D90">
        <w:rPr>
          <w:lang w:val="ru-RU"/>
        </w:rPr>
        <w:fldChar w:fldCharType="separate"/>
      </w:r>
      <w:r w:rsidR="00C34389" w:rsidRPr="00DF0D90">
        <w:rPr>
          <w:noProof/>
          <w:lang w:val="ru-RU"/>
        </w:rPr>
        <w:t>[8,9,14,15]</w:t>
      </w:r>
      <w:r w:rsidR="002A48E8" w:rsidRPr="00DF0D90">
        <w:rPr>
          <w:lang w:val="ru-RU"/>
        </w:rPr>
        <w:fldChar w:fldCharType="end"/>
      </w:r>
      <w:r w:rsidR="00641949" w:rsidRPr="00DF0D90">
        <w:rPr>
          <w:lang w:val="ru-RU"/>
        </w:rPr>
        <w:t>.</w:t>
      </w:r>
      <w:r w:rsidR="004F7795" w:rsidRPr="00DF0D90">
        <w:rPr>
          <w:lang w:val="ru-RU"/>
        </w:rPr>
        <w:t xml:space="preserve"> Дополнительный</w:t>
      </w:r>
      <w:r w:rsidR="004F7795" w:rsidRPr="00DF0D90">
        <w:t xml:space="preserve"> инструмент оценки функции печени – коэффициент</w:t>
      </w:r>
      <w:r w:rsidR="004F7795" w:rsidRPr="00DF0D90">
        <w:rPr>
          <w:lang w:val="ru-RU"/>
        </w:rPr>
        <w:t xml:space="preserve"> АЛБИ</w:t>
      </w:r>
      <w:r w:rsidR="004F7795" w:rsidRPr="00DF0D90">
        <w:t xml:space="preserve"> </w:t>
      </w:r>
      <w:r w:rsidR="004F7795" w:rsidRPr="00DF0D90">
        <w:rPr>
          <w:lang w:val="ru-RU"/>
        </w:rPr>
        <w:t>(</w:t>
      </w:r>
      <w:r w:rsidR="004F7795" w:rsidRPr="00DF0D90">
        <w:rPr>
          <w:lang w:val="en-US"/>
        </w:rPr>
        <w:t>ALBI</w:t>
      </w:r>
      <w:r w:rsidR="004F7795" w:rsidRPr="00DF0D90">
        <w:rPr>
          <w:lang w:val="ru-RU"/>
        </w:rPr>
        <w:t xml:space="preserve">, </w:t>
      </w:r>
      <w:proofErr w:type="spellStart"/>
      <w:r w:rsidR="004F7795" w:rsidRPr="00DF0D90">
        <w:rPr>
          <w:lang w:val="en-US"/>
        </w:rPr>
        <w:t>ALbumin</w:t>
      </w:r>
      <w:proofErr w:type="spellEnd"/>
      <w:r w:rsidR="004F7795" w:rsidRPr="00DF0D90">
        <w:t>-</w:t>
      </w:r>
      <w:proofErr w:type="spellStart"/>
      <w:r w:rsidR="004F7795" w:rsidRPr="00DF0D90">
        <w:rPr>
          <w:lang w:val="en-US"/>
        </w:rPr>
        <w:t>Bilirubin</w:t>
      </w:r>
      <w:proofErr w:type="spellEnd"/>
      <w:r w:rsidR="004F7795" w:rsidRPr="00DF0D90">
        <w:t>) проходит независимую оценку в клинических исследованиях</w:t>
      </w:r>
      <w:r w:rsidR="004F7795" w:rsidRPr="00DF0D90">
        <w:rPr>
          <w:lang w:val="ru-RU"/>
        </w:rPr>
        <w:t xml:space="preserve"> (Приложение Г1</w:t>
      </w:r>
      <w:r w:rsidR="00D30C2B">
        <w:rPr>
          <w:lang w:val="en-US"/>
        </w:rPr>
        <w:t>b</w:t>
      </w:r>
      <w:r w:rsidR="004F7795" w:rsidRPr="00DF0D90">
        <w:rPr>
          <w:lang w:val="ru-RU"/>
        </w:rPr>
        <w:t>).</w:t>
      </w:r>
      <w:r w:rsidR="004F7795" w:rsidRPr="00DF0D90">
        <w:t xml:space="preserve"> </w:t>
      </w:r>
      <w:r w:rsidR="004F7795" w:rsidRPr="00DF0D90">
        <w:rPr>
          <w:lang w:val="ru-RU"/>
        </w:rPr>
        <w:t xml:space="preserve">Было показано, что определение этого коэффициента особенно полезно в качестве инструмента с высокой предсказательной ценностью для случаев стабильного декомпенсированного цирроза. </w:t>
      </w:r>
      <w:r w:rsidR="004F7795" w:rsidRPr="0043377B">
        <w:rPr>
          <w:lang w:val="ru-RU"/>
        </w:rPr>
        <w:t>[</w:t>
      </w:r>
      <w:r w:rsidR="004F7795" w:rsidRPr="00DF0D90">
        <w:rPr>
          <w:lang w:val="ru-RU"/>
        </w:rPr>
        <w:t>152</w:t>
      </w:r>
      <w:r w:rsidR="004F7795" w:rsidRPr="0043377B">
        <w:rPr>
          <w:lang w:val="ru-RU"/>
        </w:rPr>
        <w:t>]</w:t>
      </w:r>
    </w:p>
    <w:p w14:paraId="20D435BF" w14:textId="77777777" w:rsidR="00630BAC" w:rsidRPr="00DF0D90" w:rsidRDefault="00630BAC" w:rsidP="00E86998">
      <w:pPr>
        <w:pStyle w:val="afa"/>
        <w:spacing w:after="120" w:line="360" w:lineRule="auto"/>
        <w:jc w:val="both"/>
        <w:rPr>
          <w:color w:val="3B3030"/>
        </w:rPr>
      </w:pPr>
      <w:r w:rsidRPr="00DF0D90">
        <w:t>Уровень</w:t>
      </w:r>
      <w:r w:rsidR="00E06FCA" w:rsidRPr="00DF0D90">
        <w:rPr>
          <w:lang w:val="ru-RU"/>
        </w:rPr>
        <w:t xml:space="preserve"> </w:t>
      </w:r>
      <w:r w:rsidRPr="00DF0D90">
        <w:t>убедительности</w:t>
      </w:r>
      <w:r w:rsidR="00E06FCA" w:rsidRPr="00DF0D90">
        <w:rPr>
          <w:lang w:val="ru-RU"/>
        </w:rPr>
        <w:t xml:space="preserve"> </w:t>
      </w:r>
      <w:r w:rsidRPr="00DF0D90">
        <w:t>рекомендаций –</w:t>
      </w:r>
      <w:r w:rsidR="00135B75" w:rsidRPr="00DF0D90">
        <w:t xml:space="preserve">А </w:t>
      </w:r>
      <w:r w:rsidRPr="00DF0D90">
        <w:t>(уровень</w:t>
      </w:r>
      <w:r w:rsidR="00E06FCA" w:rsidRPr="00DF0D90">
        <w:rPr>
          <w:lang w:val="ru-RU"/>
        </w:rPr>
        <w:t xml:space="preserve"> </w:t>
      </w:r>
      <w:r w:rsidRPr="00DF0D90">
        <w:t>достоверности</w:t>
      </w:r>
      <w:r w:rsidR="00E06FCA" w:rsidRPr="00DF0D90">
        <w:rPr>
          <w:lang w:val="ru-RU"/>
        </w:rPr>
        <w:t xml:space="preserve"> </w:t>
      </w:r>
      <w:r w:rsidRPr="00DF0D90">
        <w:t>доказательств –</w:t>
      </w:r>
      <w:r w:rsidR="00135B75" w:rsidRPr="00DF0D90">
        <w:t>1</w:t>
      </w:r>
      <w:r w:rsidRPr="00DF0D90">
        <w:t>).</w:t>
      </w:r>
    </w:p>
    <w:bookmarkEnd w:id="67"/>
    <w:bookmarkEnd w:id="68"/>
    <w:p w14:paraId="081E9CDC" w14:textId="1C2EAFAD" w:rsidR="00630BAC" w:rsidRPr="00DF0D90" w:rsidRDefault="00630BAC" w:rsidP="00E86998">
      <w:pPr>
        <w:pStyle w:val="31"/>
        <w:spacing w:after="120" w:line="360" w:lineRule="auto"/>
        <w:jc w:val="both"/>
        <w:rPr>
          <w:b w:val="0"/>
          <w:lang w:val="ru-RU"/>
        </w:rPr>
      </w:pPr>
      <w:r w:rsidRPr="00DF0D90">
        <w:rPr>
          <w:i/>
        </w:rPr>
        <w:t>Комментари</w:t>
      </w:r>
      <w:r w:rsidR="004F7795" w:rsidRPr="00DF0D90">
        <w:rPr>
          <w:i/>
          <w:lang w:val="ru-RU"/>
        </w:rPr>
        <w:t>и</w:t>
      </w:r>
      <w:r w:rsidRPr="00DF0D90">
        <w:rPr>
          <w:b w:val="0"/>
          <w:i/>
        </w:rPr>
        <w:t>:</w:t>
      </w:r>
      <w:r w:rsidRPr="00DF0D90">
        <w:rPr>
          <w:b w:val="0"/>
        </w:rPr>
        <w:t xml:space="preserve"> </w:t>
      </w:r>
      <w:r w:rsidRPr="00DF0D90">
        <w:rPr>
          <w:b w:val="0"/>
          <w:i/>
        </w:rPr>
        <w:t>цирроз печени, частое сопутствующее заболевание печени, определяет переносимость основных методов лечения, вплоть до невозможности проведения лечения, негативно и конкурентно с ГЦР влияет на общую выживаемость</w:t>
      </w:r>
      <w:r w:rsidR="0069447A" w:rsidRPr="00DF0D90">
        <w:rPr>
          <w:b w:val="0"/>
          <w:i/>
        </w:rPr>
        <w:t>.</w:t>
      </w:r>
      <w:r w:rsidR="004F7795" w:rsidRPr="00DF0D90">
        <w:rPr>
          <w:b w:val="0"/>
          <w:i/>
          <w:lang w:val="ru-RU"/>
        </w:rPr>
        <w:t xml:space="preserve"> Течение цирроза определяется активностью этиологического фактора(</w:t>
      </w:r>
      <w:proofErr w:type="spellStart"/>
      <w:r w:rsidR="004F7795" w:rsidRPr="00DF0D90">
        <w:rPr>
          <w:b w:val="0"/>
          <w:i/>
          <w:lang w:val="ru-RU"/>
        </w:rPr>
        <w:t>ов</w:t>
      </w:r>
      <w:proofErr w:type="spellEnd"/>
      <w:r w:rsidR="004F7795" w:rsidRPr="00DF0D90">
        <w:rPr>
          <w:b w:val="0"/>
          <w:i/>
          <w:lang w:val="ru-RU"/>
        </w:rPr>
        <w:t xml:space="preserve">), его осложнениями; крайне важно осуществлять клинический и лабораторный мониторинг функций печени на протяжении всего периода наблюдения онкологом. </w:t>
      </w:r>
      <w:r w:rsidR="0069447A" w:rsidRPr="00DF0D90">
        <w:rPr>
          <w:b w:val="0"/>
          <w:i/>
        </w:rPr>
        <w:t xml:space="preserve"> Совместно с гастроэнтерологом или терапевтом </w:t>
      </w:r>
      <w:r w:rsidRPr="00DF0D90">
        <w:rPr>
          <w:b w:val="0"/>
          <w:i/>
        </w:rPr>
        <w:t>необходим</w:t>
      </w:r>
      <w:r w:rsidR="0069447A" w:rsidRPr="00DF0D90">
        <w:rPr>
          <w:b w:val="0"/>
          <w:i/>
        </w:rPr>
        <w:t>о своевременно профилактировать, выявлять и лечить осложнения цирроза печени</w:t>
      </w:r>
      <w:r w:rsidRPr="00DF0D90">
        <w:rPr>
          <w:i/>
        </w:rPr>
        <w:t>.</w:t>
      </w:r>
    </w:p>
    <w:p w14:paraId="19744771" w14:textId="77777777" w:rsidR="00630BAC" w:rsidRPr="00DF0D90" w:rsidRDefault="00630BAC" w:rsidP="006D217F">
      <w:pPr>
        <w:pStyle w:val="2"/>
        <w:spacing w:before="0" w:after="120" w:line="360" w:lineRule="auto"/>
        <w:ind w:firstLine="567"/>
        <w:jc w:val="both"/>
      </w:pPr>
      <w:bookmarkStart w:id="69" w:name="_Toc467601701"/>
      <w:bookmarkStart w:id="70" w:name="_Toc470722686"/>
      <w:bookmarkStart w:id="71" w:name="_Toc470722795"/>
      <w:bookmarkStart w:id="72" w:name="_Toc98349278"/>
      <w:bookmarkStart w:id="73" w:name="_Toc83293976"/>
      <w:r w:rsidRPr="00DF0D90">
        <w:t>2.4 Инструментальн</w:t>
      </w:r>
      <w:r w:rsidR="00C51FAB" w:rsidRPr="00DF0D90">
        <w:t>ые</w:t>
      </w:r>
      <w:r w:rsidRPr="00DF0D90">
        <w:t xml:space="preserve"> диагности</w:t>
      </w:r>
      <w:r w:rsidR="00C51FAB" w:rsidRPr="00DF0D90">
        <w:t>ческие исследования</w:t>
      </w:r>
      <w:bookmarkEnd w:id="69"/>
      <w:bookmarkEnd w:id="70"/>
      <w:bookmarkEnd w:id="71"/>
      <w:bookmarkEnd w:id="72"/>
      <w:bookmarkEnd w:id="73"/>
    </w:p>
    <w:p w14:paraId="1CE57147" w14:textId="77777777" w:rsidR="00C34389" w:rsidRPr="00DF0D90" w:rsidRDefault="002B591D" w:rsidP="006D217F">
      <w:pPr>
        <w:pStyle w:val="a"/>
        <w:spacing w:before="0" w:after="120" w:line="360" w:lineRule="auto"/>
        <w:ind w:firstLine="567"/>
        <w:jc w:val="both"/>
        <w:rPr>
          <w:rStyle w:val="doi"/>
        </w:rPr>
      </w:pPr>
      <w:r w:rsidRPr="00DF0D90">
        <w:rPr>
          <w:rStyle w:val="doi"/>
          <w:color w:val="auto"/>
        </w:rPr>
        <w:t>При подозрении или выявлении малого объемного образования в печени пациента</w:t>
      </w:r>
      <w:r w:rsidR="008E2980" w:rsidRPr="00DF0D90">
        <w:rPr>
          <w:rStyle w:val="doi"/>
          <w:color w:val="auto"/>
        </w:rPr>
        <w:t>, относящегося к группе высокого риска печеночно-клеточного рака (</w:t>
      </w:r>
      <w:r w:rsidRPr="00DF0D90">
        <w:rPr>
          <w:rStyle w:val="doi"/>
          <w:color w:val="auto"/>
        </w:rPr>
        <w:t xml:space="preserve">цирроз печени любой </w:t>
      </w:r>
      <w:r w:rsidRPr="00DF0D90">
        <w:rPr>
          <w:rStyle w:val="doi"/>
          <w:color w:val="auto"/>
        </w:rPr>
        <w:lastRenderedPageBreak/>
        <w:t>этиологии</w:t>
      </w:r>
      <w:r w:rsidR="00E06FCA" w:rsidRPr="00DF0D90">
        <w:rPr>
          <w:rStyle w:val="doi"/>
          <w:color w:val="auto"/>
          <w:lang w:val="ru-RU"/>
        </w:rPr>
        <w:t xml:space="preserve"> </w:t>
      </w:r>
      <w:r w:rsidR="008E2980" w:rsidRPr="00DF0D90">
        <w:rPr>
          <w:rStyle w:val="doi"/>
          <w:color w:val="auto"/>
          <w:lang w:val="en-US"/>
        </w:rPr>
        <w:t>Child</w:t>
      </w:r>
      <w:r w:rsidR="00C34389" w:rsidRPr="00DF0D90">
        <w:rPr>
          <w:rStyle w:val="doi"/>
          <w:color w:val="auto"/>
          <w:lang w:val="ru-RU"/>
        </w:rPr>
        <w:t xml:space="preserve"> – </w:t>
      </w:r>
      <w:r w:rsidR="008E2980" w:rsidRPr="00DF0D90">
        <w:rPr>
          <w:rStyle w:val="doi"/>
          <w:color w:val="auto"/>
          <w:lang w:val="en-US"/>
        </w:rPr>
        <w:t>Pugh</w:t>
      </w:r>
      <w:r w:rsidR="00C34389" w:rsidRPr="00DF0D90">
        <w:rPr>
          <w:rStyle w:val="doi"/>
          <w:color w:val="auto"/>
          <w:lang w:val="ru-RU"/>
        </w:rPr>
        <w:t xml:space="preserve"> </w:t>
      </w:r>
      <w:r w:rsidR="008E2980" w:rsidRPr="00DF0D90">
        <w:rPr>
          <w:rStyle w:val="doi"/>
          <w:color w:val="auto"/>
        </w:rPr>
        <w:t xml:space="preserve">класс А и В, цирроз печени </w:t>
      </w:r>
      <w:r w:rsidR="008E2980" w:rsidRPr="00DF0D90">
        <w:rPr>
          <w:rStyle w:val="doi"/>
          <w:color w:val="auto"/>
          <w:lang w:val="en-US"/>
        </w:rPr>
        <w:t>Child</w:t>
      </w:r>
      <w:r w:rsidR="00C34389" w:rsidRPr="00DF0D90">
        <w:rPr>
          <w:rStyle w:val="doi"/>
          <w:color w:val="auto"/>
          <w:lang w:val="ru-RU"/>
        </w:rPr>
        <w:t xml:space="preserve"> – </w:t>
      </w:r>
      <w:r w:rsidR="008E2980" w:rsidRPr="00DF0D90">
        <w:rPr>
          <w:rStyle w:val="doi"/>
          <w:color w:val="auto"/>
          <w:lang w:val="en-US"/>
        </w:rPr>
        <w:t>Pugh</w:t>
      </w:r>
      <w:r w:rsidR="008E2980" w:rsidRPr="00DF0D90">
        <w:rPr>
          <w:rStyle w:val="doi"/>
          <w:color w:val="auto"/>
        </w:rPr>
        <w:t xml:space="preserve"> класс С, находящиеся в листе ожидания трансплантации печени, </w:t>
      </w:r>
      <w:r w:rsidR="008E2980" w:rsidRPr="00DF0D90">
        <w:t xml:space="preserve">больные хроническим вирусным гепатитом В с промежуточным или высоким риском развития ГЦР </w:t>
      </w:r>
      <w:r w:rsidR="000308F4" w:rsidRPr="00DF0D90">
        <w:t>(</w:t>
      </w:r>
      <w:r w:rsidR="008E2980" w:rsidRPr="00DF0D90">
        <w:t>в соответствиями с классом</w:t>
      </w:r>
      <w:r w:rsidR="00E06FCA" w:rsidRPr="00DF0D90">
        <w:rPr>
          <w:lang w:val="ru-RU"/>
        </w:rPr>
        <w:t xml:space="preserve"> </w:t>
      </w:r>
      <w:r w:rsidR="000308F4" w:rsidRPr="00DF0D90">
        <w:rPr>
          <w:lang w:val="en-GB"/>
        </w:rPr>
        <w:t>PAGE</w:t>
      </w:r>
      <w:r w:rsidR="000308F4" w:rsidRPr="00DF0D90">
        <w:t>-</w:t>
      </w:r>
      <w:r w:rsidR="000308F4" w:rsidRPr="00DF0D90">
        <w:rPr>
          <w:lang w:val="en-GB"/>
        </w:rPr>
        <w:t>B</w:t>
      </w:r>
      <w:r w:rsidR="000308F4" w:rsidRPr="00DF0D90">
        <w:t xml:space="preserve">, </w:t>
      </w:r>
      <w:r w:rsidR="008E2980" w:rsidRPr="00DF0D90">
        <w:t>соответственно</w:t>
      </w:r>
      <w:r w:rsidR="000308F4" w:rsidRPr="00DF0D90">
        <w:t xml:space="preserve"> 10</w:t>
      </w:r>
      <w:r w:rsidR="000308F4" w:rsidRPr="00DF0D90">
        <w:rPr>
          <w:lang w:val="en-GB"/>
        </w:rPr>
        <w:sym w:font="Symbol" w:char="F02D"/>
      </w:r>
      <w:r w:rsidR="000308F4" w:rsidRPr="00DF0D90">
        <w:t xml:space="preserve">17 </w:t>
      </w:r>
      <w:r w:rsidR="008E2980" w:rsidRPr="00DF0D90">
        <w:t>и</w:t>
      </w:r>
      <w:r w:rsidR="000308F4" w:rsidRPr="00DF0D90">
        <w:t xml:space="preserve"> ≥18 </w:t>
      </w:r>
      <w:r w:rsidR="008E2980" w:rsidRPr="00DF0D90">
        <w:t>баллов</w:t>
      </w:r>
      <w:r w:rsidR="000308F4" w:rsidRPr="00DF0D90">
        <w:t>)</w:t>
      </w:r>
      <w:r w:rsidR="008E2980" w:rsidRPr="00DF0D90">
        <w:t xml:space="preserve">, пациенты с фиброзом печени </w:t>
      </w:r>
      <w:r w:rsidR="008E2980" w:rsidRPr="00DF0D90">
        <w:rPr>
          <w:lang w:val="en-US"/>
        </w:rPr>
        <w:t>F</w:t>
      </w:r>
      <w:r w:rsidR="008E2980" w:rsidRPr="00DF0D90">
        <w:t>3 степени в зависимости от наличия других индивидуальных факторов риска)</w:t>
      </w:r>
      <w:r w:rsidR="006146C8" w:rsidRPr="00DF0D90">
        <w:t xml:space="preserve"> независимо от уровня АФП, </w:t>
      </w:r>
      <w:r w:rsidR="006146C8" w:rsidRPr="00DF0D90">
        <w:rPr>
          <w:rStyle w:val="doi"/>
          <w:color w:val="000000"/>
        </w:rPr>
        <w:t>п</w:t>
      </w:r>
      <w:r w:rsidR="000018C3" w:rsidRPr="00DF0D90">
        <w:rPr>
          <w:rStyle w:val="doi"/>
          <w:color w:val="000000"/>
        </w:rPr>
        <w:t xml:space="preserve">ри положительном результате анализа на АФП </w:t>
      </w:r>
      <w:r w:rsidR="000018C3" w:rsidRPr="00DF0D90">
        <w:t>пациентам с подозрением на ГЦР</w:t>
      </w:r>
      <w:r w:rsidR="00E06FCA" w:rsidRPr="00DF0D90">
        <w:rPr>
          <w:lang w:val="ru-RU"/>
        </w:rPr>
        <w:t xml:space="preserve"> </w:t>
      </w:r>
      <w:r w:rsidR="000018C3" w:rsidRPr="00DF0D90">
        <w:rPr>
          <w:rStyle w:val="doi"/>
          <w:b/>
          <w:color w:val="000000"/>
        </w:rPr>
        <w:t>рекомендуется</w:t>
      </w:r>
      <w:r w:rsidR="000018C3" w:rsidRPr="00DF0D90">
        <w:rPr>
          <w:rStyle w:val="doi"/>
          <w:color w:val="000000"/>
        </w:rPr>
        <w:t xml:space="preserve"> </w:t>
      </w:r>
      <w:proofErr w:type="spellStart"/>
      <w:r w:rsidR="000018C3" w:rsidRPr="00DF0D90">
        <w:rPr>
          <w:rStyle w:val="doi"/>
          <w:color w:val="000000"/>
        </w:rPr>
        <w:t>мультифазная</w:t>
      </w:r>
      <w:proofErr w:type="spellEnd"/>
      <w:r w:rsidR="000018C3" w:rsidRPr="00DF0D90">
        <w:rPr>
          <w:rStyle w:val="doi"/>
          <w:color w:val="000000"/>
        </w:rPr>
        <w:t xml:space="preserve"> компьютерная томография (КТ) печени и брюшной полости с контрастированием и</w:t>
      </w:r>
      <w:r w:rsidR="00A56B91" w:rsidRPr="00DF0D90">
        <w:rPr>
          <w:rStyle w:val="doi"/>
          <w:color w:val="000000"/>
        </w:rPr>
        <w:t xml:space="preserve"> / или</w:t>
      </w:r>
      <w:r w:rsidR="00E06FCA" w:rsidRPr="00DF0D90">
        <w:rPr>
          <w:rStyle w:val="doi"/>
          <w:color w:val="000000"/>
          <w:lang w:val="ru-RU"/>
        </w:rPr>
        <w:t xml:space="preserve"> </w:t>
      </w:r>
      <w:r w:rsidR="000018C3" w:rsidRPr="00DF0D90">
        <w:rPr>
          <w:bCs/>
        </w:rPr>
        <w:t>магнитно-резонансная томография (</w:t>
      </w:r>
      <w:r w:rsidR="000018C3" w:rsidRPr="00DF0D90">
        <w:rPr>
          <w:rStyle w:val="doi"/>
          <w:color w:val="000000"/>
        </w:rPr>
        <w:t xml:space="preserve">МРТ) печени и брюшной полости с контрастированием независимо от результатов </w:t>
      </w:r>
      <w:r w:rsidR="000018C3" w:rsidRPr="00DF0D90">
        <w:t>ультразвукового исследования</w:t>
      </w:r>
      <w:r w:rsidR="00E06FCA" w:rsidRPr="00DF0D90">
        <w:rPr>
          <w:lang w:val="ru-RU"/>
        </w:rPr>
        <w:t xml:space="preserve"> </w:t>
      </w:r>
      <w:r w:rsidR="000018C3" w:rsidRPr="00DF0D90">
        <w:t>(</w:t>
      </w:r>
      <w:r w:rsidR="000018C3" w:rsidRPr="00DF0D90">
        <w:rPr>
          <w:rStyle w:val="doi"/>
          <w:color w:val="000000"/>
        </w:rPr>
        <w:t>УЗИ) печени для уточнения диагноза и степени распространенности опухолевого процесса</w:t>
      </w:r>
      <w:r w:rsidR="00EA475C" w:rsidRPr="00DF0D90">
        <w:rPr>
          <w:rStyle w:val="doi"/>
          <w:color w:val="000000"/>
          <w:lang w:val="ru-RU"/>
        </w:rPr>
        <w:t xml:space="preserve"> </w:t>
      </w:r>
      <w:r w:rsidR="00EA475C" w:rsidRPr="00DF0D90">
        <w:rPr>
          <w:rStyle w:val="doi"/>
          <w:color w:val="000000"/>
          <w:lang w:val="ru-RU"/>
        </w:rPr>
        <w:fldChar w:fldCharType="begin" w:fldLock="1"/>
      </w:r>
      <w:r w:rsidR="007335C5" w:rsidRPr="00DF0D90">
        <w:rPr>
          <w:rStyle w:val="doi"/>
          <w:color w:val="000000"/>
          <w:lang w:val="ru-RU"/>
        </w:rPr>
        <w:instrText>ADDIN CSL_CITATION {"citationItems":[{"id":"ITEM-1","itemData":{"DOI":"10.1093/annonc/mdy308","ISSN":"15698041","PMID":"30285213","author":[{"dropping-particle":"","family":"Vogel","given":"A.","non-dropping-particle":"","parse-names":false,"suffix":""},{"dropping-particle":"","family":"Cervantes","given":"A.","non-dropping-particle":"","parse-names":false,"suffix":""},{"dropping-particle":"","family":"Chau","given":"I.","non-dropping-particle":"","parse-names":false,"suffix":""},{"dropping-particle":"","family":"Daniele","given":"B.","non-dropping-particle":"","parse-names":false,"suffix":""},{"dropping-particle":"","family":"Llovet","given":"J.","non-dropping-particle":"","parse-names":false,"suffix":""},{"dropping-particle":"","family":"Meyer","given":"T.","non-dropping-particle":"","parse-names":false,"suffix":""},{"dropping-particle":"","family":"Nault","given":"J. C.","non-dropping-particle":"","parse-names":false,"suffix":""},{"dropping-particle":"","family":"Neumann","given":"U.","non-dropping-particle":"","parse-names":false,"suffix":""},{"dropping-particle":"","family":"Ricke","given":"J.","non-dropping-particle":"","parse-names":false,"suffix":""},{"dropping-particle":"","family":"Sangro","given":"B.","non-dropping-particle":"","parse-names":false,"suffix":""},{"dropping-particle":"","family":"Schirmacher","given":"P.","non-dropping-particle":"","parse-names":false,"suffix":""},{"dropping-particle":"","family":"Verslype","given":"C.","non-dropping-particle":"","parse-names":false,"suffix":""},{"dropping-particle":"","family":"Zech","given":"C. J.","non-dropping-particle":"","parse-names":false,"suffix":""},{"dropping-particle":"","family":"Arnold","given":"D.","non-dropping-particle":"","parse-names":false,"suffix":""},{"dropping-particle":"","family":"Martinelli","given":"E.","non-dropping-particle":"","parse-names":false,"suffix":""}],"container-title":"Annals of Oncology","id":"ITEM-1","issued":{"date-parts":[["2018","10","1"]]},"page":"iv238-iv255","publisher":"Oxford University Press","title":"Hepatocellular carcinoma: ESMO Clinical Practice Guidelines for diagnosis, treatment and follow-up","type":"article-journal","volume":"29"},"uris":["http://www.mendeley.com/documents/?uuid=21b70589-bd16-3bd9-b432-9f2042108c3b"]},{"id":"ITEM-2","itemData":{"DOI":"10.1002/hep.29913","ISSN":"15273350","PMID":"29624699","author":[{"dropping-particle":"","family":"Marrero","given":"Jorge A.","non-dropping-particle":"","parse-names":false,"suffix":""},{"dropping-particle":"","family":"Kulik","given":"Laura M.","non-dropping-particle":"","parse-names":false,"suffix":""},{"dropping-particle":"","family":"Sirlin","given":"Claude B.","non-dropping-particle":"","parse-names":false,"suffix":""},{"dropping-particle":"","family":"Zhu","given":"Andrew X.","non-dropping-particle":"","parse-names":false,"suffix":""},{"dropping-particle":"","family":"Finn","given":"Richard S.","non-dropping-particle":"","parse-names":false,"suffix":""},{"dropping-particle":"","family":"Abecassis","given":"Michael M.","non-dropping-particle":"","parse-names":false,"suffix":""},{"dropping-particle":"","family":"Roberts","given":"Lewis R.","non-dropping-particle":"","parse-names":false,"suffix":""},{"dropping-particle":"","family":"Heimbach","given":"Julie K.","non-dropping-particle":"","parse-names":false,"suffix":""}],"container-title":"Hepatology","id":"ITEM-2","issue":"2","issued":{"date-parts":[["2018","8","1"]]},"page":"723-750","publisher":"John Wiley and Sons Inc.","title":"Diagnosis, Staging, and Management of Hepatocellular Carcinoma: 2018 Practice Guidance by the American Association for the Study of Liver Diseases","type":"article-journal","volume":"68"},"uris":["http://www.mendeley.com/documents/?uuid=524b992f-ba18-31f8-aa7d-c271bdc57c09"]},{"id":"ITEM-3","itemData":{"author":[{"dropping-particle":"","family":"NCCN","given":"","non-dropping-particle":"","parse-names":false,"suffix":""}],"id":"ITEM-3","issued":{"date-parts":[["2021"]]},"title":"Clinical Practice Guidelines in Oncology. Hepatobiliary Cancers, version 4.2021","type":"article-journal"},"uris":["http://www.mendeley.com/documents/?uuid=db314d5f-b05a-4fec-a403-5589c18d9ebd"]},{"id":"ITEM-4","itemData":{"DOI":"10.1002/hep.21966","ISSN":"02709139","PMID":"18069697","abstract":"This study prospectively evaluates the accuracy of contrast-enhanced ultrasound (CEUS) and dynamic magnetic resonance imaging (MRI) for the diagnosis of nodules 20 mm or smaller detected during ultrasound (US) surveillance. We included 89 patients with cirrhosis [median age, 65 years; male 53, hepatitis C virus 68, Child-Pugh A 80] without prior hepatocellular carcinoma (HCC) in whom US detected a small solitary nodule (mean diameter, 14 mm). Hepatic MRI, CEUS, and fine-needle biopsy (gold standard) (FNB) were performed at baseline. Non-HCC cases were followed (median 23 months) by CEUS/3 months and MRI/6 months. FNB was repeated up to 3 times and on detection of change in aspect/size. Intense arterial contrast uptake followed by washout in the delayed/venous phase was registered as conclusive for HCC. Final diagnoses were: HCC (n = 60), cholangiocarcinoma (n = 1), and benign lesions (regenerative/dysplastic nodule, hemangioma, focal nodular hyperplasia) (n = 28). Sex, cirrhosis cause, liver function, and alpha-fetoprotein (AFP) levels were similar between HCC and non-HCC groups. HCC patients were older and their nodules significantly larger (P &lt; 0.0001). First biopsy was positive in 42 of 60 HCC patients. Sensitivity, specificity, and positive and negative predictive values of conclusive profile were 61.7%, 96.6%, 97.4%, and 54.9%, for MRI, 51.7%, 93.1%, 93.9%, and 50.9%, for CEUS. Values for coincidental conclusive findings in both techniques were 33.3%, 100%, 100%, and 42%. Thus, diagnosis of HCC 20 mm or smaller can be established without a positive biopsy if both CEUS and MRI are conclusive. However, sensitivity of these noninvasive criteria is 33% and, as occurs with biopsy, absence of a conclusive pattern does not rule out malignancy. These results validate the American Association for the Study of liver Disease (AASLD) guidelines. Copyright © 2007 by the American Association for the Study of Liver Diseases.","author":[{"dropping-particle":"","family":"Forner","given":"Alejandro","non-dropping-particle":"","parse-names":false,"suffix":""},{"dropping-particle":"","family":"Vilana","given":"Ramón","non-dropping-particle":"","parse-names":false,"suffix":""},{"dropping-particle":"","family":"Ayuso","given":"Carmen","non-dropping-particle":"","parse-names":false,"suffix":""},{"dropping-particle":"","family":"Bianchi","given":"Lluís","non-dropping-particle":"","parse-names":false,"suffix":""},{"dropping-particle":"","family":"Solé","given":"Manel","non-dropping-particle":"","parse-names":false,"suffix":""},{"dropping-particle":"","family":"Ayuso","given":"Juan Ramón","non-dropping-particle":"","parse-names":false,"suffix":""},{"dropping-particle":"","family":"Boix","given":"Loreto","non-dropping-particle":"","parse-names":false,"suffix":""},{"dropping-particle":"","family":"Sala","given":"Margarita","non-dropping-particle":"","parse-names":false,"suffix":""},{"dropping-particle":"","family":"Varela","given":"María","non-dropping-particle":"","parse-names":false,"suffix":""},{"dropping-particle":"","family":"Llovet","given":"Josep M.","non-dropping-particle":"","parse-names":false,"suffix":""},{"dropping-particle":"","family":"Brú","given":"Concepció","non-dropping-particle":"","parse-names":false,"suffix":""},{"dropping-particle":"","family":"Bruix","given":"Jordi","non-dropping-particle":"","parse-names":false,"suffix":""}],"container-title":"Hepatology","id":"ITEM-4","issue":"1","issued":{"date-parts":[["2008","1"]]},"page":"97-104","title":"Diagnosis of hepatic nodules 20 mm or smaller in cirrhosis: Prospective validation of the noninvasive diagnostic criteria for hepatocellular carcinoma","type":"article-journal","volume":"47"},"uris":["http://www.mendeley.com/documents/?uuid=edd930be-ad84-339c-9e99-b940b399776d"]},{"id":"ITEM-5","itemData":{"DOI":"10.7326/M14-2509","ISSN":"0003-4819","author":[{"dropping-particle":"","family":"Chou","given":"Roger","non-dropping-particle":"","parse-names":false,"suffix":""},{"dropping-particle":"","family":"Cuevas","given":"Carlos","non-dropping-particle":"","parse-names":false,"suffix":""},{"dropping-particle":"","family":"Fu","given":"Rongwei","non-dropping-particle":"","parse-names":false,"suffix":""},{"dropping-particle":"","family":"Devine","given":"Beth","non-dropping-particle":"","parse-names":false,"suffix":""},{"dropping-particle":"","family":"Wasson","given":"Ngoc","non-dropping-particle":"","parse-names":false,"suffix":""},{"dropping-particle":"","family":"Ginsburg","given":"Alexander","non-dropping-particle":"","parse-names":false,"suffix":""},{"dropping-particle":"","family":"Zakher","given":"Bernadette","non-dropping-particle":"","parse-names":false,"suffix":""},{"dropping-particle":"","family":"Pappas","given":"Miranda","non-dropping-particle":"","parse-names":false,"suffix":""},{"dropping-particle":"","family":"Graham","given":"Elaine","non-dropping-particle":"","parse-names":false,"suffix":""},{"dropping-particle":"","family":"Sullivan","given":"Sean D.","non-dropping-particle":"","parse-names":false,"suffix":""}],"container-title":"Annals of Internal Medicine","id":"ITEM-5","issue":"10","issued":{"date-parts":[["2015","5","19"]]},"title":"Imaging Techniques for the Diagnosis of Hepatocellular Carcinoma","type":"article-journal","volume":"162"},"uris":["http://www.mendeley.com/documents/?uuid=b70c7270-d0da-3190-a5e6-7e3296603735"]},{"id":"ITEM-6","itemData":{"DOI":"10.1148/radiol.14140690","ISSN":"15271315","PMID":"25559230","abstract":"Purpose: To perform a systematic review and meta-analysis of the diagnostic performance of computed tomography (CT) and magnetic resonance (MR) imaging as noninvasive modalities for evaluating hepatocellular carcinoma (HCC) in patients with chronic liver disease. Materials and Methods: A search of the MEDLINE, EMBASE, and Cochrane Library databases was performed to identify studies providing per-patient or per-lesion diagnostic accuracies of multidetector CT and MR imaging for HCCs in patients with chronic liver disease. Studies published from January 2000 to December 2012 that used a reference standard based on histopathologic findings and/or findings at followup were included. Summary estimates of diagnostic accuracy were obtained by using a random-effects model with further exploration with meta-regression and subgroup analyses. Results: Forty studies (six on multidetector CT, 22 on MR imaging, and 12 on both CT and MR imaging) were included. The studies evaluated a total of 1135 patients with multidetector CT and 2489 patients with MR imaging. The overall per-patient sensitivity of MR imaging was 88% (95% confidence interval [CI]: 83%, 92%), with a specificity of 94% (95% CI: 85%, 98%). The overall per-lesion sensitivity of MR imaging was higher than that of multidetector CT when the paired data of the 11 available studies were pooled (80% vs 68%, P =.0023). Gadoxetic acid-enhanced MR imaging showed significantly higher per-lesion sensitivity than MR imaging performed with other contrast agents (87% vs 74%, P =.03). Per-lesion sensitivity was significantly lower for HCCs smaller than 1 cm than that for HCCs 1 cm or larger (P","author":[{"dropping-particle":"","family":"Lee","given":"Yoon Jin","non-dropping-particle":"","parse-names":false,"suffix":""},{"dropping-particle":"","family":"Lee","given":"Jeong Min","non-dropping-particle":"","parse-names":false,"suffix":""},{"dropping-particle":"","family":"Lee","given":"Ji Sung","non-dropping-particle":"","parse-names":false,"suffix":""},{"dropping-particle":"","family":"Lee","given":"Hwa Young","non-dropping-particle":"","parse-names":false,"suffix":""},{"dropping-particle":"","family":"Park","given":"Bo Hyun","non-dropping-particle":"","parse-names":false,"suffix":""},{"dropping-particle":"","family":"Kim","given":"Young Hoon","non-dropping-particle":"","parse-names":false,"suffix":""},{"dropping-particle":"","family":"Han","given":"Joon Koo","non-dropping-particle":"","parse-names":false,"suffix":""},{"dropping-particle":"","family":"Choi","given":"Byung Ihn","non-dropping-particle":"","parse-names":false,"suffix":""}],"container-title":"Radiology","id":"ITEM-6","issue":"1","issued":{"date-parts":[["2015","4","1"]]},"page":"97-109","publisher":"Radiological Society of North America Inc.","title":"Hepatocellular carcinoma: Diagnostic performance of multidetector CT and MR imaging-a systematic review and meta-analysis","type":"article-journal","volume":"275"},"uris":["http://www.mendeley.com/documents/?uuid=d6be7390-c3de-31be-b292-6a6dc733bf37"]}],"mendeley":{"formattedCitation":"[8,9,14,16–18]","plainTextFormattedCitation":"[8,9,14,16–18]","previouslyFormattedCitation":"[8,9,14,16–18]"},"properties":{"noteIndex":0},"schema":"https://github.com/citation-style-language/schema/raw/master/csl-citation.json"}</w:instrText>
      </w:r>
      <w:r w:rsidR="00EA475C" w:rsidRPr="00DF0D90">
        <w:rPr>
          <w:rStyle w:val="doi"/>
          <w:color w:val="000000"/>
          <w:lang w:val="ru-RU"/>
        </w:rPr>
        <w:fldChar w:fldCharType="separate"/>
      </w:r>
      <w:r w:rsidR="00C34389" w:rsidRPr="00DF0D90">
        <w:rPr>
          <w:rStyle w:val="doi"/>
          <w:noProof/>
          <w:color w:val="000000"/>
          <w:lang w:val="ru-RU"/>
        </w:rPr>
        <w:t>[8,9,14,16–18]</w:t>
      </w:r>
      <w:r w:rsidR="00EA475C" w:rsidRPr="00DF0D90">
        <w:rPr>
          <w:rStyle w:val="doi"/>
          <w:color w:val="000000"/>
          <w:lang w:val="ru-RU"/>
        </w:rPr>
        <w:fldChar w:fldCharType="end"/>
      </w:r>
      <w:r w:rsidR="00EA475C" w:rsidRPr="00DF0D90">
        <w:rPr>
          <w:rStyle w:val="doi"/>
          <w:color w:val="000000"/>
          <w:lang w:val="ru-RU"/>
        </w:rPr>
        <w:t xml:space="preserve"> .   </w:t>
      </w:r>
      <w:r w:rsidR="00E06FCA" w:rsidRPr="00DF0D90">
        <w:rPr>
          <w:rStyle w:val="doi"/>
          <w:color w:val="000000"/>
          <w:lang w:val="ru-RU"/>
        </w:rPr>
        <w:t xml:space="preserve"> </w:t>
      </w:r>
    </w:p>
    <w:p w14:paraId="29375F40" w14:textId="77777777" w:rsidR="00123A49" w:rsidRPr="00DF0D90" w:rsidRDefault="00123A49" w:rsidP="00E86998">
      <w:pPr>
        <w:pStyle w:val="afa"/>
        <w:spacing w:after="120" w:line="360" w:lineRule="auto"/>
        <w:jc w:val="both"/>
      </w:pPr>
      <w:r w:rsidRPr="00DF0D90">
        <w:t>Уровень</w:t>
      </w:r>
      <w:r w:rsidRPr="00DF0D90">
        <w:rPr>
          <w:lang w:val="ru-RU"/>
        </w:rPr>
        <w:t xml:space="preserve"> </w:t>
      </w:r>
      <w:r w:rsidRPr="00DF0D90">
        <w:t>убедительности</w:t>
      </w:r>
      <w:r w:rsidRPr="00DF0D90">
        <w:rPr>
          <w:lang w:val="ru-RU"/>
        </w:rPr>
        <w:t xml:space="preserve"> </w:t>
      </w:r>
      <w:r w:rsidRPr="00DF0D90">
        <w:t>рекомендаций – А (уровень</w:t>
      </w:r>
      <w:r w:rsidRPr="00DF0D90">
        <w:rPr>
          <w:lang w:val="ru-RU"/>
        </w:rPr>
        <w:t xml:space="preserve"> </w:t>
      </w:r>
      <w:r w:rsidRPr="00DF0D90">
        <w:t>достоверности</w:t>
      </w:r>
      <w:r w:rsidRPr="00DF0D90">
        <w:rPr>
          <w:lang w:val="ru-RU"/>
        </w:rPr>
        <w:t xml:space="preserve"> </w:t>
      </w:r>
      <w:r w:rsidRPr="00DF0D90">
        <w:t>доказательств – 1).</w:t>
      </w:r>
    </w:p>
    <w:p w14:paraId="4C4DE567" w14:textId="6139E681" w:rsidR="00267C50" w:rsidRPr="00DF0D90" w:rsidRDefault="00267C50" w:rsidP="00E86998">
      <w:pPr>
        <w:pStyle w:val="afa"/>
        <w:numPr>
          <w:ilvl w:val="0"/>
          <w:numId w:val="42"/>
        </w:numPr>
        <w:spacing w:after="120" w:line="360" w:lineRule="auto"/>
        <w:ind w:left="0" w:right="0" w:firstLine="567"/>
        <w:contextualSpacing/>
        <w:rPr>
          <w:rFonts w:ascii="Sylfaen" w:hAnsi="Sylfaen"/>
          <w:b w:val="0"/>
          <w:bCs/>
        </w:rPr>
      </w:pPr>
      <w:r w:rsidRPr="00DF0D90">
        <w:t>Рекомендуется</w:t>
      </w:r>
      <w:r w:rsidRPr="00DF0D90">
        <w:rPr>
          <w:b w:val="0"/>
          <w:bCs/>
        </w:rPr>
        <w:t xml:space="preserve"> использование МРТ </w:t>
      </w:r>
      <w:r w:rsidR="00682F2D">
        <w:rPr>
          <w:b w:val="0"/>
          <w:bCs/>
          <w:lang w:val="ru-RU"/>
        </w:rPr>
        <w:t xml:space="preserve"> печени</w:t>
      </w:r>
      <w:r w:rsidR="00095CB8" w:rsidRPr="0043377B">
        <w:rPr>
          <w:b w:val="0"/>
          <w:bCs/>
          <w:lang w:val="ru-RU"/>
        </w:rPr>
        <w:t xml:space="preserve"> </w:t>
      </w:r>
      <w:r w:rsidRPr="00DF0D90">
        <w:rPr>
          <w:b w:val="0"/>
          <w:bCs/>
        </w:rPr>
        <w:t xml:space="preserve">с </w:t>
      </w:r>
      <w:proofErr w:type="spellStart"/>
      <w:r w:rsidRPr="00DF0D90">
        <w:rPr>
          <w:b w:val="0"/>
          <w:bCs/>
        </w:rPr>
        <w:t>гепатоспецифическим</w:t>
      </w:r>
      <w:proofErr w:type="spellEnd"/>
      <w:r w:rsidRPr="00DF0D90">
        <w:rPr>
          <w:b w:val="0"/>
          <w:bCs/>
        </w:rPr>
        <w:t xml:space="preserve"> контрастным</w:t>
      </w:r>
      <w:r w:rsidR="00E86998" w:rsidRPr="00DF0D90">
        <w:rPr>
          <w:rFonts w:ascii="Sylfaen" w:hAnsi="Sylfaen"/>
          <w:b w:val="0"/>
          <w:bCs/>
          <w:lang w:val="ru-RU"/>
        </w:rPr>
        <w:t xml:space="preserve"> </w:t>
      </w:r>
      <w:r w:rsidRPr="00DF0D90">
        <w:rPr>
          <w:b w:val="0"/>
          <w:bCs/>
        </w:rPr>
        <w:t xml:space="preserve">препаратом </w:t>
      </w:r>
      <w:proofErr w:type="spellStart"/>
      <w:r w:rsidRPr="00DF0D90">
        <w:rPr>
          <w:b w:val="0"/>
          <w:bCs/>
        </w:rPr>
        <w:t>гадоксетовой</w:t>
      </w:r>
      <w:proofErr w:type="spellEnd"/>
      <w:r w:rsidRPr="00DF0D90">
        <w:rPr>
          <w:b w:val="0"/>
          <w:bCs/>
        </w:rPr>
        <w:t xml:space="preserve"> кислоты для выяв</w:t>
      </w:r>
      <w:r w:rsidR="00E86998" w:rsidRPr="00DF0D90">
        <w:rPr>
          <w:b w:val="0"/>
          <w:bCs/>
        </w:rPr>
        <w:t>ления раннего ГЦР (до 2,0 см) у</w:t>
      </w:r>
      <w:r w:rsidR="00E86998" w:rsidRPr="00DF0D90">
        <w:rPr>
          <w:b w:val="0"/>
          <w:bCs/>
          <w:lang w:val="ru-RU"/>
        </w:rPr>
        <w:t xml:space="preserve"> </w:t>
      </w:r>
      <w:r w:rsidRPr="00DF0D90">
        <w:rPr>
          <w:b w:val="0"/>
          <w:bCs/>
        </w:rPr>
        <w:t>пациентов с сопутствующим циррозом печени</w:t>
      </w:r>
      <w:r w:rsidR="003E3B30" w:rsidRPr="00DF0D90">
        <w:rPr>
          <w:b w:val="0"/>
          <w:bCs/>
          <w:lang w:val="ru-RU"/>
        </w:rPr>
        <w:t xml:space="preserve"> и/или хроническим вирусным гепатитов </w:t>
      </w:r>
      <w:r w:rsidR="003E3B30" w:rsidRPr="00DF0D90">
        <w:rPr>
          <w:b w:val="0"/>
          <w:bCs/>
          <w:lang w:val="en-US"/>
        </w:rPr>
        <w:t>B</w:t>
      </w:r>
      <w:r w:rsidRPr="00DF0D90">
        <w:rPr>
          <w:b w:val="0"/>
          <w:bCs/>
        </w:rPr>
        <w:t xml:space="preserve"> </w:t>
      </w:r>
      <w:r w:rsidR="006F4180" w:rsidRPr="00DF0D90">
        <w:rPr>
          <w:b w:val="0"/>
          <w:bCs/>
        </w:rPr>
        <w:fldChar w:fldCharType="begin" w:fldLock="1"/>
      </w:r>
      <w:r w:rsidR="007335C5" w:rsidRPr="00DF0D90">
        <w:rPr>
          <w:b w:val="0"/>
          <w:bCs/>
        </w:rPr>
        <w:instrText>ADDIN CSL_CITATION {"citationItems":[{"id":"ITEM-1","itemData":{"DOI":"10.1002/lt.24867","ISSN":"15276473","PMID":"28886231","abstract":"Early detection of small hepatocellular carcinoma (HCC) lesions can improve longterm patient survival. A systematic review and meta-analysis of the diagnostic performance of gadoxetic acid disodium (Gd-EOB-DTPA)–enhanced magnetic resonance imaging (MRI) and multidetector computed tomography (MDCT) was performed in diagnosing small HCCs measuring up to 2 cm (≤2 cm). Two investigators searched multiple databases for studies in which the performances of either Gd-EOB-DTPA–enhanced MRI or MDCT were reported with sufficient data to construct 2 × 2 contingency tables for diagnosing HCCs up to 2 cm on a per-lesion or per-patient level. Diagnostic performances were quantitatively pooled by a bivariate random-effect model with further meta-regression and subgroup analyses. A total of 27 studies (14 on Gd-EOB-DTPA–enhanced MRI, 9 on MDCT, and 4 on both) were included, enrolling a total of 1735 patients on Gd-EOB-DTPA–enhanced MRI and 1781 patients on MDCT. Gd-EOB-DTPA–enhanced MRI demonstrated significantly higher overall sensitivity than did MDCT (0.96 versus 0.65; P &lt; 0.01), without substantial loss of specificity (0.94 versus 0.98; P &gt; 0.05). Area under the summary receiver operating characteristic curve was 0.97 with Gd-EOB-DTPA–enhanced MRI and 0.85 with MDCT. Regarding Gd-EOB-DTPA–enhanced MRI, sensitivity was significantly higher for studies from non-Asian countries than Asian countries (0.96 versus 0.93; P &lt; 0.01), for retrospective studies than prospective studies (0.95 versus 0.91; P &lt; 0.01), and for those with Gd-EOB-DTPA injection rate ≥ 1.5 mL/s than that of &lt;1.5 mL/s (0.97 versus 0.90; P &lt; 0.01). In conclusion, Gd-EOB-DTPA–enhanced MRI demonstrated higher sensitivity and overall diagnostic accuracy than MDCT, and thus should be the preferred imaging modality for diagnosing small HCCs measuring up to 2 cm. Liver Transplantation 23 1505–1518 2017 AASLD.","author":[{"dropping-particle":"","family":"Liu","given":"Xijiao","non-dropping-particle":"","parse-names":false,"suffix":""},{"dropping-particle":"","family":"Jiang","given":"Hanyu","non-dropping-particle":"","parse-names":false,"suffix":""},{"dropping-particle":"","family":"Chen","given":"Jie","non-dropping-particle":"","parse-names":false,"suffix":""},{"dropping-particle":"","family":"Zhou","given":"You","non-dropping-particle":"","parse-names":false,"suffix":""},{"dropping-particle":"","family":"Huang","given":"Zixing","non-dropping-particle":"","parse-names":false,"suffix":""},{"dropping-particle":"","family":"Song","given":"Bin","non-dropping-particle":"","parse-names":false,"suffix":""}],"container-title":"Liver Transplantation","id":"ITEM-1","issue":"12","issued":{"date-parts":[["2017","12"]]},"page":"1505-1518","title":"Gadoxetic acid disodium–enhanced magnetic resonance imaging outperformed multidetector computed tomography in diagnosing small hepatocellular carcinoma: A meta-analysis","type":"article-journal","volume":"23"},"uris":["http://www.mendeley.com/documents/?uuid=d6c2b34e-9e3e-3c70-8987-cd6928632012"]},{"id":"ITEM-2","itemData":{"DOI":"10.1007/s00330-019-06294-6","ISSN":"14321084","PMID":"31250172","abstract":"Aim: The purpose of this study was to determine the relative diagnostic benefit of gadolinium-ethoxybenzyl-diethylenetriamine pentaacetic acid (Gd-EOB-DTPA)–enhanced magnetic resonance imaging (MRI) over contrast-enhanced multi-detector computed tomography (CEMDCT) for the detection of hepatocellular carcinoma (HCC). Methods: Two investigators searched multiple databases from inception to January 8, 2019, for studies comparing Gd-EOB-DTPA-enhanced MRI with CEMDCT in adults suspected of HCC. Two reviewers independently selected studies and extracted data. Results: Eight studies were included enrolling 498 patients. MRI showed significantly higher sensitivity than CT (0.85 vs. 0.68). There was no significant difference in the specificity of MRI and CT (0.94 vs. 0.93). The negative likelihood ratio and positive likelihood ratio of MRI and CT were not significantly different (0.16 vs. 0.15 and 14.7 vs. 11.2, respectively). The summary receiver operating characteristics (SROC) of MRI was higher than that of CT at 0.96 vs. 0.91. In the subgroup analysis with a lesion diameter below 2 cm, the sensitivity of MRI was significantly higher than that of CT (0.79 vs. 0.46). Conclusion: Gd-EOB-DTPA-enhanced MRI showed higher sensitivity and overall diagnostic accuracy than CEMDCT especially for hepatocellular carcinoma lesions smaller than 2 cm. Key Points: • Gd-EOB-DTPA-enhanced MRI can detect small lesions of hepatocellular carcinoma. • Gd-EOB-DTPA-enhanced MRI showed higher sensitivity and overall diagnostic accuracy than CEMDCT in patients with hepatocellular carcinoma. • Eight prospective studies showed that Gd-EOB-DTPA-enhanced MRI provides greater diagnostic confidence.","author":[{"dropping-particle":"","family":"Li","given":"Jiangfa","non-dropping-particle":"","parse-names":false,"suffix":""},{"dropping-particle":"","family":"Wang","given":"Jiming","non-dropping-particle":"","parse-names":false,"suffix":""},{"dropping-particle":"","family":"Lei","given":"Liping","non-dropping-particle":"","parse-names":false,"suffix":""},{"dropping-particle":"","family":"Yuan","given":"Guandou","non-dropping-particle":"","parse-names":false,"suffix":""},{"dropping-particle":"","family":"He","given":"Songqing","non-dropping-particle":"","parse-names":false,"suffix":""}],"container-title":"European Radiology","id":"ITEM-2","issue":"12","issued":{"date-parts":[["2019","12","27"]]},"page":"6519-6528","title":"The diagnostic performance of gadoxetic acid disodium-enhanced magnetic resonance imaging and contrast-enhanced multi-detector computed tomography in detecting hepatocellular carcinoma: a meta-analysis of eight prospective studies","type":"article","volume":"29"},"uris":["http://www.mendeley.com/documents/?uuid=e8227645-c703-3fdc-b115-f709f211e82d"]},{"id":"ITEM-3","itemData":{"DOI":"10.1007/s00261-016-0807-7","ISSN":"23660058","PMID":"27318936","abstract":"The purpose of this study was to directly (head-to-head) compare the per-lesion diagnostic performance of contrast-enhanced computed tomography (CT) (also referred to as CT hereafter) and gadoxetic acid disodium (Gd-EOB-DTPA)-enhanced magnetic resonance (MR) imaging (also referred to as MRI hereafter) for the detection of hepatocellular carcinoma (HCC). Studies reporting direct per-lesion comparison data of contrast-enhanced multidetector CT and Gd-EOB-DTPA-enhanced MR imaging that were published between January 2000 and January 2015 were analyzed. The data of each study were extracted. Systematic review, paired meta-analysis, and subgroup analysis were performed. Twelve studies including 627 patients and 793 HCC lesions were analyzed. The sensitivity estimates of MRI and CT were, respectively, 0.86 (95% CI 0.76–0.93) and 0.70 (95% CI 0.58–0.80), with significant difference (P &lt; 0.05). The sensitivity estimates were both 0.94 (95% CI 0.92–0.96) (Chi-square 4.84, degrees of freedom = 1, P &gt; 0.05). In all subgroups, Gd-EOB-DTPA-enhanced MR imaging was more sensitive than multidetector CT for the detection of HCC, and specificity estimates of both tests maintained at a similarly high level in all conditions: sensitivity estimates of both tests were reduced in studies where patients were diagnosed with HCC solely by liver explant or in those where HCC lesions were small (≤2 cm, especially when ≤1 cm). But in all situations, sensitivities of MRI were higher than those of CT with or without significance. Gd-EOB-DTPA-enhanced MR imaging showed better per-lesion diagnostic performance than multidetector CT for the diagnosis of HCC in patients with cirrhosis and in small hepatic lesions.","author":[{"dropping-particle":"","family":"Guo","given":"Jin","non-dropping-particle":"","parse-names":false,"suffix":""},{"dropping-particle":"","family":"Seo","given":"Youngkwon","non-dropping-particle":"","parse-names":false,"suffix":""},{"dropping-particle":"","family":"Ren","given":"Shuo","non-dropping-particle":"","parse-names":false,"suffix":""},{"dropping-particle":"","family":"Hong","given":"Sunwoo","non-dropping-particle":"","parse-names":false,"suffix":""},{"dropping-particle":"","family":"Lee","given":"Dongki","non-dropping-particle":"","parse-names":false,"suffix":""},{"dropping-particle":"","family":"Kim","given":"Soyoun","non-dropping-particle":"","parse-names":false,"suffix":""},{"dropping-particle":"","family":"Jiang","given":"Yuanyuan","non-dropping-particle":"","parse-names":false,"suffix":""}],"container-title":"Abdominal Radiology","id":"ITEM-3","issue":"10","issued":{"date-parts":[["2016","10","1"]]},"page":"1960-1972","publisher":"Springer New York LLC","title":"Diagnostic performance of contrast-enhanced multidetector computed tomography and gadoxetic acid disodium-enhanced magnetic resonance imaging in detecting hepatocellular carcinoma: direct comparison and a meta-analysis","type":"article-journal","volume":"41"},"uris":["http://www.mendeley.com/documents/?uuid=4099462c-5096-3b44-8c46-331e838b2323"]}],"mendeley":{"formattedCitation":"[19–21]","plainTextFormattedCitation":"[19–21]","previouslyFormattedCitation":"[19–21]"},"properties":{"noteIndex":0},"schema":"https://github.com/citation-style-language/schema/raw/master/csl-citation.json"}</w:instrText>
      </w:r>
      <w:r w:rsidR="006F4180" w:rsidRPr="00DF0D90">
        <w:rPr>
          <w:b w:val="0"/>
          <w:bCs/>
        </w:rPr>
        <w:fldChar w:fldCharType="separate"/>
      </w:r>
      <w:r w:rsidR="00C34389" w:rsidRPr="00DF0D90">
        <w:rPr>
          <w:b w:val="0"/>
          <w:bCs/>
          <w:noProof/>
        </w:rPr>
        <w:t>[19–21</w:t>
      </w:r>
      <w:r w:rsidR="00CD7F67" w:rsidRPr="00DF0D90">
        <w:rPr>
          <w:b w:val="0"/>
          <w:bCs/>
          <w:noProof/>
          <w:lang w:val="ru-RU"/>
        </w:rPr>
        <w:t>, 153-15</w:t>
      </w:r>
      <w:r w:rsidR="003E3B30" w:rsidRPr="00DF0D90">
        <w:rPr>
          <w:b w:val="0"/>
          <w:bCs/>
          <w:noProof/>
          <w:lang w:val="ru-RU"/>
        </w:rPr>
        <w:t>6</w:t>
      </w:r>
      <w:r w:rsidR="00C34389" w:rsidRPr="00DF0D90">
        <w:rPr>
          <w:b w:val="0"/>
          <w:bCs/>
          <w:noProof/>
        </w:rPr>
        <w:t>]</w:t>
      </w:r>
      <w:r w:rsidR="006F4180" w:rsidRPr="00DF0D90">
        <w:rPr>
          <w:b w:val="0"/>
          <w:bCs/>
        </w:rPr>
        <w:fldChar w:fldCharType="end"/>
      </w:r>
      <w:r w:rsidR="006F4180" w:rsidRPr="00DF0D90">
        <w:rPr>
          <w:b w:val="0"/>
          <w:bCs/>
          <w:lang w:val="ru-RU"/>
        </w:rPr>
        <w:t>.</w:t>
      </w:r>
      <w:r w:rsidRPr="00DF0D90">
        <w:rPr>
          <w:rFonts w:ascii="Sylfaen" w:hAnsi="Sylfaen"/>
          <w:b w:val="0"/>
          <w:bCs/>
        </w:rPr>
        <w:t xml:space="preserve"> </w:t>
      </w:r>
    </w:p>
    <w:p w14:paraId="63668160" w14:textId="77777777" w:rsidR="00B726C2" w:rsidRPr="00DF0D90" w:rsidRDefault="00267C50" w:rsidP="00E86998">
      <w:pPr>
        <w:pStyle w:val="afa"/>
        <w:spacing w:after="120" w:line="360" w:lineRule="auto"/>
        <w:jc w:val="both"/>
      </w:pPr>
      <w:bookmarkStart w:id="74" w:name="_Hlk81497168"/>
      <w:r w:rsidRPr="00DF0D90">
        <w:t>Уровень</w:t>
      </w:r>
      <w:r w:rsidR="00C34389" w:rsidRPr="00DF0D90">
        <w:rPr>
          <w:lang w:val="ru-RU"/>
        </w:rPr>
        <w:t xml:space="preserve"> </w:t>
      </w:r>
      <w:r w:rsidRPr="00DF0D90">
        <w:t>убедительности</w:t>
      </w:r>
      <w:r w:rsidR="00C34389" w:rsidRPr="00DF0D90">
        <w:rPr>
          <w:lang w:val="ru-RU"/>
        </w:rPr>
        <w:t xml:space="preserve"> </w:t>
      </w:r>
      <w:r w:rsidRPr="00DF0D90">
        <w:t>рекомендаций – А (уровень</w:t>
      </w:r>
      <w:r w:rsidR="00C34389" w:rsidRPr="00DF0D90">
        <w:rPr>
          <w:lang w:val="ru-RU"/>
        </w:rPr>
        <w:t xml:space="preserve"> </w:t>
      </w:r>
      <w:r w:rsidRPr="00DF0D90">
        <w:t>достоверности</w:t>
      </w:r>
      <w:r w:rsidR="00C34389" w:rsidRPr="00DF0D90">
        <w:rPr>
          <w:lang w:val="ru-RU"/>
        </w:rPr>
        <w:t xml:space="preserve"> </w:t>
      </w:r>
      <w:r w:rsidRPr="00DF0D90">
        <w:t>доказательств – 1).</w:t>
      </w:r>
      <w:bookmarkEnd w:id="74"/>
    </w:p>
    <w:p w14:paraId="6E7E1B5C" w14:textId="2ED971D8" w:rsidR="00267C50" w:rsidRPr="00DF0D90" w:rsidRDefault="00AB47DB" w:rsidP="00E86998">
      <w:pPr>
        <w:pStyle w:val="afa"/>
        <w:spacing w:after="120" w:line="360" w:lineRule="auto"/>
        <w:jc w:val="both"/>
      </w:pPr>
      <w:r w:rsidRPr="00DF0D90">
        <w:rPr>
          <w:rFonts w:eastAsia="Times New Roman"/>
          <w:i/>
          <w:iCs/>
          <w:color w:val="3B3030"/>
        </w:rPr>
        <w:t>Комментарий</w:t>
      </w:r>
      <w:r w:rsidRPr="00DF0D90">
        <w:rPr>
          <w:rFonts w:eastAsia="Times New Roman"/>
          <w:b w:val="0"/>
          <w:bCs/>
          <w:i/>
          <w:iCs/>
          <w:color w:val="3B3030"/>
        </w:rPr>
        <w:t xml:space="preserve">: </w:t>
      </w:r>
      <w:r w:rsidRPr="00DF0D90">
        <w:rPr>
          <w:rFonts w:eastAsia="Times New Roman"/>
          <w:b w:val="0"/>
          <w:bCs/>
          <w:i/>
          <w:iCs/>
          <w:color w:val="auto"/>
        </w:rPr>
        <w:t xml:space="preserve">диагностика раннего ГЦР и своевременное начатое лечение имеют решающее значение для улучшения прогноза и качества жизни пациентов, повышая тем самым долгосрочную выживаемость. Особенности накопления и вымывания контрастного препарата из опухолевых тканей в артериальную, венозную и отсроченные фазы при использовании </w:t>
      </w:r>
      <w:proofErr w:type="spellStart"/>
      <w:r w:rsidRPr="00DF0D90">
        <w:rPr>
          <w:rFonts w:eastAsia="Times New Roman"/>
          <w:b w:val="0"/>
          <w:bCs/>
          <w:i/>
          <w:iCs/>
          <w:color w:val="auto"/>
        </w:rPr>
        <w:t>экстрацеллюлярных</w:t>
      </w:r>
      <w:proofErr w:type="spellEnd"/>
      <w:r w:rsidRPr="00DF0D90">
        <w:rPr>
          <w:rFonts w:eastAsia="Times New Roman"/>
          <w:b w:val="0"/>
          <w:bCs/>
          <w:i/>
          <w:iCs/>
          <w:color w:val="auto"/>
        </w:rPr>
        <w:t xml:space="preserve"> магнитно-резонансных контрастных препаратов в ряде случаев не позволяют выявлять и корректно дифференцировать новообразования, в том числе малых размеров. </w:t>
      </w:r>
      <w:r w:rsidR="00171AAA" w:rsidRPr="00DF0D90">
        <w:rPr>
          <w:rFonts w:eastAsia="Times New Roman"/>
          <w:b w:val="0"/>
          <w:bCs/>
          <w:i/>
          <w:iCs/>
          <w:color w:val="auto"/>
          <w:lang w:val="ru-RU"/>
        </w:rPr>
        <w:t>Поэтому</w:t>
      </w:r>
      <w:r w:rsidR="00AD6FAC" w:rsidRPr="00DF0D90">
        <w:rPr>
          <w:rFonts w:eastAsia="Times New Roman"/>
          <w:b w:val="0"/>
          <w:bCs/>
          <w:i/>
          <w:iCs/>
          <w:color w:val="auto"/>
          <w:lang w:val="ru-RU"/>
        </w:rPr>
        <w:t>,</w:t>
      </w:r>
      <w:r w:rsidR="00171AAA" w:rsidRPr="00DF0D90">
        <w:rPr>
          <w:rFonts w:eastAsia="Times New Roman"/>
          <w:b w:val="0"/>
          <w:bCs/>
          <w:i/>
          <w:iCs/>
          <w:color w:val="auto"/>
          <w:lang w:val="ru-RU"/>
        </w:rPr>
        <w:t xml:space="preserve"> </w:t>
      </w:r>
      <w:r w:rsidR="00AD6FAC" w:rsidRPr="00DF0D90">
        <w:rPr>
          <w:rFonts w:eastAsia="Times New Roman"/>
          <w:b w:val="0"/>
          <w:bCs/>
          <w:i/>
          <w:iCs/>
          <w:color w:val="auto"/>
          <w:lang w:val="ru-RU"/>
        </w:rPr>
        <w:t>следует</w:t>
      </w:r>
      <w:r w:rsidR="00171AAA" w:rsidRPr="00DF0D90">
        <w:rPr>
          <w:rFonts w:eastAsia="Times New Roman"/>
          <w:b w:val="0"/>
          <w:bCs/>
          <w:i/>
          <w:iCs/>
          <w:color w:val="auto"/>
          <w:lang w:val="ru-RU"/>
        </w:rPr>
        <w:t xml:space="preserve"> отдавать предпочтение использованию </w:t>
      </w:r>
      <w:proofErr w:type="spellStart"/>
      <w:r w:rsidR="00171AAA" w:rsidRPr="00DF0D90">
        <w:rPr>
          <w:rFonts w:eastAsia="Times New Roman"/>
          <w:b w:val="0"/>
          <w:bCs/>
          <w:i/>
          <w:iCs/>
          <w:color w:val="auto"/>
          <w:lang w:val="ru-RU"/>
        </w:rPr>
        <w:t>гепатотропного</w:t>
      </w:r>
      <w:proofErr w:type="spellEnd"/>
      <w:r w:rsidR="00171AAA" w:rsidRPr="00DF0D90">
        <w:rPr>
          <w:rFonts w:eastAsia="Times New Roman"/>
          <w:b w:val="0"/>
          <w:bCs/>
          <w:i/>
          <w:iCs/>
          <w:color w:val="auto"/>
          <w:lang w:val="ru-RU"/>
        </w:rPr>
        <w:t xml:space="preserve"> контрастного препарата. </w:t>
      </w:r>
      <w:proofErr w:type="spellStart"/>
      <w:r w:rsidRPr="00DF0D90">
        <w:rPr>
          <w:rFonts w:eastAsia="Times New Roman"/>
          <w:b w:val="0"/>
          <w:bCs/>
          <w:i/>
          <w:iCs/>
          <w:color w:val="auto"/>
        </w:rPr>
        <w:t>Гиперинтенсивность</w:t>
      </w:r>
      <w:proofErr w:type="spellEnd"/>
      <w:r w:rsidRPr="00DF0D90">
        <w:rPr>
          <w:rFonts w:eastAsia="Times New Roman"/>
          <w:b w:val="0"/>
          <w:bCs/>
          <w:i/>
          <w:iCs/>
          <w:color w:val="auto"/>
        </w:rPr>
        <w:t xml:space="preserve"> печеночной паренхимы в </w:t>
      </w:r>
      <w:proofErr w:type="spellStart"/>
      <w:r w:rsidRPr="00DF0D90">
        <w:rPr>
          <w:rFonts w:eastAsia="Times New Roman"/>
          <w:b w:val="0"/>
          <w:bCs/>
          <w:i/>
          <w:iCs/>
          <w:color w:val="auto"/>
        </w:rPr>
        <w:t>гепатоспецифическую</w:t>
      </w:r>
      <w:proofErr w:type="spellEnd"/>
      <w:r w:rsidRPr="00DF0D90">
        <w:rPr>
          <w:rFonts w:eastAsia="Times New Roman"/>
          <w:b w:val="0"/>
          <w:bCs/>
          <w:i/>
          <w:iCs/>
          <w:color w:val="auto"/>
        </w:rPr>
        <w:t xml:space="preserve"> фазу позволяет отчетливо визуализировать </w:t>
      </w:r>
      <w:proofErr w:type="spellStart"/>
      <w:r w:rsidRPr="00DF0D90">
        <w:rPr>
          <w:rFonts w:eastAsia="Times New Roman"/>
          <w:b w:val="0"/>
          <w:bCs/>
          <w:i/>
          <w:iCs/>
          <w:color w:val="auto"/>
        </w:rPr>
        <w:t>гипоинтенсивные</w:t>
      </w:r>
      <w:proofErr w:type="spellEnd"/>
      <w:r w:rsidRPr="00DF0D90">
        <w:rPr>
          <w:rFonts w:eastAsia="Times New Roman"/>
          <w:b w:val="0"/>
          <w:bCs/>
          <w:i/>
          <w:iCs/>
          <w:color w:val="auto"/>
        </w:rPr>
        <w:t xml:space="preserve"> очаги малых размеров и с учетом особенностей их контрастирования в предыдущие фазы исследования,  дифференцировать ранний ГЦР от прочих новообразований печени, в т.ч. и от регенераторных и диспластических узлов, что в ряде случаев может повлиять на изменение стадии опухолевого процесса. </w:t>
      </w:r>
    </w:p>
    <w:p w14:paraId="76EC904E" w14:textId="228916DE" w:rsidR="00267C50" w:rsidRPr="00DF0D90" w:rsidRDefault="00267C50" w:rsidP="00E86998">
      <w:pPr>
        <w:pStyle w:val="af2"/>
        <w:numPr>
          <w:ilvl w:val="0"/>
          <w:numId w:val="34"/>
        </w:numPr>
        <w:spacing w:after="120" w:line="360" w:lineRule="auto"/>
        <w:ind w:left="0" w:firstLine="567"/>
        <w:jc w:val="both"/>
        <w:rPr>
          <w:iCs/>
          <w:spacing w:val="-2"/>
        </w:rPr>
      </w:pPr>
      <w:r w:rsidRPr="00DF0D90">
        <w:rPr>
          <w:b/>
          <w:bCs/>
          <w:iCs/>
          <w:spacing w:val="-2"/>
        </w:rPr>
        <w:t>Рекомендуется</w:t>
      </w:r>
      <w:r w:rsidRPr="00DF0D90">
        <w:rPr>
          <w:iCs/>
          <w:spacing w:val="-2"/>
        </w:rPr>
        <w:t xml:space="preserve"> пациентам с подозрением на ГЦР или установленным диагнозом выполнять МРТ печени с </w:t>
      </w:r>
      <w:proofErr w:type="spellStart"/>
      <w:r w:rsidRPr="00DF0D90">
        <w:rPr>
          <w:iCs/>
          <w:spacing w:val="-2"/>
        </w:rPr>
        <w:t>гепатоспецифическим</w:t>
      </w:r>
      <w:proofErr w:type="spellEnd"/>
      <w:r w:rsidRPr="00DF0D90">
        <w:rPr>
          <w:iCs/>
          <w:spacing w:val="-2"/>
        </w:rPr>
        <w:t xml:space="preserve"> контрастным препаратом </w:t>
      </w:r>
      <w:proofErr w:type="spellStart"/>
      <w:r w:rsidRPr="00DF0D90">
        <w:rPr>
          <w:iCs/>
          <w:spacing w:val="-2"/>
        </w:rPr>
        <w:t>гадоксетовой</w:t>
      </w:r>
      <w:proofErr w:type="spellEnd"/>
      <w:r w:rsidRPr="00DF0D90">
        <w:rPr>
          <w:iCs/>
          <w:spacing w:val="-2"/>
        </w:rPr>
        <w:t xml:space="preserve"> кислоты для корректного стадирования опухолевого процесса перед началом лечения</w:t>
      </w:r>
      <w:r w:rsidR="006F4180" w:rsidRPr="00DF0D90">
        <w:rPr>
          <w:iCs/>
          <w:spacing w:val="-2"/>
        </w:rPr>
        <w:t xml:space="preserve"> </w:t>
      </w:r>
      <w:r w:rsidR="006F4180" w:rsidRPr="00DF0D90">
        <w:rPr>
          <w:iCs/>
          <w:spacing w:val="-2"/>
        </w:rPr>
        <w:fldChar w:fldCharType="begin" w:fldLock="1"/>
      </w:r>
      <w:r w:rsidR="007335C5" w:rsidRPr="00DF0D90">
        <w:rPr>
          <w:iCs/>
          <w:spacing w:val="-2"/>
        </w:rPr>
        <w:instrText>ADDIN CSL_CITATION {"citationItems":[{"id":"ITEM-1","itemData":{"DOI":"10.1148/radiol.2020190639","ISSN":"15271315","PMID":"32013789","abstract":"Background: The impact on survival of gadoxetic acid–enhanced MRI in addition to multiphase contrast material–enhanced CT for initial staging in patients with hepatocellular carcinoma (HCC) is unknown. Purpose: To compare all-cause mortality in patients with HCC who underwent CT only, CT plus non–gadoxetic acid–enhanced MRI, or CT plus gadoxetic acid–enhanced MRI as part of their initial diagnostic work-up. Materials and Methods: The authors performed a nationwide retrospective cohort study of patients diagnosed with HCC in South Korea between January 2008 and December 2010. Follow-up extended through December 2014. The primary outcome was all-cause mortality. Cox proportional hazards regression model with adjustment of confounding factors was used to estimate hazard ratios (HRs) for all-cause mortality. Results: Among 30 023 patients with HCC (mean age 6 standard deviation, 58.5 years 6 10.7, 23 978 men), the proportions of patients in whom HCC was diagnosed using CT only, CT plus non–gadoxetic acid–enhanced MRI, and CT plus gadoxetic acid–enhanced MRI were 56.1%, 12.9%, and 31.0%, respectively. In adjusted analysis using CT only as the reference category, the HR for mortality for CT plus gadoxetic acid–enhanced MRI was 0.64 (95% confidence interval [CI]: 0.62, 0.67; P , .001), and the HR for CT plus non–gadoxetic acid–enhanced MRI was 0.71 (95% CI: 0.68, 0.75; P , .001). Use of CT plus gadoxetic acid–enhanced MRI was associated with lower mortality compared with CT plus non–gadoxetic acid–enhanced MRI (adjusted HR, 0.90; 95% CI: 0.85, 0.95; P , .001), but this survival advantage was restricted to patients with localized disease. Conclusion: In patients with hepatocellular carcinoma, additional use of contrast-enhanced MRI was associated with lower mortality. Furthermore, CT plus gadoxetic acid–enhanced MRI was associated with better survival than CT plus non–gadoxetic acid–enhanced MRI but only in patients with localized disease.","author":[{"dropping-particle":"","family":"Kang","given":"Tae Wook","non-dropping-particle":"","parse-names":false,"suffix":""},{"dropping-particle":"","family":"Kong","given":"Sun Young","non-dropping-particle":"","parse-names":false,"suffix":""},{"dropping-particle":"","family":"Kang","given":"Danbee","non-dropping-particle":"","parse-names":false,"suffix":""},{"dropping-particle":"","family":"Kang","given":"Min Woong","non-dropping-particle":"","parse-names":false,"suffix":""},{"dropping-particle":"","family":"Kim","given":"Young Kon","non-dropping-particle":"","parse-names":false,"suffix":""},{"dropping-particle":"","family":"Kim","given":"Seong Hyun","non-dropping-particle":"","parse-names":false,"suffix":""},{"dropping-particle":"","family":"Sinn","given":"Dong Hyun","non-dropping-particle":"","parse-names":false,"suffix":""},{"dropping-particle":"","family":"Kim","given":"Young Ae","non-dropping-particle":"","parse-names":false,"suffix":""},{"dropping-particle":"","family":"Choi","given":"Kui Son","non-dropping-particle":"","parse-names":false,"suffix":""},{"dropping-particle":"","family":"Lee","given":"Eun Sook","non-dropping-particle":"","parse-names":false,"suffix":""},{"dropping-particle":"","family":"Woo","given":"Sang Myung","non-dropping-particle":"","parse-names":false,"suffix":""},{"dropping-particle":"","family":"Back","given":"Joung Hwan","non-dropping-particle":"","parse-names":false,"suffix":""},{"dropping-particle":"","family":"Guallar","given":"Eliseo","non-dropping-particle":"","parse-names":false,"suffix":""},{"dropping-particle":"","family":"Cho","given":"Juhee","non-dropping-particle":"","parse-names":false,"suffix":""}],"container-title":"Radiology","id":"ITEM-1","issue":"1","issued":{"date-parts":[["2020","4"]]},"page":"114-124","title":"Use of gadoxetic acid–enhanced liver MRI and mortality in more than 30000 patients with hepatocellular Carcinoma: A nationwide analysis","type":"article-journal","volume":"295"},"uris":["http://www.mendeley.com/documents/?uuid=442e6590-61f8-3c96-8e7e-545f473e3fca"]},{"id":"ITEM-2","itemData":{"DOI":"10.1148/radiol.14140690","ISSN":"15271315","PMID":"25559230","abstract":"Purpose: To perform a systematic review and meta-analysis of the diagnostic performance of computed tomography (CT) and magnetic resonance (MR) imaging as noninvasive modalities for evaluating hepatocellular carcinoma (HCC) in patients with chronic liver disease. Materials and Methods: A search of the MEDLINE, EMBASE, and Cochrane Library databases was performed to identify studies providing per-patient or per-lesion diagnostic accuracies of multidetector CT and MR imaging for HCCs in patients with chronic liver disease. Studies published from January 2000 to December 2012 that used a reference standard based on histopathologic findings and/or findings at followup were included. Summary estimates of diagnostic accuracy were obtained by using a random-effects model with further exploration with meta-regression and subgroup analyses. Results: Forty studies (six on multidetector CT, 22 on MR imaging, and 12 on both CT and MR imaging) were included. The studies evaluated a total of 1135 patients with multidetector CT and 2489 patients with MR imaging. The overall per-patient sensitivity of MR imaging was 88% (95% confidence interval [CI]: 83%, 92%), with a specificity of 94% (95% CI: 85%, 98%). The overall per-lesion sensitivity of MR imaging was higher than that of multidetector CT when the paired data of the 11 available studies were pooled (80% vs 68%, P =.0023). Gadoxetic acid-enhanced MR imaging showed significantly higher per-lesion sensitivity than MR imaging performed with other contrast agents (87% vs 74%, P =.03). Per-lesion sensitivity was significantly lower for HCCs smaller than 1 cm than that for HCCs 1 cm or larger (P","author":[{"dropping-particle":"","family":"Lee","given":"Yoon Jin","non-dropping-particle":"","parse-names":false,"suffix":""},{"dropping-particle":"","family":"Lee","given":"Jeong Min","non-dropping-particle":"","parse-names":false,"suffix":""},{"dropping-particle":"","family":"Lee","given":"Ji Sung","non-dropping-particle":"","parse-names":false,"suffix":""},{"dropping-particle":"","family":"Lee","given":"Hwa Young","non-dropping-particle":"","parse-names":false,"suffix":""},{"dropping-particle":"","family":"Park","given":"Bo Hyun","non-dropping-particle":"","parse-names":false,"suffix":""},{"dropping-particle":"","family":"Kim","given":"Young Hoon","non-dropping-particle":"","parse-names":false,"suffix":""},{"dropping-particle":"","family":"Han","given":"Joon Koo","non-dropping-particle":"","parse-names":false,"suffix":""},{"dropping-particle":"","family":"Choi","given":"Byung Ihn","non-dropping-particle":"","parse-names":false,"suffix":""}],"container-title":"Radiology","id":"ITEM-2","issue":"1","issued":{"date-parts":[["2015","4","1"]]},"page":"97-109","publisher":"Radiological Society of North America Inc.","title":"Hepatocellular carcinoma: Diagnostic performance of multidetector CT and MR imaging-a systematic review and meta-analysis","type":"article-journal","volume":"275"},"uris":["http://www.mendeley.com/documents/?uuid=d6be7390-c3de-31be-b292-6a6dc733bf37"]},{"id":"ITEM-3","itemData":{"DOI":"10.1007/s10620-015-3989-x","ISSN":"15732568","PMID":"26668057","abstract":"Background: For patients with hepatocellular carcinoma (HCC), gadoxetic acid-enhanced magnetic resonance imaging (EOB-MRI) improved the diagnosis, migrated Barcelona Clinic Liver Cancer (BCLC) stage, and changed therapeutic decision in retrospective analysis. Aim: This prospective study was to evaluate the clinical impact of EOB-MRI on HCC management. Methods: From September 2012 to February 2014, consecutive patients with suspicion of HCC in BCLC early stage by multidetector computed tomography or dynamic MRI with non-specific gadolinium, well liver function reserve, and admitted for resection evaluation were enrolled prospectively. Additional EOB-MRI was performed. The HCC diagnosis, BCLC staging, and treatment decision were obtained in a liver cancer conference. EOB-MRI impact on HCC management was analyzed. Results: One hundred and three patients including 68 with typical and 35 with atypical HCC nodules in dynamic imaging studies were enrolled. EOB-MRI characterized 3 (4.4 %) benign and 33 (94.3 %) HCC for patients with typical and atypical HCC nodules, respectively. For 90 HCC patients, additional EOB-MRI changed BCLC stage in 25 (27.8 %) and treatment decision in 17 (18.9 %) patients. There were 66 patients with 78 resected nodules including 65 HCCs, 4 intrahepatic cholangiocarcinomas, and 9 benign nodules. Dynamic study and EOB-MRI detected and characterized 69 and 77 nodules, respectively. The sensitivity and accuracy in HCC diagnosis were 98.5 and 85.7 % for EOB-MRI, which were better than those of dynamic study (p &lt; 0.001). Conclusions: Additional EOB-MRI improved HCC diagnosis in sensitivity, accuracy but not specificity. It changed BCLC staging and treatment decision in 27.8 and 18.9 % of early-stage HCC patients.","author":[{"dropping-particle":"","family":"Wang","given":"Jing Houng","non-dropping-particle":"","parse-names":false,"suffix":""},{"dropping-particle":"","family":"Chen","given":"Tai Yi","non-dropping-particle":"","parse-names":false,"suffix":""},{"dropping-particle":"","family":"Ou","given":"Hsin You","non-dropping-particle":"","parse-names":false,"suffix":""},{"dropping-particle":"","family":"Wang","given":"Chih Chi","non-dropping-particle":"","parse-names":false,"suffix":""},{"dropping-particle":"","family":"Liu","given":"Yueh Wei","non-dropping-particle":"","parse-names":false,"suffix":""},{"dropping-particle":"","family":"Hung","given":"Chao Hung","non-dropping-particle":"","parse-names":false,"suffix":""},{"dropping-particle":"","family":"Chen","given":"Chien Hung","non-dropping-particle":"","parse-names":false,"suffix":""},{"dropping-particle":"","family":"Kuo","given":"Chung Huang","non-dropping-particle":"","parse-names":false,"suffix":""},{"dropping-particle":"","family":"Hu","given":"Tsung Hui","non-dropping-particle":"","parse-names":false,"suffix":""},{"dropping-particle":"","family":"Cheng","given":"Yu Fan","non-dropping-particle":"","parse-names":false,"suffix":""},{"dropping-particle":"","family":"Lu","given":"Sheng Nan","non-dropping-particle":"","parse-names":false,"suffix":""}],"container-title":"Digestive Diseases and Sciences","id":"ITEM-3","issue":"4","issued":{"date-parts":[["2016","4","14"]]},"page":"1197-1205","title":"Clinical Impact of Gadoxetic Acid-Enhanced Magnetic Resonance Imaging on Hepatoma Management: A Prospective Study","type":"article-journal","volume":"61"},"uris":["http://www.mendeley.com/documents/?uuid=0c0beba4-4651-3770-8b20-fe73f272a151"]},{"id":"ITEM-4","itemData":{"DOI":"10.1002/lt.24867","ISSN":"15276473","PMID":"28886231","abstract":"Early detection of small hepatocellular carcinoma (HCC) lesions can improve longterm patient survival. A systematic review and meta-analysis of the diagnostic performance of gadoxetic acid disodium (Gd-EOB-DTPA)–enhanced magnetic resonance imaging (MRI) and multidetector computed tomography (MDCT) was performed in diagnosing small HCCs measuring up to 2 cm (≤2 cm). Two investigators searched multiple databases for studies in which the performances of either Gd-EOB-DTPA–enhanced MRI or MDCT were reported with sufficient data to construct 2 × 2 contingency tables for diagnosing HCCs up to 2 cm on a per-lesion or per-patient level. Diagnostic performances were quantitatively pooled by a bivariate random-effect model with further meta-regression and subgroup analyses. A total of 27 studies (14 on Gd-EOB-DTPA–enhanced MRI, 9 on MDCT, and 4 on both) were included, enrolling a total of 1735 patients on Gd-EOB-DTPA–enhanced MRI and 1781 patients on MDCT. Gd-EOB-DTPA–enhanced MRI demonstrated significantly higher overall sensitivity than did MDCT (0.96 versus 0.65; P &lt; 0.01), without substantial loss of specificity (0.94 versus 0.98; P &gt; 0.05). Area under the summary receiver operating characteristic curve was 0.97 with Gd-EOB-DTPA–enhanced MRI and 0.85 with MDCT. Regarding Gd-EOB-DTPA–enhanced MRI, sensitivity was significantly higher for studies from non-Asian countries than Asian countries (0.96 versus 0.93; P &lt; 0.01), for retrospective studies than prospective studies (0.95 versus 0.91; P &lt; 0.01), and for those with Gd-EOB-DTPA injection rate ≥ 1.5 mL/s than that of &lt;1.5 mL/s (0.97 versus 0.90; P &lt; 0.01). In conclusion, Gd-EOB-DTPA–enhanced MRI demonstrated higher sensitivity and overall diagnostic accuracy than MDCT, and thus should be the preferred imaging modality for diagnosing small HCCs measuring up to 2 cm. Liver Transplantation 23 1505–1518 2017 AASLD.","author":[{"dropping-particle":"","family":"Liu","given":"Xijiao","non-dropping-particle":"","parse-names":false,"suffix":""},{"dropping-particle":"","family":"Jiang","given":"Hanyu","non-dropping-particle":"","parse-names":false,"suffix":""},{"dropping-particle":"","family":"Chen","given":"Jie","non-dropping-particle":"","parse-names":false,"suffix":""},{"dropping-particle":"","family":"Zhou","given":"You","non-dropping-particle":"","parse-names":false,"suffix":""},{"dropping-particle":"","family":"Huang","given":"Zixing","non-dropping-particle":"","parse-names":false,"suffix":""},{"dropping-particle":"","family":"Song","given":"Bin","non-dropping-particle":"","parse-names":false,"suffix":""}],"container-title":"Liver Transplantation","id":"ITEM-4","issue":"12","issued":{"date-parts":[["2017","12"]]},"page":"1505-1518","title":"Gadoxetic acid disodium–enhanced magnetic resonance imaging outperformed multidetector computed tomography in diagnosing small hepatocellular carcinoma: A meta-analysis","type":"article-journal","volume":"23"},"uris":["http://www.mendeley.com/documents/?uuid=d6c2b34e-9e3e-3c70-8987-cd6928632012"]},{"id":"ITEM-5","itemData":{"DOI":"10.1007/s00330-019-06294-6","ISSN":"14321084","PMID":"31250172","abstract":"Aim: The purpose of this study was to determine the relative diagnostic benefit of gadolinium-ethoxybenzyl-diethylenetriamine pentaacetic acid (Gd-EOB-DTPA)–enhanced magnetic resonance imaging (MRI) over contrast-enhanced multi-detector computed tomography (CEMDCT) for the detection of hepatocellular carcinoma (HCC). Methods: Two investigators searched multiple databases from inception to January 8, 2019, for studies comparing Gd-EOB-DTPA-enhanced MRI with CEMDCT in adults suspected of HCC. Two reviewers independently selected studies and extracted data. Results: Eight studies were included enrolling 498 patients. MRI showed significantly higher sensitivity than CT (0.85 vs. 0.68). There was no significant difference in the specificity of MRI and CT (0.94 vs. 0.93). The negative likelihood ratio and positive likelihood ratio of MRI and CT were not significantly different (0.16 vs. 0.15 and 14.7 vs. 11.2, respectively). The summary receiver operating characteristics (SROC) of MRI was higher than that of CT at 0.96 vs. 0.91. In the subgroup analysis with a lesion diameter below 2 cm, the sensitivity of MRI was significantly higher than that of CT (0.79 vs. 0.46). Conclusion: Gd-EOB-DTPA-enhanced MRI showed higher sensitivity and overall diagnostic accuracy than CEMDCT especially for hepatocellular carcinoma lesions smaller than 2 cm. Key Points: • Gd-EOB-DTPA-enhanced MRI can detect small lesions of hepatocellular carcinoma. • Gd-EOB-DTPA-enhanced MRI showed higher sensitivity and overall diagnostic accuracy than CEMDCT in patients with hepatocellular carcinoma. • Eight prospective studies showed that Gd-EOB-DTPA-enhanced MRI provides greater diagnostic confidence.","author":[{"dropping-particle":"","family":"Li","given":"Jiangfa","non-dropping-particle":"","parse-names":false,"suffix":""},{"dropping-particle":"","family":"Wang","given":"Jiming","non-dropping-particle":"","parse-names":false,"suffix":""},{"dropping-particle":"","family":"Lei","given":"Liping","non-dropping-particle":"","parse-names":false,"suffix":""},{"dropping-particle":"","family":"Yuan","given":"Guandou","non-dropping-particle":"","parse-names":false,"suffix":""},{"dropping-particle":"","family":"He","given":"Songqing","non-dropping-particle":"","parse-names":false,"suffix":""}],"container-title":"European Radiology","id":"ITEM-5","issue":"12","issued":{"date-parts":[["2019","12","27"]]},"page":"6519-6528","title":"The diagnostic performance of gadoxetic acid disodium-enhanced magnetic resonance imaging and contrast-enhanced multi-detector computed tomography in detecting hepatocellular carcinoma: a meta-analysis of eight prospective studies","type":"article","volume":"29"},"uris":["http://www.mendeley.com/documents/?uuid=e8227645-c703-3fdc-b115-f709f211e82d"]},{"id":"ITEM-6","itemData":{"DOI":"10.1007/s00261-016-0807-7","ISSN":"23660058","PMID":"27318936","abstract":"The purpose of this study was to directly (head-to-head) compare the per-lesion diagnostic performance of contrast-enhanced computed tomography (CT) (also referred to as CT hereafter) and gadoxetic acid disodium (Gd-EOB-DTPA)-enhanced magnetic resonance (MR) imaging (also referred to as MRI hereafter) for the detection of hepatocellular carcinoma (HCC). Studies reporting direct per-lesion comparison data of contrast-enhanced multidetector CT and Gd-EOB-DTPA-enhanced MR imaging that were published between January 2000 and January 2015 were analyzed. The data of each study were extracted. Systematic review, paired meta-analysis, and subgroup analysis were performed. Twelve studies including 627 patients and 793 HCC lesions were analyzed. The sensitivity estimates of MRI and CT were, respectively, 0.86 (95% CI 0.76–0.93) and 0.70 (95% CI 0.58–0.80), with significant difference (P &lt; 0.05). The sensitivity estimates were both 0.94 (95% CI 0.92–0.96) (Chi-square 4.84, degrees of freedom = 1, P &gt; 0.05). In all subgroups, Gd-EOB-DTPA-enhanced MR imaging was more sensitive than multidetector CT for the detection of HCC, and specificity estimates of both tests maintained at a similarly high level in all conditions: sensitivity estimates of both tests were reduced in studies where patients were diagnosed with HCC solely by liver explant or in those where HCC lesions were small (≤2 cm, especially when ≤1 cm). But in all situations, sensitivities of MRI were higher than those of CT with or without significance. Gd-EOB-DTPA-enhanced MR imaging showed better per-lesion diagnostic performance than multidetector CT for the diagnosis of HCC in patients with cirrhosis and in small hepatic lesions.","author":[{"dropping-particle":"","family":"Guo","given":"Jin","non-dropping-particle":"","parse-names":false,"suffix":""},{"dropping-particle":"","family":"Seo","given":"Youngkwon","non-dropping-particle":"","parse-names":false,"suffix":""},{"dropping-particle":"","family":"Ren","given":"Shuo","non-dropping-particle":"","parse-names":false,"suffix":""},{"dropping-particle":"","family":"Hong","given":"Sunwoo","non-dropping-particle":"","parse-names":false,"suffix":""},{"dropping-particle":"","family":"Lee","given":"Dongki","non-dropping-particle":"","parse-names":false,"suffix":""},{"dropping-particle":"","family":"Kim","given":"Soyoun","non-dropping-particle":"","parse-names":false,"suffix":""},{"dropping-particle":"","family":"Jiang","given":"Yuanyuan","non-dropping-particle":"","parse-names":false,"suffix":""}],"container-title":"Abdominal Radiology","id":"ITEM-6","issue":"10","issued":{"date-parts":[["2016","10","1"]]},"page":"1960-1972","publisher":"Springer New York LLC","title":"Diagnostic performance of contrast-enhanced multidetector computed tomography and gadoxetic acid disodium-enhanced magnetic resonance imaging in detecting hepatocellular carcinoma: direct comparison and a meta-analysis","type":"article-journal","volume":"41"},"uris":["http://www.mendeley.com/documents/?uuid=4099462c-5096-3b44-8c46-331e838b2323"]}],"mendeley":{"formattedCitation":"[18–23]","plainTextFormattedCitation":"[18–23]","previouslyFormattedCitation":"[18–23]"},"properties":{"noteIndex":0},"schema":"https://github.com/citation-style-language/schema/raw/master/csl-citation.json"}</w:instrText>
      </w:r>
      <w:r w:rsidR="006F4180" w:rsidRPr="00DF0D90">
        <w:rPr>
          <w:iCs/>
          <w:spacing w:val="-2"/>
        </w:rPr>
        <w:fldChar w:fldCharType="separate"/>
      </w:r>
      <w:r w:rsidR="00C34389" w:rsidRPr="00DF0D90">
        <w:rPr>
          <w:iCs/>
          <w:noProof/>
          <w:spacing w:val="-2"/>
        </w:rPr>
        <w:t>[18–23]</w:t>
      </w:r>
      <w:r w:rsidR="006F4180" w:rsidRPr="00DF0D90">
        <w:rPr>
          <w:iCs/>
          <w:spacing w:val="-2"/>
        </w:rPr>
        <w:fldChar w:fldCharType="end"/>
      </w:r>
      <w:r w:rsidR="00641949" w:rsidRPr="00DF0D90">
        <w:rPr>
          <w:rFonts w:ascii="Sylfaen" w:hAnsi="Sylfaen"/>
          <w:iCs/>
          <w:spacing w:val="-2"/>
        </w:rPr>
        <w:t>.</w:t>
      </w:r>
    </w:p>
    <w:p w14:paraId="6C68F226" w14:textId="77777777" w:rsidR="00267C50" w:rsidRPr="00DF0D90" w:rsidRDefault="00267C50" w:rsidP="00E86998">
      <w:pPr>
        <w:pStyle w:val="afa"/>
        <w:spacing w:after="120" w:line="360" w:lineRule="auto"/>
        <w:jc w:val="both"/>
      </w:pPr>
      <w:r w:rsidRPr="00DF0D90">
        <w:lastRenderedPageBreak/>
        <w:t xml:space="preserve">Уровень убедительности рекомендаций – </w:t>
      </w:r>
      <w:r w:rsidRPr="00DF0D90">
        <w:rPr>
          <w:lang w:val="en-US"/>
        </w:rPr>
        <w:t>A</w:t>
      </w:r>
      <w:r w:rsidR="00123A49" w:rsidRPr="00DF0D90">
        <w:rPr>
          <w:lang w:val="ru-RU"/>
        </w:rPr>
        <w:t xml:space="preserve"> </w:t>
      </w:r>
      <w:r w:rsidRPr="00DF0D90">
        <w:t xml:space="preserve">(уровень достоверности доказательств – </w:t>
      </w:r>
      <w:r w:rsidRPr="00DF0D90">
        <w:rPr>
          <w:lang w:val="en-US"/>
        </w:rPr>
        <w:t>I</w:t>
      </w:r>
      <w:r w:rsidRPr="00DF0D90">
        <w:t xml:space="preserve">). </w:t>
      </w:r>
    </w:p>
    <w:p w14:paraId="111E98B7" w14:textId="3AD2E928" w:rsidR="00E06FCA" w:rsidRPr="00DF0D90" w:rsidRDefault="00AB47DB" w:rsidP="00E86998">
      <w:pPr>
        <w:pStyle w:val="afa"/>
        <w:spacing w:after="120" w:line="360" w:lineRule="auto"/>
        <w:jc w:val="both"/>
        <w:rPr>
          <w:rFonts w:eastAsia="Times New Roman"/>
          <w:b w:val="0"/>
          <w:bCs/>
        </w:rPr>
      </w:pPr>
      <w:r w:rsidRPr="00DF0D90">
        <w:rPr>
          <w:rFonts w:eastAsia="Times New Roman"/>
          <w:i/>
          <w:iCs/>
        </w:rPr>
        <w:t xml:space="preserve">Комментарий: </w:t>
      </w:r>
      <w:r w:rsidRPr="00DF0D90">
        <w:rPr>
          <w:rFonts w:eastAsia="Times New Roman"/>
          <w:b w:val="0"/>
          <w:bCs/>
          <w:i/>
          <w:iCs/>
        </w:rPr>
        <w:t xml:space="preserve">в ряде систематических обзоров рандомизированных клинических исследований с применением мета-анализа доказана высокая информативность МРТ с применением </w:t>
      </w:r>
      <w:proofErr w:type="spellStart"/>
      <w:r w:rsidRPr="00DF0D90">
        <w:rPr>
          <w:rFonts w:eastAsia="Times New Roman"/>
          <w:b w:val="0"/>
          <w:bCs/>
          <w:i/>
          <w:iCs/>
        </w:rPr>
        <w:t>гепатоспецифического</w:t>
      </w:r>
      <w:proofErr w:type="spellEnd"/>
      <w:r w:rsidRPr="00DF0D90">
        <w:rPr>
          <w:rFonts w:eastAsia="Times New Roman"/>
          <w:b w:val="0"/>
          <w:bCs/>
          <w:i/>
          <w:iCs/>
        </w:rPr>
        <w:t xml:space="preserve"> контрастного препарата </w:t>
      </w:r>
      <w:proofErr w:type="spellStart"/>
      <w:r w:rsidRPr="00DF0D90">
        <w:rPr>
          <w:rFonts w:eastAsia="Times New Roman"/>
          <w:b w:val="0"/>
          <w:bCs/>
          <w:i/>
          <w:iCs/>
        </w:rPr>
        <w:t>гадоксетовой</w:t>
      </w:r>
      <w:proofErr w:type="spellEnd"/>
      <w:r w:rsidRPr="00DF0D90">
        <w:rPr>
          <w:rFonts w:eastAsia="Times New Roman"/>
          <w:b w:val="0"/>
          <w:bCs/>
          <w:i/>
          <w:iCs/>
        </w:rPr>
        <w:t xml:space="preserve"> кислоты</w:t>
      </w:r>
      <w:r w:rsidR="00CD7F67" w:rsidRPr="00DF0D90">
        <w:rPr>
          <w:rFonts w:eastAsia="Times New Roman"/>
          <w:b w:val="0"/>
          <w:bCs/>
          <w:i/>
          <w:iCs/>
          <w:lang w:val="ru-RU"/>
        </w:rPr>
        <w:t xml:space="preserve"> в сочетании с </w:t>
      </w:r>
      <w:r w:rsidR="00206782" w:rsidRPr="00DF0D90">
        <w:rPr>
          <w:rFonts w:eastAsia="Times New Roman"/>
          <w:b w:val="0"/>
          <w:bCs/>
          <w:i/>
          <w:iCs/>
          <w:lang w:val="ru-RU"/>
        </w:rPr>
        <w:t>методикой ДВИ</w:t>
      </w:r>
      <w:r w:rsidR="00AD6FAC" w:rsidRPr="00DF0D90">
        <w:rPr>
          <w:rFonts w:eastAsia="Times New Roman"/>
          <w:b w:val="0"/>
          <w:bCs/>
          <w:i/>
          <w:iCs/>
          <w:lang w:val="ru-RU"/>
        </w:rPr>
        <w:t xml:space="preserve"> (диффузионно-взвешенного изображения)</w:t>
      </w:r>
      <w:r w:rsidR="00206782" w:rsidRPr="00DF0D90">
        <w:rPr>
          <w:rFonts w:eastAsia="Times New Roman"/>
          <w:b w:val="0"/>
          <w:bCs/>
          <w:i/>
          <w:iCs/>
          <w:lang w:val="ru-RU"/>
        </w:rPr>
        <w:t xml:space="preserve">, </w:t>
      </w:r>
      <w:r w:rsidRPr="00DF0D90">
        <w:rPr>
          <w:rFonts w:eastAsia="Times New Roman"/>
          <w:b w:val="0"/>
          <w:bCs/>
          <w:i/>
          <w:iCs/>
        </w:rPr>
        <w:t xml:space="preserve"> по сравнению с КТ и МРТ с использованием </w:t>
      </w:r>
      <w:proofErr w:type="spellStart"/>
      <w:r w:rsidRPr="00DF0D90">
        <w:rPr>
          <w:rFonts w:eastAsia="Times New Roman"/>
          <w:b w:val="0"/>
          <w:bCs/>
          <w:i/>
          <w:iCs/>
        </w:rPr>
        <w:t>экстрацеллюлярных</w:t>
      </w:r>
      <w:proofErr w:type="spellEnd"/>
      <w:r w:rsidRPr="00DF0D90">
        <w:rPr>
          <w:rFonts w:eastAsia="Times New Roman"/>
          <w:b w:val="0"/>
          <w:bCs/>
          <w:i/>
          <w:iCs/>
        </w:rPr>
        <w:t xml:space="preserve"> контрас</w:t>
      </w:r>
      <w:r w:rsidR="006F121D" w:rsidRPr="00DF0D90">
        <w:rPr>
          <w:rFonts w:eastAsia="Times New Roman"/>
          <w:b w:val="0"/>
          <w:bCs/>
          <w:i/>
          <w:iCs/>
          <w:lang w:val="ru-RU"/>
        </w:rPr>
        <w:t>т</w:t>
      </w:r>
      <w:proofErr w:type="spellStart"/>
      <w:r w:rsidRPr="00DF0D90">
        <w:rPr>
          <w:rFonts w:eastAsia="Times New Roman"/>
          <w:b w:val="0"/>
          <w:bCs/>
          <w:i/>
          <w:iCs/>
        </w:rPr>
        <w:t>ных</w:t>
      </w:r>
      <w:proofErr w:type="spellEnd"/>
      <w:r w:rsidRPr="00DF0D90">
        <w:rPr>
          <w:rFonts w:eastAsia="Times New Roman"/>
          <w:b w:val="0"/>
          <w:bCs/>
          <w:i/>
          <w:iCs/>
        </w:rPr>
        <w:t xml:space="preserve"> препаратов в выявлении и дифференциальной диагностике ГЦР</w:t>
      </w:r>
      <w:r w:rsidR="00267C50" w:rsidRPr="00DF0D90">
        <w:rPr>
          <w:b w:val="0"/>
          <w:bCs/>
        </w:rPr>
        <w:t xml:space="preserve">.  </w:t>
      </w:r>
    </w:p>
    <w:p w14:paraId="5DD5502A" w14:textId="77777777" w:rsidR="00630BAC" w:rsidRPr="00DF0D90" w:rsidRDefault="00630BAC" w:rsidP="00E86998">
      <w:pPr>
        <w:pStyle w:val="a"/>
        <w:numPr>
          <w:ilvl w:val="0"/>
          <w:numId w:val="34"/>
        </w:numPr>
        <w:spacing w:before="0" w:after="120" w:line="360" w:lineRule="auto"/>
        <w:ind w:left="0" w:firstLine="567"/>
        <w:jc w:val="both"/>
      </w:pPr>
      <w:r w:rsidRPr="00DF0D90">
        <w:rPr>
          <w:b/>
        </w:rPr>
        <w:t>Рекомендуется</w:t>
      </w:r>
      <w:r w:rsidRPr="00DF0D90">
        <w:t xml:space="preserve"> пациентам с подозрением на ГЦР или установленным диагнозом</w:t>
      </w:r>
      <w:r w:rsidR="00E86998" w:rsidRPr="00DF0D90">
        <w:rPr>
          <w:lang w:val="ru-RU"/>
        </w:rPr>
        <w:t xml:space="preserve"> </w:t>
      </w:r>
      <w:r w:rsidRPr="00DF0D90">
        <w:t xml:space="preserve">ГЦР, </w:t>
      </w:r>
      <w:r w:rsidR="00C956AA" w:rsidRPr="00DF0D90">
        <w:t xml:space="preserve">а также </w:t>
      </w:r>
      <w:r w:rsidRPr="00DF0D90">
        <w:t>получающим специализированное противоопухолевое лечение или находящимся в процессе динамического наблюдения после лечения,</w:t>
      </w:r>
      <w:r w:rsidR="00EA77D2" w:rsidRPr="00DF0D90">
        <w:rPr>
          <w:lang w:val="ru-RU"/>
        </w:rPr>
        <w:t xml:space="preserve"> </w:t>
      </w:r>
      <w:r w:rsidR="00662B82" w:rsidRPr="00DF0D90">
        <w:t>выполнить ультразвуковое исследование (</w:t>
      </w:r>
      <w:r w:rsidRPr="00DF0D90">
        <w:t>УЗИ</w:t>
      </w:r>
      <w:r w:rsidR="00662B82" w:rsidRPr="00DF0D90">
        <w:t>)</w:t>
      </w:r>
      <w:r w:rsidRPr="00DF0D90">
        <w:t xml:space="preserve"> органов брюшной полости и </w:t>
      </w:r>
      <w:r w:rsidR="00662B82" w:rsidRPr="00DF0D90">
        <w:t xml:space="preserve">забрюшинного пространства, в том числе, </w:t>
      </w:r>
      <w:r w:rsidRPr="00DF0D90">
        <w:t>печени, включая бассейн воротной вены, для оценки степени распространенности ГЦР, выявления осложнений ГЦР и/или цирроза и</w:t>
      </w:r>
      <w:r w:rsidR="007335C5" w:rsidRPr="00DF0D90">
        <w:rPr>
          <w:lang w:val="ru-RU"/>
        </w:rPr>
        <w:t xml:space="preserve"> </w:t>
      </w:r>
      <w:r w:rsidRPr="00DF0D90">
        <w:t>их контроля</w:t>
      </w:r>
      <w:r w:rsidR="006F4180" w:rsidRPr="00DF0D90">
        <w:rPr>
          <w:lang w:val="ru-RU"/>
        </w:rPr>
        <w:t xml:space="preserve"> </w:t>
      </w:r>
      <w:r w:rsidR="006F4180" w:rsidRPr="00DF0D90">
        <w:rPr>
          <w:lang w:val="ru-RU"/>
        </w:rPr>
        <w:fldChar w:fldCharType="begin" w:fldLock="1"/>
      </w:r>
      <w:r w:rsidR="007335C5" w:rsidRPr="00DF0D90">
        <w:rPr>
          <w:lang w:val="ru-RU"/>
        </w:rPr>
        <w:instrText>ADDIN CSL_CITATION {"citationItems":[{"id":"ITEM-1","itemData":{"author":[{"dropping-particle":"","family":"NCCN","given":"","non-dropping-particle":"","parse-names":false,"suffix":""}],"id":"ITEM-1","issued":{"date-parts":[["2021"]]},"title":"Clinical Practice Guidelines in Oncology. Hepatobiliary Cancers, version 4.2021","type":"article-journal"},"uris":["http://www.mendeley.com/documents/?uuid=db314d5f-b05a-4fec-a403-5589c18d9ebd"]}],"mendeley":{"formattedCitation":"[14]","plainTextFormattedCitation":"[14]","previouslyFormattedCitation":"[14]"},"properties":{"noteIndex":0},"schema":"https://github.com/citation-style-language/schema/raw/master/csl-citation.json"}</w:instrText>
      </w:r>
      <w:r w:rsidR="006F4180" w:rsidRPr="00DF0D90">
        <w:rPr>
          <w:lang w:val="ru-RU"/>
        </w:rPr>
        <w:fldChar w:fldCharType="separate"/>
      </w:r>
      <w:r w:rsidR="00C34389" w:rsidRPr="00DF0D90">
        <w:rPr>
          <w:noProof/>
          <w:lang w:val="ru-RU"/>
        </w:rPr>
        <w:t>[14]</w:t>
      </w:r>
      <w:r w:rsidR="006F4180" w:rsidRPr="00DF0D90">
        <w:rPr>
          <w:lang w:val="ru-RU"/>
        </w:rPr>
        <w:fldChar w:fldCharType="end"/>
      </w:r>
      <w:r w:rsidR="006F4180" w:rsidRPr="00DF0D90">
        <w:rPr>
          <w:lang w:val="ru-RU"/>
        </w:rPr>
        <w:t xml:space="preserve"> </w:t>
      </w:r>
      <w:r w:rsidRPr="00DF0D90">
        <w:t>.</w:t>
      </w:r>
    </w:p>
    <w:p w14:paraId="5B713120" w14:textId="77777777" w:rsidR="00200A4D" w:rsidRPr="00DF0D90" w:rsidRDefault="00630BAC" w:rsidP="00E86998">
      <w:pPr>
        <w:pStyle w:val="afa"/>
        <w:spacing w:after="120" w:line="360" w:lineRule="auto"/>
        <w:jc w:val="both"/>
      </w:pPr>
      <w:r w:rsidRPr="00DF0D90">
        <w:t>Уровень убедительности рекомендаций –</w:t>
      </w:r>
      <w:r w:rsidR="007335C5" w:rsidRPr="00DF0D90">
        <w:rPr>
          <w:lang w:val="ru-RU"/>
        </w:rPr>
        <w:t xml:space="preserve"> </w:t>
      </w:r>
      <w:r w:rsidRPr="00DF0D90">
        <w:t>С</w:t>
      </w:r>
      <w:r w:rsidR="007335C5" w:rsidRPr="00DF0D90">
        <w:rPr>
          <w:lang w:val="ru-RU"/>
        </w:rPr>
        <w:t xml:space="preserve"> </w:t>
      </w:r>
      <w:r w:rsidRPr="00DF0D90">
        <w:t>(уровень достоверности доказательств – 5).</w:t>
      </w:r>
    </w:p>
    <w:p w14:paraId="2076789C" w14:textId="77777777" w:rsidR="00630BAC" w:rsidRPr="00DF0D90" w:rsidRDefault="00630BAC" w:rsidP="00E86998">
      <w:pPr>
        <w:spacing w:after="120" w:line="360" w:lineRule="auto"/>
        <w:jc w:val="both"/>
        <w:rPr>
          <w:i/>
        </w:rPr>
      </w:pPr>
      <w:r w:rsidRPr="00DF0D90">
        <w:rPr>
          <w:b/>
          <w:i/>
        </w:rPr>
        <w:t>Комментарий:</w:t>
      </w:r>
      <w:r w:rsidR="00EA77D2" w:rsidRPr="00DF0D90">
        <w:rPr>
          <w:b/>
        </w:rPr>
        <w:t xml:space="preserve"> </w:t>
      </w:r>
      <w:r w:rsidRPr="00DF0D90">
        <w:rPr>
          <w:i/>
        </w:rPr>
        <w:t>УЗИ применяется на этапе скрининга</w:t>
      </w:r>
      <w:r w:rsidR="006146C8" w:rsidRPr="00DF0D90">
        <w:rPr>
          <w:i/>
        </w:rPr>
        <w:t xml:space="preserve"> в группе риска развития ГЦР</w:t>
      </w:r>
      <w:r w:rsidRPr="00DF0D90">
        <w:rPr>
          <w:i/>
        </w:rPr>
        <w:t>, при осуществлении чрескожной биопсии, интервенционных вмешательств и</w:t>
      </w:r>
      <w:r w:rsidR="00EA77D2" w:rsidRPr="00DF0D90">
        <w:rPr>
          <w:i/>
        </w:rPr>
        <w:t xml:space="preserve"> </w:t>
      </w:r>
      <w:r w:rsidRPr="00DF0D90">
        <w:rPr>
          <w:i/>
        </w:rPr>
        <w:t>иногда</w:t>
      </w:r>
      <w:r w:rsidR="00EA77D2" w:rsidRPr="00DF0D90">
        <w:rPr>
          <w:i/>
        </w:rPr>
        <w:t xml:space="preserve"> </w:t>
      </w:r>
      <w:r w:rsidRPr="00DF0D90">
        <w:rPr>
          <w:i/>
        </w:rPr>
        <w:t xml:space="preserve">мониторинга эффективности лечения. Обязательна оценка проходимости бассейна воротной вены. Чувствительность УЗИ невысока для обнаружения узлов малого размера. УЗИ с контрастным усилением обладает преимуществом в выявлении </w:t>
      </w:r>
      <w:proofErr w:type="spellStart"/>
      <w:r w:rsidRPr="00DF0D90">
        <w:rPr>
          <w:i/>
        </w:rPr>
        <w:t>гиперваскуляризованных</w:t>
      </w:r>
      <w:proofErr w:type="spellEnd"/>
      <w:r w:rsidRPr="00DF0D90">
        <w:rPr>
          <w:i/>
        </w:rPr>
        <w:t xml:space="preserve"> узлов, что может использоваться при дифференциальной диагностике очаговых образований печени.</w:t>
      </w:r>
    </w:p>
    <w:p w14:paraId="7BFDC64B" w14:textId="77777777" w:rsidR="00630BAC" w:rsidRPr="00DF0D90" w:rsidRDefault="00630BAC" w:rsidP="006D217F">
      <w:pPr>
        <w:pStyle w:val="a"/>
        <w:spacing w:before="0" w:after="120" w:line="360" w:lineRule="auto"/>
        <w:ind w:firstLine="567"/>
        <w:jc w:val="both"/>
      </w:pPr>
      <w:r w:rsidRPr="00DF0D90">
        <w:rPr>
          <w:b/>
        </w:rPr>
        <w:t>Рекомендуется</w:t>
      </w:r>
      <w:r w:rsidR="00EA77D2" w:rsidRPr="00DF0D90">
        <w:rPr>
          <w:b/>
          <w:lang w:val="ru-RU"/>
        </w:rPr>
        <w:t xml:space="preserve"> </w:t>
      </w:r>
      <w:r w:rsidRPr="00DF0D90">
        <w:t xml:space="preserve">пациентам с подозрением на ГЦР или установленным диагнозом ГЦР, </w:t>
      </w:r>
      <w:r w:rsidR="00C956AA" w:rsidRPr="00DF0D90">
        <w:t xml:space="preserve">а также </w:t>
      </w:r>
      <w:r w:rsidRPr="00DF0D90">
        <w:t xml:space="preserve">получающим специализированное противоопухолевое лечение или находящимся в процессе динамического наблюдения после лечения, выполнить </w:t>
      </w:r>
      <w:proofErr w:type="spellStart"/>
      <w:r w:rsidRPr="00DF0D90">
        <w:t>эзофагогастродуодено</w:t>
      </w:r>
      <w:r w:rsidRPr="00DF0D90">
        <w:softHyphen/>
        <w:t>скопию</w:t>
      </w:r>
      <w:proofErr w:type="spellEnd"/>
      <w:r w:rsidRPr="00DF0D90">
        <w:t xml:space="preserve"> для выявления</w:t>
      </w:r>
      <w:r w:rsidR="006146C8" w:rsidRPr="00DF0D90">
        <w:t xml:space="preserve"> одного из осложнения портальной гипертензии</w:t>
      </w:r>
      <w:r w:rsidR="006F121D" w:rsidRPr="00DF0D90">
        <w:rPr>
          <w:lang w:val="ru-RU"/>
        </w:rPr>
        <w:t xml:space="preserve"> – </w:t>
      </w:r>
      <w:r w:rsidRPr="00DF0D90">
        <w:t>варикозного расширения вен пищевода и желудка</w:t>
      </w:r>
      <w:r w:rsidR="006146C8" w:rsidRPr="00DF0D90">
        <w:t xml:space="preserve">, </w:t>
      </w:r>
      <w:r w:rsidRPr="00DF0D90">
        <w:t>оценки степени его выраженности</w:t>
      </w:r>
      <w:r w:rsidR="006146C8" w:rsidRPr="00DF0D90">
        <w:t xml:space="preserve"> и показаний к лечебно-профилактическим мероприятиям</w:t>
      </w:r>
      <w:r w:rsidR="006F4180" w:rsidRPr="00DF0D90">
        <w:rPr>
          <w:lang w:val="ru-RU"/>
        </w:rPr>
        <w:t xml:space="preserve"> </w:t>
      </w:r>
      <w:r w:rsidR="006F4180" w:rsidRPr="00DF0D90">
        <w:rPr>
          <w:lang w:val="ru-RU"/>
        </w:rPr>
        <w:fldChar w:fldCharType="begin" w:fldLock="1"/>
      </w:r>
      <w:r w:rsidR="00FE0AB5" w:rsidRPr="00DF0D90">
        <w:rPr>
          <w:lang w:val="ru-RU"/>
        </w:rPr>
        <w:instrText>ADDIN CSL_CITATION {"citationItems":[{"id":"ITEM-1","itemData":{"DOI":"10.1002/hep.29913","ISSN":"15273350","PMID":"29624699","author":[{"dropping-particle":"","family":"Marrero","given":"Jorge A.","non-dropping-particle":"","parse-names":false,"suffix":""},{"dropping-particle":"","family":"Kulik","given":"Laura M.","non-dropping-particle":"","parse-names":false,"suffix":""},{"dropping-particle":"","family":"Sirlin","given":"Claude B.","non-dropping-particle":"","parse-names":false,"suffix":""},{"dropping-particle":"","family":"Zhu","given":"Andrew X.","non-dropping-particle":"","parse-names":false,"suffix":""},{"dropping-particle":"","family":"Finn","given":"Richard S.","non-dropping-particle":"","parse-names":false,"suffix":""},{"dropping-particle":"","family":"Abecassis","given":"Michael M.","non-dropping-particle":"","parse-names":false,"suffix":""},{"dropping-particle":"","family":"Roberts","given":"Lewis R.","non-dropping-particle":"","parse-names":false,"suffix":""},{"dropping-particle":"","family":"Heimbach","given":"Julie K.","non-dropping-particle":"","parse-names":false,"suffix":""}],"container-title":"Hepatology","id":"ITEM-1","issue":"2","issued":{"date-parts":[["2018","8","1"]]},"page":"723-750","publisher":"John Wiley and Sons Inc.","title":"Diagnosis, Staging, and Management of Hepatocellular Carcinoma: 2018 Practice Guidance by the American Association for the Study of Liver Diseases","type":"article-journal","volume":"68"},"uris":["http://www.mendeley.com/documents/?uuid=524b992f-ba18-31f8-aa7d-c271bdc57c09"]}],"mendeley":{"formattedCitation":"[9]","plainTextFormattedCitation":"[9]","previouslyFormattedCitation":"[9]"},"properties":{"noteIndex":0},"schema":"https://github.com/citation-style-language/schema/raw/master/csl-citation.json"}</w:instrText>
      </w:r>
      <w:r w:rsidR="006F4180" w:rsidRPr="00DF0D90">
        <w:rPr>
          <w:lang w:val="ru-RU"/>
        </w:rPr>
        <w:fldChar w:fldCharType="separate"/>
      </w:r>
      <w:r w:rsidR="006F4180" w:rsidRPr="00DF0D90">
        <w:rPr>
          <w:noProof/>
          <w:lang w:val="ru-RU"/>
        </w:rPr>
        <w:t>[9]</w:t>
      </w:r>
      <w:r w:rsidR="006F4180" w:rsidRPr="00DF0D90">
        <w:rPr>
          <w:lang w:val="ru-RU"/>
        </w:rPr>
        <w:fldChar w:fldCharType="end"/>
      </w:r>
      <w:r w:rsidRPr="00DF0D90">
        <w:t>.</w:t>
      </w:r>
    </w:p>
    <w:p w14:paraId="51AD3257" w14:textId="77777777" w:rsidR="00630BAC" w:rsidRPr="00DF0D90" w:rsidRDefault="00630BAC" w:rsidP="00E86998">
      <w:pPr>
        <w:pStyle w:val="afa"/>
        <w:spacing w:after="120" w:line="360" w:lineRule="auto"/>
        <w:jc w:val="both"/>
      </w:pPr>
      <w:r w:rsidRPr="00DF0D90">
        <w:t>Уровень убедительности рекомендаций – С (уровень достоверности доказательств – 5).</w:t>
      </w:r>
    </w:p>
    <w:p w14:paraId="7C71209F" w14:textId="66F12B3B" w:rsidR="00630BAC" w:rsidRPr="00DF0D90" w:rsidRDefault="00630BAC" w:rsidP="006D217F">
      <w:pPr>
        <w:pStyle w:val="a"/>
        <w:spacing w:before="0" w:after="120" w:line="360" w:lineRule="auto"/>
        <w:ind w:firstLine="567"/>
        <w:jc w:val="both"/>
      </w:pPr>
      <w:r w:rsidRPr="00DF0D90">
        <w:rPr>
          <w:b/>
        </w:rPr>
        <w:t>Рекомендуется</w:t>
      </w:r>
      <w:r w:rsidRPr="00DF0D90">
        <w:t xml:space="preserve"> пациентам с установленным диагнозом ГЦР</w:t>
      </w:r>
      <w:r w:rsidR="00E07FB0" w:rsidRPr="00DF0D90">
        <w:t>, планируемым к проведению или</w:t>
      </w:r>
      <w:r w:rsidR="00EA77D2" w:rsidRPr="00DF0D90">
        <w:rPr>
          <w:lang w:val="ru-RU"/>
        </w:rPr>
        <w:t xml:space="preserve"> </w:t>
      </w:r>
      <w:r w:rsidRPr="00DF0D90">
        <w:t>получающим специализированное противоопухолевое лечение или находящимся в процессе динамического наблюдения после лечения,</w:t>
      </w:r>
      <w:r w:rsidR="00EA77D2" w:rsidRPr="00DF0D90">
        <w:rPr>
          <w:lang w:val="ru-RU"/>
        </w:rPr>
        <w:t xml:space="preserve"> </w:t>
      </w:r>
      <w:r w:rsidRPr="00DF0D90">
        <w:t xml:space="preserve">выполнить четырехфазную </w:t>
      </w:r>
      <w:r w:rsidR="00662B82" w:rsidRPr="00DF0D90">
        <w:t>компьютерную томографию (</w:t>
      </w:r>
      <w:r w:rsidRPr="00DF0D90">
        <w:rPr>
          <w:bCs/>
        </w:rPr>
        <w:t>КТ</w:t>
      </w:r>
      <w:r w:rsidR="00662B82" w:rsidRPr="00DF0D90">
        <w:rPr>
          <w:bCs/>
        </w:rPr>
        <w:t>)</w:t>
      </w:r>
      <w:r w:rsidRPr="00DF0D90">
        <w:t xml:space="preserve"> (нативная, артериальная, венозная и отсроченная венозная фазы) </w:t>
      </w:r>
      <w:r w:rsidRPr="00DF0D90">
        <w:rPr>
          <w:bCs/>
        </w:rPr>
        <w:t xml:space="preserve">и/или динамическую </w:t>
      </w:r>
      <w:r w:rsidR="00662B82" w:rsidRPr="00DF0D90">
        <w:rPr>
          <w:bCs/>
        </w:rPr>
        <w:t xml:space="preserve">магнитно-резонансную томографию </w:t>
      </w:r>
      <w:r w:rsidR="00662B82" w:rsidRPr="00DF0D90">
        <w:rPr>
          <w:bCs/>
        </w:rPr>
        <w:lastRenderedPageBreak/>
        <w:t>(</w:t>
      </w:r>
      <w:r w:rsidRPr="00DF0D90">
        <w:rPr>
          <w:bCs/>
        </w:rPr>
        <w:t>МРТ</w:t>
      </w:r>
      <w:r w:rsidR="00662B82" w:rsidRPr="00DF0D90">
        <w:rPr>
          <w:bCs/>
        </w:rPr>
        <w:t>)</w:t>
      </w:r>
      <w:r w:rsidR="00EA77D2" w:rsidRPr="00DF0D90">
        <w:rPr>
          <w:bCs/>
          <w:lang w:val="ru-RU"/>
        </w:rPr>
        <w:t xml:space="preserve"> </w:t>
      </w:r>
      <w:r w:rsidRPr="00DF0D90">
        <w:rPr>
          <w:bCs/>
        </w:rPr>
        <w:t>печени</w:t>
      </w:r>
      <w:r w:rsidR="00EA77D2" w:rsidRPr="00DF0D90">
        <w:rPr>
          <w:bCs/>
          <w:lang w:val="ru-RU"/>
        </w:rPr>
        <w:t xml:space="preserve"> </w:t>
      </w:r>
      <w:r w:rsidRPr="00DF0D90">
        <w:t>с внутривенным контрастированием для оценки распространенности опухолевого процесса и выявления ее изменений: определяют количество и размеры опухолевых узлов</w:t>
      </w:r>
      <w:r w:rsidR="00EA77D2" w:rsidRPr="00DF0D90">
        <w:rPr>
          <w:lang w:val="ru-RU"/>
        </w:rPr>
        <w:t xml:space="preserve"> </w:t>
      </w:r>
      <w:r w:rsidRPr="00DF0D90">
        <w:t>внутри печени, наличие сосудистой инвазии и тромбоза, внепеченочного распространения</w:t>
      </w:r>
      <w:r w:rsidR="00C956AA" w:rsidRPr="00DF0D90">
        <w:t>, контроля эффективности лечения</w:t>
      </w:r>
      <w:r w:rsidRPr="00DF0D90">
        <w:t xml:space="preserve"> </w:t>
      </w:r>
      <w:r w:rsidR="00FE0AB5" w:rsidRPr="00DF0D90">
        <w:fldChar w:fldCharType="begin" w:fldLock="1"/>
      </w:r>
      <w:r w:rsidR="007335C5" w:rsidRPr="00DF0D90">
        <w:instrText>ADDIN CSL_CITATION {"citationItems":[{"id":"ITEM-1","itemData":{"DOI":"10.1002/hep.29913","ISSN":"15273350","PMID":"29624699","author":[{"dropping-particle":"","family":"Marrero","given":"Jorge A.","non-dropping-particle":"","parse-names":false,"suffix":""},{"dropping-particle":"","family":"Kulik","given":"Laura M.","non-dropping-particle":"","parse-names":false,"suffix":""},{"dropping-particle":"","family":"Sirlin","given":"Claude B.","non-dropping-particle":"","parse-names":false,"suffix":""},{"dropping-particle":"","family":"Zhu","given":"Andrew X.","non-dropping-particle":"","parse-names":false,"suffix":""},{"dropping-particle":"","family":"Finn","given":"Richard S.","non-dropping-particle":"","parse-names":false,"suffix":""},{"dropping-particle":"","family":"Abecassis","given":"Michael M.","non-dropping-particle":"","parse-names":false,"suffix":""},{"dropping-particle":"","family":"Roberts","given":"Lewis R.","non-dropping-particle":"","parse-names":false,"suffix":""},{"dropping-particle":"","family":"Heimbach","given":"Julie K.","non-dropping-particle":"","parse-names":false,"suffix":""}],"container-title":"Hepatology","id":"ITEM-1","issue":"2","issued":{"date-parts":[["2018","8","1"]]},"page":"723-750","publisher":"John Wiley and Sons Inc.","title":"Diagnosis, Staging, and Management of Hepatocellular Carcinoma: 2018 Practice Guidance by the American Association for the Study of Liver Diseases","type":"article-journal","volume":"68"},"uris":["http://www.mendeley.com/documents/?uuid=524b992f-ba18-31f8-aa7d-c271bdc57c09"]},{"id":"ITEM-2","itemData":{"DOI":"10.1093/annonc/mdy308","ISSN":"15698041","PMID":"30285213","author":[{"dropping-particle":"","family":"Vogel","given":"A.","non-dropping-particle":"","parse-names":false,"suffix":""},{"dropping-particle":"","family":"Cervantes","given":"A.","non-dropping-particle":"","parse-names":false,"suffix":""},{"dropping-particle":"","family":"Chau","given":"I.","non-dropping-particle":"","parse-names":false,"suffix":""},{"dropping-particle":"","family":"Daniele","given":"B.","non-dropping-particle":"","parse-names":false,"suffix":""},{"dropping-particle":"","family":"Llovet","given":"J.","non-dropping-particle":"","parse-names":false,"suffix":""},{"dropping-particle":"","family":"Meyer","given":"T.","non-dropping-particle":"","parse-names":false,"suffix":""},{"dropping-particle":"","family":"Nault","given":"J. C.","non-dropping-particle":"","parse-names":false,"suffix":""},{"dropping-particle":"","family":"Neumann","given":"U.","non-dropping-particle":"","parse-names":false,"suffix":""},{"dropping-particle":"","family":"Ricke","given":"J.","non-dropping-particle":"","parse-names":false,"suffix":""},{"dropping-particle":"","family":"Sangro","given":"B.","non-dropping-particle":"","parse-names":false,"suffix":""},{"dropping-particle":"","family":"Schirmacher","given":"P.","non-dropping-particle":"","parse-names":false,"suffix":""},{"dropping-particle":"","family":"Verslype","given":"C.","non-dropping-particle":"","parse-names":false,"suffix":""},{"dropping-particle":"","family":"Zech","given":"C. J.","non-dropping-particle":"","parse-names":false,"suffix":""},{"dropping-particle":"","family":"Arnold","given":"D.","non-dropping-particle":"","parse-names":false,"suffix":""},{"dropping-particle":"","family":"Martinelli","given":"E.","non-dropping-particle":"","parse-names":false,"suffix":""}],"container-title":"Annals of Oncology","id":"ITEM-2","issued":{"date-parts":[["2018","10","1"]]},"page":"iv238-iv255","publisher":"Oxford University Press","title":"Hepatocellular carcinoma: ESMO Clinical Practice Guidelines for diagnosis, treatment and follow-up","type":"article-journal","volume":"29"},"uris":["http://www.mendeley.com/documents/?uuid=21b70589-bd16-3bd9-b432-9f2042108c3b"]},{"id":"ITEM-3","itemData":{"author":[{"dropping-particle":"","family":"NCCN","given":"","non-dropping-particle":"","parse-names":false,"suffix":""}],"id":"ITEM-3","issued":{"date-parts":[["2021"]]},"title":"Clinical Practice Guidelines in Oncology. Hepatobiliary Cancers, version 4.2021","type":"article-journal"},"uris":["http://www.mendeley.com/documents/?uuid=db314d5f-b05a-4fec-a403-5589c18d9ebd"]},{"id":"ITEM-4","itemData":{"DOI":"10.1002/hep.21966","ISSN":"02709139","PMID":"18069697","abstract":"This study prospectively evaluates the accuracy of contrast-enhanced ultrasound (CEUS) and dynamic magnetic resonance imaging (MRI) for the diagnosis of nodules 20 mm or smaller detected during ultrasound (US) surveillance. We included 89 patients with cirrhosis [median age, 65 years; male 53, hepatitis C virus 68, Child-Pugh A 80] without prior hepatocellular carcinoma (HCC) in whom US detected a small solitary nodule (mean diameter, 14 mm). Hepatic MRI, CEUS, and fine-needle biopsy (gold standard) (FNB) were performed at baseline. Non-HCC cases were followed (median 23 months) by CEUS/3 months and MRI/6 months. FNB was repeated up to 3 times and on detection of change in aspect/size. Intense arterial contrast uptake followed by washout in the delayed/venous phase was registered as conclusive for HCC. Final diagnoses were: HCC (n = 60), cholangiocarcinoma (n = 1), and benign lesions (regenerative/dysplastic nodule, hemangioma, focal nodular hyperplasia) (n = 28). Sex, cirrhosis cause, liver function, and alpha-fetoprotein (AFP) levels were similar between HCC and non-HCC groups. HCC patients were older and their nodules significantly larger (P &lt; 0.0001). First biopsy was positive in 42 of 60 HCC patients. Sensitivity, specificity, and positive and negative predictive values of conclusive profile were 61.7%, 96.6%, 97.4%, and 54.9%, for MRI, 51.7%, 93.1%, 93.9%, and 50.9%, for CEUS. Values for coincidental conclusive findings in both techniques were 33.3%, 100%, 100%, and 42%. Thus, diagnosis of HCC 20 mm or smaller can be established without a positive biopsy if both CEUS and MRI are conclusive. However, sensitivity of these noninvasive criteria is 33% and, as occurs with biopsy, absence of a conclusive pattern does not rule out malignancy. These results validate the American Association for the Study of liver Disease (AASLD) guidelines. Copyright © 2007 by the American Association for the Study of Liver Diseases.","author":[{"dropping-particle":"","family":"Forner","given":"Alejandro","non-dropping-particle":"","parse-names":false,"suffix":""},{"dropping-particle":"","family":"Vilana","given":"Ramón","non-dropping-particle":"","parse-names":false,"suffix":""},{"dropping-particle":"","family":"Ayuso","given":"Carmen","non-dropping-particle":"","parse-names":false,"suffix":""},{"dropping-particle":"","family":"Bianchi","given":"Lluís","non-dropping-particle":"","parse-names":false,"suffix":""},{"dropping-particle":"","family":"Solé","given":"Manel","non-dropping-particle":"","parse-names":false,"suffix":""},{"dropping-particle":"","family":"Ayuso","given":"Juan Ramón","non-dropping-particle":"","parse-names":false,"suffix":""},{"dropping-particle":"","family":"Boix","given":"Loreto","non-dropping-particle":"","parse-names":false,"suffix":""},{"dropping-particle":"","family":"Sala","given":"Margarita","non-dropping-particle":"","parse-names":false,"suffix":""},{"dropping-particle":"","family":"Varela","given":"María","non-dropping-particle":"","parse-names":false,"suffix":""},{"dropping-particle":"","family":"Llovet","given":"Josep M.","non-dropping-particle":"","parse-names":false,"suffix":""},{"dropping-particle":"","family":"Brú","given":"Concepció","non-dropping-particle":"","parse-names":false,"suffix":""},{"dropping-particle":"","family":"Bruix","given":"Jordi","non-dropping-particle":"","parse-names":false,"suffix":""}],"container-title":"Hepatology","id":"ITEM-4","issue":"1","issued":{"date-parts":[["2008","1"]]},"page":"97-104","title":"Diagnosis of hepatic nodules 20 mm or smaller in cirrhosis: Prospective validation of the noninvasive diagnostic criteria for hepatocellular carcinoma","type":"article-journal","volume":"47"},"uris":["http://www.mendeley.com/documents/?uuid=edd930be-ad84-339c-9e99-b940b399776d"]},{"id":"ITEM-5","itemData":{"DOI":"10.7326/M14-2509","ISSN":"0003-4819","author":[{"dropping-particle":"","family":"Chou","given":"Roger","non-dropping-particle":"","parse-names":false,"suffix":""},{"dropping-particle":"","family":"Cuevas","given":"Carlos","non-dropping-particle":"","parse-names":false,"suffix":""},{"dropping-particle":"","family":"Fu","given":"Rongwei","non-dropping-particle":"","parse-names":false,"suffix":""},{"dropping-particle":"","family":"Devine","given":"Beth","non-dropping-particle":"","parse-names":false,"suffix":""},{"dropping-particle":"","family":"Wasson","given":"Ngoc","non-dropping-particle":"","parse-names":false,"suffix":""},{"dropping-particle":"","family":"Ginsburg","given":"Alexander","non-dropping-particle":"","parse-names":false,"suffix":""},{"dropping-particle":"","family":"Zakher","given":"Bernadette","non-dropping-particle":"","parse-names":false,"suffix":""},{"dropping-particle":"","family":"Pappas","given":"Miranda","non-dropping-particle":"","parse-names":false,"suffix":""},{"dropping-particle":"","family":"Graham","given":"Elaine","non-dropping-particle":"","parse-names":false,"suffix":""},{"dropping-particle":"","family":"Sullivan","given":"Sean D.","non-dropping-particle":"","parse-names":false,"suffix":""}],"container-title":"Annals of Internal Medicine","id":"ITEM-5","issue":"10","issued":{"date-parts":[["2015","5","19"]]},"title":"Imaging Techniques for the Diagnosis of Hepatocellular Carcinoma","type":"article-journal","volume":"162"},"uris":["http://www.mendeley.com/documents/?uuid=b70c7270-d0da-3190-a5e6-7e3296603735"]},{"id":"ITEM-6","itemData":{"DOI":"10.1148/radiol.14140690","ISSN":"15271315","PMID":"25559230","abstract":"Purpose: To perform a systematic review and meta-analysis of the diagnostic performance of computed tomography (CT) and magnetic resonance (MR) imaging as noninvasive modalities for evaluating hepatocellular carcinoma (HCC) in patients with chronic liver disease. Materials and Methods: A search of the MEDLINE, EMBASE, and Cochrane Library databases was performed to identify studies providing per-patient or per-lesion diagnostic accuracies of multidetector CT and MR imaging for HCCs in patients with chronic liver disease. Studies published from January 2000 to December 2012 that used a reference standard based on histopathologic findings and/or findings at followup were included. Summary estimates of diagnostic accuracy were obtained by using a random-effects model with further exploration with meta-regression and subgroup analyses. Results: Forty studies (six on multidetector CT, 22 on MR imaging, and 12 on both CT and MR imaging) were included. The studies evaluated a total of 1135 patients with multidetector CT and 2489 patients with MR imaging. The overall per-patient sensitivity of MR imaging was 88% (95% confidence interval [CI]: 83%, 92%), with a specificity of 94% (95% CI: 85%, 98%). The overall per-lesion sensitivity of MR imaging was higher than that of multidetector CT when the paired data of the 11 available studies were pooled (80% vs 68%, P =.0023). Gadoxetic acid-enhanced MR imaging showed significantly higher per-lesion sensitivity than MR imaging performed with other contrast agents (87% vs 74%, P =.03). Per-lesion sensitivity was significantly lower for HCCs smaller than 1 cm than that for HCCs 1 cm or larger (P","author":[{"dropping-particle":"","family":"Lee","given":"Yoon Jin","non-dropping-particle":"","parse-names":false,"suffix":""},{"dropping-particle":"","family":"Lee","given":"Jeong Min","non-dropping-particle":"","parse-names":false,"suffix":""},{"dropping-particle":"","family":"Lee","given":"Ji Sung","non-dropping-particle":"","parse-names":false,"suffix":""},{"dropping-particle":"","family":"Lee","given":"Hwa Young","non-dropping-particle":"","parse-names":false,"suffix":""},{"dropping-particle":"","family":"Park","given":"Bo Hyun","non-dropping-particle":"","parse-names":false,"suffix":""},{"dropping-particle":"","family":"Kim","given":"Young Hoon","non-dropping-particle":"","parse-names":false,"suffix":""},{"dropping-particle":"","family":"Han","given":"Joon Koo","non-dropping-particle":"","parse-names":false,"suffix":""},{"dropping-particle":"","family":"Choi","given":"Byung Ihn","non-dropping-particle":"","parse-names":false,"suffix":""}],"container-title":"Radiology","id":"ITEM-6","issue":"1","issued":{"date-parts":[["2015","4","1"]]},"page":"97-109","publisher":"Radiological Society of North America Inc.","title":"Hepatocellular carcinoma: Diagnostic performance of multidetector CT and MR imaging-a systematic review and meta-analysis","type":"article-journal","volume":"275"},"uris":["http://www.mendeley.com/documents/?uuid=d6be7390-c3de-31be-b292-6a6dc733bf37"]}],"mendeley":{"formattedCitation":"[8,9,14,16–18]","plainTextFormattedCitation":"[8,9,14,16–18]","previouslyFormattedCitation":"[8,9,14,16–18]"},"properties":{"noteIndex":0},"schema":"https://github.com/citation-style-language/schema/raw/master/csl-citation.json"}</w:instrText>
      </w:r>
      <w:r w:rsidR="00FE0AB5" w:rsidRPr="00DF0D90">
        <w:fldChar w:fldCharType="separate"/>
      </w:r>
      <w:r w:rsidR="00C34389" w:rsidRPr="00DF0D90">
        <w:rPr>
          <w:noProof/>
        </w:rPr>
        <w:t>[8,9,14,16–18</w:t>
      </w:r>
      <w:r w:rsidR="00206782" w:rsidRPr="00DF0D90">
        <w:rPr>
          <w:noProof/>
          <w:lang w:val="ru-RU"/>
        </w:rPr>
        <w:t>, 153-15</w:t>
      </w:r>
      <w:r w:rsidR="00587622" w:rsidRPr="00DF0D90">
        <w:rPr>
          <w:noProof/>
          <w:lang w:val="ru-RU"/>
        </w:rPr>
        <w:t>5</w:t>
      </w:r>
      <w:r w:rsidR="00C34389" w:rsidRPr="00DF0D90">
        <w:rPr>
          <w:noProof/>
        </w:rPr>
        <w:t>]</w:t>
      </w:r>
      <w:r w:rsidR="00FE0AB5" w:rsidRPr="00DF0D90">
        <w:fldChar w:fldCharType="end"/>
      </w:r>
      <w:r w:rsidR="00FE0AB5" w:rsidRPr="00DF0D90">
        <w:rPr>
          <w:lang w:val="ru-RU"/>
        </w:rPr>
        <w:t xml:space="preserve">.                </w:t>
      </w:r>
    </w:p>
    <w:p w14:paraId="1AFD7EFB" w14:textId="77777777" w:rsidR="00630BAC" w:rsidRPr="00DF0D90" w:rsidRDefault="00630BAC" w:rsidP="00E86998">
      <w:pPr>
        <w:pStyle w:val="afa"/>
        <w:spacing w:after="120" w:line="360" w:lineRule="auto"/>
        <w:jc w:val="both"/>
      </w:pPr>
      <w:r w:rsidRPr="00DF0D90">
        <w:t xml:space="preserve">Уровень убедительности рекомендаций – </w:t>
      </w:r>
      <w:r w:rsidRPr="00DF0D90">
        <w:rPr>
          <w:lang w:val="en-US"/>
        </w:rPr>
        <w:t>A</w:t>
      </w:r>
      <w:r w:rsidR="007335C5" w:rsidRPr="00DF0D90">
        <w:rPr>
          <w:lang w:val="ru-RU"/>
        </w:rPr>
        <w:t xml:space="preserve"> </w:t>
      </w:r>
      <w:r w:rsidRPr="00DF0D90">
        <w:t xml:space="preserve">(уровень достоверности доказательств – </w:t>
      </w:r>
      <w:r w:rsidRPr="00DF0D90">
        <w:rPr>
          <w:lang w:val="en-US"/>
        </w:rPr>
        <w:t>I</w:t>
      </w:r>
      <w:r w:rsidRPr="00DF0D90">
        <w:t xml:space="preserve">). </w:t>
      </w:r>
    </w:p>
    <w:p w14:paraId="182D5474" w14:textId="1E0D9892" w:rsidR="0071500C" w:rsidRPr="00DF0D90" w:rsidRDefault="00630BAC" w:rsidP="0043377B">
      <w:pPr>
        <w:spacing w:line="360" w:lineRule="auto"/>
        <w:jc w:val="both"/>
        <w:rPr>
          <w:i/>
          <w:color w:val="000000"/>
        </w:rPr>
      </w:pPr>
      <w:r w:rsidRPr="00DF0D90">
        <w:rPr>
          <w:b/>
          <w:i/>
        </w:rPr>
        <w:t>Комментарий:</w:t>
      </w:r>
      <w:r w:rsidR="00EA77D2" w:rsidRPr="00DF0D90">
        <w:rPr>
          <w:b/>
        </w:rPr>
        <w:t xml:space="preserve"> </w:t>
      </w:r>
      <w:r w:rsidRPr="00DF0D90">
        <w:rPr>
          <w:i/>
        </w:rPr>
        <w:t xml:space="preserve">диагноз печеночно-клеточного рака может считаться обоснованным без морфологической верификации, если в </w:t>
      </w:r>
      <w:proofErr w:type="spellStart"/>
      <w:r w:rsidRPr="00DF0D90">
        <w:rPr>
          <w:i/>
        </w:rPr>
        <w:t>цирротически</w:t>
      </w:r>
      <w:proofErr w:type="spellEnd"/>
      <w:r w:rsidR="00EA77D2" w:rsidRPr="00DF0D90">
        <w:rPr>
          <w:i/>
        </w:rPr>
        <w:t xml:space="preserve"> </w:t>
      </w:r>
      <w:r w:rsidRPr="00DF0D90">
        <w:rPr>
          <w:i/>
        </w:rPr>
        <w:t>измененной печени по данным одного из методов (</w:t>
      </w:r>
      <w:proofErr w:type="spellStart"/>
      <w:r w:rsidRPr="00DF0D90">
        <w:rPr>
          <w:i/>
        </w:rPr>
        <w:t>мультифазной</w:t>
      </w:r>
      <w:proofErr w:type="spellEnd"/>
      <w:r w:rsidRPr="00DF0D90">
        <w:rPr>
          <w:i/>
        </w:rPr>
        <w:t xml:space="preserve"> КТ или МРТ) выявляют типичные для ГЦР признаки, а именно</w:t>
      </w:r>
      <w:r w:rsidR="006F121D" w:rsidRPr="00DF0D90">
        <w:rPr>
          <w:i/>
        </w:rPr>
        <w:t>:</w:t>
      </w:r>
      <w:r w:rsidRPr="00DF0D90">
        <w:rPr>
          <w:i/>
        </w:rPr>
        <w:t xml:space="preserve"> диффузное (не кольцевидное) контрастное усиление опухоли размером &gt;1 см в поздней артериальной фазе и «вымывание» контрастного вещества в венозной фазе; в опухолевых узлах размером&gt;2 см выявление </w:t>
      </w:r>
      <w:proofErr w:type="spellStart"/>
      <w:r w:rsidRPr="00DF0D90">
        <w:rPr>
          <w:i/>
        </w:rPr>
        <w:t>псевдокапсулы</w:t>
      </w:r>
      <w:proofErr w:type="spellEnd"/>
      <w:r w:rsidRPr="00DF0D90">
        <w:rPr>
          <w:i/>
        </w:rPr>
        <w:t xml:space="preserve"> в отсроченной (равновесной) фазе; рост опухоли менее чем за 6 мес. на 50 % или увеличение размеров опухоли не менее</w:t>
      </w:r>
      <w:r w:rsidR="000F0B53" w:rsidRPr="00DF0D90">
        <w:rPr>
          <w:i/>
        </w:rPr>
        <w:t xml:space="preserve"> </w:t>
      </w:r>
      <w:r w:rsidRPr="00DF0D90">
        <w:rPr>
          <w:i/>
        </w:rPr>
        <w:t>чем на 5 мм за 6 мес.(</w:t>
      </w:r>
      <w:r w:rsidR="00F90855" w:rsidRPr="00DF0D90">
        <w:rPr>
          <w:i/>
        </w:rPr>
        <w:t>Американская</w:t>
      </w:r>
      <w:r w:rsidR="00EA77D2" w:rsidRPr="00DF0D90">
        <w:rPr>
          <w:i/>
        </w:rPr>
        <w:t xml:space="preserve"> </w:t>
      </w:r>
      <w:r w:rsidR="00F90855" w:rsidRPr="00DF0D90">
        <w:rPr>
          <w:i/>
        </w:rPr>
        <w:t>ассоциация</w:t>
      </w:r>
      <w:r w:rsidR="00EA77D2" w:rsidRPr="00DF0D90">
        <w:rPr>
          <w:i/>
        </w:rPr>
        <w:t xml:space="preserve"> </w:t>
      </w:r>
      <w:r w:rsidR="00F90855" w:rsidRPr="00DF0D90">
        <w:rPr>
          <w:i/>
        </w:rPr>
        <w:t>по</w:t>
      </w:r>
      <w:r w:rsidR="00EA77D2" w:rsidRPr="00DF0D90">
        <w:rPr>
          <w:i/>
        </w:rPr>
        <w:t xml:space="preserve"> </w:t>
      </w:r>
      <w:r w:rsidR="00F90855" w:rsidRPr="00DF0D90">
        <w:rPr>
          <w:i/>
        </w:rPr>
        <w:t>изучению</w:t>
      </w:r>
      <w:r w:rsidR="00EA77D2" w:rsidRPr="00DF0D90">
        <w:rPr>
          <w:i/>
        </w:rPr>
        <w:t xml:space="preserve"> </w:t>
      </w:r>
      <w:r w:rsidR="00F90855" w:rsidRPr="00DF0D90">
        <w:rPr>
          <w:i/>
        </w:rPr>
        <w:t>заболеваний</w:t>
      </w:r>
      <w:r w:rsidR="00EA77D2" w:rsidRPr="00DF0D90">
        <w:rPr>
          <w:i/>
        </w:rPr>
        <w:t xml:space="preserve"> </w:t>
      </w:r>
      <w:r w:rsidR="00F90855" w:rsidRPr="00DF0D90">
        <w:rPr>
          <w:i/>
        </w:rPr>
        <w:t>печени (</w:t>
      </w:r>
      <w:r w:rsidR="00F90855" w:rsidRPr="00DF0D90">
        <w:rPr>
          <w:i/>
          <w:lang w:val="en-US"/>
        </w:rPr>
        <w:t>American</w:t>
      </w:r>
      <w:r w:rsidR="00EA77D2" w:rsidRPr="00DF0D90">
        <w:rPr>
          <w:i/>
        </w:rPr>
        <w:t xml:space="preserve"> </w:t>
      </w:r>
      <w:r w:rsidR="00F90855" w:rsidRPr="00DF0D90">
        <w:rPr>
          <w:i/>
          <w:lang w:val="en-US"/>
        </w:rPr>
        <w:t>Association</w:t>
      </w:r>
      <w:r w:rsidR="00EA77D2" w:rsidRPr="00DF0D90">
        <w:rPr>
          <w:i/>
        </w:rPr>
        <w:t xml:space="preserve"> </w:t>
      </w:r>
      <w:r w:rsidR="00F90855" w:rsidRPr="00DF0D90">
        <w:rPr>
          <w:i/>
          <w:lang w:val="en-US"/>
        </w:rPr>
        <w:t>for</w:t>
      </w:r>
      <w:r w:rsidR="00EA77D2" w:rsidRPr="00DF0D90">
        <w:rPr>
          <w:i/>
        </w:rPr>
        <w:t xml:space="preserve"> </w:t>
      </w:r>
      <w:r w:rsidR="00F90855" w:rsidRPr="00DF0D90">
        <w:rPr>
          <w:i/>
          <w:lang w:val="en-US"/>
        </w:rPr>
        <w:t>the</w:t>
      </w:r>
      <w:r w:rsidR="00EA77D2" w:rsidRPr="00DF0D90">
        <w:rPr>
          <w:i/>
        </w:rPr>
        <w:t xml:space="preserve"> </w:t>
      </w:r>
      <w:r w:rsidR="00F90855" w:rsidRPr="00DF0D90">
        <w:rPr>
          <w:i/>
          <w:lang w:val="en-US"/>
        </w:rPr>
        <w:t>Study</w:t>
      </w:r>
      <w:r w:rsidR="00EA77D2" w:rsidRPr="00DF0D90">
        <w:rPr>
          <w:i/>
        </w:rPr>
        <w:t xml:space="preserve"> </w:t>
      </w:r>
      <w:r w:rsidR="00F90855" w:rsidRPr="00DF0D90">
        <w:rPr>
          <w:i/>
          <w:lang w:val="en-US"/>
        </w:rPr>
        <w:t>of</w:t>
      </w:r>
      <w:r w:rsidR="00EA77D2" w:rsidRPr="00DF0D90">
        <w:rPr>
          <w:i/>
        </w:rPr>
        <w:t xml:space="preserve"> </w:t>
      </w:r>
      <w:r w:rsidR="00F90855" w:rsidRPr="00DF0D90">
        <w:rPr>
          <w:i/>
          <w:lang w:val="en-US"/>
        </w:rPr>
        <w:t>Liver</w:t>
      </w:r>
      <w:r w:rsidR="005C5D4F" w:rsidRPr="00DF0D90">
        <w:rPr>
          <w:i/>
        </w:rPr>
        <w:t xml:space="preserve"> </w:t>
      </w:r>
      <w:r w:rsidR="00F90855" w:rsidRPr="00DF0D90">
        <w:rPr>
          <w:i/>
          <w:lang w:val="en-US"/>
        </w:rPr>
        <w:t>Disease</w:t>
      </w:r>
      <w:r w:rsidR="00F90855" w:rsidRPr="00DF0D90">
        <w:rPr>
          <w:i/>
        </w:rPr>
        <w:t xml:space="preserve">, </w:t>
      </w:r>
      <w:r w:rsidRPr="00DF0D90">
        <w:rPr>
          <w:i/>
          <w:lang w:val="en-US"/>
        </w:rPr>
        <w:t>AASLD</w:t>
      </w:r>
      <w:r w:rsidR="00F90855" w:rsidRPr="00DF0D90">
        <w:rPr>
          <w:i/>
        </w:rPr>
        <w:t>)</w:t>
      </w:r>
      <w:r w:rsidRPr="00DF0D90">
        <w:rPr>
          <w:i/>
        </w:rPr>
        <w:t>/</w:t>
      </w:r>
      <w:r w:rsidR="00F90855" w:rsidRPr="00DF0D90">
        <w:rPr>
          <w:i/>
          <w:lang w:val="en-US"/>
        </w:rPr>
        <w:t>Liver</w:t>
      </w:r>
      <w:r w:rsidR="00EA77D2" w:rsidRPr="00DF0D90">
        <w:rPr>
          <w:i/>
        </w:rPr>
        <w:t xml:space="preserve"> </w:t>
      </w:r>
      <w:r w:rsidR="00F90855" w:rsidRPr="00DF0D90">
        <w:rPr>
          <w:i/>
          <w:lang w:val="en-US"/>
        </w:rPr>
        <w:t>Imaging</w:t>
      </w:r>
      <w:r w:rsidR="00EA77D2" w:rsidRPr="00DF0D90">
        <w:rPr>
          <w:i/>
        </w:rPr>
        <w:t xml:space="preserve"> </w:t>
      </w:r>
      <w:r w:rsidR="00F90855" w:rsidRPr="00DF0D90">
        <w:rPr>
          <w:i/>
          <w:lang w:val="en-US"/>
        </w:rPr>
        <w:t>Reporting</w:t>
      </w:r>
      <w:r w:rsidR="000F0B53" w:rsidRPr="00DF0D90">
        <w:rPr>
          <w:i/>
        </w:rPr>
        <w:t xml:space="preserve"> </w:t>
      </w:r>
      <w:r w:rsidR="00F90855" w:rsidRPr="00DF0D90">
        <w:rPr>
          <w:i/>
          <w:lang w:val="en-US"/>
        </w:rPr>
        <w:t>and</w:t>
      </w:r>
      <w:r w:rsidR="00EA77D2" w:rsidRPr="00DF0D90">
        <w:rPr>
          <w:i/>
        </w:rPr>
        <w:t xml:space="preserve"> </w:t>
      </w:r>
      <w:r w:rsidR="00F90855" w:rsidRPr="00DF0D90">
        <w:rPr>
          <w:i/>
          <w:lang w:val="en-US"/>
        </w:rPr>
        <w:t>Data</w:t>
      </w:r>
      <w:r w:rsidR="00EA77D2" w:rsidRPr="00DF0D90">
        <w:rPr>
          <w:i/>
        </w:rPr>
        <w:t xml:space="preserve"> </w:t>
      </w:r>
      <w:r w:rsidR="00F90855" w:rsidRPr="00DF0D90">
        <w:rPr>
          <w:i/>
          <w:lang w:val="en-US"/>
        </w:rPr>
        <w:t>System</w:t>
      </w:r>
      <w:r w:rsidR="00F90855" w:rsidRPr="00DF0D90">
        <w:rPr>
          <w:i/>
        </w:rPr>
        <w:t xml:space="preserve"> (</w:t>
      </w:r>
      <w:r w:rsidRPr="00DF0D90">
        <w:rPr>
          <w:i/>
          <w:lang w:val="en-US"/>
        </w:rPr>
        <w:t>LI</w:t>
      </w:r>
      <w:r w:rsidRPr="00DF0D90">
        <w:rPr>
          <w:i/>
        </w:rPr>
        <w:t>-</w:t>
      </w:r>
      <w:r w:rsidRPr="00DF0D90">
        <w:rPr>
          <w:i/>
          <w:lang w:val="en-US"/>
        </w:rPr>
        <w:t>RADS</w:t>
      </w:r>
      <w:r w:rsidR="00F90855" w:rsidRPr="00DF0D90">
        <w:rPr>
          <w:i/>
        </w:rPr>
        <w:t>)</w:t>
      </w:r>
      <w:r w:rsidRPr="00DF0D90">
        <w:rPr>
          <w:i/>
        </w:rPr>
        <w:t xml:space="preserve">, </w:t>
      </w:r>
      <w:r w:rsidR="00F90855" w:rsidRPr="00DF0D90">
        <w:rPr>
          <w:i/>
        </w:rPr>
        <w:t>Европейская</w:t>
      </w:r>
      <w:r w:rsidR="00EA77D2" w:rsidRPr="00DF0D90">
        <w:rPr>
          <w:i/>
        </w:rPr>
        <w:t xml:space="preserve"> </w:t>
      </w:r>
      <w:r w:rsidR="00F90855" w:rsidRPr="00DF0D90">
        <w:rPr>
          <w:i/>
        </w:rPr>
        <w:t>ассоциация</w:t>
      </w:r>
      <w:r w:rsidR="00EA77D2" w:rsidRPr="00DF0D90">
        <w:rPr>
          <w:i/>
        </w:rPr>
        <w:t xml:space="preserve"> </w:t>
      </w:r>
      <w:r w:rsidR="00F90855" w:rsidRPr="00DF0D90">
        <w:rPr>
          <w:i/>
        </w:rPr>
        <w:t>по</w:t>
      </w:r>
      <w:r w:rsidR="00EA77D2" w:rsidRPr="00DF0D90">
        <w:rPr>
          <w:i/>
        </w:rPr>
        <w:t xml:space="preserve"> </w:t>
      </w:r>
      <w:r w:rsidR="006F121D" w:rsidRPr="00DF0D90">
        <w:rPr>
          <w:i/>
        </w:rPr>
        <w:t>и</w:t>
      </w:r>
      <w:r w:rsidR="00F90855" w:rsidRPr="00DF0D90">
        <w:rPr>
          <w:i/>
        </w:rPr>
        <w:t>зучению</w:t>
      </w:r>
      <w:r w:rsidR="00EA77D2" w:rsidRPr="00DF0D90">
        <w:rPr>
          <w:i/>
        </w:rPr>
        <w:t xml:space="preserve"> </w:t>
      </w:r>
      <w:r w:rsidR="00F90855" w:rsidRPr="00DF0D90">
        <w:rPr>
          <w:i/>
        </w:rPr>
        <w:t>печени (</w:t>
      </w:r>
      <w:r w:rsidR="00F90855" w:rsidRPr="00DF0D90">
        <w:rPr>
          <w:i/>
          <w:lang w:val="en-US"/>
        </w:rPr>
        <w:t>The</w:t>
      </w:r>
      <w:r w:rsidR="00EA77D2" w:rsidRPr="00DF0D90">
        <w:rPr>
          <w:i/>
        </w:rPr>
        <w:t xml:space="preserve"> </w:t>
      </w:r>
      <w:r w:rsidR="00F90855" w:rsidRPr="00DF0D90">
        <w:rPr>
          <w:i/>
          <w:lang w:val="en-US"/>
        </w:rPr>
        <w:t>European</w:t>
      </w:r>
      <w:r w:rsidR="00EA77D2" w:rsidRPr="00DF0D90">
        <w:rPr>
          <w:i/>
        </w:rPr>
        <w:t xml:space="preserve"> </w:t>
      </w:r>
      <w:r w:rsidR="00F90855" w:rsidRPr="00DF0D90">
        <w:rPr>
          <w:i/>
          <w:lang w:val="en-US"/>
        </w:rPr>
        <w:t>Association</w:t>
      </w:r>
      <w:r w:rsidR="00EA77D2" w:rsidRPr="00DF0D90">
        <w:rPr>
          <w:i/>
        </w:rPr>
        <w:t xml:space="preserve"> </w:t>
      </w:r>
      <w:r w:rsidR="00F90855" w:rsidRPr="00DF0D90">
        <w:rPr>
          <w:i/>
          <w:lang w:val="en-US"/>
        </w:rPr>
        <w:t>for</w:t>
      </w:r>
      <w:r w:rsidR="00EA77D2" w:rsidRPr="00DF0D90">
        <w:rPr>
          <w:i/>
        </w:rPr>
        <w:t xml:space="preserve"> </w:t>
      </w:r>
      <w:r w:rsidR="00F90855" w:rsidRPr="00DF0D90">
        <w:rPr>
          <w:i/>
          <w:lang w:val="en-US"/>
        </w:rPr>
        <w:t>the</w:t>
      </w:r>
      <w:r w:rsidR="00EA77D2" w:rsidRPr="00DF0D90">
        <w:rPr>
          <w:i/>
        </w:rPr>
        <w:t xml:space="preserve"> </w:t>
      </w:r>
      <w:r w:rsidR="00F90855" w:rsidRPr="00DF0D90">
        <w:rPr>
          <w:i/>
          <w:lang w:val="en-US"/>
        </w:rPr>
        <w:t>Study</w:t>
      </w:r>
      <w:r w:rsidR="00EA77D2" w:rsidRPr="00DF0D90">
        <w:rPr>
          <w:i/>
        </w:rPr>
        <w:t xml:space="preserve"> </w:t>
      </w:r>
      <w:r w:rsidR="00F90855" w:rsidRPr="00DF0D90">
        <w:rPr>
          <w:i/>
          <w:lang w:val="en-US"/>
        </w:rPr>
        <w:t>of</w:t>
      </w:r>
      <w:r w:rsidR="00EA77D2" w:rsidRPr="00DF0D90">
        <w:rPr>
          <w:i/>
        </w:rPr>
        <w:t xml:space="preserve"> </w:t>
      </w:r>
      <w:r w:rsidR="00F90855" w:rsidRPr="00DF0D90">
        <w:rPr>
          <w:i/>
          <w:lang w:val="en-US"/>
        </w:rPr>
        <w:t>the</w:t>
      </w:r>
      <w:r w:rsidR="00EA77D2" w:rsidRPr="00DF0D90">
        <w:rPr>
          <w:i/>
        </w:rPr>
        <w:t xml:space="preserve"> </w:t>
      </w:r>
      <w:r w:rsidR="00F90855" w:rsidRPr="00DF0D90">
        <w:rPr>
          <w:i/>
          <w:lang w:val="en-US"/>
        </w:rPr>
        <w:t>Liver</w:t>
      </w:r>
      <w:r w:rsidR="00F90855" w:rsidRPr="00DF0D90">
        <w:rPr>
          <w:i/>
        </w:rPr>
        <w:t xml:space="preserve">, </w:t>
      </w:r>
      <w:r w:rsidRPr="00DF0D90">
        <w:rPr>
          <w:i/>
          <w:lang w:val="en-US"/>
        </w:rPr>
        <w:t>EASL</w:t>
      </w:r>
      <w:r w:rsidR="00F90855" w:rsidRPr="00DF0D90">
        <w:rPr>
          <w:i/>
        </w:rPr>
        <w:t>)</w:t>
      </w:r>
      <w:r w:rsidRPr="00DF0D90">
        <w:rPr>
          <w:i/>
        </w:rPr>
        <w:t xml:space="preserve"> 2018</w:t>
      </w:r>
      <w:r w:rsidR="00206782" w:rsidRPr="00DF0D90">
        <w:rPr>
          <w:i/>
        </w:rPr>
        <w:t>, Азиатско-Тихоокеанская ассоциация по изучению печени</w:t>
      </w:r>
      <w:r w:rsidR="008C77D9" w:rsidRPr="00DF0D90">
        <w:rPr>
          <w:i/>
        </w:rPr>
        <w:t xml:space="preserve"> (</w:t>
      </w:r>
      <w:proofErr w:type="spellStart"/>
      <w:r w:rsidR="008C77D9" w:rsidRPr="001D7B82">
        <w:rPr>
          <w:bCs/>
          <w:i/>
          <w:shd w:val="clear" w:color="auto" w:fill="FFFFFF"/>
        </w:rPr>
        <w:t>Asian</w:t>
      </w:r>
      <w:proofErr w:type="spellEnd"/>
      <w:r w:rsidR="008C77D9" w:rsidRPr="001D7B82">
        <w:rPr>
          <w:bCs/>
          <w:i/>
          <w:shd w:val="clear" w:color="auto" w:fill="FFFFFF"/>
        </w:rPr>
        <w:t xml:space="preserve"> Pacific Association </w:t>
      </w:r>
      <w:proofErr w:type="spellStart"/>
      <w:r w:rsidR="008C77D9" w:rsidRPr="001D7B82">
        <w:rPr>
          <w:bCs/>
          <w:i/>
          <w:shd w:val="clear" w:color="auto" w:fill="FFFFFF"/>
        </w:rPr>
        <w:t>for</w:t>
      </w:r>
      <w:proofErr w:type="spellEnd"/>
      <w:r w:rsidR="008C77D9" w:rsidRPr="001D7B82">
        <w:rPr>
          <w:bCs/>
          <w:i/>
          <w:shd w:val="clear" w:color="auto" w:fill="FFFFFF"/>
        </w:rPr>
        <w:t xml:space="preserve"> </w:t>
      </w:r>
      <w:proofErr w:type="spellStart"/>
      <w:r w:rsidR="008C77D9" w:rsidRPr="001D7B82">
        <w:rPr>
          <w:bCs/>
          <w:i/>
          <w:shd w:val="clear" w:color="auto" w:fill="FFFFFF"/>
        </w:rPr>
        <w:t>the</w:t>
      </w:r>
      <w:proofErr w:type="spellEnd"/>
      <w:r w:rsidR="008C77D9" w:rsidRPr="001D7B82">
        <w:rPr>
          <w:bCs/>
          <w:i/>
          <w:shd w:val="clear" w:color="auto" w:fill="FFFFFF"/>
        </w:rPr>
        <w:t xml:space="preserve"> Study </w:t>
      </w:r>
      <w:proofErr w:type="spellStart"/>
      <w:r w:rsidR="008C77D9" w:rsidRPr="001D7B82">
        <w:rPr>
          <w:bCs/>
          <w:i/>
          <w:shd w:val="clear" w:color="auto" w:fill="FFFFFF"/>
        </w:rPr>
        <w:t>of</w:t>
      </w:r>
      <w:proofErr w:type="spellEnd"/>
      <w:r w:rsidR="008C77D9" w:rsidRPr="001D7B82">
        <w:rPr>
          <w:bCs/>
          <w:i/>
          <w:shd w:val="clear" w:color="auto" w:fill="FFFFFF"/>
        </w:rPr>
        <w:t xml:space="preserve"> </w:t>
      </w:r>
      <w:proofErr w:type="spellStart"/>
      <w:r w:rsidR="008C77D9" w:rsidRPr="001D7B82">
        <w:rPr>
          <w:bCs/>
          <w:i/>
          <w:shd w:val="clear" w:color="auto" w:fill="FFFFFF"/>
        </w:rPr>
        <w:t>the</w:t>
      </w:r>
      <w:proofErr w:type="spellEnd"/>
      <w:r w:rsidR="008C77D9" w:rsidRPr="001D7B82">
        <w:rPr>
          <w:bCs/>
          <w:i/>
          <w:shd w:val="clear" w:color="auto" w:fill="FFFFFF"/>
        </w:rPr>
        <w:t xml:space="preserve"> </w:t>
      </w:r>
      <w:proofErr w:type="spellStart"/>
      <w:r w:rsidR="008C77D9" w:rsidRPr="001D7B82">
        <w:rPr>
          <w:bCs/>
          <w:i/>
          <w:shd w:val="clear" w:color="auto" w:fill="FFFFFF"/>
        </w:rPr>
        <w:t>Liver</w:t>
      </w:r>
      <w:proofErr w:type="spellEnd"/>
      <w:r w:rsidR="008C77D9" w:rsidRPr="001D7B82">
        <w:rPr>
          <w:bCs/>
          <w:i/>
          <w:shd w:val="clear" w:color="auto" w:fill="FFFFFF"/>
        </w:rPr>
        <w:t>,</w:t>
      </w:r>
      <w:r w:rsidR="008C77D9" w:rsidRPr="00DF0D90">
        <w:rPr>
          <w:bCs/>
          <w:i/>
          <w:color w:val="0000FF"/>
          <w:u w:val="single"/>
          <w:shd w:val="clear" w:color="auto" w:fill="FFFFFF"/>
        </w:rPr>
        <w:t xml:space="preserve"> </w:t>
      </w:r>
      <w:r w:rsidR="00206782" w:rsidRPr="00DF0D90">
        <w:rPr>
          <w:i/>
          <w:lang w:val="en-US"/>
        </w:rPr>
        <w:t>APASL</w:t>
      </w:r>
      <w:r w:rsidR="008C77D9" w:rsidRPr="00DF0D90">
        <w:rPr>
          <w:i/>
        </w:rPr>
        <w:t xml:space="preserve">) </w:t>
      </w:r>
      <w:r w:rsidR="00206782" w:rsidRPr="00DF0D90">
        <w:rPr>
          <w:i/>
        </w:rPr>
        <w:t>/</w:t>
      </w:r>
      <w:r w:rsidR="008C77D9" w:rsidRPr="00DF0D90">
        <w:rPr>
          <w:i/>
        </w:rPr>
        <w:t xml:space="preserve"> Н</w:t>
      </w:r>
      <w:r w:rsidR="00206782" w:rsidRPr="00DF0D90">
        <w:rPr>
          <w:i/>
        </w:rPr>
        <w:t xml:space="preserve">ациональная комплексная онкологическая сеть </w:t>
      </w:r>
      <w:r w:rsidR="008C77D9" w:rsidRPr="00DF0D90">
        <w:rPr>
          <w:i/>
        </w:rPr>
        <w:t>(</w:t>
      </w:r>
      <w:r w:rsidR="008C77D9" w:rsidRPr="00DF0D90">
        <w:rPr>
          <w:bCs/>
          <w:i/>
          <w:color w:val="5F6368"/>
          <w:shd w:val="clear" w:color="auto" w:fill="FFFFFF"/>
        </w:rPr>
        <w:t xml:space="preserve">National </w:t>
      </w:r>
      <w:proofErr w:type="spellStart"/>
      <w:r w:rsidR="008C77D9" w:rsidRPr="00DF0D90">
        <w:rPr>
          <w:bCs/>
          <w:i/>
          <w:color w:val="5F6368"/>
          <w:shd w:val="clear" w:color="auto" w:fill="FFFFFF"/>
        </w:rPr>
        <w:t>Comprehensive</w:t>
      </w:r>
      <w:proofErr w:type="spellEnd"/>
      <w:r w:rsidR="008C77D9" w:rsidRPr="00DF0D90">
        <w:rPr>
          <w:bCs/>
          <w:i/>
          <w:color w:val="5F6368"/>
          <w:shd w:val="clear" w:color="auto" w:fill="FFFFFF"/>
        </w:rPr>
        <w:t xml:space="preserve"> </w:t>
      </w:r>
      <w:proofErr w:type="spellStart"/>
      <w:r w:rsidR="008C77D9" w:rsidRPr="00DF0D90">
        <w:rPr>
          <w:bCs/>
          <w:i/>
          <w:color w:val="5F6368"/>
          <w:shd w:val="clear" w:color="auto" w:fill="FFFFFF"/>
        </w:rPr>
        <w:t>Cancer</w:t>
      </w:r>
      <w:proofErr w:type="spellEnd"/>
      <w:r w:rsidR="008C77D9" w:rsidRPr="00DF0D90">
        <w:rPr>
          <w:bCs/>
          <w:i/>
          <w:color w:val="5F6368"/>
          <w:shd w:val="clear" w:color="auto" w:fill="FFFFFF"/>
        </w:rPr>
        <w:t xml:space="preserve"> Network</w:t>
      </w:r>
      <w:r w:rsidR="008C77D9" w:rsidRPr="00DF0D90">
        <w:rPr>
          <w:i/>
        </w:rPr>
        <w:t xml:space="preserve">, </w:t>
      </w:r>
      <w:r w:rsidR="008C77D9" w:rsidRPr="00DF0D90">
        <w:rPr>
          <w:i/>
          <w:lang w:val="en-US"/>
        </w:rPr>
        <w:t>NCCN</w:t>
      </w:r>
      <w:r w:rsidRPr="00DF0D90">
        <w:rPr>
          <w:i/>
        </w:rPr>
        <w:t>).</w:t>
      </w:r>
      <w:r w:rsidR="00EA77D2" w:rsidRPr="00DF0D90">
        <w:rPr>
          <w:i/>
        </w:rPr>
        <w:t xml:space="preserve"> </w:t>
      </w:r>
      <w:r w:rsidRPr="00DF0D90">
        <w:t>В дифференциальной диагностике новообразований печени может использоваться рентгенологическая классификация LI-RAD</w:t>
      </w:r>
      <w:r w:rsidR="007335C5" w:rsidRPr="00DF0D90">
        <w:rPr>
          <w:lang w:val="en-US"/>
        </w:rPr>
        <w:t>S</w:t>
      </w:r>
      <w:r w:rsidR="007335C5" w:rsidRPr="00DF0D90">
        <w:t xml:space="preserve"> </w:t>
      </w:r>
      <w:r w:rsidR="007335C5" w:rsidRPr="00DF0D90">
        <w:fldChar w:fldCharType="begin" w:fldLock="1"/>
      </w:r>
      <w:r w:rsidR="00F9552E" w:rsidRPr="00DF0D90">
        <w:instrText>ADDIN CSL_CITATION {"citationItems":[{"id":"ITEM-1","itemData":{"DOI":"10.1002/hep.29913","ISSN":"15273350","PMID":"29624699","author":[{"dropping-particle":"","family":"Marrero","given":"Jorge A.","non-dropping-particle":"","parse-names":false,"suffix":""},{"dropping-particle":"","family":"Kulik","given":"Laura M.","non-dropping-particle":"","parse-names":false,"suffix":""},{"dropping-particle":"","family":"Sirlin","given":"Claude B.","non-dropping-particle":"","parse-names":false,"suffix":""},{"dropping-particle":"","family":"Zhu","given":"Andrew X.","non-dropping-particle":"","parse-names":false,"suffix":""},{"dropping-particle":"","family":"Finn","given":"Richard S.","non-dropping-particle":"","parse-names":false,"suffix":""},{"dropping-particle":"","family":"Abecassis","given":"Michael M.","non-dropping-particle":"","parse-names":false,"suffix":""},{"dropping-particle":"","family":"Roberts","given":"Lewis R.","non-dropping-particle":"","parse-names":false,"suffix":""},{"dropping-particle":"","family":"Heimbach","given":"Julie K.","non-dropping-particle":"","parse-names":false,"suffix":""}],"container-title":"Hepatology","id":"ITEM-1","issue":"2","issued":{"date-parts":[["2018","8","1"]]},"page":"723-750","publisher":"John Wiley and Sons Inc.","title":"Diagnosis, Staging, and Management of Hepatocellular Carcinoma: 2018 Practice Guidance by the American Association for the Study of Liver Diseases","type":"article-journal","volume":"68"},"uris":["http://www.mendeley.com/documents/?uuid=524b992f-ba18-31f8-aa7d-c271bdc57c09"]},{"id":"ITEM-2","itemData":{"DOI":"10.1148/rg.2018180052","ISSN":"15271323","PMID":"30289735","abstract":"The Liver Imaging Reporting and Data System (LI-RADS) standardizes performance of liver imaging in patients at risk for hepatocellular carcinoma (HCC) as well as interpretation and reporting of the results. Developed by experts in liver imaging and supported by the American College of Radiology, LI-RADS assigns to observations categories that reflect the relative probability of benignity, HCC, or other malignancy.While category assignment is based mainly on major imaging features, ancillary features may be applied to improve detection and characterization, increase confidence, or adjust LI-RADS categories. Ancillary features are classified as favoring malignancy in general, HCC in particular, or benignity. Those favoring malignancy in general or HCC in particular may be used to upgrade by a maximum of one category up to LR-4; those favoring benignity may be used to downgrade by a maximum of one category. If there are conflicting ancillary features (ie, one or more favoring malignancy and one or more favoring benignity), the category should not be adjusted. Ancillary features may be seen at diagnostic CT, MRI performed with extracellular agents, or MRI performed with hepatobiliary agents, with the exception of one ancillary feature assessed at US. This article focuses on LI-RADS version 2018 ancillary features seen at MRI. Specific topics include rules for ancillary feature application; definitions, rationale, and illustrations with clinical MRI examples; summary of evidence and diagnostic performance; pitfalls; and future directions.","author":[{"dropping-particle":"","family":"Cerny","given":"Milena","non-dropping-particle":"","parse-names":false,"suffix":""},{"dropping-particle":"","family":"Chernyak","given":"Victoria","non-dropping-particle":"","parse-names":false,"suffix":""},{"dropping-particle":"","family":"Olivié","given":"Damien","non-dropping-particle":"","parse-names":false,"suffix":""},{"dropping-particle":"","family":"Billiard","given":"Jean Sébastien","non-dropping-particle":"","parse-names":false,"suffix":""},{"dropping-particle":"","family":"Murphy-Lavallée","given":"Jessica","non-dropping-particle":"","parse-names":false,"suffix":""},{"dropping-particle":"","family":"Kielar","given":"Ania Z.","non-dropping-particle":"","parse-names":false,"suffix":""},{"dropping-particle":"","family":"Elsayes","given":"Khaled M.","non-dropping-particle":"","parse-names":false,"suffix":""},{"dropping-particle":"","family":"Bourque","given":"Laurence","non-dropping-particle":"","parse-names":false,"suffix":""},{"dropping-particle":"","family":"Hooker","given":"Jonathan C.","non-dropping-particle":"","parse-names":false,"suffix":""},{"dropping-particle":"","family":"Sirlin","given":"Claude B.","non-dropping-particle":"","parse-names":false,"suffix":""},{"dropping-particle":"","family":"Tang","given":"An","non-dropping-particle":"","parse-names":false,"suffix":""}],"container-title":"Radiographics","id":"ITEM-2","issue":"7","issued":{"date-parts":[["2018","11","1"]]},"page":"1973-2001","publisher":"Radiological Society of North America Inc.","title":"LI-RADS version 2018 ancillary features at MRI","type":"article-journal","volume":"38"},"uris":["http://www.mendeley.com/documents/?uuid=746e7f42-0cb2-351e-9ebb-e5a168038a1b"]}],"mendeley":{"formattedCitation":"[9,24]","plainTextFormattedCitation":"[9,24]","previouslyFormattedCitation":"[9,24]"},"properties":{"noteIndex":0},"schema":"https://github.com/citation-style-language/schema/raw/master/csl-citation.json"}</w:instrText>
      </w:r>
      <w:r w:rsidR="007335C5" w:rsidRPr="00DF0D90">
        <w:fldChar w:fldCharType="separate"/>
      </w:r>
      <w:r w:rsidR="007335C5" w:rsidRPr="00DF0D90">
        <w:rPr>
          <w:noProof/>
        </w:rPr>
        <w:t>[9,24]</w:t>
      </w:r>
      <w:r w:rsidR="007335C5" w:rsidRPr="00DF0D90">
        <w:fldChar w:fldCharType="end"/>
      </w:r>
      <w:r w:rsidRPr="00DF0D90">
        <w:t xml:space="preserve">. </w:t>
      </w:r>
      <w:r w:rsidRPr="00DF0D90">
        <w:rPr>
          <w:i/>
          <w:color w:val="000000"/>
        </w:rPr>
        <w:t xml:space="preserve">В рандомизированных исследованиях доказано, что категория </w:t>
      </w:r>
      <w:r w:rsidRPr="00DF0D90">
        <w:rPr>
          <w:i/>
          <w:color w:val="000000"/>
          <w:lang w:val="en-US"/>
        </w:rPr>
        <w:t>LI</w:t>
      </w:r>
      <w:r w:rsidRPr="00DF0D90">
        <w:rPr>
          <w:i/>
          <w:color w:val="000000"/>
        </w:rPr>
        <w:t>-</w:t>
      </w:r>
      <w:r w:rsidRPr="00DF0D90">
        <w:rPr>
          <w:i/>
          <w:color w:val="000000"/>
          <w:lang w:val="en-US"/>
        </w:rPr>
        <w:t>RADS</w:t>
      </w:r>
      <w:r w:rsidRPr="00DF0D90">
        <w:rPr>
          <w:i/>
          <w:color w:val="000000"/>
        </w:rPr>
        <w:t xml:space="preserve"> 4–5 имеет высокую специфичность (95–100 %) для пациентов группы высокого риска ГЦР с узлом размером &gt;10 мм</w:t>
      </w:r>
      <w:r w:rsidR="00FE0AB5" w:rsidRPr="00DF0D90">
        <w:rPr>
          <w:i/>
          <w:color w:val="000000"/>
        </w:rPr>
        <w:t xml:space="preserve"> </w:t>
      </w:r>
      <w:r w:rsidR="00EC0912" w:rsidRPr="00DF0D90">
        <w:rPr>
          <w:i/>
          <w:color w:val="000000"/>
        </w:rPr>
        <w:fldChar w:fldCharType="begin" w:fldLock="1"/>
      </w:r>
      <w:r w:rsidR="007335C5" w:rsidRPr="00DF0D90">
        <w:rPr>
          <w:i/>
          <w:color w:val="000000"/>
        </w:rPr>
        <w:instrText>ADDIN CSL_CITATION {"citationItems":[{"id":"ITEM-1","itemData":{"DOI":"10.1007/s00261-017-1228-y","ISSN":"23660058","PMID":"28695233","abstract":"The Liver Imaging Reporting and Data System (LI-RADS ® ) is an imaging-based diagnostic system applicable in patients at high risk of hepatocellular carcinoma (HCC). In LI-RADS, each liver observation is assigned a category that reflects probability of benignity, HCC, or other malignancy. Familiarity with the LI-RADS diagnostic algorithm is necessary to appropriately implement LI-RADS in clinical practice. This review discusses steps necessary for application of the LI-RADS algorithm and provides examples illustrating each step.","author":[{"dropping-particle":"","family":"Chernyak","given":"Victoria","non-dropping-particle":"","parse-names":false,"suffix":""},{"dropping-particle":"","family":"Santillan","given":"Cynthia S.","non-dropping-particle":"","parse-names":false,"suffix":""},{"dropping-particle":"","family":"Papadatos","given":"Demetri","non-dropping-particle":"","parse-names":false,"suffix":""},{"dropping-particle":"","family":"Sirlin","given":"Claude B.","non-dropping-particle":"","parse-names":false,"suffix":""}],"container-title":"Abdominal Radiology","id":"ITEM-1","issue":"1","issued":{"date-parts":[["2018","1","1"]]},"page":"111-126","publisher":"Springer New York LLC","title":"LI-RADS ® algorithm: CT and MRI","type":"article","volume":"43"},"uris":["http://www.mendeley.com/documents/?uuid=3886fed0-f381-3cd0-b591-fe644eb73e3b"]},{"id":"ITEM-2","itemData":{"DOI":"10.1016/j.hpb.2019.04.007","ISSN":"14772574","PMID":"31262487","abstract":"Background: Hepatocellular carcinoma (HCC) can be diagnosed using imaging criteria in patients at high-risk for HCC, according to Liver Imaging Reporting and Data System (LI-RADS) guidelines. The aim of this study was to determine the diagnostic performance and inter-rater reliability (IRR) of LI-RADS v2018 for differentiating HCC from non-HCC primary liver carcinoma (PLC), in patients who are at increased risk for HCC but not included in the LI-RADS ‘high-risk’ population. Methods: This retrospective HIPAA-compliant study included a 10-year experience of pathologically-proven PLC at two liver transplant centers, and included patients with non-cirrhotic hepatitis C infection, non-cirrhotic non-alcoholic fatty liver disease, and fibrosis. Two readers evaluated each lesion and assigned an overall LI-RADS diagnostic category, additionally scoring all major, LR-M, and ancillary features. Results: The final study cohort consisted of 27 HCCs and 104 non-HCC PLC in 131 patients. The specificity of a ‘definite HCC’ designation was 97% for reader 1 and 100% for reader 2. The IRR was fair for overall LI-RADS category and substantial for most major features. Conclusion: In a population at increased risk for HCC but not currently included in the LI-RADS ‘high-risk’ population, LI-RADS v2018 demonstrated very high specificity for distinguishing pathologically-proven HCC from non-HCC PLC.","author":[{"dropping-particle":"","family":"Ludwig","given":"Daniel R.","non-dropping-particle":"","parse-names":false,"suffix":""},{"dropping-particle":"","family":"Fraum","given":"Tyler J.","non-dropping-particle":"","parse-names":false,"suffix":""},{"dropping-particle":"","family":"Cannella","given":"Roberto","non-dropping-particle":"","parse-names":false,"suffix":""},{"dropping-particle":"","family":"Tsai","given":"Richard","non-dropping-particle":"","parse-names":false,"suffix":""},{"dropping-particle":"","family":"Naeem","given":"Muhammad","non-dropping-particle":"","parse-names":false,"suffix":""},{"dropping-particle":"","family":"LeBlanc","given":"Maverick","non-dropping-particle":"","parse-names":false,"suffix":""},{"dropping-particle":"","family":"Salter","given":"Amber","non-dropping-particle":"","parse-names":false,"suffix":""},{"dropping-particle":"","family":"Tsung","given":"Allan","non-dropping-particle":"","parse-names":false,"suffix":""},{"dropping-particle":"","family":"Fleckenstein","given":"Jaquelyn","non-dropping-particle":"","parse-names":false,"suffix":""},{"dropping-particle":"","family":"Shetty","given":"Anup S.","non-dropping-particle":"","parse-names":false,"suffix":""},{"dropping-particle":"","family":"Borhani","given":"Amir A.","non-dropping-particle":"","parse-names":false,"suffix":""},{"dropping-particle":"","family":"Furlan","given":"Alessandro","non-dropping-particle":"","parse-names":false,"suffix":""},{"dropping-particle":"","family":"Fowler","given":"Kathryn J.","non-dropping-particle":"","parse-names":false,"suffix":""}],"container-title":"HPB","id":"ITEM-2","issue":"12","issued":{"date-parts":[["2019","12","1"]]},"page":"1697-1706","publisher":"Elsevier B.V.","title":"Expanding the Liver Imaging Reporting and Data System (LI-RADS) v2018 diagnostic population: performance and reliability of LI-RADS for distinguishing hepatocellular carcinoma (HCC) from non-HCC primary liver carcinoma in patients who do not meet strict L","type":"article-journal","volume":"21"},"uris":["http://www.mendeley.com/documents/?uuid=f4bf4f17-19e4-372a-825c-b86b468da665"]}],"mendeley":{"formattedCitation":"[25,26]","plainTextFormattedCitation":"[25,26]","previouslyFormattedCitation":"[25,26]"},"properties":{"noteIndex":0},"schema":"https://github.com/citation-style-language/schema/raw/master/csl-citation.json"}</w:instrText>
      </w:r>
      <w:r w:rsidR="00EC0912" w:rsidRPr="00DF0D90">
        <w:rPr>
          <w:i/>
          <w:color w:val="000000"/>
        </w:rPr>
        <w:fldChar w:fldCharType="separate"/>
      </w:r>
      <w:r w:rsidR="007335C5" w:rsidRPr="00DF0D90">
        <w:rPr>
          <w:noProof/>
          <w:color w:val="000000"/>
        </w:rPr>
        <w:t>[25,26]</w:t>
      </w:r>
      <w:r w:rsidR="00EC0912" w:rsidRPr="00DF0D90">
        <w:rPr>
          <w:i/>
          <w:color w:val="000000"/>
        </w:rPr>
        <w:fldChar w:fldCharType="end"/>
      </w:r>
      <w:r w:rsidRPr="00DF0D90">
        <w:rPr>
          <w:i/>
          <w:color w:val="000000"/>
        </w:rPr>
        <w:t>.</w:t>
      </w:r>
    </w:p>
    <w:p w14:paraId="502F827A" w14:textId="77777777" w:rsidR="00267C50" w:rsidRPr="00DF0D90" w:rsidRDefault="00267C50" w:rsidP="006D217F">
      <w:pPr>
        <w:pStyle w:val="a"/>
        <w:spacing w:before="0" w:after="120" w:line="360" w:lineRule="auto"/>
        <w:ind w:firstLine="567"/>
        <w:jc w:val="both"/>
        <w:rPr>
          <w:lang w:val="ru-RU"/>
        </w:rPr>
      </w:pPr>
      <w:r w:rsidRPr="00DF0D90">
        <w:rPr>
          <w:b/>
        </w:rPr>
        <w:t>Рекомендуется</w:t>
      </w:r>
      <w:r w:rsidRPr="00DF0D90">
        <w:t xml:space="preserve"> пациентам с ГЦР</w:t>
      </w:r>
      <w:r w:rsidR="006F121D" w:rsidRPr="00DF0D90">
        <w:rPr>
          <w:lang w:val="ru-RU"/>
        </w:rPr>
        <w:t xml:space="preserve">, </w:t>
      </w:r>
      <w:r w:rsidRPr="00DF0D90">
        <w:t>получающим специализированное противоопухолевое лечение или находящимся в процессе динамического наблюдения после или в процессе лечения,</w:t>
      </w:r>
      <w:r w:rsidR="00641949" w:rsidRPr="00DF0D90">
        <w:rPr>
          <w:lang w:val="ru-RU"/>
        </w:rPr>
        <w:t xml:space="preserve"> </w:t>
      </w:r>
      <w:r w:rsidRPr="00DF0D90">
        <w:t>выполнить</w:t>
      </w:r>
      <w:r w:rsidR="00641949" w:rsidRPr="00DF0D90">
        <w:rPr>
          <w:lang w:val="ru-RU"/>
        </w:rPr>
        <w:t xml:space="preserve"> </w:t>
      </w:r>
      <w:r w:rsidRPr="00DF0D90">
        <w:rPr>
          <w:bCs/>
        </w:rPr>
        <w:t xml:space="preserve">МРТ брюшной полости </w:t>
      </w:r>
      <w:r w:rsidRPr="00DF0D90">
        <w:t xml:space="preserve">с применением </w:t>
      </w:r>
      <w:proofErr w:type="spellStart"/>
      <w:r w:rsidRPr="00DF0D90">
        <w:rPr>
          <w:color w:val="auto"/>
        </w:rPr>
        <w:t>гепатоспецифического</w:t>
      </w:r>
      <w:proofErr w:type="spellEnd"/>
      <w:r w:rsidR="00641949" w:rsidRPr="00DF0D90">
        <w:rPr>
          <w:color w:val="auto"/>
          <w:lang w:val="ru-RU"/>
        </w:rPr>
        <w:t xml:space="preserve"> </w:t>
      </w:r>
      <w:r w:rsidRPr="00DF0D90">
        <w:t>контрастного препарата (</w:t>
      </w:r>
      <w:proofErr w:type="spellStart"/>
      <w:r w:rsidRPr="00DF0D90">
        <w:t>гадоксетовой</w:t>
      </w:r>
      <w:proofErr w:type="spellEnd"/>
      <w:r w:rsidRPr="00DF0D90">
        <w:t xml:space="preserve"> кислоты**) для</w:t>
      </w:r>
      <w:r w:rsidR="00641949" w:rsidRPr="00DF0D90">
        <w:rPr>
          <w:lang w:val="ru-RU"/>
        </w:rPr>
        <w:t xml:space="preserve"> </w:t>
      </w:r>
      <w:r w:rsidRPr="00DF0D90">
        <w:t>контроля эффективности лечения</w:t>
      </w:r>
      <w:r w:rsidR="00EC0912" w:rsidRPr="00DF0D90">
        <w:rPr>
          <w:lang w:val="ru-RU"/>
        </w:rPr>
        <w:t xml:space="preserve"> </w:t>
      </w:r>
      <w:r w:rsidR="00EC0912" w:rsidRPr="00DF0D90">
        <w:rPr>
          <w:lang w:val="ru-RU"/>
        </w:rPr>
        <w:fldChar w:fldCharType="begin" w:fldLock="1"/>
      </w:r>
      <w:r w:rsidR="007335C5" w:rsidRPr="00DF0D90">
        <w:rPr>
          <w:lang w:val="ru-RU"/>
        </w:rPr>
        <w:instrText>ADDIN CSL_CITATION {"citationItems":[{"id":"ITEM-1","itemData":{"DOI":"10.1148/radiol.2020190639","ISSN":"15271315","PMID":"32013789","abstract":"Background: The impact on survival of gadoxetic acid–enhanced MRI in addition to multiphase contrast material–enhanced CT for initial staging in patients with hepatocellular carcinoma (HCC) is unknown. Purpose: To compare all-cause mortality in patients with HCC who underwent CT only, CT plus non–gadoxetic acid–enhanced MRI, or CT plus gadoxetic acid–enhanced MRI as part of their initial diagnostic work-up. Materials and Methods: The authors performed a nationwide retrospective cohort study of patients diagnosed with HCC in South Korea between January 2008 and December 2010. Follow-up extended through December 2014. The primary outcome was all-cause mortality. Cox proportional hazards regression model with adjustment of confounding factors was used to estimate hazard ratios (HRs) for all-cause mortality. Results: Among 30 023 patients with HCC (mean age 6 standard deviation, 58.5 years 6 10.7, 23 978 men), the proportions of patients in whom HCC was diagnosed using CT only, CT plus non–gadoxetic acid–enhanced MRI, and CT plus gadoxetic acid–enhanced MRI were 56.1%, 12.9%, and 31.0%, respectively. In adjusted analysis using CT only as the reference category, the HR for mortality for CT plus gadoxetic acid–enhanced MRI was 0.64 (95% confidence interval [CI]: 0.62, 0.67; P , .001), and the HR for CT plus non–gadoxetic acid–enhanced MRI was 0.71 (95% CI: 0.68, 0.75; P , .001). Use of CT plus gadoxetic acid–enhanced MRI was associated with lower mortality compared with CT plus non–gadoxetic acid–enhanced MRI (adjusted HR, 0.90; 95% CI: 0.85, 0.95; P , .001), but this survival advantage was restricted to patients with localized disease. Conclusion: In patients with hepatocellular carcinoma, additional use of contrast-enhanced MRI was associated with lower mortality. Furthermore, CT plus gadoxetic acid–enhanced MRI was associated with better survival than CT plus non–gadoxetic acid–enhanced MRI but only in patients with localized disease.","author":[{"dropping-particle":"","family":"Kang","given":"Tae Wook","non-dropping-particle":"","parse-names":false,"suffix":""},{"dropping-particle":"","family":"Kong","given":"Sun Young","non-dropping-particle":"","parse-names":false,"suffix":""},{"dropping-particle":"","family":"Kang","given":"Danbee","non-dropping-particle":"","parse-names":false,"suffix":""},{"dropping-particle":"","family":"Kang","given":"Min Woong","non-dropping-particle":"","parse-names":false,"suffix":""},{"dropping-particle":"","family":"Kim","given":"Young Kon","non-dropping-particle":"","parse-names":false,"suffix":""},{"dropping-particle":"","family":"Kim","given":"Seong Hyun","non-dropping-particle":"","parse-names":false,"suffix":""},{"dropping-particle":"","family":"Sinn","given":"Dong Hyun","non-dropping-particle":"","parse-names":false,"suffix":""},{"dropping-particle":"","family":"Kim","given":"Young Ae","non-dropping-particle":"","parse-names":false,"suffix":""},{"dropping-particle":"","family":"Choi","given":"Kui Son","non-dropping-particle":"","parse-names":false,"suffix":""},{"dropping-particle":"","family":"Lee","given":"Eun Sook","non-dropping-particle":"","parse-names":false,"suffix":""},{"dropping-particle":"","family":"Woo","given":"Sang Myung","non-dropping-particle":"","parse-names":false,"suffix":""},{"dropping-particle":"","family":"Back","given":"Joung Hwan","non-dropping-particle":"","parse-names":false,"suffix":""},{"dropping-particle":"","family":"Guallar","given":"Eliseo","non-dropping-particle":"","parse-names":false,"suffix":""},{"dropping-particle":"","family":"Cho","given":"Juhee","non-dropping-particle":"","parse-names":false,"suffix":""}],"container-title":"Radiology","id":"ITEM-1","issue":"1","issued":{"date-parts":[["2020","4"]]},"page":"114-124","title":"Use of gadoxetic acid–enhanced liver MRI and mortality in more than 30000 patients with hepatocellular Carcinoma: A nationwide analysis","type":"article-journal","volume":"295"},"uris":["http://www.mendeley.com/documents/?uuid=442e6590-61f8-3c96-8e7e-545f473e3fca"]},{"id":"ITEM-2","itemData":{"DOI":"10.1148/radiol.14132362","ISSN":"15271315","PMID":"25247563","abstract":"Computed tomography (CT) and magnetic resonance (MR) imaging play critical roles in the diagnosis and staging of hepatocellular carcinoma (HCC). The second article of this two-part review discusses basic concepts of diagnosis and staging, reviews the diagnostic performance of CT and MR imaging with extracellular contrast agents and of MR imaging with hepatobiliary contrast agents, and examines in depth the major and ancillary imaging features used in the diagnosis and characterization of HCC.","author":[{"dropping-particle":"","family":"Choi","given":"Jin Young","non-dropping-particle":"","parse-names":false,"suffix":""},{"dropping-particle":"","family":"Lee","given":"Jeong Min","non-dropping-particle":"","parse-names":false,"suffix":""},{"dropping-particle":"","family":"Sirlin","given":"Claude B.","non-dropping-particle":"","parse-names":false,"suffix":""}],"container-title":"Radiology","id":"ITEM-2","issue":"1","issued":{"date-parts":[["2014","10"]]},"page":"30-50","title":"CT and MR imaging diagnosis and staging of hepatocellular carcinoma. Part II. Extracellular agents, hepatobiliary agents, and ancillary imaging features","type":"article","volume":"273"},"uris":["http://www.mendeley.com/documents/?uuid=4dc5aeb9-54b4-3049-8483-2c2b6f304cf5"]},{"id":"ITEM-3","itemData":{"DOI":"10.1148/radiol.14140690","ISSN":"15271315","PMID":"25559230","abstract":"Purpose: To perform a systematic review and meta-analysis of the diagnostic performance of computed tomography (CT) and magnetic resonance (MR) imaging as noninvasive modalities for evaluating hepatocellular carcinoma (HCC) in patients with chronic liver disease. Materials and Methods: A search of the MEDLINE, EMBASE, and Cochrane Library databases was performed to identify studies providing per-patient or per-lesion diagnostic accuracies of multidetector CT and MR imaging for HCCs in patients with chronic liver disease. Studies published from January 2000 to December 2012 that used a reference standard based on histopathologic findings and/or findings at followup were included. Summary estimates of diagnostic accuracy were obtained by using a random-effects model with further exploration with meta-regression and subgroup analyses. Results: Forty studies (six on multidetector CT, 22 on MR imaging, and 12 on both CT and MR imaging) were included. The studies evaluated a total of 1135 patients with multidetector CT and 2489 patients with MR imaging. The overall per-patient sensitivity of MR imaging was 88% (95% confidence interval [CI]: 83%, 92%), with a specificity of 94% (95% CI: 85%, 98%). The overall per-lesion sensitivity of MR imaging was higher than that of multidetector CT when the paired data of the 11 available studies were pooled (80% vs 68%, P =.0023). Gadoxetic acid-enhanced MR imaging showed significantly higher per-lesion sensitivity than MR imaging performed with other contrast agents (87% vs 74%, P =.03). Per-lesion sensitivity was significantly lower for HCCs smaller than 1 cm than that for HCCs 1 cm or larger (P","author":[{"dropping-particle":"","family":"Lee","given":"Yoon Jin","non-dropping-particle":"","parse-names":false,"suffix":""},{"dropping-particle":"","family":"Lee","given":"Jeong Min","non-dropping-particle":"","parse-names":false,"suffix":""},{"dropping-particle":"","family":"Lee","given":"Ji Sung","non-dropping-particle":"","parse-names":false,"suffix":""},{"dropping-particle":"","family":"Lee","given":"Hwa Young","non-dropping-particle":"","parse-names":false,"suffix":""},{"dropping-particle":"","family":"Park","given":"Bo Hyun","non-dropping-particle":"","parse-names":false,"suffix":""},{"dropping-particle":"","family":"Kim","given":"Young Hoon","non-dropping-particle":"","parse-names":false,"suffix":""},{"dropping-particle":"","family":"Han","given":"Joon Koo","non-dropping-particle":"","parse-names":false,"suffix":""},{"dropping-particle":"","family":"Choi","given":"Byung Ihn","non-dropping-particle":"","parse-names":false,"suffix":""}],"container-title":"Radiology","id":"ITEM-3","issue":"1","issued":{"date-parts":[["2015","4","1"]]},"page":"97-109","publisher":"Radiological Society of North America Inc.","title":"Hepatocellular carcinoma: Diagnostic performance of multidetector CT and MR imaging-a systematic review and meta-analysis","type":"article-journal","volume":"275"},"uris":["http://www.mendeley.com/documents/?uuid=d6be7390-c3de-31be-b292-6a6dc733bf37"]},{"id":"ITEM-4","itemData":{"DOI":"10.1007/s10620-015-3989-x","ISSN":"15732568","PMID":"26668057","abstract":"Background: For patients with hepatocellular carcinoma (HCC), gadoxetic acid-enhanced magnetic resonance imaging (EOB-MRI) improved the diagnosis, migrated Barcelona Clinic Liver Cancer (BCLC) stage, and changed therapeutic decision in retrospective analysis. Aim: This prospective study was to evaluate the clinical impact of EOB-MRI on HCC management. Methods: From September 2012 to February 2014, consecutive patients with suspicion of HCC in BCLC early stage by multidetector computed tomography or dynamic MRI with non-specific gadolinium, well liver function reserve, and admitted for resection evaluation were enrolled prospectively. Additional EOB-MRI was performed. The HCC diagnosis, BCLC staging, and treatment decision were obtained in a liver cancer conference. EOB-MRI impact on HCC management was analyzed. Results: One hundred and three patients including 68 with typical and 35 with atypical HCC nodules in dynamic imaging studies were enrolled. EOB-MRI characterized 3 (4.4 %) benign and 33 (94.3 %) HCC for patients with typical and atypical HCC nodules, respectively. For 90 HCC patients, additional EOB-MRI changed BCLC stage in 25 (27.8 %) and treatment decision in 17 (18.9 %) patients. There were 66 patients with 78 resected nodules including 65 HCCs, 4 intrahepatic cholangiocarcinomas, and 9 benign nodules. Dynamic study and EOB-MRI detected and characterized 69 and 77 nodules, respectively. The sensitivity and accuracy in HCC diagnosis were 98.5 and 85.7 % for EOB-MRI, which were better than those of dynamic study (p &lt; 0.001). Conclusions: Additional EOB-MRI improved HCC diagnosis in sensitivity, accuracy but not specificity. It changed BCLC staging and treatment decision in 27.8 and 18.9 % of early-stage HCC patients.","author":[{"dropping-particle":"","family":"Wang","given":"Jing Houng","non-dropping-particle":"","parse-names":false,"suffix":""},{"dropping-particle":"","family":"Chen","given":"Tai Yi","non-dropping-particle":"","parse-names":false,"suffix":""},{"dropping-particle":"","family":"Ou","given":"Hsin You","non-dropping-particle":"","parse-names":false,"suffix":""},{"dropping-particle":"","family":"Wang","given":"Chih Chi","non-dropping-particle":"","parse-names":false,"suffix":""},{"dropping-particle":"","family":"Liu","given":"Yueh Wei","non-dropping-particle":"","parse-names":false,"suffix":""},{"dropping-particle":"","family":"Hung","given":"Chao Hung","non-dropping-particle":"","parse-names":false,"suffix":""},{"dropping-particle":"","family":"Chen","given":"Chien Hung","non-dropping-particle":"","parse-names":false,"suffix":""},{"dropping-particle":"","family":"Kuo","given":"Chung Huang","non-dropping-particle":"","parse-names":false,"suffix":""},{"dropping-particle":"","family":"Hu","given":"Tsung Hui","non-dropping-particle":"","parse-names":false,"suffix":""},{"dropping-particle":"","family":"Cheng","given":"Yu Fan","non-dropping-particle":"","parse-names":false,"suffix":""},{"dropping-particle":"","family":"Lu","given":"Sheng Nan","non-dropping-particle":"","parse-names":false,"suffix":""}],"container-title":"Digestive Diseases and Sciences","id":"ITEM-4","issue":"4","issued":{"date-parts":[["2016","4","14"]]},"page":"1197-1205","title":"Clinical Impact of Gadoxetic Acid-Enhanced Magnetic Resonance Imaging on Hepatoma Management: A Prospective Study","type":"article-journal","volume":"61"},"uris":["http://www.mendeley.com/documents/?uuid=0c0beba4-4651-3770-8b20-fe73f272a151"]},{"id":"ITEM-5","itemData":{"DOI":"10.1002/lt.24867","ISSN":"15276473","PMID":"28886231","abstract":"Early detection of small hepatocellular carcinoma (HCC) lesions can improve longterm patient survival. A systematic review and meta-analysis of the diagnostic performance of gadoxetic acid disodium (Gd-EOB-DTPA)–enhanced magnetic resonance imaging (MRI) and multidetector computed tomography (MDCT) was performed in diagnosing small HCCs measuring up to 2 cm (≤2 cm). Two investigators searched multiple databases for studies in which the performances of either Gd-EOB-DTPA–enhanced MRI or MDCT were reported with sufficient data to construct 2 × 2 contingency tables for diagnosing HCCs up to 2 cm on a per-lesion or per-patient level. Diagnostic performances were quantitatively pooled by a bivariate random-effect model with further meta-regression and subgroup analyses. A total of 27 studies (14 on Gd-EOB-DTPA–enhanced MRI, 9 on MDCT, and 4 on both) were included, enrolling a total of 1735 patients on Gd-EOB-DTPA–enhanced MRI and 1781 patients on MDCT. Gd-EOB-DTPA–enhanced MRI demonstrated significantly higher overall sensitivity than did MDCT (0.96 versus 0.65; P &lt; 0.01), without substantial loss of specificity (0.94 versus 0.98; P &gt; 0.05). Area under the summary receiver operating characteristic curve was 0.97 with Gd-EOB-DTPA–enhanced MRI and 0.85 with MDCT. Regarding Gd-EOB-DTPA–enhanced MRI, sensitivity was significantly higher for studies from non-Asian countries than Asian countries (0.96 versus 0.93; P &lt; 0.01), for retrospective studies than prospective studies (0.95 versus 0.91; P &lt; 0.01), and for those with Gd-EOB-DTPA injection rate ≥ 1.5 mL/s than that of &lt;1.5 mL/s (0.97 versus 0.90; P &lt; 0.01). In conclusion, Gd-EOB-DTPA–enhanced MRI demonstrated higher sensitivity and overall diagnostic accuracy than MDCT, and thus should be the preferred imaging modality for diagnosing small HCCs measuring up to 2 cm. Liver Transplantation 23 1505–1518 2017 AASLD.","author":[{"dropping-particle":"","family":"Liu","given":"Xijiao","non-dropping-particle":"","parse-names":false,"suffix":""},{"dropping-particle":"","family":"Jiang","given":"Hanyu","non-dropping-particle":"","parse-names":false,"suffix":""},{"dropping-particle":"","family":"Chen","given":"Jie","non-dropping-particle":"","parse-names":false,"suffix":""},{"dropping-particle":"","family":"Zhou","given":"You","non-dropping-particle":"","parse-names":false,"suffix":""},{"dropping-particle":"","family":"Huang","given":"Zixing","non-dropping-particle":"","parse-names":false,"suffix":""},{"dropping-particle":"","family":"Song","given":"Bin","non-dropping-particle":"","parse-names":false,"suffix":""}],"container-title":"Liver Transplantation","id":"ITEM-5","issue":"12","issued":{"date-parts":[["2017","12"]]},"page":"1505-1518","title":"Gadoxetic acid disodium–enhanced magnetic resonance imaging outperformed multidetector computed tomography in diagnosing small hepatocellular carcinoma: A meta-analysis","type":"article-journal","volume":"23"},"uris":["http://www.mendeley.com/documents/?uuid=d6c2b34e-9e3e-3c70-8987-cd6928632012"]},{"id":"ITEM-6","itemData":{"DOI":"10.1007/s00330-019-06294-6","ISSN":"14321084","PMID":"31250172","abstract":"Aim: The purpose of this study was to determine the relative diagnostic benefit of gadolinium-ethoxybenzyl-diethylenetriamine pentaacetic acid (Gd-EOB-DTPA)–enhanced magnetic resonance imaging (MRI) over contrast-enhanced multi-detector computed tomography (CEMDCT) for the detection of hepatocellular carcinoma (HCC). Methods: Two investigators searched multiple databases from inception to January 8, 2019, for studies comparing Gd-EOB-DTPA-enhanced MRI with CEMDCT in adults suspected of HCC. Two reviewers independently selected studies and extracted data. Results: Eight studies were included enrolling 498 patients. MRI showed significantly higher sensitivity than CT (0.85 vs. 0.68). There was no significant difference in the specificity of MRI and CT (0.94 vs. 0.93). The negative likelihood ratio and positive likelihood ratio of MRI and CT were not significantly different (0.16 vs. 0.15 and 14.7 vs. 11.2, respectively). The summary receiver operating characteristics (SROC) of MRI was higher than that of CT at 0.96 vs. 0.91. In the subgroup analysis with a lesion diameter below 2 cm, the sensitivity of MRI was significantly higher than that of CT (0.79 vs. 0.46). Conclusion: Gd-EOB-DTPA-enhanced MRI showed higher sensitivity and overall diagnostic accuracy than CEMDCT especially for hepatocellular carcinoma lesions smaller than 2 cm. Key Points: • Gd-EOB-DTPA-enhanced MRI can detect small lesions of hepatocellular carcinoma. • Gd-EOB-DTPA-enhanced MRI showed higher sensitivity and overall diagnostic accuracy than CEMDCT in patients with hepatocellular carcinoma. • Eight prospective studies showed that Gd-EOB-DTPA-enhanced MRI provides greater diagnostic confidence.","author":[{"dropping-particle":"","family":"Li","given":"Jiangfa","non-dropping-particle":"","parse-names":false,"suffix":""},{"dropping-particle":"","family":"Wang","given":"Jiming","non-dropping-particle":"","parse-names":false,"suffix":""},{"dropping-particle":"","family":"Lei","given":"Liping","non-dropping-particle":"","parse-names":false,"suffix":""},{"dropping-particle":"","family":"Yuan","given":"Guandou","non-dropping-particle":"","parse-names":false,"suffix":""},{"dropping-particle":"","family":"He","given":"Songqing","non-dropping-particle":"","parse-names":false,"suffix":""}],"container-title":"European Radiology","id":"ITEM-6","issue":"12","issued":{"date-parts":[["2019","12","27"]]},"page":"6519-6528","title":"The diagnostic performance of gadoxetic acid disodium-enhanced magnetic resonance imaging and contrast-enhanced multi-detector computed tomography in detecting hepatocellular carcinoma: a meta-analysis of eight prospective studies","type":"article","volume":"29"},"uris":["http://www.mendeley.com/documents/?uuid=e8227645-c703-3fdc-b115-f709f211e82d"]},{"id":"ITEM-7","itemData":{"DOI":"10.1007/s00261-016-0807-7","ISSN":"23660058","PMID":"27318936","abstract":"The purpose of this study was to directly (head-to-head) compare the per-lesion diagnostic performance of contrast-enhanced computed tomography (CT) (also referred to as CT hereafter) and gadoxetic acid disodium (Gd-EOB-DTPA)-enhanced magnetic resonance (MR) imaging (also referred to as MRI hereafter) for the detection of hepatocellular carcinoma (HCC). Studies reporting direct per-lesion comparison data of contrast-enhanced multidetector CT and Gd-EOB-DTPA-enhanced MR imaging that were published between January 2000 and January 2015 were analyzed. The data of each study were extracted. Systematic review, paired meta-analysis, and subgroup analysis were performed. Twelve studies including 627 patients and 793 HCC lesions were analyzed. The sensitivity estimates of MRI and CT were, respectively, 0.86 (95% CI 0.76–0.93) and 0.70 (95% CI 0.58–0.80), with significant difference (P &lt; 0.05). The sensitivity estimates were both 0.94 (95% CI 0.92–0.96) (Chi-square 4.84, degrees of freedom = 1, P &gt; 0.05). In all subgroups, Gd-EOB-DTPA-enhanced MR imaging was more sensitive than multidetector CT for the detection of HCC, and specificity estimates of both tests maintained at a similarly high level in all conditions: sensitivity estimates of both tests were reduced in studies where patients were diagnosed with HCC solely by liver explant or in those where HCC lesions were small (≤2 cm, especially when ≤1 cm). But in all situations, sensitivities of MRI were higher than those of CT with or without significance. Gd-EOB-DTPA-enhanced MR imaging showed better per-lesion diagnostic performance than multidetector CT for the diagnosis of HCC in patients with cirrhosis and in small hepatic lesions.","author":[{"dropping-particle":"","family":"Guo","given":"Jin","non-dropping-particle":"","parse-names":false,"suffix":""},{"dropping-particle":"","family":"Seo","given":"Youngkwon","non-dropping-particle":"","parse-names":false,"suffix":""},{"dropping-particle":"","family":"Ren","given":"Shuo","non-dropping-particle":"","parse-names":false,"suffix":""},{"dropping-particle":"","family":"Hong","given":"Sunwoo","non-dropping-particle":"","parse-names":false,"suffix":""},{"dropping-particle":"","family":"Lee","given":"Dongki","non-dropping-particle":"","parse-names":false,"suffix":""},{"dropping-particle":"","family":"Kim","given":"Soyoun","non-dropping-particle":"","parse-names":false,"suffix":""},{"dropping-particle":"","family":"Jiang","given":"Yuanyuan","non-dropping-particle":"","parse-names":false,"suffix":""}],"container-title":"Abdominal Radiology","id":"ITEM-7","issue":"10","issued":{"date-parts":[["2016","10","1"]]},"page":"1960-1972","publisher":"Springer New York LLC","title":"Diagnostic performance of contrast-enhanced multidetector computed tomography and gadoxetic acid disodium-enhanced magnetic resonance imaging in detecting hepatocellular carcinoma: direct comparison and a meta-analysis","type":"article-journal","volume":"41"},"uris":["http://www.mendeley.com/documents/?uuid=4099462c-5096-3b44-8c46-331e838b2323"]}],"mendeley":{"formattedCitation":"[18–23,27]","plainTextFormattedCitation":"[18–23,27]","previouslyFormattedCitation":"[18–23,27]"},"properties":{"noteIndex":0},"schema":"https://github.com/citation-style-language/schema/raw/master/csl-citation.json"}</w:instrText>
      </w:r>
      <w:r w:rsidR="00EC0912" w:rsidRPr="00DF0D90">
        <w:rPr>
          <w:lang w:val="ru-RU"/>
        </w:rPr>
        <w:fldChar w:fldCharType="separate"/>
      </w:r>
      <w:r w:rsidR="007335C5" w:rsidRPr="00DF0D90">
        <w:rPr>
          <w:noProof/>
          <w:lang w:val="ru-RU"/>
        </w:rPr>
        <w:t>[18–23,27]</w:t>
      </w:r>
      <w:r w:rsidR="00EC0912" w:rsidRPr="00DF0D90">
        <w:rPr>
          <w:lang w:val="ru-RU"/>
        </w:rPr>
        <w:fldChar w:fldCharType="end"/>
      </w:r>
      <w:r w:rsidRPr="00DF0D90">
        <w:t>.</w:t>
      </w:r>
    </w:p>
    <w:p w14:paraId="49AD5903" w14:textId="77777777" w:rsidR="00267C50" w:rsidRPr="00DF0D90" w:rsidRDefault="00AB47DB" w:rsidP="00E86998">
      <w:pPr>
        <w:pStyle w:val="afa"/>
        <w:spacing w:after="120" w:line="360" w:lineRule="auto"/>
        <w:jc w:val="both"/>
      </w:pPr>
      <w:r w:rsidRPr="00DF0D90">
        <w:rPr>
          <w:rFonts w:eastAsia="Times New Roman"/>
        </w:rPr>
        <w:t>Уровень убедительности рекомендаций – А (уровень достоверности доказательств – 1 ).</w:t>
      </w:r>
    </w:p>
    <w:p w14:paraId="1A3CA800" w14:textId="5CE43B67" w:rsidR="00267C50" w:rsidRPr="00DF0D90" w:rsidRDefault="00267C50" w:rsidP="00E86998">
      <w:pPr>
        <w:spacing w:after="120" w:line="360" w:lineRule="auto"/>
        <w:jc w:val="both"/>
        <w:rPr>
          <w:i/>
        </w:rPr>
      </w:pPr>
      <w:r w:rsidRPr="00DF0D90">
        <w:rPr>
          <w:b/>
          <w:i/>
        </w:rPr>
        <w:t>Комментарий:</w:t>
      </w:r>
      <w:r w:rsidRPr="00DF0D90">
        <w:rPr>
          <w:b/>
        </w:rPr>
        <w:t xml:space="preserve"> </w:t>
      </w:r>
      <w:r w:rsidR="007335C5" w:rsidRPr="00DF0D90">
        <w:rPr>
          <w:bCs/>
          <w:i/>
          <w:iCs/>
        </w:rPr>
        <w:t>п</w:t>
      </w:r>
      <w:r w:rsidRPr="00DF0D90">
        <w:rPr>
          <w:bCs/>
          <w:i/>
          <w:iCs/>
        </w:rPr>
        <w:t>ри</w:t>
      </w:r>
      <w:r w:rsidRPr="00DF0D90">
        <w:rPr>
          <w:i/>
        </w:rPr>
        <w:t xml:space="preserve">менение МРТ с </w:t>
      </w:r>
      <w:proofErr w:type="spellStart"/>
      <w:r w:rsidRPr="00DF0D90">
        <w:rPr>
          <w:i/>
        </w:rPr>
        <w:t>гадоксетовой</w:t>
      </w:r>
      <w:proofErr w:type="spellEnd"/>
      <w:r w:rsidRPr="00DF0D90">
        <w:rPr>
          <w:i/>
        </w:rPr>
        <w:t xml:space="preserve"> кислотой демонстрирует наиболее высокие значения чувствительности, специфичности и точности в выявлении и дифференциальной диагностике ГЦР по сравнению с КТ с внутривенным контрастированием и МРТ с внутривенным контрастированием с использованием </w:t>
      </w:r>
      <w:proofErr w:type="spellStart"/>
      <w:r w:rsidRPr="00DF0D90">
        <w:rPr>
          <w:i/>
        </w:rPr>
        <w:t>экстрацеллюлярных</w:t>
      </w:r>
      <w:proofErr w:type="spellEnd"/>
      <w:r w:rsidRPr="00DF0D90">
        <w:rPr>
          <w:i/>
        </w:rPr>
        <w:t xml:space="preserve"> контрастных препаратов, позволяя тем самым выбрать </w:t>
      </w:r>
      <w:r w:rsidRPr="00DF0D90">
        <w:rPr>
          <w:i/>
        </w:rPr>
        <w:lastRenderedPageBreak/>
        <w:t xml:space="preserve">оптимальную тактику лечения пациентов, а также повлиять на снижение частоты рецидивов и количество смертельных исходов. </w:t>
      </w:r>
    </w:p>
    <w:p w14:paraId="2405CEA9" w14:textId="77777777" w:rsidR="00630BAC" w:rsidRPr="00DF0D90" w:rsidRDefault="00630BAC" w:rsidP="006D217F">
      <w:pPr>
        <w:pStyle w:val="a"/>
        <w:spacing w:before="0" w:after="120" w:line="360" w:lineRule="auto"/>
        <w:ind w:firstLine="567"/>
        <w:jc w:val="both"/>
      </w:pPr>
      <w:r w:rsidRPr="00DF0D90">
        <w:rPr>
          <w:b/>
        </w:rPr>
        <w:t>Рекомендуется</w:t>
      </w:r>
      <w:r w:rsidRPr="00DF0D90">
        <w:t xml:space="preserve"> пациентам с подозрением на ГЦР или установленным диагнозом ГЦР, </w:t>
      </w:r>
      <w:r w:rsidR="00C956AA" w:rsidRPr="00DF0D90">
        <w:t xml:space="preserve">а также </w:t>
      </w:r>
      <w:r w:rsidRPr="00DF0D90">
        <w:t>получающим специализированное противоопухолевое лечение или находящимся в процессе динамического наблюдения после лечения,</w:t>
      </w:r>
      <w:r w:rsidR="007335C5" w:rsidRPr="00DF0D90">
        <w:rPr>
          <w:lang w:val="ru-RU"/>
        </w:rPr>
        <w:t xml:space="preserve"> </w:t>
      </w:r>
      <w:r w:rsidRPr="00DF0D90">
        <w:t>выполнить КТ органов грудной клетки, брюшной полости и малого таза для исключения внепеченочных проявлений опухоли</w:t>
      </w:r>
      <w:r w:rsidR="00C956AA" w:rsidRPr="00DF0D90">
        <w:t>, контроля эффективности лечения</w:t>
      </w:r>
      <w:r w:rsidR="00EC0912" w:rsidRPr="00DF0D90">
        <w:rPr>
          <w:lang w:val="ru-RU"/>
        </w:rPr>
        <w:t xml:space="preserve"> </w:t>
      </w:r>
      <w:r w:rsidR="00EC0912" w:rsidRPr="00DF0D90">
        <w:rPr>
          <w:lang w:val="ru-RU"/>
        </w:rPr>
        <w:fldChar w:fldCharType="begin" w:fldLock="1"/>
      </w:r>
      <w:r w:rsidR="007335C5" w:rsidRPr="00DF0D90">
        <w:rPr>
          <w:lang w:val="ru-RU"/>
        </w:rPr>
        <w:instrText>ADDIN CSL_CITATION {"citationItems":[{"id":"ITEM-1","itemData":{"author":[{"dropping-particle":"","family":"NCCN","given":"","non-dropping-particle":"","parse-names":false,"suffix":""}],"id":"ITEM-1","issued":{"date-parts":[["2021"]]},"title":"Clinical Practice Guidelines in Oncology. Hepatobiliary Cancers, version 4.2021","type":"article-journal"},"uris":["http://www.mendeley.com/documents/?uuid=db314d5f-b05a-4fec-a403-5589c18d9ebd"]},{"id":"ITEM-2","itemData":{"DOI":"10.1148/radiology.216.3.r00se24698","ISSN":"0033-8419","author":[{"dropping-particle":"","family":"Katyal","given":"Sanjeev","non-dropping-particle":"","parse-names":false,"suffix":""},{"dropping-particle":"","family":"Oliver","given":"James H.","non-dropping-particle":"","parse-names":false,"suffix":""},{"dropping-particle":"","family":"Peterson","given":"Mark S.","non-dropping-particle":"","parse-names":false,"suffix":""},{"dropping-particle":"V.","family":"Ferris","given":"James","non-dropping-particle":"","parse-names":false,"suffix":""},{"dropping-particle":"","family":"Carr","given":"Brian S.","non-dropping-particle":"","parse-names":false,"suffix":""},{"dropping-particle":"","family":"Baron","given":"Richard L.","non-dropping-particle":"","parse-names":false,"suffix":""}],"container-title":"Radiology","id":"ITEM-2","issue":"3","issued":{"date-parts":[["2000","9"]]},"page":"698-703","title":"Extrahepatic Metastases of Hepatocellular Carcinoma","type":"article-journal","volume":"216"},"uris":["http://www.mendeley.com/documents/?uuid=b04fcda5-119d-4959-90f7-3f0ee07ce5ff"]}],"mendeley":{"formattedCitation":"[14,28]","plainTextFormattedCitation":"[14,28]","previouslyFormattedCitation":"[14,28]"},"properties":{"noteIndex":0},"schema":"https://github.com/citation-style-language/schema/raw/master/csl-citation.json"}</w:instrText>
      </w:r>
      <w:r w:rsidR="00EC0912" w:rsidRPr="00DF0D90">
        <w:rPr>
          <w:lang w:val="ru-RU"/>
        </w:rPr>
        <w:fldChar w:fldCharType="separate"/>
      </w:r>
      <w:r w:rsidR="007335C5" w:rsidRPr="00DF0D90">
        <w:rPr>
          <w:noProof/>
          <w:lang w:val="ru-RU"/>
        </w:rPr>
        <w:t>[14,28]</w:t>
      </w:r>
      <w:r w:rsidR="00EC0912" w:rsidRPr="00DF0D90">
        <w:rPr>
          <w:lang w:val="ru-RU"/>
        </w:rPr>
        <w:fldChar w:fldCharType="end"/>
      </w:r>
      <w:r w:rsidRPr="00DF0D90">
        <w:t>.</w:t>
      </w:r>
    </w:p>
    <w:p w14:paraId="0DD5E7E3" w14:textId="77777777" w:rsidR="00630BAC" w:rsidRPr="00DF0D90" w:rsidRDefault="00630BAC" w:rsidP="00E86998">
      <w:pPr>
        <w:pStyle w:val="afa"/>
        <w:spacing w:after="120" w:line="360" w:lineRule="auto"/>
        <w:jc w:val="both"/>
      </w:pPr>
      <w:r w:rsidRPr="00DF0D90">
        <w:t>Уровень убедительности рекомендаций – С (уровень достоверности доказательств – 4).</w:t>
      </w:r>
    </w:p>
    <w:p w14:paraId="622DB5AC" w14:textId="77777777" w:rsidR="00630BAC" w:rsidRPr="00DF0D90" w:rsidRDefault="00630BAC" w:rsidP="006D217F">
      <w:pPr>
        <w:pStyle w:val="a"/>
        <w:spacing w:before="0" w:after="120" w:line="360" w:lineRule="auto"/>
        <w:ind w:firstLine="567"/>
        <w:jc w:val="both"/>
      </w:pPr>
      <w:r w:rsidRPr="00DF0D90">
        <w:rPr>
          <w:b/>
        </w:rPr>
        <w:t>Рекомендуется</w:t>
      </w:r>
      <w:r w:rsidR="008B0CF8" w:rsidRPr="00DF0D90">
        <w:rPr>
          <w:b/>
          <w:lang w:val="ru-RU"/>
        </w:rPr>
        <w:t xml:space="preserve"> </w:t>
      </w:r>
      <w:r w:rsidRPr="00DF0D90">
        <w:t xml:space="preserve">пациентам с установленным диагнозом ГЦР, </w:t>
      </w:r>
      <w:r w:rsidR="00C956AA" w:rsidRPr="00DF0D90">
        <w:t xml:space="preserve">а также </w:t>
      </w:r>
      <w:r w:rsidRPr="00DF0D90">
        <w:t>получающим специализированное противоопухолевое лечение или находящимся в процессе динамического наблюдения после лечения,</w:t>
      </w:r>
      <w:r w:rsidR="007335C5" w:rsidRPr="00DF0D90">
        <w:rPr>
          <w:lang w:val="ru-RU"/>
        </w:rPr>
        <w:t xml:space="preserve"> </w:t>
      </w:r>
      <w:r w:rsidRPr="00DF0D90">
        <w:t xml:space="preserve">выполнить </w:t>
      </w:r>
      <w:proofErr w:type="spellStart"/>
      <w:r w:rsidRPr="00DF0D90">
        <w:t>остеосцинтиграфию</w:t>
      </w:r>
      <w:proofErr w:type="spellEnd"/>
      <w:r w:rsidRPr="00DF0D90">
        <w:t xml:space="preserve"> при наличии болевого синдрома</w:t>
      </w:r>
      <w:r w:rsidR="007335C5" w:rsidRPr="00DF0D90">
        <w:rPr>
          <w:lang w:val="ru-RU"/>
        </w:rPr>
        <w:t xml:space="preserve"> </w:t>
      </w:r>
      <w:r w:rsidR="00DF6F47" w:rsidRPr="00DF0D90">
        <w:t xml:space="preserve">для выявления </w:t>
      </w:r>
      <w:r w:rsidRPr="00DF0D90">
        <w:t>метастатическо</w:t>
      </w:r>
      <w:r w:rsidR="00DF6F47" w:rsidRPr="00DF0D90">
        <w:t>го</w:t>
      </w:r>
      <w:r w:rsidR="007335C5" w:rsidRPr="00DF0D90">
        <w:rPr>
          <w:lang w:val="ru-RU"/>
        </w:rPr>
        <w:t xml:space="preserve"> </w:t>
      </w:r>
      <w:r w:rsidR="00DF6F47" w:rsidRPr="00DF0D90">
        <w:t>поражения</w:t>
      </w:r>
      <w:r w:rsidR="007335C5" w:rsidRPr="00DF0D90">
        <w:rPr>
          <w:lang w:val="ru-RU"/>
        </w:rPr>
        <w:t xml:space="preserve"> </w:t>
      </w:r>
      <w:r w:rsidRPr="00DF0D90">
        <w:t>костей скелета</w:t>
      </w:r>
      <w:r w:rsidR="00C956AA" w:rsidRPr="00DF0D90">
        <w:t>, контроля эффективности лечения</w:t>
      </w:r>
      <w:r w:rsidRPr="00DF0D90">
        <w:t xml:space="preserve"> </w:t>
      </w:r>
      <w:r w:rsidR="00EC0912" w:rsidRPr="00DF0D90">
        <w:fldChar w:fldCharType="begin" w:fldLock="1"/>
      </w:r>
      <w:r w:rsidR="007335C5" w:rsidRPr="00DF0D90">
        <w:instrText>ADDIN CSL_CITATION {"citationItems":[{"id":"ITEM-1","itemData":{"author":[{"dropping-particle":"","family":"NCCN","given":"","non-dropping-particle":"","parse-names":false,"suffix":""}],"id":"ITEM-1","issued":{"date-parts":[["2021"]]},"title":"Clinical Practice Guidelines in Oncology. Hepatobiliary Cancers, version 4.2021","type":"article-journal"},"uris":["http://www.mendeley.com/documents/?uuid=db314d5f-b05a-4fec-a403-5589c18d9ebd"]}],"mendeley":{"formattedCitation":"[14]","plainTextFormattedCitation":"[14]","previouslyFormattedCitation":"[14]"},"properties":{"noteIndex":0},"schema":"https://github.com/citation-style-language/schema/raw/master/csl-citation.json"}</w:instrText>
      </w:r>
      <w:r w:rsidR="00EC0912" w:rsidRPr="00DF0D90">
        <w:fldChar w:fldCharType="separate"/>
      </w:r>
      <w:r w:rsidR="00C34389" w:rsidRPr="00DF0D90">
        <w:rPr>
          <w:noProof/>
        </w:rPr>
        <w:t>[14]</w:t>
      </w:r>
      <w:r w:rsidR="00EC0912" w:rsidRPr="00DF0D90">
        <w:fldChar w:fldCharType="end"/>
      </w:r>
      <w:r w:rsidRPr="00DF0D90">
        <w:t>.</w:t>
      </w:r>
    </w:p>
    <w:p w14:paraId="0E9F68E5" w14:textId="77777777" w:rsidR="00630BAC" w:rsidRPr="00DF0D90" w:rsidRDefault="00630BAC" w:rsidP="00E86998">
      <w:pPr>
        <w:pStyle w:val="afa"/>
        <w:spacing w:after="120" w:line="360" w:lineRule="auto"/>
        <w:jc w:val="both"/>
      </w:pPr>
      <w:r w:rsidRPr="00DF0D90">
        <w:t>Уровень убедительности рекомендаций – С (уровень достоверности доказательств – 5).</w:t>
      </w:r>
    </w:p>
    <w:p w14:paraId="1487D1C4" w14:textId="31516835" w:rsidR="00630BAC" w:rsidRPr="00DF0D90" w:rsidRDefault="00B36192" w:rsidP="006D217F">
      <w:pPr>
        <w:pStyle w:val="a"/>
        <w:spacing w:before="0" w:after="120" w:line="360" w:lineRule="auto"/>
        <w:ind w:firstLine="567"/>
        <w:jc w:val="both"/>
      </w:pPr>
      <w:r w:rsidRPr="00DF0D90">
        <w:t>Для морфологического подтверждения диагноза</w:t>
      </w:r>
      <w:r w:rsidR="007335C5" w:rsidRPr="00DF0D90">
        <w:rPr>
          <w:lang w:val="ru-RU"/>
        </w:rPr>
        <w:t xml:space="preserve"> </w:t>
      </w:r>
      <w:r w:rsidR="0005407D" w:rsidRPr="00DF0D90">
        <w:rPr>
          <w:b/>
        </w:rPr>
        <w:t>рекомендуется</w:t>
      </w:r>
      <w:r w:rsidR="007335C5" w:rsidRPr="00DF0D90">
        <w:rPr>
          <w:b/>
          <w:lang w:val="ru-RU"/>
        </w:rPr>
        <w:t xml:space="preserve"> </w:t>
      </w:r>
      <w:r w:rsidR="00630BAC" w:rsidRPr="00DF0D90">
        <w:t>пациентам с подозрением на ГЦР</w:t>
      </w:r>
      <w:r w:rsidR="007335C5" w:rsidRPr="00DF0D90">
        <w:rPr>
          <w:lang w:val="ru-RU"/>
        </w:rPr>
        <w:t xml:space="preserve"> </w:t>
      </w:r>
      <w:r w:rsidR="00630BAC" w:rsidRPr="00DF0D90">
        <w:t xml:space="preserve">выполнить биопсию </w:t>
      </w:r>
      <w:r w:rsidR="00682F2D">
        <w:rPr>
          <w:lang w:val="ru-RU"/>
        </w:rPr>
        <w:t xml:space="preserve"> печени </w:t>
      </w:r>
      <w:r w:rsidR="00630BAC" w:rsidRPr="00DF0D90">
        <w:t>под контролем УЗИ/КТ</w:t>
      </w:r>
      <w:r w:rsidR="00DF6F47" w:rsidRPr="00DF0D90">
        <w:t xml:space="preserve"> для уточнения диагноза</w:t>
      </w:r>
      <w:r w:rsidR="00EC0912" w:rsidRPr="00DF0D90">
        <w:rPr>
          <w:lang w:val="ru-RU"/>
        </w:rPr>
        <w:t xml:space="preserve"> </w:t>
      </w:r>
      <w:r w:rsidR="007D5EFB" w:rsidRPr="00DF0D90">
        <w:rPr>
          <w:lang w:val="ru-RU"/>
        </w:rPr>
        <w:fldChar w:fldCharType="begin" w:fldLock="1"/>
      </w:r>
      <w:r w:rsidR="007D5EFB" w:rsidRPr="00DF0D90">
        <w:rPr>
          <w:lang w:val="ru-RU"/>
        </w:rPr>
        <w:instrText>ADDIN CSL_CITATION {"citationItems":[{"id":"ITEM-1","itemData":{"DOI":"10.1093/annonc/mdy308","ISSN":"15698041","PMID":"30285213","author":[{"dropping-particle":"","family":"Vogel","given":"A.","non-dropping-particle":"","parse-names":false,"suffix":""},{"dropping-particle":"","family":"Cervantes","given":"A.","non-dropping-particle":"","parse-names":false,"suffix":""},{"dropping-particle":"","family":"Chau","given":"I.","non-dropping-particle":"","parse-names":false,"suffix":""},{"dropping-particle":"","family":"Daniele","given":"B.","non-dropping-particle":"","parse-names":false,"suffix":""},{"dropping-particle":"","family":"Llovet","given":"J.","non-dropping-particle":"","parse-names":false,"suffix":""},{"dropping-particle":"","family":"Meyer","given":"T.","non-dropping-particle":"","parse-names":false,"suffix":""},{"dropping-particle":"","family":"Nault","given":"J. C.","non-dropping-particle":"","parse-names":false,"suffix":""},{"dropping-particle":"","family":"Neumann","given":"U.","non-dropping-particle":"","parse-names":false,"suffix":""},{"dropping-particle":"","family":"Ricke","given":"J.","non-dropping-particle":"","parse-names":false,"suffix":""},{"dropping-particle":"","family":"Sangro","given":"B.","non-dropping-particle":"","parse-names":false,"suffix":""},{"dropping-particle":"","family":"Schirmacher","given":"P.","non-dropping-particle":"","parse-names":false,"suffix":""},{"dropping-particle":"","family":"Verslype","given":"C.","non-dropping-particle":"","parse-names":false,"suffix":""},{"dropping-particle":"","family":"Zech","given":"C. J.","non-dropping-particle":"","parse-names":false,"suffix":""},{"dropping-particle":"","family":"Arnold","given":"D.","non-dropping-particle":"","parse-names":false,"suffix":""},{"dropping-particle":"","family":"Martinelli","given":"E.","non-dropping-particle":"","parse-names":false,"suffix":""}],"container-title":"Annals of Oncology","id":"ITEM-1","issued":{"date-parts":[["2018","10","1"]]},"page":"iv238-iv255","publisher":"Oxford University Press","title":"Hepatocellular carcinoma: ESMO Clinical Practice Guidelines for diagnosis, treatment and follow-up","type":"article-journal","volume":"29"},"uris":["http://www.mendeley.com/documents/?uuid=21b70589-bd16-3bd9-b432-9f2042108c3b"]},{"id":"ITEM-2","itemData":{"DOI":"10.1002/hep.29913","ISSN":"15273350","PMID":"29624699","author":[{"dropping-particle":"","family":"Marrero","given":"Jorge A.","non-dropping-particle":"","parse-names":false,"suffix":""},{"dropping-particle":"","family":"Kulik","given":"Laura M.","non-dropping-particle":"","parse-names":false,"suffix":""},{"dropping-particle":"","family":"Sirlin","given":"Claude B.","non-dropping-particle":"","parse-names":false,"suffix":""},{"dropping-particle":"","family":"Zhu","given":"Andrew X.","non-dropping-particle":"","parse-names":false,"suffix":""},{"dropping-particle":"","family":"Finn","given":"Richard S.","non-dropping-particle":"","parse-names":false,"suffix":""},{"dropping-particle":"","family":"Abecassis","given":"Michael M.","non-dropping-particle":"","parse-names":false,"suffix":""},{"dropping-particle":"","family":"Roberts","given":"Lewis R.","non-dropping-particle":"","parse-names":false,"suffix":""},{"dropping-particle":"","family":"Heimbach","given":"Julie K.","non-dropping-particle":"","parse-names":false,"suffix":""}],"container-title":"Hepatology","id":"ITEM-2","issue":"2","issued":{"date-parts":[["2018","8","1"]]},"page":"723-750","publisher":"John Wiley and Sons Inc.","title":"Diagnosis, Staging, and Management of Hepatocellular Carcinoma: 2018 Practice Guidance by the American Association for the Study of Liver Diseases","type":"article-journal","volume":"68"},"uris":["http://www.mendeley.com/documents/?uuid=524b992f-ba18-31f8-aa7d-c271bdc57c09"]}],"mendeley":{"formattedCitation":"[8,9]","plainTextFormattedCitation":"[8,9]","previouslyFormattedCitation":"[8,9]"},"properties":{"noteIndex":0},"schema":"https://github.com/citation-style-language/schema/raw/master/csl-citation.json"}</w:instrText>
      </w:r>
      <w:r w:rsidR="007D5EFB" w:rsidRPr="00DF0D90">
        <w:rPr>
          <w:lang w:val="ru-RU"/>
        </w:rPr>
        <w:fldChar w:fldCharType="separate"/>
      </w:r>
      <w:r w:rsidR="007D5EFB" w:rsidRPr="00DF0D90">
        <w:rPr>
          <w:noProof/>
          <w:lang w:val="ru-RU"/>
        </w:rPr>
        <w:t>[8,9]</w:t>
      </w:r>
      <w:r w:rsidR="007D5EFB" w:rsidRPr="00DF0D90">
        <w:rPr>
          <w:lang w:val="ru-RU"/>
        </w:rPr>
        <w:fldChar w:fldCharType="end"/>
      </w:r>
      <w:r w:rsidR="00DF6F47" w:rsidRPr="00DF0D90">
        <w:t xml:space="preserve"> в следующих случаях</w:t>
      </w:r>
      <w:r w:rsidR="00630BAC" w:rsidRPr="00DF0D90">
        <w:t>:</w:t>
      </w:r>
    </w:p>
    <w:p w14:paraId="39870500" w14:textId="77777777" w:rsidR="00630BAC" w:rsidRPr="00DF0D90" w:rsidRDefault="00E07E10" w:rsidP="00E07E10">
      <w:pPr>
        <w:pStyle w:val="af2"/>
        <w:numPr>
          <w:ilvl w:val="0"/>
          <w:numId w:val="15"/>
        </w:numPr>
        <w:spacing w:after="120" w:line="360" w:lineRule="auto"/>
        <w:ind w:left="0" w:firstLine="567"/>
        <w:jc w:val="both"/>
      </w:pPr>
      <w:r w:rsidRPr="00DF0D90">
        <w:t xml:space="preserve"> </w:t>
      </w:r>
      <w:r w:rsidR="00630BAC" w:rsidRPr="00DF0D90">
        <w:t xml:space="preserve">если по данным КТ или МРТ заподозрено патологическое образование в </w:t>
      </w:r>
      <w:proofErr w:type="spellStart"/>
      <w:r w:rsidR="00630BAC" w:rsidRPr="00DF0D90">
        <w:t>нецирротической</w:t>
      </w:r>
      <w:proofErr w:type="spellEnd"/>
      <w:r w:rsidR="00630BAC" w:rsidRPr="00DF0D90">
        <w:t xml:space="preserve"> печени;</w:t>
      </w:r>
    </w:p>
    <w:p w14:paraId="0BD79EB4" w14:textId="77777777" w:rsidR="00630BAC" w:rsidRPr="00DF0D90" w:rsidRDefault="00E07E10" w:rsidP="00E07E10">
      <w:pPr>
        <w:pStyle w:val="af2"/>
        <w:numPr>
          <w:ilvl w:val="0"/>
          <w:numId w:val="15"/>
        </w:numPr>
        <w:spacing w:after="120" w:line="360" w:lineRule="auto"/>
        <w:ind w:left="0" w:firstLine="567"/>
        <w:jc w:val="both"/>
      </w:pPr>
      <w:r w:rsidRPr="00DF0D90">
        <w:t xml:space="preserve"> </w:t>
      </w:r>
      <w:r w:rsidR="00630BAC" w:rsidRPr="00DF0D90">
        <w:t>если необходимо исключить злокачественную опухоль печени при отсутствии рентгенографических специфических признаков ГЦР</w:t>
      </w:r>
      <w:r w:rsidR="007335C5" w:rsidRPr="00DF0D90">
        <w:t xml:space="preserve"> </w:t>
      </w:r>
      <w:r w:rsidR="00630BAC" w:rsidRPr="00DF0D90">
        <w:t xml:space="preserve">в </w:t>
      </w:r>
      <w:proofErr w:type="spellStart"/>
      <w:r w:rsidR="00630BAC" w:rsidRPr="00DF0D90">
        <w:t>цирротической</w:t>
      </w:r>
      <w:proofErr w:type="spellEnd"/>
      <w:r w:rsidR="00630BAC" w:rsidRPr="00DF0D90">
        <w:t xml:space="preserve"> печени </w:t>
      </w:r>
    </w:p>
    <w:p w14:paraId="69F020BA" w14:textId="77777777" w:rsidR="00630BAC" w:rsidRPr="00DF0D90" w:rsidRDefault="00630BAC" w:rsidP="00E86998">
      <w:pPr>
        <w:pStyle w:val="afa"/>
        <w:spacing w:after="120" w:line="360" w:lineRule="auto"/>
        <w:jc w:val="both"/>
      </w:pPr>
      <w:r w:rsidRPr="00DF0D90">
        <w:t xml:space="preserve">Уровень убедительности рекомендаций – </w:t>
      </w:r>
      <w:r w:rsidRPr="00DF0D90">
        <w:rPr>
          <w:lang w:val="en-US"/>
        </w:rPr>
        <w:t>C</w:t>
      </w:r>
      <w:r w:rsidR="007335C5" w:rsidRPr="00DF0D90">
        <w:rPr>
          <w:lang w:val="ru-RU"/>
        </w:rPr>
        <w:t xml:space="preserve"> </w:t>
      </w:r>
      <w:r w:rsidRPr="00DF0D90">
        <w:t>(уровень достоверности доказательств – 5).</w:t>
      </w:r>
    </w:p>
    <w:p w14:paraId="3C246865" w14:textId="77777777" w:rsidR="00630BAC" w:rsidRPr="00DF0D90" w:rsidRDefault="00630BAC" w:rsidP="00E86998">
      <w:pPr>
        <w:spacing w:after="120" w:line="360" w:lineRule="auto"/>
        <w:jc w:val="both"/>
        <w:rPr>
          <w:i/>
        </w:rPr>
      </w:pPr>
      <w:r w:rsidRPr="00DF0D90">
        <w:rPr>
          <w:b/>
          <w:i/>
        </w:rPr>
        <w:t>Комментарии:</w:t>
      </w:r>
      <w:r w:rsidRPr="00DF0D90">
        <w:rPr>
          <w:b/>
        </w:rPr>
        <w:t xml:space="preserve"> </w:t>
      </w:r>
      <w:r w:rsidRPr="00DF0D90">
        <w:rPr>
          <w:i/>
        </w:rPr>
        <w:t>пункционная биопсия опухоли печени с получением столбика ткани (</w:t>
      </w:r>
      <w:proofErr w:type="spellStart"/>
      <w:r w:rsidRPr="00DF0D90">
        <w:rPr>
          <w:i/>
          <w:lang w:val="en-US"/>
        </w:rPr>
        <w:t>cor</w:t>
      </w:r>
      <w:proofErr w:type="spellEnd"/>
      <w:r w:rsidRPr="00DF0D90">
        <w:rPr>
          <w:i/>
        </w:rPr>
        <w:t xml:space="preserve">-биопсия) предпочтительнее аспирационной тонкоигольной биопсии. Биопсия рекомендуется при малом размере опухоли (&lt;2 см) и типичном для ГЦР кровотоке, нетипичной </w:t>
      </w:r>
      <w:proofErr w:type="spellStart"/>
      <w:r w:rsidRPr="00DF0D90">
        <w:rPr>
          <w:i/>
        </w:rPr>
        <w:t>васкуляризации</w:t>
      </w:r>
      <w:proofErr w:type="spellEnd"/>
      <w:r w:rsidRPr="00DF0D90">
        <w:rPr>
          <w:i/>
        </w:rPr>
        <w:t xml:space="preserve"> узла размером &gt;2 см, расхождениях в описании и трактовке контрастных динамических исследований в сочетании с нормальным или незначительно повышенным уровнем АФП, выявлении любого опухолевого образования вне</w:t>
      </w:r>
      <w:r w:rsidR="00EA77D2" w:rsidRPr="00DF0D90">
        <w:rPr>
          <w:i/>
        </w:rPr>
        <w:t xml:space="preserve"> </w:t>
      </w:r>
      <w:proofErr w:type="spellStart"/>
      <w:r w:rsidRPr="00DF0D90">
        <w:rPr>
          <w:i/>
        </w:rPr>
        <w:t>цирротической</w:t>
      </w:r>
      <w:proofErr w:type="spellEnd"/>
      <w:r w:rsidRPr="00DF0D90">
        <w:rPr>
          <w:i/>
        </w:rPr>
        <w:t xml:space="preserve"> печени</w:t>
      </w:r>
      <w:r w:rsidR="007D5EFB" w:rsidRPr="00DF0D90">
        <w:rPr>
          <w:i/>
        </w:rPr>
        <w:t xml:space="preserve"> </w:t>
      </w:r>
      <w:r w:rsidR="007D5EFB" w:rsidRPr="00DF0D90">
        <w:rPr>
          <w:i/>
        </w:rPr>
        <w:fldChar w:fldCharType="begin" w:fldLock="1"/>
      </w:r>
      <w:r w:rsidR="007335C5" w:rsidRPr="00DF0D90">
        <w:rPr>
          <w:i/>
        </w:rPr>
        <w:instrText>ADDIN CSL_CITATION {"citationItems":[{"id":"ITEM-1","itemData":{"DOI":"10.1111/j.1440-1746.2005.03919.x","ISSN":"14401746","PMID":"16246200","abstract":"Background: There are few detailed clinical reports about extrahepatic metastases of hepatocellular carcinoma (HCC). The purpose of the present study was to elucidate the clinical features of extrahepatic metastases of HCC. Methods: The clinical records of 482 patients who had been diagnosed as having HCC during the period from January 1995 to March 2001 were retrospectively reviewed. Extrahepatic metastases had been detected in 65 patients. Clinical features of those 65 patients were analyzed. Results: Patients with extrahepatic metastases had more advanced intrahepatic tumors at the first diagnosis of HCC: 73.8% of the patients with extrahepatic metastases had tumors of intrahepatic tumor stage T3 or T4 according to the TNM classification, while only 28.5% of the patients without extrahepatic metastases had tumors of T3 or T4 (P &lt; 0.001). Vessel invasion was also detected at the first diagnosis of HCC more frequently in the patients with extrahepatic metastasis (P &lt; 0.001). The frequent metastatic sites were lung (53.8%), bone (38.5%), and lymph node (33.8%). Other metastatic sites were the adrenal gland, peritoneum, skin, brain and muscle. The median survival time and 1-year survival rate were 7 months (range: 1-59 months) and 24.9%, respectively. Patients with Child-Pugh grade B and C (P = 0.0018) and patients with positive serum α-fetoprotein (P = 0.011) had significantly poor prognosis. Conclusions: Extrahepatic metastases of HCC are not rare. The possibility of extrahepatic metastases and the clinical features of extrahepatic metastases should be considered when examining patients with HCC, particularly those with advanced intrahepatic tumors, to enable precise evaluation of the spread of HCC and determination of the appropriate treatment method. © 2005 Blackwell Publishing Asia Pty Ltd.","author":[{"dropping-particle":"","family":"Natsuizaka","given":"Mitsuteru","non-dropping-particle":"","parse-names":false,"suffix":""},{"dropping-particle":"","family":"Omura","given":"Takumi","non-dropping-particle":"","parse-names":false,"suffix":""},{"dropping-particle":"","family":"Akaike","given":"Toru","non-dropping-particle":"","parse-names":false,"suffix":""},{"dropping-particle":"","family":"Kuwata","given":"Yasuaki","non-dropping-particle":"","parse-names":false,"suffix":""},{"dropping-particle":"","family":"Yamazaki","given":"Katsu","non-dropping-particle":"","parse-names":false,"suffix":""},{"dropping-particle":"","family":"Sato","given":"Takahiro","non-dropping-particle":"","parse-names":false,"suffix":""},{"dropping-particle":"","family":"Karino","given":"Yoshiyasu","non-dropping-particle":"","parse-names":false,"suffix":""},{"dropping-particle":"","family":"Toyota","given":"Jouji","non-dropping-particle":"","parse-names":false,"suffix":""},{"dropping-particle":"","family":"Suga","given":"Toshihiro","non-dropping-particle":"","parse-names":false,"suffix":""},{"dropping-particle":"","family":"Asaka","given":"Masahiro","non-dropping-particle":"","parse-names":false,"suffix":""}],"container-title":"Journal of Gastroenterology and Hepatology (Australia)","id":"ITEM-1","issue":"11","issued":{"date-parts":[["2005"]]},"page":"1781-1787","publisher":"Blackwell Publishing","title":"Clinical features of hepatocellular carcinoma with extrahepatic metastases","type":"article-journal","volume":"20"},"uris":["http://www.mendeley.com/documents/?uuid=33c6088a-336b-38c3-bb4e-805196ba6a8c"]}],"mendeley":{"formattedCitation":"[29]","plainTextFormattedCitation":"[29]","previouslyFormattedCitation":"[29]"},"properties":{"noteIndex":0},"schema":"https://github.com/citation-style-language/schema/raw/master/csl-citation.json"}</w:instrText>
      </w:r>
      <w:r w:rsidR="007D5EFB" w:rsidRPr="00DF0D90">
        <w:rPr>
          <w:i/>
        </w:rPr>
        <w:fldChar w:fldCharType="separate"/>
      </w:r>
      <w:r w:rsidR="007335C5" w:rsidRPr="00DF0D90">
        <w:rPr>
          <w:noProof/>
        </w:rPr>
        <w:t>[29]</w:t>
      </w:r>
      <w:r w:rsidR="007D5EFB" w:rsidRPr="00DF0D90">
        <w:rPr>
          <w:i/>
        </w:rPr>
        <w:fldChar w:fldCharType="end"/>
      </w:r>
      <w:r w:rsidRPr="00DF0D90">
        <w:rPr>
          <w:i/>
        </w:rPr>
        <w:t xml:space="preserve">. Отрицательный результат биопсии не </w:t>
      </w:r>
      <w:r w:rsidR="00DF6F47" w:rsidRPr="00DF0D90">
        <w:rPr>
          <w:i/>
        </w:rPr>
        <w:t>исключает</w:t>
      </w:r>
      <w:r w:rsidR="00EA77D2" w:rsidRPr="00DF0D90">
        <w:rPr>
          <w:i/>
        </w:rPr>
        <w:t xml:space="preserve"> </w:t>
      </w:r>
      <w:r w:rsidRPr="00DF0D90">
        <w:rPr>
          <w:i/>
        </w:rPr>
        <w:t xml:space="preserve">диагноза злокачественной опухоли печени и предполагает дальнейшее наблюдение с возможностью повторных биопсий. Биопсия локального образования в </w:t>
      </w:r>
      <w:proofErr w:type="spellStart"/>
      <w:r w:rsidRPr="00DF0D90">
        <w:rPr>
          <w:i/>
        </w:rPr>
        <w:t>цирротической</w:t>
      </w:r>
      <w:proofErr w:type="spellEnd"/>
      <w:r w:rsidRPr="00DF0D90">
        <w:rPr>
          <w:i/>
        </w:rPr>
        <w:t xml:space="preserve"> печени не нужна, если: 1) не планируется какого-либо лечения в связи с декомпенсированным циррозом и/или другой </w:t>
      </w:r>
      <w:r w:rsidRPr="00DF0D90">
        <w:rPr>
          <w:i/>
        </w:rPr>
        <w:lastRenderedPageBreak/>
        <w:t xml:space="preserve">тяжелой патологией; 2) планируется резекция печени; 3) при циррозе </w:t>
      </w:r>
      <w:proofErr w:type="spellStart"/>
      <w:r w:rsidRPr="00DF0D90">
        <w:rPr>
          <w:i/>
        </w:rPr>
        <w:t>мультифазная</w:t>
      </w:r>
      <w:proofErr w:type="spellEnd"/>
      <w:r w:rsidRPr="00DF0D90">
        <w:rPr>
          <w:i/>
        </w:rPr>
        <w:t xml:space="preserve"> КТ</w:t>
      </w:r>
      <w:r w:rsidR="00372FFB" w:rsidRPr="00DF0D90">
        <w:rPr>
          <w:i/>
        </w:rPr>
        <w:t xml:space="preserve"> </w:t>
      </w:r>
      <w:r w:rsidRPr="00DF0D90">
        <w:rPr>
          <w:i/>
        </w:rPr>
        <w:t xml:space="preserve">и МРТ </w:t>
      </w:r>
      <w:r w:rsidRPr="00DF0D90">
        <w:rPr>
          <w:i/>
          <w:lang w:val="en-US"/>
        </w:rPr>
        <w:t>c</w:t>
      </w:r>
      <w:r w:rsidRPr="00DF0D90">
        <w:rPr>
          <w:i/>
        </w:rPr>
        <w:t xml:space="preserve"> контрастированием описывают признаки, специфичные для ГЦР (неравномерное контрастирование узла в артериальной фазе, затем «вымывание» в венозной)</w:t>
      </w:r>
      <w:r w:rsidR="007D5EFB" w:rsidRPr="00DF0D90">
        <w:rPr>
          <w:i/>
        </w:rPr>
        <w:t xml:space="preserve"> </w:t>
      </w:r>
      <w:r w:rsidR="007D5EFB" w:rsidRPr="00DF0D90">
        <w:rPr>
          <w:i/>
        </w:rPr>
        <w:fldChar w:fldCharType="begin" w:fldLock="1"/>
      </w:r>
      <w:r w:rsidR="007335C5" w:rsidRPr="00DF0D90">
        <w:rPr>
          <w:i/>
        </w:rPr>
        <w:instrText>ADDIN CSL_CITATION {"citationItems":[{"id":"ITEM-1","itemData":{"DOI":"10.1136/jcp.55.2.93","ISSN":"0021-9746","author":[{"dropping-particle":"","family":"Stewart","given":"C J R","non-dropping-particle":"","parse-names":false,"suffix":""},{"dropping-particle":"","family":"Coldewey","given":"J","non-dropping-particle":"","parse-names":false,"suffix":""},{"dropping-particle":"","family":"Stewart","given":"I S","non-dropping-particle":"","parse-names":false,"suffix":""}],"container-title":"Journal of Clinical Pathology","id":"ITEM-1","issue":"2","issued":{"date-parts":[["2002","2","1"]]},"page":"93-97","title":"Comparison of fine needle aspiration cytology and needle core biopsy in the diagnosis of radiologically detected abdominal lesions","type":"article-journal","volume":"55"},"uris":["http://www.mendeley.com/documents/?uuid=3e7d35db-077a-4852-b49a-531cf6e8fbf5"]},{"id":"ITEM-2","itemData":{"DOI":"10.1136/gut.2009.187286","ISSN":"0017-5749","author":[{"dropping-particle":"","family":"Sangiovanni","given":"A.","non-dropping-particle":"","parse-names":false,"suffix":""},{"dropping-particle":"","family":"Manini","given":"M. A.","non-dropping-particle":"","parse-names":false,"suffix":""},{"dropping-particle":"","family":"Iavarone","given":"M.","non-dropping-particle":"","parse-names":false,"suffix":""},{"dropping-particle":"","family":"Romeo","given":"R.","non-dropping-particle":"","parse-names":false,"suffix":""},{"dropping-particle":"V.","family":"Forzenigo","given":"L.","non-dropping-particle":"","parse-names":false,"suffix":""},{"dropping-particle":"","family":"Fraquelli","given":"M.","non-dropping-particle":"","parse-names":false,"suffix":""},{"dropping-particle":"","family":"Massironi","given":"S.","non-dropping-particle":"","parse-names":false,"suffix":""},{"dropping-particle":"","family":"Corte","given":"C.","non-dropping-particle":"Della","parse-names":false,"suffix":""},{"dropping-particle":"","family":"Ronchi","given":"G.","non-dropping-particle":"","parse-names":false,"suffix":""},{"dropping-particle":"","family":"Rumi","given":"M. G.","non-dropping-particle":"","parse-names":false,"suffix":""},{"dropping-particle":"","family":"Biondetti","given":"P.","non-dropping-particle":"","parse-names":false,"suffix":""},{"dropping-particle":"","family":"Colombo","given":"M.","non-dropping-particle":"","parse-names":false,"suffix":""}],"container-title":"Gut","id":"ITEM-2","issue":"5","issued":{"date-parts":[["2010","5","1"]]},"page":"638-644","title":"The diagnostic and economic impact of contrast imaging techniques in the diagnosis of small hepatocellular carcinoma in cirrhosis","type":"article-journal","volume":"59"},"uris":["http://www.mendeley.com/documents/?uuid=687c9570-dcd7-4384-aba1-ea9b59dbddae"]}],"mendeley":{"formattedCitation":"[30,31]","plainTextFormattedCitation":"[30,31]","previouslyFormattedCitation":"[30,31]"},"properties":{"noteIndex":0},"schema":"https://github.com/citation-style-language/schema/raw/master/csl-citation.json"}</w:instrText>
      </w:r>
      <w:r w:rsidR="007D5EFB" w:rsidRPr="00DF0D90">
        <w:rPr>
          <w:i/>
        </w:rPr>
        <w:fldChar w:fldCharType="separate"/>
      </w:r>
      <w:r w:rsidR="007335C5" w:rsidRPr="00DF0D90">
        <w:rPr>
          <w:noProof/>
        </w:rPr>
        <w:t>[30,</w:t>
      </w:r>
      <w:r w:rsidR="00325837" w:rsidRPr="00DF0D90">
        <w:rPr>
          <w:noProof/>
        </w:rPr>
        <w:t xml:space="preserve"> </w:t>
      </w:r>
      <w:r w:rsidR="007335C5" w:rsidRPr="00DF0D90">
        <w:rPr>
          <w:noProof/>
        </w:rPr>
        <w:t>31]</w:t>
      </w:r>
      <w:r w:rsidR="007D5EFB" w:rsidRPr="00DF0D90">
        <w:rPr>
          <w:i/>
        </w:rPr>
        <w:fldChar w:fldCharType="end"/>
      </w:r>
      <w:r w:rsidRPr="00DF0D90">
        <w:rPr>
          <w:i/>
        </w:rPr>
        <w:t>.</w:t>
      </w:r>
    </w:p>
    <w:p w14:paraId="5BC5C8F3" w14:textId="1068F636" w:rsidR="00630BAC" w:rsidRPr="00DF0D90" w:rsidRDefault="00630BAC" w:rsidP="00697BE7">
      <w:pPr>
        <w:suppressAutoHyphens/>
        <w:spacing w:after="120" w:line="360" w:lineRule="auto"/>
        <w:ind w:firstLine="567"/>
        <w:jc w:val="both"/>
        <w:rPr>
          <w:i/>
        </w:rPr>
      </w:pPr>
      <w:r w:rsidRPr="00DF0D90">
        <w:rPr>
          <w:i/>
        </w:rPr>
        <w:t xml:space="preserve">Для уточняющей диагностики раннего и высокодифференцированного ГЦР Международная консенсусная группа по опухолям печени рекомендует панель из 3 </w:t>
      </w:r>
      <w:proofErr w:type="spellStart"/>
      <w:r w:rsidRPr="00DF0D90">
        <w:rPr>
          <w:i/>
        </w:rPr>
        <w:t>иммуногистохимических</w:t>
      </w:r>
      <w:proofErr w:type="spellEnd"/>
      <w:r w:rsidRPr="00DF0D90">
        <w:rPr>
          <w:i/>
        </w:rPr>
        <w:t xml:space="preserve"> маркеров – </w:t>
      </w:r>
      <w:r w:rsidRPr="00DF0D90">
        <w:rPr>
          <w:rFonts w:eastAsia="AdvGulliv-R"/>
          <w:i/>
          <w:lang w:val="en-US"/>
        </w:rPr>
        <w:t>HSP</w:t>
      </w:r>
      <w:r w:rsidRPr="00DF0D90">
        <w:rPr>
          <w:rFonts w:eastAsia="AdvGulliv-R"/>
          <w:i/>
        </w:rPr>
        <w:t>70 (</w:t>
      </w:r>
      <w:r w:rsidRPr="00DF0D90">
        <w:rPr>
          <w:rFonts w:eastAsia="AdvGulliv-R"/>
          <w:i/>
          <w:lang w:val="en-US"/>
        </w:rPr>
        <w:t>HSPA</w:t>
      </w:r>
      <w:r w:rsidRPr="00DF0D90">
        <w:rPr>
          <w:rFonts w:eastAsia="AdvGulliv-R"/>
          <w:i/>
        </w:rPr>
        <w:t xml:space="preserve">7), </w:t>
      </w:r>
      <w:proofErr w:type="spellStart"/>
      <w:r w:rsidRPr="00DF0D90">
        <w:rPr>
          <w:rFonts w:eastAsia="AdvGulliv-R"/>
          <w:i/>
        </w:rPr>
        <w:t>глипикана</w:t>
      </w:r>
      <w:proofErr w:type="spellEnd"/>
      <w:r w:rsidRPr="00DF0D90">
        <w:rPr>
          <w:rFonts w:eastAsia="AdvGulliv-R"/>
          <w:i/>
        </w:rPr>
        <w:t xml:space="preserve"> 3 (</w:t>
      </w:r>
      <w:r w:rsidRPr="00DF0D90">
        <w:rPr>
          <w:rFonts w:eastAsia="AdvGulliv-R"/>
          <w:i/>
          <w:lang w:val="en-US"/>
        </w:rPr>
        <w:t>GPC</w:t>
      </w:r>
      <w:r w:rsidRPr="00DF0D90">
        <w:rPr>
          <w:rFonts w:eastAsia="AdvGulliv-R"/>
          <w:i/>
        </w:rPr>
        <w:t xml:space="preserve">3) и </w:t>
      </w:r>
      <w:proofErr w:type="spellStart"/>
      <w:r w:rsidRPr="00DF0D90">
        <w:rPr>
          <w:rFonts w:eastAsia="AdvGulliv-R"/>
          <w:i/>
        </w:rPr>
        <w:t>глутаминсинтетазы</w:t>
      </w:r>
      <w:proofErr w:type="spellEnd"/>
      <w:r w:rsidRPr="00DF0D90">
        <w:rPr>
          <w:rFonts w:eastAsia="AdvGulliv-R"/>
          <w:i/>
        </w:rPr>
        <w:t xml:space="preserve"> (GS), а для выявления прогностически неблагоприятных случаев – </w:t>
      </w:r>
      <w:proofErr w:type="spellStart"/>
      <w:r w:rsidRPr="00DF0D90">
        <w:rPr>
          <w:rFonts w:eastAsia="AdvGulliv-R"/>
          <w:i/>
        </w:rPr>
        <w:t>цитокератин</w:t>
      </w:r>
      <w:proofErr w:type="spellEnd"/>
      <w:r w:rsidRPr="00DF0D90">
        <w:rPr>
          <w:rFonts w:eastAsia="AdvGulliv-R"/>
          <w:i/>
        </w:rPr>
        <w:t xml:space="preserve"> 19 (СК 19). В сложных для диагностики случаях целесообразно отправить </w:t>
      </w:r>
      <w:proofErr w:type="spellStart"/>
      <w:r w:rsidRPr="00DF0D90">
        <w:rPr>
          <w:rFonts w:eastAsia="AdvGulliv-R"/>
          <w:i/>
        </w:rPr>
        <w:t>гистопрепараты</w:t>
      </w:r>
      <w:proofErr w:type="spellEnd"/>
      <w:r w:rsidRPr="00DF0D90">
        <w:rPr>
          <w:rFonts w:eastAsia="AdvGulliv-R"/>
          <w:i/>
        </w:rPr>
        <w:t xml:space="preserve"> для исследования в специализированные центры.</w:t>
      </w:r>
      <w:r w:rsidR="003730A6" w:rsidRPr="00DF0D90">
        <w:rPr>
          <w:rFonts w:eastAsia="AdvGulliv-R"/>
          <w:i/>
        </w:rPr>
        <w:t xml:space="preserve"> При выявлении смешанного </w:t>
      </w:r>
      <w:proofErr w:type="spellStart"/>
      <w:r w:rsidR="003730A6" w:rsidRPr="00DF0D90">
        <w:rPr>
          <w:rFonts w:eastAsia="AdvGulliv-R"/>
          <w:i/>
        </w:rPr>
        <w:t>г</w:t>
      </w:r>
      <w:r w:rsidR="0082371E" w:rsidRPr="00DF0D90">
        <w:rPr>
          <w:rFonts w:eastAsia="AdvGulliv-R"/>
          <w:i/>
        </w:rPr>
        <w:t>е</w:t>
      </w:r>
      <w:r w:rsidR="003730A6" w:rsidRPr="00DF0D90">
        <w:rPr>
          <w:rFonts w:eastAsia="AdvGulliv-R"/>
          <w:i/>
        </w:rPr>
        <w:t>патохолангиоцеллюлярного</w:t>
      </w:r>
      <w:proofErr w:type="spellEnd"/>
      <w:r w:rsidR="003730A6" w:rsidRPr="00DF0D90">
        <w:rPr>
          <w:rFonts w:eastAsia="AdvGulliv-R"/>
          <w:i/>
        </w:rPr>
        <w:t xml:space="preserve"> рака целесообразно определение </w:t>
      </w:r>
      <w:proofErr w:type="spellStart"/>
      <w:r w:rsidR="003730A6" w:rsidRPr="00DF0D90">
        <w:rPr>
          <w:rFonts w:eastAsia="AdvGulliv-R"/>
          <w:i/>
        </w:rPr>
        <w:t>микросателлитного</w:t>
      </w:r>
      <w:proofErr w:type="spellEnd"/>
      <w:r w:rsidR="003730A6" w:rsidRPr="00DF0D90">
        <w:rPr>
          <w:rFonts w:eastAsia="AdvGulliv-R"/>
          <w:i/>
        </w:rPr>
        <w:t xml:space="preserve"> статуса опухоли.</w:t>
      </w:r>
    </w:p>
    <w:p w14:paraId="4DBAFF73" w14:textId="3AC7BF60" w:rsidR="00630BAC" w:rsidRPr="00DF0D90" w:rsidRDefault="00630BAC" w:rsidP="006D217F">
      <w:pPr>
        <w:pStyle w:val="a"/>
        <w:spacing w:before="0" w:after="120" w:line="360" w:lineRule="auto"/>
        <w:ind w:firstLine="567"/>
        <w:jc w:val="both"/>
      </w:pPr>
      <w:r w:rsidRPr="00DF0D90">
        <w:rPr>
          <w:b/>
        </w:rPr>
        <w:t>Рекомендуется</w:t>
      </w:r>
      <w:r w:rsidR="00EA77D2" w:rsidRPr="00DF0D90">
        <w:rPr>
          <w:b/>
          <w:lang w:val="ru-RU"/>
        </w:rPr>
        <w:t xml:space="preserve"> </w:t>
      </w:r>
      <w:r w:rsidRPr="00DF0D90">
        <w:t>выполнить позитронно-эмиссионную томографию</w:t>
      </w:r>
      <w:r w:rsidR="00641949" w:rsidRPr="00DF0D90">
        <w:rPr>
          <w:lang w:val="ru-RU"/>
        </w:rPr>
        <w:t xml:space="preserve"> </w:t>
      </w:r>
      <w:r w:rsidRPr="00DF0D90">
        <w:t xml:space="preserve">с </w:t>
      </w:r>
      <w:proofErr w:type="spellStart"/>
      <w:r w:rsidRPr="00DF0D90">
        <w:t>фтордезоксиглюкозой</w:t>
      </w:r>
      <w:proofErr w:type="spellEnd"/>
      <w:r w:rsidR="00E67AEF" w:rsidRPr="00DF0D90">
        <w:rPr>
          <w:lang w:val="ru-RU"/>
        </w:rPr>
        <w:t xml:space="preserve"> [18F]</w:t>
      </w:r>
      <w:r w:rsidRPr="00DF0D90">
        <w:t>, совмещенную с КТ,</w:t>
      </w:r>
      <w:r w:rsidR="00EA77D2" w:rsidRPr="00DF0D90">
        <w:rPr>
          <w:lang w:val="ru-RU"/>
        </w:rPr>
        <w:t xml:space="preserve"> </w:t>
      </w:r>
      <w:r w:rsidRPr="00DF0D90">
        <w:t>у пациентов с установленным диагнозом ГЦР, являющихся кандидатами на оперативное лечение, если имеется подозрение на отдаленные метастазы по данным КТ или МРТ</w:t>
      </w:r>
      <w:r w:rsidR="00DF6F47" w:rsidRPr="00DF0D90">
        <w:t>,</w:t>
      </w:r>
      <w:r w:rsidR="00EA77D2" w:rsidRPr="00DF0D90">
        <w:rPr>
          <w:lang w:val="ru-RU"/>
        </w:rPr>
        <w:t xml:space="preserve"> </w:t>
      </w:r>
      <w:r w:rsidRPr="00DF0D90">
        <w:t>и их подтверждение приведет к отказу от операции</w:t>
      </w:r>
      <w:r w:rsidR="007D5EFB" w:rsidRPr="00DF0D90">
        <w:rPr>
          <w:lang w:val="ru-RU"/>
        </w:rPr>
        <w:t xml:space="preserve"> </w:t>
      </w:r>
      <w:r w:rsidR="007D5EFB" w:rsidRPr="00DF0D90">
        <w:rPr>
          <w:lang w:val="ru-RU"/>
        </w:rPr>
        <w:fldChar w:fldCharType="begin" w:fldLock="1"/>
      </w:r>
      <w:r w:rsidR="007335C5" w:rsidRPr="00DF0D90">
        <w:rPr>
          <w:lang w:val="ru-RU"/>
        </w:rPr>
        <w:instrText>ADDIN CSL_CITATION {"citationItems":[{"id":"ITEM-1","itemData":{"author":[{"dropping-particle":"","family":"NCCN","given":"","non-dropping-particle":"","parse-names":false,"suffix":""}],"id":"ITEM-1","issued":{"date-parts":[["2021"]]},"title":"Clinical Practice Guidelines in Oncology. Hepatobiliary Cancers, version 4.2021","type":"article-journal"},"uris":["http://www.mendeley.com/documents/?uuid=db314d5f-b05a-4fec-a403-5589c18d9ebd"]},{"id":"ITEM-2","itemData":{"author":[{"dropping-particle":"","family":"Intenzo","given":"Charles","non-dropping-particle":"","parse-names":false,"suffix":""},{"dropping-particle":"","family":"Kim","given":"Sung","non-dropping-particle":"","parse-names":false,"suffix":""},{"dropping-particle":"","family":"Lakhani","given":"Paras","non-dropping-particle":"","parse-names":false,"suffix":""}],"container-title":"Journal of Nuclear Medicine","id":"ITEM-2","issued":{"date-parts":[["2017"]]},"page":"427","title":"Utility of FDG-PET/CT in Detecting Metastases from Hepatocellular Carcinoma","type":"article-journal","volume":"58, Issue "},"uris":["http://www.mendeley.com/documents/?uuid=3ae44283-98a0-4e21-a180-0426a30dcaed"]}],"mendeley":{"formattedCitation":"[14,32]","plainTextFormattedCitation":"[14,32]","previouslyFormattedCitation":"[14,32]"},"properties":{"noteIndex":0},"schema":"https://github.com/citation-style-language/schema/raw/master/csl-citation.json"}</w:instrText>
      </w:r>
      <w:r w:rsidR="007D5EFB" w:rsidRPr="00DF0D90">
        <w:rPr>
          <w:lang w:val="ru-RU"/>
        </w:rPr>
        <w:fldChar w:fldCharType="separate"/>
      </w:r>
      <w:r w:rsidR="007335C5" w:rsidRPr="00DF0D90">
        <w:rPr>
          <w:noProof/>
          <w:lang w:val="ru-RU"/>
        </w:rPr>
        <w:t>[14,32]</w:t>
      </w:r>
      <w:r w:rsidR="007D5EFB" w:rsidRPr="00DF0D90">
        <w:rPr>
          <w:lang w:val="ru-RU"/>
        </w:rPr>
        <w:fldChar w:fldCharType="end"/>
      </w:r>
      <w:r w:rsidR="00641949" w:rsidRPr="00DF0D90">
        <w:rPr>
          <w:lang w:val="ru-RU"/>
        </w:rPr>
        <w:t>.</w:t>
      </w:r>
    </w:p>
    <w:p w14:paraId="19E6AB35" w14:textId="77777777" w:rsidR="00630BAC" w:rsidRPr="00DF0D90" w:rsidRDefault="00630BAC" w:rsidP="00E86998">
      <w:pPr>
        <w:pStyle w:val="afa"/>
        <w:spacing w:after="120" w:line="360" w:lineRule="auto"/>
        <w:jc w:val="both"/>
      </w:pPr>
      <w:r w:rsidRPr="00DF0D90">
        <w:t>Уровень убедительности рекомендаций</w:t>
      </w:r>
      <w:r w:rsidR="007335C5" w:rsidRPr="00DF0D90">
        <w:rPr>
          <w:lang w:val="ru-RU"/>
        </w:rPr>
        <w:t xml:space="preserve"> </w:t>
      </w:r>
      <w:r w:rsidRPr="00DF0D90">
        <w:t>–</w:t>
      </w:r>
      <w:r w:rsidR="007335C5" w:rsidRPr="00DF0D90">
        <w:rPr>
          <w:lang w:val="ru-RU"/>
        </w:rPr>
        <w:t xml:space="preserve"> </w:t>
      </w:r>
      <w:r w:rsidRPr="00DF0D90">
        <w:rPr>
          <w:lang w:val="en-US"/>
        </w:rPr>
        <w:t>C</w:t>
      </w:r>
      <w:r w:rsidR="007335C5" w:rsidRPr="00DF0D90">
        <w:rPr>
          <w:lang w:val="ru-RU"/>
        </w:rPr>
        <w:t xml:space="preserve"> </w:t>
      </w:r>
      <w:r w:rsidRPr="00DF0D90">
        <w:t>(уровень достоверности доказательств – 4)</w:t>
      </w:r>
      <w:r w:rsidRPr="00DF0D90">
        <w:rPr>
          <w:rStyle w:val="name"/>
          <w:bCs/>
          <w:color w:val="403838"/>
          <w:bdr w:val="none" w:sz="0" w:space="0" w:color="auto" w:frame="1"/>
        </w:rPr>
        <w:t>.</w:t>
      </w:r>
    </w:p>
    <w:p w14:paraId="4142CE38" w14:textId="77777777" w:rsidR="00630BAC" w:rsidRPr="00DF0D90" w:rsidRDefault="00630BAC" w:rsidP="006D217F">
      <w:pPr>
        <w:pStyle w:val="a"/>
        <w:spacing w:before="0" w:after="120" w:line="360" w:lineRule="auto"/>
        <w:ind w:firstLine="567"/>
        <w:jc w:val="both"/>
      </w:pPr>
      <w:r w:rsidRPr="00DF0D90">
        <w:rPr>
          <w:b/>
        </w:rPr>
        <w:t>Рекомендуется</w:t>
      </w:r>
      <w:r w:rsidR="00EA77D2" w:rsidRPr="00DF0D90">
        <w:rPr>
          <w:b/>
          <w:lang w:val="ru-RU"/>
        </w:rPr>
        <w:t xml:space="preserve"> </w:t>
      </w:r>
      <w:r w:rsidRPr="00DF0D90">
        <w:t>пациентам с установленным диагнозом ГЦР при подозрении на метастазирование в головной мозг выполнить МРТ или КТ головного мозга с внутривенным контрастированием</w:t>
      </w:r>
      <w:r w:rsidR="007D5EFB" w:rsidRPr="00DF0D90">
        <w:rPr>
          <w:lang w:val="ru-RU"/>
        </w:rPr>
        <w:t xml:space="preserve">  </w:t>
      </w:r>
      <w:r w:rsidR="007D5EFB" w:rsidRPr="00DF0D90">
        <w:rPr>
          <w:lang w:val="ru-RU"/>
        </w:rPr>
        <w:fldChar w:fldCharType="begin" w:fldLock="1"/>
      </w:r>
      <w:r w:rsidR="007335C5" w:rsidRPr="00DF0D90">
        <w:rPr>
          <w:lang w:val="ru-RU"/>
        </w:rPr>
        <w:instrText>ADDIN CSL_CITATION {"citationItems":[{"id":"ITEM-1","itemData":{"DOI":"10.1148/radiol.14140690","ISSN":"15271315","PMID":"25559230","abstract":"Purpose: To perform a systematic review and meta-analysis of the diagnostic performance of computed tomography (CT) and magnetic resonance (MR) imaging as noninvasive modalities for evaluating hepatocellular carcinoma (HCC) in patients with chronic liver disease. Materials and Methods: A search of the MEDLINE, EMBASE, and Cochrane Library databases was performed to identify studies providing per-patient or per-lesion diagnostic accuracies of multidetector CT and MR imaging for HCCs in patients with chronic liver disease. Studies published from January 2000 to December 2012 that used a reference standard based on histopathologic findings and/or findings at followup were included. Summary estimates of diagnostic accuracy were obtained by using a random-effects model with further exploration with meta-regression and subgroup analyses. Results: Forty studies (six on multidetector CT, 22 on MR imaging, and 12 on both CT and MR imaging) were included. The studies evaluated a total of 1135 patients with multidetector CT and 2489 patients with MR imaging. The overall per-patient sensitivity of MR imaging was 88% (95% confidence interval [CI]: 83%, 92%), with a specificity of 94% (95% CI: 85%, 98%). The overall per-lesion sensitivity of MR imaging was higher than that of multidetector CT when the paired data of the 11 available studies were pooled (80% vs 68%, P =.0023). Gadoxetic acid-enhanced MR imaging showed significantly higher per-lesion sensitivity than MR imaging performed with other contrast agents (87% vs 74%, P =.03). Per-lesion sensitivity was significantly lower for HCCs smaller than 1 cm than that for HCCs 1 cm or larger (P","author":[{"dropping-particle":"","family":"Lee","given":"Yoon Jin","non-dropping-particle":"","parse-names":false,"suffix":""},{"dropping-particle":"","family":"Lee","given":"Jeong Min","non-dropping-particle":"","parse-names":false,"suffix":""},{"dropping-particle":"","family":"Lee","given":"Ji Sung","non-dropping-particle":"","parse-names":false,"suffix":""},{"dropping-particle":"","family":"Lee","given":"Hwa Young","non-dropping-particle":"","parse-names":false,"suffix":""},{"dropping-particle":"","family":"Park","given":"Bo Hyun","non-dropping-particle":"","parse-names":false,"suffix":""},{"dropping-particle":"","family":"Kim","given":"Young Hoon","non-dropping-particle":"","parse-names":false,"suffix":""},{"dropping-particle":"","family":"Han","given":"Joon Koo","non-dropping-particle":"","parse-names":false,"suffix":""},{"dropping-particle":"","family":"Choi","given":"Byung Ihn","non-dropping-particle":"","parse-names":false,"suffix":""}],"container-title":"Radiology","id":"ITEM-1","issue":"1","issued":{"date-parts":[["2015","4","1"]]},"page":"97-109","publisher":"Radiological Society of North America Inc.","title":"Hepatocellular carcinoma: Diagnostic performance of multidetector CT and MR imaging-a systematic review and meta-analysis","type":"article-journal","volume":"275"},"uris":["http://www.mendeley.com/documents/?uuid=d6be7390-c3de-31be-b292-6a6dc733bf37"]}],"mendeley":{"formattedCitation":"[18]","plainTextFormattedCitation":"[18]","previouslyFormattedCitation":"[18]"},"properties":{"noteIndex":0},"schema":"https://github.com/citation-style-language/schema/raw/master/csl-citation.json"}</w:instrText>
      </w:r>
      <w:r w:rsidR="007D5EFB" w:rsidRPr="00DF0D90">
        <w:rPr>
          <w:lang w:val="ru-RU"/>
        </w:rPr>
        <w:fldChar w:fldCharType="separate"/>
      </w:r>
      <w:r w:rsidR="00C34389" w:rsidRPr="00DF0D90">
        <w:rPr>
          <w:noProof/>
          <w:lang w:val="ru-RU"/>
        </w:rPr>
        <w:t>[18]</w:t>
      </w:r>
      <w:r w:rsidR="007D5EFB" w:rsidRPr="00DF0D90">
        <w:rPr>
          <w:lang w:val="ru-RU"/>
        </w:rPr>
        <w:fldChar w:fldCharType="end"/>
      </w:r>
      <w:r w:rsidRPr="00DF0D90">
        <w:t>.</w:t>
      </w:r>
    </w:p>
    <w:p w14:paraId="3AEE1C80" w14:textId="77777777" w:rsidR="00630BAC" w:rsidRPr="00DF0D90" w:rsidRDefault="00630BAC" w:rsidP="00E86998">
      <w:pPr>
        <w:pStyle w:val="afa"/>
        <w:spacing w:after="120" w:line="360" w:lineRule="auto"/>
        <w:jc w:val="both"/>
      </w:pPr>
      <w:r w:rsidRPr="00DF0D90">
        <w:t xml:space="preserve">Уровень убедительности рекомендаций – </w:t>
      </w:r>
      <w:r w:rsidRPr="00DF0D90">
        <w:rPr>
          <w:lang w:val="en-US"/>
        </w:rPr>
        <w:t>C</w:t>
      </w:r>
      <w:r w:rsidRPr="00DF0D90">
        <w:t xml:space="preserve"> (уровень достоверности доказательств – 5).</w:t>
      </w:r>
    </w:p>
    <w:p w14:paraId="5BC83264" w14:textId="77777777" w:rsidR="00630BAC" w:rsidRPr="00DF0D90" w:rsidRDefault="00630BAC" w:rsidP="006D217F">
      <w:pPr>
        <w:pStyle w:val="a"/>
        <w:spacing w:before="0" w:after="120" w:line="360" w:lineRule="auto"/>
        <w:ind w:firstLine="567"/>
        <w:jc w:val="both"/>
      </w:pPr>
      <w:r w:rsidRPr="00DF0D90">
        <w:rPr>
          <w:b/>
        </w:rPr>
        <w:t xml:space="preserve">Рекомендуется </w:t>
      </w:r>
      <w:r w:rsidRPr="00DF0D90">
        <w:t>установить стадию ГЦР по классификации</w:t>
      </w:r>
      <w:r w:rsidR="00EA77D2" w:rsidRPr="00DF0D90">
        <w:rPr>
          <w:lang w:val="ru-RU"/>
        </w:rPr>
        <w:t xml:space="preserve"> </w:t>
      </w:r>
      <w:r w:rsidRPr="00DF0D90">
        <w:rPr>
          <w:lang w:val="en-US"/>
        </w:rPr>
        <w:t>TNM</w:t>
      </w:r>
      <w:r w:rsidRPr="00DF0D90">
        <w:t xml:space="preserve"> (8-й редакции), </w:t>
      </w:r>
      <w:r w:rsidRPr="00DF0D90">
        <w:rPr>
          <w:lang w:val="en-US"/>
        </w:rPr>
        <w:t>AJCC</w:t>
      </w:r>
      <w:r w:rsidR="00EA77D2" w:rsidRPr="00DF0D90">
        <w:rPr>
          <w:lang w:val="ru-RU"/>
        </w:rPr>
        <w:t xml:space="preserve"> </w:t>
      </w:r>
      <w:r w:rsidRPr="00DF0D90">
        <w:t>и</w:t>
      </w:r>
      <w:r w:rsidR="00EA77D2" w:rsidRPr="00DF0D90">
        <w:rPr>
          <w:lang w:val="ru-RU"/>
        </w:rPr>
        <w:t xml:space="preserve"> </w:t>
      </w:r>
      <w:r w:rsidRPr="00DF0D90">
        <w:rPr>
          <w:lang w:val="en-US"/>
        </w:rPr>
        <w:t>BCLC</w:t>
      </w:r>
      <w:r w:rsidR="00EA77D2" w:rsidRPr="00DF0D90">
        <w:rPr>
          <w:lang w:val="ru-RU"/>
        </w:rPr>
        <w:t xml:space="preserve"> </w:t>
      </w:r>
      <w:r w:rsidR="00C667C5" w:rsidRPr="00DF0D90">
        <w:t xml:space="preserve">для повышения точности диагностики </w:t>
      </w:r>
      <w:r w:rsidR="00CB757B" w:rsidRPr="00DF0D90">
        <w:fldChar w:fldCharType="begin" w:fldLock="1"/>
      </w:r>
      <w:r w:rsidR="007335C5" w:rsidRPr="00DF0D90">
        <w:instrText>ADDIN CSL_CITATION {"citationItems":[{"id":"ITEM-1","itemData":{"DOI":"10.1093/annonc/mdy308","ISSN":"15698041","PMID":"30285213","author":[{"dropping-particle":"","family":"Vogel","given":"A.","non-dropping-particle":"","parse-names":false,"suffix":""},{"dropping-particle":"","family":"Cervantes","given":"A.","non-dropping-particle":"","parse-names":false,"suffix":""},{"dropping-particle":"","family":"Chau","given":"I.","non-dropping-particle":"","parse-names":false,"suffix":""},{"dropping-particle":"","family":"Daniele","given":"B.","non-dropping-particle":"","parse-names":false,"suffix":""},{"dropping-particle":"","family":"Llovet","given":"J.","non-dropping-particle":"","parse-names":false,"suffix":""},{"dropping-particle":"","family":"Meyer","given":"T.","non-dropping-particle":"","parse-names":false,"suffix":""},{"dropping-particle":"","family":"Nault","given":"J. C.","non-dropping-particle":"","parse-names":false,"suffix":""},{"dropping-particle":"","family":"Neumann","given":"U.","non-dropping-particle":"","parse-names":false,"suffix":""},{"dropping-particle":"","family":"Ricke","given":"J.","non-dropping-particle":"","parse-names":false,"suffix":""},{"dropping-particle":"","family":"Sangro","given":"B.","non-dropping-particle":"","parse-names":false,"suffix":""},{"dropping-particle":"","family":"Schirmacher","given":"P.","non-dropping-particle":"","parse-names":false,"suffix":""},{"dropping-particle":"","family":"Verslype","given":"C.","non-dropping-particle":"","parse-names":false,"suffix":""},{"dropping-particle":"","family":"Zech","given":"C. J.","non-dropping-particle":"","parse-names":false,"suffix":""},{"dropping-particle":"","family":"Arnold","given":"D.","non-dropping-particle":"","parse-names":false,"suffix":""},{"dropping-particle":"","family":"Martinelli","given":"E.","non-dropping-particle":"","parse-names":false,"suffix":""}],"container-title":"Annals of Oncology","id":"ITEM-1","issued":{"date-parts":[["2018","10","1"]]},"page":"iv238-iv255","publisher":"Oxford University Press","title":"Hepatocellular carcinoma: ESMO Clinical Practice Guidelines for diagnosis, treatment and follow-up","type":"article-journal","volume":"29"},"uris":["http://www.mendeley.com/documents/?uuid=21b70589-bd16-3bd9-b432-9f2042108c3b"]},{"id":"ITEM-2","itemData":{"DOI":"10.1002/hep.29913","ISSN":"15273350","PMID":"29624699","author":[{"dropping-particle":"","family":"Marrero","given":"Jorge A.","non-dropping-particle":"","parse-names":false,"suffix":""},{"dropping-particle":"","family":"Kulik","given":"Laura M.","non-dropping-particle":"","parse-names":false,"suffix":""},{"dropping-particle":"","family":"Sirlin","given":"Claude B.","non-dropping-particle":"","parse-names":false,"suffix":""},{"dropping-particle":"","family":"Zhu","given":"Andrew X.","non-dropping-particle":"","parse-names":false,"suffix":""},{"dropping-particle":"","family":"Finn","given":"Richard S.","non-dropping-particle":"","parse-names":false,"suffix":""},{"dropping-particle":"","family":"Abecassis","given":"Michael M.","non-dropping-particle":"","parse-names":false,"suffix":""},{"dropping-particle":"","family":"Roberts","given":"Lewis R.","non-dropping-particle":"","parse-names":false,"suffix":""},{"dropping-particle":"","family":"Heimbach","given":"Julie K.","non-dropping-particle":"","parse-names":false,"suffix":""}],"container-title":"Hepatology","id":"ITEM-2","issue":"2","issued":{"date-parts":[["2018","8","1"]]},"page":"723-750","publisher":"John Wiley and Sons Inc.","title":"Diagnosis, Staging, and Management of Hepatocellular Carcinoma: 2018 Practice Guidance by the American Association for the Study of Liver Diseases","type":"article-journal","volume":"68"},"uris":["http://www.mendeley.com/documents/?uuid=524b992f-ba18-31f8-aa7d-c271bdc57c09"]},{"id":"ITEM-3","itemData":{"DOI":"10.1002/hep.20636","ISSN":"0270-9139","author":[{"dropping-particle":"","family":"Marrero","given":"Jorge A.","non-dropping-particle":"","parse-names":false,"suffix":""},{"dropping-particle":"","family":"Fontana","given":"Robert J.","non-dropping-particle":"","parse-names":false,"suffix":""},{"dropping-particle":"","family":"Barrat","given":"Ashley","non-dropping-particle":"","parse-names":false,"suffix":""},{"dropping-particle":"","family":"Askari","given":"Frederick","non-dropping-particle":"","parse-names":false,"suffix":""},{"dropping-particle":"","family":"Conjeevaram","given":"Hari S.","non-dropping-particle":"","parse-names":false,"suffix":""},{"dropping-particle":"","family":"Su","given":"Grace L.","non-dropping-particle":"","parse-names":false,"suffix":""},{"dropping-particle":"","family":"Lok","given":"Anna S.","non-dropping-particle":"","parse-names":false,"suffix":""}],"container-title":"Hepatology","id":"ITEM-3","issue":"4","issued":{"date-parts":[["2005","4"]]},"page":"707-715","title":"Prognosis of hepatocellular carcinoma: Comparison of 7 staging systems in an American cohort","type":"article-journal","volume":"41"},"uris":["http://www.mendeley.com/documents/?uuid=761a605b-c4b9-4f7c-b782-0fb16b6e6dbb"]},{"id":"ITEM-4","itemData":{"DOI":"10.1016/j.jhep.2005.12.015","ISSN":"01688278","PMID":"16488051","abstract":"Background/Aims: The Barcelona Clinic Liver Cancer (BCLC) classification offers a prognostic stratification of patients with hepatocellular carcinoma (HCC). We recently demonstrated the BCLC's peculiar prognostic ability in a retrospective cohort of HCC patients. The aim of this study was to evaluate the BCLC system prospectively in a subsequent separate group of HCC patients enrolled at the same surgically oriented liver unit. Methods: One hundred and ninety-five consecutive HCC patients were prospectively enrolled and their liver disease was staged before therapy. Unlike the BCLC treatment protocol, nodule size and number were not used as absolute exclusion criteria for radical treatment. Predictors of survival were identified using the Cox model. Results: The median survival time was 23 months overall, and 53, 16, 7 and 3 months, respectively, for BCLC categories A, B, C, and D. In our cohort, BCLC had the best independent predictive power for survival when compared with the Okuda, CLIP, UNOS-TNM, and JIS prognostic systems (linear trend χ2=43. 01, likelihood χ2=57.94, AIC 885.98). Moreover, the BCLC classification showed a better prognostic ability than the AJCC-TNM 2002 system in surgical patients. Conclusions: The discriminating power of BCLC staging was prospectively assessed in an Italian cohort of HCC patients treated mainly with radical therapies. © 2006 European Association for the Study of the Liver. Published by Elsevier B.V. All rights reserved.","author":[{"dropping-particle":"","family":"Cillo","given":"Umberto","non-dropping-particle":"","parse-names":false,"suffix":""},{"dropping-particle":"","family":"Vitale","given":"Alessandro","non-dropping-particle":"","parse-names":false,"suffix":""},{"dropping-particle":"","family":"Grigoletto","given":"Francesco","non-dropping-particle":"","parse-names":false,"suffix":""},{"dropping-particle":"","family":"Farinati","given":"Fabio","non-dropping-particle":"","parse-names":false,"suffix":""},{"dropping-particle":"","family":"Brolese","given":"Alberto","non-dropping-particle":"","parse-names":false,"suffix":""},{"dropping-particle":"","family":"Zanus","given":"Giacomo","non-dropping-particle":"","parse-names":false,"suffix":""},{"dropping-particle":"","family":"Neri","given":"Daniele","non-dropping-particle":"","parse-names":false,"suffix":""},{"dropping-particle":"","family":"Boccagni","given":"Patrizia","non-dropping-particle":"","parse-names":false,"suffix":""},{"dropping-particle":"","family":"Srsen","given":"Nela","non-dropping-particle":"","parse-names":false,"suffix":""},{"dropping-particle":"","family":"D'Amico","given":"Francesco","non-dropping-particle":"","parse-names":false,"suffix":""},{"dropping-particle":"","family":"Antonio Ciarleglio","given":"Francesco","non-dropping-particle":"","parse-names":false,"suffix":""},{"dropping-particle":"","family":"Bridda","given":"Alessio","non-dropping-particle":"","parse-names":false,"suffix":""},{"dropping-particle":"","family":"Francesco D'Amico","given":"Davide","non-dropping-particle":"","parse-names":false,"suffix":""}],"container-title":"Journal of Hepatology","id":"ITEM-4","issue":"4","issued":{"date-parts":[["2006","4"]]},"page":"723-731","title":"Prospective validation of the Barcelona Clinic Liver Cancer staging system","type":"article-journal","volume":"44"},"uris":["http://www.mendeley.com/documents/?uuid=84b602e2-b510-37a4-a41c-946fc81ce0c8"]},{"id":"ITEM-5","itemData":{"DOI":"10.1016/j.ejca.2008.12.025","ISSN":"09598049","author":[{"dropping-particle":"","family":"Chen","given":"Chien-Hung","non-dropping-particle":"","parse-names":false,"suffix":""},{"dropping-particle":"","family":"Hu","given":"Fu-Chang","non-dropping-particle":"","parse-names":false,"suffix":""},{"dropping-particle":"","family":"Huang","given":"Guan-Tarn","non-dropping-particle":"","parse-names":false,"suffix":""},{"dropping-particle":"","family":"Lee","given":"Po-Huang","non-dropping-particle":"","parse-names":false,"suffix":""},{"dropping-particle":"","family":"Tsang","given":"Yuk-Ming","non-dropping-particle":"","parse-names":false,"suffix":""},{"dropping-particle":"","family":"Cheng","given":"Ann-Lii","non-dropping-particle":"","parse-names":false,"suffix":""},{"dropping-particle":"","family":"Chen","given":"Ding-Shinn","non-dropping-particle":"","parse-names":false,"suffix":""},{"dropping-particle":"","family":"Wang","given":"Jung-Der","non-dropping-particle":"","parse-names":false,"suffix":""},{"dropping-particle":"","family":"Sheu","given":"Jin-Chuan","non-dropping-particle":"","parse-names":false,"suffix":""}],"container-title":"European Journal of Cancer","id":"ITEM-5","issue":"9","issued":{"date-parts":[["2009","6"]]},"page":"1630-1639","title":"Applicability of staging systems for patients with hepatocellular carcinoma is dependent on treatment method – Analysis of 2010 Taiwanese patients","type":"article-journal","volume":"45"},"uris":["http://www.mendeley.com/documents/?uuid=35807a40-4981-4954-9f5b-5d908d668da0"]}],"mendeley":{"formattedCitation":"[8,9,33–35]","plainTextFormattedCitation":"[8,9,33–35]","previouslyFormattedCitation":"[8,9,33–35]"},"properties":{"noteIndex":0},"schema":"https://github.com/citation-style-language/schema/raw/master/csl-citation.json"}</w:instrText>
      </w:r>
      <w:r w:rsidR="00CB757B" w:rsidRPr="00DF0D90">
        <w:fldChar w:fldCharType="separate"/>
      </w:r>
      <w:r w:rsidR="007335C5" w:rsidRPr="00DF0D90">
        <w:rPr>
          <w:noProof/>
        </w:rPr>
        <w:t>[8,9,33–35]</w:t>
      </w:r>
      <w:r w:rsidR="00CB757B" w:rsidRPr="00DF0D90">
        <w:fldChar w:fldCharType="end"/>
      </w:r>
      <w:r w:rsidR="00641949" w:rsidRPr="00DF0D90">
        <w:rPr>
          <w:lang w:val="ru-RU"/>
        </w:rPr>
        <w:t>.</w:t>
      </w:r>
      <w:r w:rsidRPr="00DF0D90">
        <w:t xml:space="preserve"> </w:t>
      </w:r>
    </w:p>
    <w:p w14:paraId="2A4202A4" w14:textId="77777777" w:rsidR="00630BAC" w:rsidRPr="00DF0D90" w:rsidRDefault="00630BAC" w:rsidP="00E86998">
      <w:pPr>
        <w:pStyle w:val="afa"/>
        <w:spacing w:after="120" w:line="360" w:lineRule="auto"/>
        <w:jc w:val="both"/>
      </w:pPr>
      <w:r w:rsidRPr="00DF0D90">
        <w:t xml:space="preserve">Уровень убедительности рекомендаций – А (уровень достоверности доказательств – </w:t>
      </w:r>
      <w:r w:rsidR="00C667C5" w:rsidRPr="00DF0D90">
        <w:t>2</w:t>
      </w:r>
      <w:r w:rsidRPr="00DF0D90">
        <w:t>).</w:t>
      </w:r>
    </w:p>
    <w:p w14:paraId="416C1F07" w14:textId="77777777" w:rsidR="00C51FAB" w:rsidRPr="00DF0D90" w:rsidRDefault="00C51FAB" w:rsidP="006D217F">
      <w:pPr>
        <w:pStyle w:val="2"/>
        <w:spacing w:before="0" w:after="120" w:line="360" w:lineRule="auto"/>
        <w:ind w:firstLine="567"/>
        <w:jc w:val="both"/>
      </w:pPr>
      <w:bookmarkStart w:id="75" w:name="_Toc98349279"/>
      <w:bookmarkStart w:id="76" w:name="_Toc83293977"/>
      <w:r w:rsidRPr="00DF0D90">
        <w:t>2.5 Иные диагностические исследования</w:t>
      </w:r>
      <w:bookmarkEnd w:id="75"/>
      <w:bookmarkEnd w:id="76"/>
    </w:p>
    <w:p w14:paraId="6BEF1406" w14:textId="77777777" w:rsidR="00B36192" w:rsidRPr="00DF0D90" w:rsidRDefault="00B36192" w:rsidP="006D217F">
      <w:pPr>
        <w:spacing w:after="120" w:line="360" w:lineRule="auto"/>
        <w:ind w:firstLine="567"/>
        <w:jc w:val="both"/>
      </w:pPr>
      <w:r w:rsidRPr="00DF0D90">
        <w:t xml:space="preserve">Диагностические ангиографические методики являются неотъемлемой частью эндоваскулярного лечебного вмешательства у пациентов с ГЦР, позволяющие оценить состояние чревного ствола и его ветвей, уточнить анатомический вариант кровоснабжения печени, определить уровень </w:t>
      </w:r>
      <w:proofErr w:type="spellStart"/>
      <w:r w:rsidRPr="00DF0D90">
        <w:t>васкуляризации</w:t>
      </w:r>
      <w:proofErr w:type="spellEnd"/>
      <w:r w:rsidRPr="00DF0D90">
        <w:t xml:space="preserve"> опухолевых узлов, уточнить наличие артерио-портальных или артериовенозных шунтов. Полученные диагностические данные имеют важное значение в определении, как возможности выполнения, так и планирования последующей </w:t>
      </w:r>
      <w:proofErr w:type="spellStart"/>
      <w:r w:rsidRPr="00DF0D90">
        <w:t>трансартериальной</w:t>
      </w:r>
      <w:proofErr w:type="spellEnd"/>
      <w:r w:rsidRPr="00DF0D90">
        <w:t xml:space="preserve"> </w:t>
      </w:r>
      <w:proofErr w:type="spellStart"/>
      <w:r w:rsidRPr="00DF0D90">
        <w:t>химиоэмболизации</w:t>
      </w:r>
      <w:proofErr w:type="spellEnd"/>
      <w:r w:rsidR="00FE4F7D" w:rsidRPr="00DF0D90">
        <w:t xml:space="preserve"> (ТАХЭ)</w:t>
      </w:r>
      <w:r w:rsidRPr="00DF0D90">
        <w:t xml:space="preserve"> печени. </w:t>
      </w:r>
    </w:p>
    <w:p w14:paraId="4DE02B21" w14:textId="77777777" w:rsidR="00B36192" w:rsidRPr="00DF0D90" w:rsidRDefault="00B36192" w:rsidP="006D217F">
      <w:pPr>
        <w:spacing w:after="120" w:line="360" w:lineRule="auto"/>
        <w:ind w:firstLine="567"/>
        <w:jc w:val="both"/>
      </w:pPr>
      <w:r w:rsidRPr="00DF0D90">
        <w:lastRenderedPageBreak/>
        <w:t xml:space="preserve">При выявлении у пациентов с ГЦР выраженного артериовенозного </w:t>
      </w:r>
      <w:proofErr w:type="spellStart"/>
      <w:r w:rsidRPr="00DF0D90">
        <w:t>фистулирования</w:t>
      </w:r>
      <w:proofErr w:type="spellEnd"/>
      <w:r w:rsidRPr="00DF0D90">
        <w:t xml:space="preserve"> или наличии </w:t>
      </w:r>
      <w:proofErr w:type="spellStart"/>
      <w:r w:rsidRPr="00DF0D90">
        <w:t>артериопортального</w:t>
      </w:r>
      <w:proofErr w:type="spellEnd"/>
      <w:r w:rsidRPr="00DF0D90">
        <w:t xml:space="preserve"> шунта с контрастированием ствола воротной вены или её долевых ветвей ТАХЭ не показана. Пациентам с наличием артериовенозного </w:t>
      </w:r>
      <w:proofErr w:type="spellStart"/>
      <w:r w:rsidRPr="00DF0D90">
        <w:t>фистулирования</w:t>
      </w:r>
      <w:proofErr w:type="spellEnd"/>
      <w:r w:rsidRPr="00DF0D90">
        <w:t xml:space="preserve"> на </w:t>
      </w:r>
      <w:r w:rsidRPr="00DF0D90">
        <w:rPr>
          <w:lang w:val="en-US"/>
        </w:rPr>
        <w:t>I</w:t>
      </w:r>
      <w:r w:rsidR="00EA77D2" w:rsidRPr="00DF0D90">
        <w:t xml:space="preserve"> </w:t>
      </w:r>
      <w:r w:rsidRPr="00DF0D90">
        <w:t xml:space="preserve">этапе эндоваскулярного лечения (перед ТАХЭ) показана эмболизация печеночных артерий с целью окклюзии </w:t>
      </w:r>
      <w:r w:rsidR="00C51C9B" w:rsidRPr="00DF0D90">
        <w:t>артериовенозных фистул</w:t>
      </w:r>
      <w:r w:rsidR="00CB757B" w:rsidRPr="00DF0D90">
        <w:t xml:space="preserve">  </w:t>
      </w:r>
      <w:r w:rsidR="00CB757B" w:rsidRPr="00DF0D90">
        <w:fldChar w:fldCharType="begin" w:fldLock="1"/>
      </w:r>
      <w:r w:rsidR="007335C5" w:rsidRPr="00DF0D90">
        <w:instrText>ADDIN CSL_CITATION {"citationItems":[{"id":"ITEM-1","itemData":{"DOI":"10.1007/s10620-012-2331-0","ISSN":"01632116","PMID":"22875308","abstract":"Introduction Hepatic arterial venous fistulae are abnormal communications between the hepatic artery and portal or hepatic vein and commonly occur either secondary to iatrogenic causes like liver biopsy, transhepatic biliary drainage, transhepatic cholangiogram and surgery, or following mechanical insult like blunt or penetrating trauma. Congenital fistulae are rare. Treatment is warranted as an emergency management or in the development of portal hypertension/heart failure in chronic cases. Both surgical and endovascular occlusion of the fistula can be attempted with the latter carrying low intra and post-procedure morbidity. Endovascular treatment has thus currently emerged as a minimally invasive reliable treatment option in such individuals. Methods and Results We describe a short series consisting of four cases of acquired hepatic arterioportal/venous fistulae, which were referred to interventional radiology for endovascular management over the last 2 years. Three patients had arterio-portal communication and one patient had communication between the hepatic artery and middle hepatic vein. Successful embolization through the transarterial route was achieved in all four patients. A brief discussion of these cases is presented along with a relevant review of literature. Conclusions Endovascular techniques currently form less invasive and first line treatment options in arterioportal/ venous fistulae, surgery being reserved only for unsuccessful embolizations/complex fistulae. © 2012 Springer Science+Business Media, LLC.","author":[{"dropping-particle":"","family":"Kumar","given":"Ajay","non-dropping-particle":"","parse-names":false,"suffix":""},{"dropping-particle":"","family":"Ahuja","given":"Chirag Kamal","non-dropping-particle":"","parse-names":false,"suffix":""},{"dropping-particle":"","family":"Vyas","given":"Sameer","non-dropping-particle":"","parse-names":false,"suffix":""},{"dropping-particle":"","family":"Kalra","given":"Naveen","non-dropping-particle":"","parse-names":false,"suffix":""},{"dropping-particle":"","family":"Khandelwal","given":"Niranjan","non-dropping-particle":"","parse-names":false,"suffix":""},{"dropping-particle":"","family":"Chawla","given":"Yogesh","non-dropping-particle":"","parse-names":false,"suffix":""},{"dropping-particle":"","family":"Dhiman","given":"Radha Krishan","non-dropping-particle":"","parse-names":false,"suffix":""}],"container-title":"Digestive Diseases and Sciences","id":"ITEM-1","issue":"10","issued":{"date-parts":[["2012","10","9"]]},"page":"2703-2712","title":"Hepatic arteriovenous fistulae: Role of interventional radiology","type":"article-journal","volume":"57"},"uris":["http://www.mendeley.com/documents/?uuid=5021aee7-55d2-3863-8089-1168f11a3b68"]},{"id":"ITEM-2","itemData":{"DOI":"10.1186/s12876-018-0899-3","ISSN":"1471230X","PMID":"30419830","abstract":"Background: Hepatic arterioportal shunt (A-P shunt) is defined as the direct blood flow established between hepatic artery and portal venous system; it is frequently observed in patients with hepatocellular carcinoma (HCC). Clinically, it is important to diagnose HCC associated A-P shunts, as it may impact the treatment strategy of the patients. In the present study, we described the imaging findings of the HCC associated A-P shunts and discussed the treatments strategy of such patients. From the findings, we also discussed the potential cause of A-P shunts. Methods: Clinical data of HCC patients (n = 560), admitted to the hospital between April 2012 to April 2014, were reviewed. Hepatic angiography was used to examine the presence of A-P shunts. Of the 137 patients with A-P shunts, grading of the A-P shunts was performed, and statistical analysis of the different grades of A-P shunts and clinical characteristics was performed. Results: The hepatic angiography confirmed that 99 patients had typical A-P shunts (Grade 1-3), and 38 patients had atypical A-P shunts. Embolization was the main strategy used to treat A-P shunts, in which liquid embolic agents appeared to provide a better treatment outcome. The correlation analysis showed that the grading of portal vein tumor thrombus was significantly associated with the grading of A-P shunt (p = &lt; 0.001, Spearman correlation coefficient was 0.816 ± 0.043). Conclusions: We characterized A-P shunts and proposed treatment strategy for treating HCC patients with various levels of A-P shunts. The findings supported the hypothesis that the formation of HCC associated A-P shunts was caused by tumor thrombus.","author":[{"dropping-particle":"","family":"Wu","given":"Huiyong","non-dropping-particle":"","parse-names":false,"suffix":""},{"dropping-particle":"","family":"Zhao","given":"Wei","non-dropping-particle":"","parse-names":false,"suffix":""},{"dropping-particle":"","family":"Zhang","given":"Jianbo","non-dropping-particle":"","parse-names":false,"suffix":""},{"dropping-particle":"","family":"Han","given":"Jianjun","non-dropping-particle":"","parse-names":false,"suffix":""},{"dropping-particle":"","family":"Liu","given":"Shuguang","non-dropping-particle":"","parse-names":false,"suffix":""}],"container-title":"BMC Gastroenterology","id":"ITEM-2","issue":"1","issued":{"date-parts":[["2018","12","12"]]},"title":"Clinical characteristics of hepatic Arterioportal shunts associated with hepatocellular carcinoma","type":"article-journal","volume":"18"},"uris":["http://www.mendeley.com/documents/?uuid=6996ac45-c239-32c2-aa87-7fe7fc6f5f12"]}],"mendeley":{"formattedCitation":"[36,37]","plainTextFormattedCitation":"[36,37]","previouslyFormattedCitation":"[36,37]"},"properties":{"noteIndex":0},"schema":"https://github.com/citation-style-language/schema/raw/master/csl-citation.json"}</w:instrText>
      </w:r>
      <w:r w:rsidR="00CB757B" w:rsidRPr="00DF0D90">
        <w:fldChar w:fldCharType="separate"/>
      </w:r>
      <w:r w:rsidR="007335C5" w:rsidRPr="00DF0D90">
        <w:rPr>
          <w:noProof/>
        </w:rPr>
        <w:t>[36,37]</w:t>
      </w:r>
      <w:r w:rsidR="00CB757B" w:rsidRPr="00DF0D90">
        <w:fldChar w:fldCharType="end"/>
      </w:r>
      <w:r w:rsidR="00641949" w:rsidRPr="00DF0D90">
        <w:t>.</w:t>
      </w:r>
    </w:p>
    <w:p w14:paraId="2BE3820E" w14:textId="77777777" w:rsidR="003003F4" w:rsidRPr="00DF0D90" w:rsidRDefault="003003F4" w:rsidP="006D217F">
      <w:pPr>
        <w:spacing w:after="120" w:line="360" w:lineRule="auto"/>
        <w:ind w:firstLine="567"/>
        <w:jc w:val="both"/>
      </w:pPr>
    </w:p>
    <w:p w14:paraId="52013098" w14:textId="77777777" w:rsidR="00630BAC" w:rsidRPr="00DF0D90" w:rsidRDefault="00630BAC" w:rsidP="00801019">
      <w:pPr>
        <w:pStyle w:val="42"/>
      </w:pPr>
      <w:bookmarkStart w:id="77" w:name="_Toc98349280"/>
      <w:bookmarkStart w:id="78" w:name="_Toc83293978"/>
      <w:r w:rsidRPr="00DF0D90">
        <w:t xml:space="preserve">3. Лечение, включая медикаментозную и немедикаментозную терапии, диетотерапию, обезболивание, медицинские показания </w:t>
      </w:r>
      <w:r w:rsidRPr="00DF0D90">
        <w:br/>
        <w:t>и противопоказания к применению методов лечения</w:t>
      </w:r>
      <w:bookmarkEnd w:id="77"/>
      <w:bookmarkEnd w:id="78"/>
    </w:p>
    <w:p w14:paraId="12B22B70" w14:textId="77777777" w:rsidR="00630BAC" w:rsidRPr="00DF0D90" w:rsidRDefault="00630BAC" w:rsidP="006D217F">
      <w:pPr>
        <w:spacing w:after="120" w:line="360" w:lineRule="auto"/>
        <w:ind w:firstLine="567"/>
        <w:jc w:val="both"/>
        <w:rPr>
          <w:i/>
        </w:rPr>
      </w:pPr>
      <w:r w:rsidRPr="00DF0D90">
        <w:rPr>
          <w:i/>
        </w:rPr>
        <w:t>Разработка плана лечения по результатам диагностики должна быть отнесена к</w:t>
      </w:r>
      <w:r w:rsidR="00123A49" w:rsidRPr="00DF0D90">
        <w:rPr>
          <w:i/>
        </w:rPr>
        <w:t xml:space="preserve"> </w:t>
      </w:r>
      <w:r w:rsidRPr="00DF0D90">
        <w:rPr>
          <w:i/>
        </w:rPr>
        <w:t xml:space="preserve">компетенции специализированной мультидисциплинарной группы по ГЦР, функционирующей на базе специализированных центров. При выборе стратегии лечения </w:t>
      </w:r>
      <w:r w:rsidR="00716ADB" w:rsidRPr="00DF0D90">
        <w:rPr>
          <w:i/>
        </w:rPr>
        <w:t>пациентов с</w:t>
      </w:r>
      <w:r w:rsidR="00123A49" w:rsidRPr="00DF0D90">
        <w:rPr>
          <w:i/>
        </w:rPr>
        <w:t xml:space="preserve"> </w:t>
      </w:r>
      <w:r w:rsidRPr="00DF0D90">
        <w:rPr>
          <w:i/>
        </w:rPr>
        <w:t>ГЦР приоритет должен отдаваться противоопухолевому специализированному лечению с использованием методов, позволяющих увеличить выживаемость.</w:t>
      </w:r>
    </w:p>
    <w:p w14:paraId="58391099" w14:textId="669CE43A" w:rsidR="00630BAC" w:rsidRPr="00DF0D90" w:rsidRDefault="00630BAC" w:rsidP="006D217F">
      <w:pPr>
        <w:spacing w:after="120" w:line="360" w:lineRule="auto"/>
        <w:ind w:firstLine="567"/>
        <w:jc w:val="both"/>
        <w:rPr>
          <w:i/>
        </w:rPr>
      </w:pPr>
      <w:r w:rsidRPr="00DF0D90">
        <w:rPr>
          <w:i/>
        </w:rPr>
        <w:t xml:space="preserve">Радикальное лечение раннего локализованного ГЦР включает резекцию печени, </w:t>
      </w:r>
      <w:proofErr w:type="spellStart"/>
      <w:r w:rsidRPr="00DF0D90">
        <w:rPr>
          <w:i/>
        </w:rPr>
        <w:t>ортотопическую</w:t>
      </w:r>
      <w:proofErr w:type="spellEnd"/>
      <w:r w:rsidRPr="00DF0D90">
        <w:rPr>
          <w:i/>
        </w:rPr>
        <w:t xml:space="preserve"> трансплантацию печени и применение местно-деструктивных аблативных методов (радиочастотную, микроволновую </w:t>
      </w:r>
      <w:proofErr w:type="spellStart"/>
      <w:r w:rsidRPr="00DF0D90">
        <w:rPr>
          <w:i/>
        </w:rPr>
        <w:t>аблацию</w:t>
      </w:r>
      <w:proofErr w:type="spellEnd"/>
      <w:r w:rsidRPr="00DF0D90">
        <w:rPr>
          <w:i/>
        </w:rPr>
        <w:t xml:space="preserve"> и др.)</w:t>
      </w:r>
      <w:r w:rsidR="00CB757B" w:rsidRPr="00DF0D90">
        <w:rPr>
          <w:i/>
        </w:rPr>
        <w:t xml:space="preserve"> </w:t>
      </w:r>
      <w:r w:rsidR="00CB757B" w:rsidRPr="00DF0D90">
        <w:rPr>
          <w:i/>
        </w:rPr>
        <w:fldChar w:fldCharType="begin" w:fldLock="1"/>
      </w:r>
      <w:r w:rsidR="007335C5" w:rsidRPr="00DF0D90">
        <w:rPr>
          <w:i/>
        </w:rPr>
        <w:instrText>ADDIN CSL_CITATION {"citationItems":[{"id":"ITEM-1","itemData":{"DOI":"10.1093/annonc/mdy308","ISSN":"15698041","PMID":"30285213","author":[{"dropping-particle":"","family":"Vogel","given":"A.","non-dropping-particle":"","parse-names":false,"suffix":""},{"dropping-particle":"","family":"Cervantes","given":"A.","non-dropping-particle":"","parse-names":false,"suffix":""},{"dropping-particle":"","family":"Chau","given":"I.","non-dropping-particle":"","parse-names":false,"suffix":""},{"dropping-particle":"","family":"Daniele","given":"B.","non-dropping-particle":"","parse-names":false,"suffix":""},{"dropping-particle":"","family":"Llovet","given":"J.","non-dropping-particle":"","parse-names":false,"suffix":""},{"dropping-particle":"","family":"Meyer","given":"T.","non-dropping-particle":"","parse-names":false,"suffix":""},{"dropping-particle":"","family":"Nault","given":"J. C.","non-dropping-particle":"","parse-names":false,"suffix":""},{"dropping-particle":"","family":"Neumann","given":"U.","non-dropping-particle":"","parse-names":false,"suffix":""},{"dropping-particle":"","family":"Ricke","given":"J.","non-dropping-particle":"","parse-names":false,"suffix":""},{"dropping-particle":"","family":"Sangro","given":"B.","non-dropping-particle":"","parse-names":false,"suffix":""},{"dropping-particle":"","family":"Schirmacher","given":"P.","non-dropping-particle":"","parse-names":false,"suffix":""},{"dropping-particle":"","family":"Verslype","given":"C.","non-dropping-particle":"","parse-names":false,"suffix":""},{"dropping-particle":"","family":"Zech","given":"C. J.","non-dropping-particle":"","parse-names":false,"suffix":""},{"dropping-particle":"","family":"Arnold","given":"D.","non-dropping-particle":"","parse-names":false,"suffix":""},{"dropping-particle":"","family":"Martinelli","given":"E.","non-dropping-particle":"","parse-names":false,"suffix":""}],"container-title":"Annals of Oncology","id":"ITEM-1","issued":{"date-parts":[["2018","10","1"]]},"page":"iv238-iv255","publisher":"Oxford University Press","title":"Hepatocellular carcinoma: ESMO Clinical Practice Guidelines for diagnosis, treatment and follow-up","type":"article-journal","volume":"29"},"uris":["http://www.mendeley.com/documents/?uuid=21b70589-bd16-3bd9-b432-9f2042108c3b"]},{"id":"ITEM-2","itemData":{"DOI":"10.1002/hep.29913","ISSN":"15273350","PMID":"29624699","author":[{"dropping-particle":"","family":"Marrero","given":"Jorge A.","non-dropping-particle":"","parse-names":false,"suffix":""},{"dropping-particle":"","family":"Kulik","given":"Laura M.","non-dropping-particle":"","parse-names":false,"suffix":""},{"dropping-particle":"","family":"Sirlin","given":"Claude B.","non-dropping-particle":"","parse-names":false,"suffix":""},{"dropping-particle":"","family":"Zhu","given":"Andrew X.","non-dropping-particle":"","parse-names":false,"suffix":""},{"dropping-particle":"","family":"Finn","given":"Richard S.","non-dropping-particle":"","parse-names":false,"suffix":""},{"dropping-particle":"","family":"Abecassis","given":"Michael M.","non-dropping-particle":"","parse-names":false,"suffix":""},{"dropping-particle":"","family":"Roberts","given":"Lewis R.","non-dropping-particle":"","parse-names":false,"suffix":""},{"dropping-particle":"","family":"Heimbach","given":"Julie K.","non-dropping-particle":"","parse-names":false,"suffix":""}],"container-title":"Hepatology","id":"ITEM-2","issue":"2","issued":{"date-parts":[["2018","8","1"]]},"page":"723-750","publisher":"John Wiley and Sons Inc.","title":"Diagnosis, Staging, and Management of Hepatocellular Carcinoma: 2018 Practice Guidance by the American Association for the Study of Liver Diseases","type":"article-journal","volume":"68"},"uris":["http://www.mendeley.com/documents/?uuid=524b992f-ba18-31f8-aa7d-c271bdc57c09"]},{"id":"ITEM-3","itemData":{"author":[{"dropping-particle":"","family":"NCCN","given":"","non-dropping-particle":"","parse-names":false,"suffix":""}],"id":"ITEM-3","issued":{"date-parts":[["2021"]]},"title":"Clinical Practice Guidelines in Oncology. Hepatobiliary Cancers, version 4.2021","type":"article-journal"},"uris":["http://www.mendeley.com/documents/?uuid=db314d5f-b05a-4fec-a403-5589c18d9ebd"]}],"mendeley":{"formattedCitation":"[8,9,14]","plainTextFormattedCitation":"[8,9,14]","previouslyFormattedCitation":"[8,9,14]"},"properties":{"noteIndex":0},"schema":"https://github.com/citation-style-language/schema/raw/master/csl-citation.json"}</w:instrText>
      </w:r>
      <w:r w:rsidR="00CB757B" w:rsidRPr="00DF0D90">
        <w:rPr>
          <w:i/>
        </w:rPr>
        <w:fldChar w:fldCharType="separate"/>
      </w:r>
      <w:r w:rsidR="00C34389" w:rsidRPr="00DF0D90">
        <w:rPr>
          <w:noProof/>
        </w:rPr>
        <w:t>[8,9,14</w:t>
      </w:r>
      <w:r w:rsidR="002127BA" w:rsidRPr="00DF0D90">
        <w:rPr>
          <w:noProof/>
        </w:rPr>
        <w:t>, 131, 132</w:t>
      </w:r>
      <w:r w:rsidR="00C34389" w:rsidRPr="00DF0D90">
        <w:rPr>
          <w:noProof/>
        </w:rPr>
        <w:t>]</w:t>
      </w:r>
      <w:r w:rsidR="00CB757B" w:rsidRPr="00DF0D90">
        <w:rPr>
          <w:i/>
        </w:rPr>
        <w:fldChar w:fldCharType="end"/>
      </w:r>
      <w:r w:rsidRPr="00DF0D90">
        <w:rPr>
          <w:i/>
        </w:rPr>
        <w:t>.</w:t>
      </w:r>
    </w:p>
    <w:p w14:paraId="203E9E2B" w14:textId="2F023EF7" w:rsidR="00630BAC" w:rsidRPr="00DF0D90" w:rsidRDefault="00630BAC" w:rsidP="006D217F">
      <w:pPr>
        <w:spacing w:after="120" w:line="360" w:lineRule="auto"/>
        <w:ind w:firstLine="567"/>
        <w:jc w:val="both"/>
        <w:rPr>
          <w:i/>
        </w:rPr>
      </w:pPr>
      <w:r w:rsidRPr="00DF0D90">
        <w:rPr>
          <w:i/>
        </w:rPr>
        <w:t xml:space="preserve">Паллиативное лечение ГЦР направлено на достижение контроля над проявлениями болезни, призвано увеличивать продолжительность и улучшать качество жизни пациентов. Паллиативное специализированное лечение включает </w:t>
      </w:r>
      <w:proofErr w:type="spellStart"/>
      <w:r w:rsidRPr="00DF0D90">
        <w:rPr>
          <w:i/>
        </w:rPr>
        <w:t>интервенционно</w:t>
      </w:r>
      <w:proofErr w:type="spellEnd"/>
      <w:r w:rsidRPr="00DF0D90">
        <w:rPr>
          <w:i/>
        </w:rPr>
        <w:t>-радиологическое лечение (различные виды эмболизации)</w:t>
      </w:r>
      <w:r w:rsidR="00A57EE9" w:rsidRPr="00DF0D90">
        <w:rPr>
          <w:i/>
        </w:rPr>
        <w:t>, радиотерапию</w:t>
      </w:r>
      <w:r w:rsidRPr="00DF0D90">
        <w:rPr>
          <w:i/>
        </w:rPr>
        <w:t xml:space="preserve"> и системную химиотерапи</w:t>
      </w:r>
      <w:r w:rsidR="00CB757B" w:rsidRPr="00DF0D90">
        <w:rPr>
          <w:i/>
        </w:rPr>
        <w:t xml:space="preserve">ю </w:t>
      </w:r>
      <w:r w:rsidR="00CB757B" w:rsidRPr="00DF0D90">
        <w:rPr>
          <w:i/>
        </w:rPr>
        <w:fldChar w:fldCharType="begin" w:fldLock="1"/>
      </w:r>
      <w:r w:rsidR="007335C5" w:rsidRPr="00DF0D90">
        <w:rPr>
          <w:i/>
        </w:rPr>
        <w:instrText>ADDIN CSL_CITATION {"citationItems":[{"id":"ITEM-1","itemData":{"author":[{"dropping-particle":"","family":"NCCN","given":"","non-dropping-particle":"","parse-names":false,"suffix":""}],"id":"ITEM-1","issued":{"date-parts":[["2021"]]},"title":"Clinical Practice Guidelines in Oncology. Hepatobiliary Cancers, version 4.2021","type":"article-journal"},"uris":["http://www.mendeley.com/documents/?uuid=db314d5f-b05a-4fec-a403-5589c18d9ebd"]},{"id":"ITEM-2","itemData":{"DOI":"10.1002/hep.29913","ISSN":"15273350","PMID":"29624699","author":[{"dropping-particle":"","family":"Marrero","given":"Jorge A.","non-dropping-particle":"","parse-names":false,"suffix":""},{"dropping-particle":"","family":"Kulik","given":"Laura M.","non-dropping-particle":"","parse-names":false,"suffix":""},{"dropping-particle":"","family":"Sirlin","given":"Claude B.","non-dropping-particle":"","parse-names":false,"suffix":""},{"dropping-particle":"","family":"Zhu","given":"Andrew X.","non-dropping-particle":"","parse-names":false,"suffix":""},{"dropping-particle":"","family":"Finn","given":"Richard S.","non-dropping-particle":"","parse-names":false,"suffix":""},{"dropping-particle":"","family":"Abecassis","given":"Michael M.","non-dropping-particle":"","parse-names":false,"suffix":""},{"dropping-particle":"","family":"Roberts","given":"Lewis R.","non-dropping-particle":"","parse-names":false,"suffix":""},{"dropping-particle":"","family":"Heimbach","given":"Julie K.","non-dropping-particle":"","parse-names":false,"suffix":""}],"container-title":"Hepatology","id":"ITEM-2","issue":"2","issued":{"date-parts":[["2018","8","1"]]},"page":"723-750","publisher":"John Wiley and Sons Inc.","title":"Diagnosis, Staging, and Management of Hepatocellular Carcinoma: 2018 Practice Guidance by the American Association for the Study of Liver Diseases","type":"article-journal","volume":"68"},"uris":["http://www.mendeley.com/documents/?uuid=524b992f-ba18-31f8-aa7d-c271bdc57c09"]},{"id":"ITEM-3","itemData":{"DOI":"10.1093/annonc/mdy308","ISSN":"15698041","PMID":"30285213","author":[{"dropping-particle":"","family":"Vogel","given":"A.","non-dropping-particle":"","parse-names":false,"suffix":""},{"dropping-particle":"","family":"Cervantes","given":"A.","non-dropping-particle":"","parse-names":false,"suffix":""},{"dropping-particle":"","family":"Chau","given":"I.","non-dropping-particle":"","parse-names":false,"suffix":""},{"dropping-particle":"","family":"Daniele","given":"B.","non-dropping-particle":"","parse-names":false,"suffix":""},{"dropping-particle":"","family":"Llovet","given":"J.","non-dropping-particle":"","parse-names":false,"suffix":""},{"dropping-particle":"","family":"Meyer","given":"T.","non-dropping-particle":"","parse-names":false,"suffix":""},{"dropping-particle":"","family":"Nault","given":"J. C.","non-dropping-particle":"","parse-names":false,"suffix":""},{"dropping-particle":"","family":"Neumann","given":"U.","non-dropping-particle":"","parse-names":false,"suffix":""},{"dropping-particle":"","family":"Ricke","given":"J.","non-dropping-particle":"","parse-names":false,"suffix":""},{"dropping-particle":"","family":"Sangro","given":"B.","non-dropping-particle":"","parse-names":false,"suffix":""},{"dropping-particle":"","family":"Schirmacher","given":"P.","non-dropping-particle":"","parse-names":false,"suffix":""},{"dropping-particle":"","family":"Verslype","given":"C.","non-dropping-particle":"","parse-names":false,"suffix":""},{"dropping-particle":"","family":"Zech","given":"C. J.","non-dropping-particle":"","parse-names":false,"suffix":""},{"dropping-particle":"","family":"Arnold","given":"D.","non-dropping-particle":"","parse-names":false,"suffix":""},{"dropping-particle":"","family":"Martinelli","given":"E.","non-dropping-particle":"","parse-names":false,"suffix":""}],"container-title":"Annals of Oncology","id":"ITEM-3","issued":{"date-parts":[["2018","10","1"]]},"page":"iv238-iv255","publisher":"Oxford University Press","title":"Hepatocellular carcinoma: ESMO Clinical Practice Guidelines for diagnosis, treatment and follow-up","type":"article-journal","volume":"29"},"uris":["http://www.mendeley.com/documents/?uuid=21b70589-bd16-3bd9-b432-9f2042108c3b"]}],"mendeley":{"formattedCitation":"[8,9,14]","plainTextFormattedCitation":"[8,9,14]","previouslyFormattedCitation":"[8,9,14]"},"properties":{"noteIndex":0},"schema":"https://github.com/citation-style-language/schema/raw/master/csl-citation.json"}</w:instrText>
      </w:r>
      <w:r w:rsidR="00CB757B" w:rsidRPr="00DF0D90">
        <w:rPr>
          <w:i/>
        </w:rPr>
        <w:fldChar w:fldCharType="separate"/>
      </w:r>
      <w:r w:rsidR="00C34389" w:rsidRPr="00DF0D90">
        <w:rPr>
          <w:noProof/>
        </w:rPr>
        <w:t>[8,9,14</w:t>
      </w:r>
      <w:r w:rsidR="00B74391" w:rsidRPr="00DF0D90">
        <w:rPr>
          <w:noProof/>
        </w:rPr>
        <w:t>, 156, 157</w:t>
      </w:r>
      <w:r w:rsidR="00C34389" w:rsidRPr="00DF0D90">
        <w:rPr>
          <w:noProof/>
        </w:rPr>
        <w:t>]</w:t>
      </w:r>
      <w:r w:rsidR="00CB757B" w:rsidRPr="00DF0D90">
        <w:rPr>
          <w:i/>
        </w:rPr>
        <w:fldChar w:fldCharType="end"/>
      </w:r>
      <w:r w:rsidR="00CB757B" w:rsidRPr="00DF0D90">
        <w:rPr>
          <w:i/>
        </w:rPr>
        <w:t>.</w:t>
      </w:r>
    </w:p>
    <w:p w14:paraId="1D469045" w14:textId="4D146660" w:rsidR="006D217F" w:rsidRPr="00DF0D90" w:rsidRDefault="006D217F" w:rsidP="006D217F">
      <w:pPr>
        <w:tabs>
          <w:tab w:val="left" w:pos="284"/>
          <w:tab w:val="left" w:pos="426"/>
          <w:tab w:val="left" w:pos="709"/>
          <w:tab w:val="left" w:pos="851"/>
        </w:tabs>
        <w:autoSpaceDE w:val="0"/>
        <w:autoSpaceDN w:val="0"/>
        <w:adjustRightInd w:val="0"/>
        <w:spacing w:after="120" w:line="360" w:lineRule="auto"/>
        <w:ind w:firstLine="567"/>
        <w:jc w:val="both"/>
        <w:rPr>
          <w:i/>
        </w:rPr>
      </w:pPr>
      <w:r w:rsidRPr="00DF0D90">
        <w:rPr>
          <w:i/>
        </w:rPr>
        <w:tab/>
      </w:r>
      <w:r w:rsidR="00630BAC" w:rsidRPr="00DF0D90">
        <w:rPr>
          <w:i/>
        </w:rPr>
        <w:t xml:space="preserve">План лечения вырабатывается на основании результатов объективного обследования мультидисциплинарной командой специалистов (включающей </w:t>
      </w:r>
      <w:r w:rsidR="0045428A" w:rsidRPr="00DF0D90">
        <w:rPr>
          <w:i/>
        </w:rPr>
        <w:t>врача-радиолога</w:t>
      </w:r>
      <w:r w:rsidR="00123A49" w:rsidRPr="00DF0D90">
        <w:rPr>
          <w:i/>
        </w:rPr>
        <w:t xml:space="preserve">, </w:t>
      </w:r>
      <w:r w:rsidR="0084480E" w:rsidRPr="00DF0D90">
        <w:rPr>
          <w:i/>
        </w:rPr>
        <w:t>врача-</w:t>
      </w:r>
      <w:r w:rsidR="00630BAC" w:rsidRPr="00DF0D90">
        <w:rPr>
          <w:i/>
        </w:rPr>
        <w:t>хирурга</w:t>
      </w:r>
      <w:r w:rsidR="00716ADB" w:rsidRPr="00DF0D90">
        <w:rPr>
          <w:i/>
        </w:rPr>
        <w:t xml:space="preserve"> (</w:t>
      </w:r>
      <w:r w:rsidR="00630BAC" w:rsidRPr="00DF0D90">
        <w:rPr>
          <w:i/>
        </w:rPr>
        <w:t>гепатолога</w:t>
      </w:r>
      <w:r w:rsidR="00716ADB" w:rsidRPr="00DF0D90">
        <w:rPr>
          <w:i/>
        </w:rPr>
        <w:t>)</w:t>
      </w:r>
      <w:r w:rsidR="00630BAC" w:rsidRPr="00DF0D90">
        <w:rPr>
          <w:i/>
        </w:rPr>
        <w:t xml:space="preserve">, </w:t>
      </w:r>
      <w:r w:rsidR="0045428A" w:rsidRPr="00DF0D90">
        <w:rPr>
          <w:i/>
        </w:rPr>
        <w:t xml:space="preserve">врача по </w:t>
      </w:r>
      <w:proofErr w:type="spellStart"/>
      <w:r w:rsidR="0045428A" w:rsidRPr="00DF0D90">
        <w:rPr>
          <w:i/>
        </w:rPr>
        <w:t>рентгеноэндоваскулярн</w:t>
      </w:r>
      <w:r w:rsidR="00325837" w:rsidRPr="00DF0D90">
        <w:rPr>
          <w:i/>
        </w:rPr>
        <w:t>ым</w:t>
      </w:r>
      <w:proofErr w:type="spellEnd"/>
      <w:r w:rsidR="0045428A" w:rsidRPr="00DF0D90">
        <w:rPr>
          <w:i/>
        </w:rPr>
        <w:t xml:space="preserve"> диагностике и лечению</w:t>
      </w:r>
      <w:r w:rsidR="00630BAC" w:rsidRPr="00DF0D90">
        <w:rPr>
          <w:i/>
        </w:rPr>
        <w:t xml:space="preserve">, </w:t>
      </w:r>
      <w:r w:rsidR="0045428A" w:rsidRPr="00DF0D90">
        <w:rPr>
          <w:i/>
        </w:rPr>
        <w:t>врача-онколога</w:t>
      </w:r>
      <w:r w:rsidR="00630BAC" w:rsidRPr="00DF0D90">
        <w:rPr>
          <w:i/>
        </w:rPr>
        <w:t>,</w:t>
      </w:r>
      <w:r w:rsidR="006C7DEE" w:rsidRPr="00DF0D90">
        <w:rPr>
          <w:i/>
          <w:color w:val="000000" w:themeColor="text1"/>
        </w:rPr>
        <w:t xml:space="preserve"> врача-радиотерапевта</w:t>
      </w:r>
      <w:r w:rsidR="004F7795" w:rsidRPr="00DF0D90">
        <w:rPr>
          <w:i/>
          <w:color w:val="000000" w:themeColor="text1"/>
          <w:u w:val="single"/>
        </w:rPr>
        <w:t xml:space="preserve">, рентгенолога и </w:t>
      </w:r>
      <w:proofErr w:type="spellStart"/>
      <w:r w:rsidR="004F7795" w:rsidRPr="00DF0D90">
        <w:rPr>
          <w:i/>
          <w:color w:val="000000" w:themeColor="text1"/>
          <w:u w:val="single"/>
        </w:rPr>
        <w:t>патоморфолога</w:t>
      </w:r>
      <w:proofErr w:type="spellEnd"/>
      <w:r w:rsidR="004F7795" w:rsidRPr="00DF0D90">
        <w:rPr>
          <w:i/>
          <w:color w:val="000000" w:themeColor="text1"/>
          <w:u w:val="single"/>
        </w:rPr>
        <w:t xml:space="preserve">, </w:t>
      </w:r>
      <w:r w:rsidR="0084480E" w:rsidRPr="00DF0D90">
        <w:rPr>
          <w:i/>
        </w:rPr>
        <w:t>врача-</w:t>
      </w:r>
      <w:r w:rsidR="00630BAC" w:rsidRPr="00DF0D90">
        <w:rPr>
          <w:i/>
        </w:rPr>
        <w:t xml:space="preserve">гастроэнтеролога, имеющих опыт работы с </w:t>
      </w:r>
      <w:r w:rsidR="00716ADB" w:rsidRPr="00DF0D90">
        <w:rPr>
          <w:i/>
        </w:rPr>
        <w:t>пациентами с</w:t>
      </w:r>
      <w:r w:rsidR="00EA77D2" w:rsidRPr="00DF0D90">
        <w:rPr>
          <w:i/>
        </w:rPr>
        <w:t xml:space="preserve"> </w:t>
      </w:r>
      <w:r w:rsidR="00630BAC" w:rsidRPr="00DF0D90">
        <w:rPr>
          <w:i/>
        </w:rPr>
        <w:t xml:space="preserve">ГЦР на базе специализированных центров. </w:t>
      </w:r>
    </w:p>
    <w:p w14:paraId="371966D5" w14:textId="22A858F4" w:rsidR="00630BAC" w:rsidRPr="00DF0D90" w:rsidRDefault="006D217F" w:rsidP="006D217F">
      <w:pPr>
        <w:tabs>
          <w:tab w:val="left" w:pos="284"/>
          <w:tab w:val="left" w:pos="426"/>
          <w:tab w:val="left" w:pos="709"/>
          <w:tab w:val="left" w:pos="851"/>
        </w:tabs>
        <w:autoSpaceDE w:val="0"/>
        <w:autoSpaceDN w:val="0"/>
        <w:adjustRightInd w:val="0"/>
        <w:spacing w:after="120" w:line="360" w:lineRule="auto"/>
        <w:ind w:firstLine="567"/>
        <w:jc w:val="both"/>
      </w:pPr>
      <w:r w:rsidRPr="00DF0D90">
        <w:rPr>
          <w:i/>
        </w:rPr>
        <w:tab/>
      </w:r>
      <w:r w:rsidR="00630BAC" w:rsidRPr="00DF0D90">
        <w:rPr>
          <w:i/>
        </w:rPr>
        <w:t>Поскольку ГЦР</w:t>
      </w:r>
      <w:r w:rsidR="00123A49" w:rsidRPr="00DF0D90">
        <w:rPr>
          <w:i/>
        </w:rPr>
        <w:t xml:space="preserve"> </w:t>
      </w:r>
      <w:r w:rsidR="00630BAC" w:rsidRPr="00DF0D90">
        <w:rPr>
          <w:i/>
        </w:rPr>
        <w:t>в большинстве случаев</w:t>
      </w:r>
      <w:r w:rsidR="00EA77D2" w:rsidRPr="00DF0D90">
        <w:rPr>
          <w:i/>
        </w:rPr>
        <w:t xml:space="preserve"> </w:t>
      </w:r>
      <w:r w:rsidR="00630BAC" w:rsidRPr="00DF0D90">
        <w:rPr>
          <w:i/>
        </w:rPr>
        <w:t xml:space="preserve">выявляется в </w:t>
      </w:r>
      <w:proofErr w:type="spellStart"/>
      <w:r w:rsidR="00630BAC" w:rsidRPr="00DF0D90">
        <w:rPr>
          <w:i/>
        </w:rPr>
        <w:t>цирротически</w:t>
      </w:r>
      <w:proofErr w:type="spellEnd"/>
      <w:r w:rsidR="00EA77D2" w:rsidRPr="00DF0D90">
        <w:rPr>
          <w:i/>
        </w:rPr>
        <w:t xml:space="preserve"> </w:t>
      </w:r>
      <w:r w:rsidR="00630BAC" w:rsidRPr="00DF0D90">
        <w:rPr>
          <w:i/>
        </w:rPr>
        <w:t xml:space="preserve">измененной печени, прогноз жизни для этих </w:t>
      </w:r>
      <w:r w:rsidR="00716ADB" w:rsidRPr="00DF0D90">
        <w:rPr>
          <w:i/>
        </w:rPr>
        <w:t>пациентов</w:t>
      </w:r>
      <w:r w:rsidR="00EA77D2" w:rsidRPr="00DF0D90">
        <w:rPr>
          <w:i/>
        </w:rPr>
        <w:t xml:space="preserve"> </w:t>
      </w:r>
      <w:r w:rsidR="00630BAC" w:rsidRPr="00DF0D90">
        <w:rPr>
          <w:i/>
        </w:rPr>
        <w:t>определяется не только степенью распространения опухоли, но и</w:t>
      </w:r>
      <w:r w:rsidR="002127BA" w:rsidRPr="00DF0D90">
        <w:rPr>
          <w:i/>
        </w:rPr>
        <w:t xml:space="preserve"> выраженностью</w:t>
      </w:r>
      <w:r w:rsidR="00630BAC" w:rsidRPr="00DF0D90">
        <w:rPr>
          <w:i/>
        </w:rPr>
        <w:t xml:space="preserve"> дисфункции печени и объективным состоянием </w:t>
      </w:r>
      <w:r w:rsidR="00D95F2E" w:rsidRPr="00DF0D90">
        <w:rPr>
          <w:i/>
        </w:rPr>
        <w:t>пациентов</w:t>
      </w:r>
      <w:r w:rsidR="00630BAC" w:rsidRPr="00DF0D90">
        <w:rPr>
          <w:i/>
        </w:rPr>
        <w:t>.</w:t>
      </w:r>
      <w:r w:rsidR="002127BA" w:rsidRPr="00DF0D90">
        <w:rPr>
          <w:i/>
        </w:rPr>
        <w:t xml:space="preserve"> Важное негативное влияние на прогноз фонового цирроза </w:t>
      </w:r>
      <w:r w:rsidR="002127BA" w:rsidRPr="00DF0D90">
        <w:rPr>
          <w:i/>
        </w:rPr>
        <w:lastRenderedPageBreak/>
        <w:t xml:space="preserve">оказывает сохраняющаяся причина его развития - вирусный гепатит, злоупотребление алкоголем. </w:t>
      </w:r>
    </w:p>
    <w:p w14:paraId="648AC2F5" w14:textId="77777777" w:rsidR="00AC1020" w:rsidRPr="00DF0D90" w:rsidRDefault="00AC1020" w:rsidP="006D217F">
      <w:pPr>
        <w:pStyle w:val="2"/>
        <w:spacing w:before="0" w:after="120" w:line="360" w:lineRule="auto"/>
        <w:ind w:firstLine="567"/>
        <w:jc w:val="both"/>
      </w:pPr>
      <w:bookmarkStart w:id="79" w:name="_Toc98349281"/>
      <w:bookmarkStart w:id="80" w:name="_Toc83293979"/>
      <w:r w:rsidRPr="00DF0D90">
        <w:t>3.1 Хирургическое лечение</w:t>
      </w:r>
      <w:bookmarkEnd w:id="79"/>
      <w:bookmarkEnd w:id="80"/>
    </w:p>
    <w:p w14:paraId="3A661914" w14:textId="77777777" w:rsidR="00C51C9B" w:rsidRPr="00DF0D90" w:rsidRDefault="00AC1020" w:rsidP="00454D85">
      <w:pPr>
        <w:numPr>
          <w:ilvl w:val="0"/>
          <w:numId w:val="34"/>
        </w:numPr>
        <w:spacing w:after="120" w:line="360" w:lineRule="auto"/>
        <w:ind w:left="0" w:firstLine="567"/>
        <w:jc w:val="both"/>
        <w:rPr>
          <w:szCs w:val="28"/>
        </w:rPr>
      </w:pPr>
      <w:r w:rsidRPr="00DF0D90">
        <w:rPr>
          <w:b/>
        </w:rPr>
        <w:t xml:space="preserve">Рекомендуется </w:t>
      </w:r>
      <w:r w:rsidR="00C51C9B" w:rsidRPr="00DF0D90">
        <w:rPr>
          <w:szCs w:val="28"/>
        </w:rPr>
        <w:t>резекция печени как метод выбора при лечении больных</w:t>
      </w:r>
      <w:r w:rsidR="00454D85" w:rsidRPr="00DF0D90">
        <w:rPr>
          <w:szCs w:val="28"/>
        </w:rPr>
        <w:t xml:space="preserve"> </w:t>
      </w:r>
      <w:r w:rsidR="00C51C9B" w:rsidRPr="00DF0D90">
        <w:rPr>
          <w:szCs w:val="28"/>
        </w:rPr>
        <w:t>локализованным ГЦР без лабораторных и инструментальных признаков цирроза.</w:t>
      </w:r>
      <w:r w:rsidR="00EA77D2" w:rsidRPr="00DF0D90">
        <w:rPr>
          <w:szCs w:val="28"/>
        </w:rPr>
        <w:t xml:space="preserve"> </w:t>
      </w:r>
      <w:r w:rsidR="00C51C9B" w:rsidRPr="00DF0D90">
        <w:rPr>
          <w:szCs w:val="28"/>
        </w:rPr>
        <w:t xml:space="preserve">Выполнение оперативного вмешательства должно рассматриваться в первоочередном порядке при наличии у больных ГЦР соответствующего стадии BCLC 0/A, а также при </w:t>
      </w:r>
      <w:r w:rsidR="00C51C9B" w:rsidRPr="00DF0D90">
        <w:rPr>
          <w:szCs w:val="28"/>
          <w:lang w:val="en-US"/>
        </w:rPr>
        <w:t>BCLC</w:t>
      </w:r>
      <w:r w:rsidR="00372FFB" w:rsidRPr="00DF0D90">
        <w:rPr>
          <w:szCs w:val="28"/>
        </w:rPr>
        <w:t xml:space="preserve"> </w:t>
      </w:r>
      <w:r w:rsidR="00C51C9B" w:rsidRPr="00DF0D90">
        <w:rPr>
          <w:szCs w:val="28"/>
          <w:lang w:val="en-US"/>
        </w:rPr>
        <w:t>B</w:t>
      </w:r>
      <w:r w:rsidR="00C51C9B" w:rsidRPr="00DF0D90">
        <w:rPr>
          <w:szCs w:val="28"/>
        </w:rPr>
        <w:t xml:space="preserve"> в случаях ограниченного поражения печени и у отобранной группы BCLC </w:t>
      </w:r>
      <w:r w:rsidR="00C51C9B" w:rsidRPr="00DF0D90">
        <w:rPr>
          <w:szCs w:val="28"/>
          <w:lang w:val="en-US"/>
        </w:rPr>
        <w:t>C</w:t>
      </w:r>
      <w:r w:rsidR="00C51C9B" w:rsidRPr="00DF0D90">
        <w:rPr>
          <w:szCs w:val="28"/>
        </w:rPr>
        <w:t xml:space="preserve"> (при наличии опухолевого тромбоза сегментарных ветвей воротной вены; </w:t>
      </w:r>
      <w:proofErr w:type="spellStart"/>
      <w:r w:rsidR="00C51C9B" w:rsidRPr="00DF0D90">
        <w:rPr>
          <w:szCs w:val="28"/>
        </w:rPr>
        <w:t>солитарного</w:t>
      </w:r>
      <w:proofErr w:type="spellEnd"/>
      <w:r w:rsidR="00C51C9B" w:rsidRPr="00DF0D90">
        <w:rPr>
          <w:szCs w:val="28"/>
        </w:rPr>
        <w:t xml:space="preserve"> метастатического поражения лимфатического узла </w:t>
      </w:r>
      <w:proofErr w:type="spellStart"/>
      <w:r w:rsidR="00C51C9B" w:rsidRPr="00DF0D90">
        <w:rPr>
          <w:szCs w:val="28"/>
        </w:rPr>
        <w:t>гепатодуоденальной</w:t>
      </w:r>
      <w:proofErr w:type="spellEnd"/>
      <w:r w:rsidR="00C51C9B" w:rsidRPr="00DF0D90">
        <w:rPr>
          <w:szCs w:val="28"/>
        </w:rPr>
        <w:t xml:space="preserve"> связки)</w:t>
      </w:r>
      <w:r w:rsidR="00E91266" w:rsidRPr="00DF0D90">
        <w:rPr>
          <w:szCs w:val="28"/>
        </w:rPr>
        <w:t xml:space="preserve"> </w:t>
      </w:r>
      <w:r w:rsidR="00E91266" w:rsidRPr="00DF0D90">
        <w:rPr>
          <w:szCs w:val="28"/>
        </w:rPr>
        <w:fldChar w:fldCharType="begin" w:fldLock="1"/>
      </w:r>
      <w:r w:rsidR="00E91266" w:rsidRPr="00DF0D90">
        <w:rPr>
          <w:szCs w:val="28"/>
        </w:rPr>
        <w:instrText>ADDIN CSL_CITATION {"citationItems":[{"id":"ITEM-1","itemData":{"DOI":"10.1016/j.jhep.2018.03.019","ISSN":"16000641","PMID":"29628281","author":[{"dropping-particle":"","family":"Galle","given":"Peter R.","non-dropping-particle":"","parse-names":false,"suffix":""},{"dropping-particle":"","family":"Forner","given":"Alejandro","non-dropping-particle":"","parse-names":false,"suffix":""},{"dropping-particle":"","family":"Llovet","given":"Josep M.","non-dropping-particle":"","parse-names":false,"suffix":""},{"dropping-particle":"","family":"Mazzaferro","given":"Vincenzo","non-dropping-particle":"","parse-names":false,"suffix":""},{"dropping-particle":"","family":"Piscaglia","given":"Fabio","non-dropping-particle":"","parse-names":false,"suffix":""},{"dropping-particle":"","family":"Raoul","given":"Jean Luc","non-dropping-particle":"","parse-names":false,"suffix":""},{"dropping-particle":"","family":"Schirmacher","given":"Peter","non-dropping-particle":"","parse-names":false,"suffix":""},{"dropping-particle":"","family":"Vilgrain","given":"Valérie","non-dropping-particle":"","parse-names":false,"suffix":""}],"container-title":"Journal of Hepatology","id":"ITEM-1","issue":"1","issued":{"date-parts":[["2018","7","1"]]},"page":"182-236","publisher":"Elsevier B.V.","title":"EASL Clinical Practice Guidelines: Management of hepatocellular carcinoma","type":"article-journal","volume":"69"},"uris":["http://www.mendeley.com/documents/?uuid=055ddbc3-5b48-34fb-b03b-bdc43880d69c"]},{"id":"ITEM-2","itemData":{"DOI":"10.1093/annonc/mdy308","ISSN":"15698041","PMID":"30285213","author":[{"dropping-particle":"","family":"Vogel","given":"A.","non-dropping-particle":"","parse-names":false,"suffix":""},{"dropping-particle":"","family":"Cervantes","given":"A.","non-dropping-particle":"","parse-names":false,"suffix":""},{"dropping-particle":"","family":"Chau","given":"I.","non-dropping-particle":"","parse-names":false,"suffix":""},{"dropping-particle":"","family":"Daniele","given":"B.","non-dropping-particle":"","parse-names":false,"suffix":""},{"dropping-particle":"","family":"Llovet","given":"J.","non-dropping-particle":"","parse-names":false,"suffix":""},{"dropping-particle":"","family":"Meyer","given":"T.","non-dropping-particle":"","parse-names":false,"suffix":""},{"dropping-particle":"","family":"Nault","given":"J. C.","non-dropping-particle":"","parse-names":false,"suffix":""},{"dropping-particle":"","family":"Neumann","given":"U.","non-dropping-particle":"","parse-names":false,"suffix":""},{"dropping-particle":"","family":"Ricke","given":"J.","non-dropping-particle":"","parse-names":false,"suffix":""},{"dropping-particle":"","family":"Sangro","given":"B.","non-dropping-particle":"","parse-names":false,"suffix":""},{"dropping-particle":"","family":"Schirmacher","given":"P.","non-dropping-particle":"","parse-names":false,"suffix":""},{"dropping-particle":"","family":"Verslype","given":"C.","non-dropping-particle":"","parse-names":false,"suffix":""},{"dropping-particle":"","family":"Zech","given":"C. J.","non-dropping-particle":"","parse-names":false,"suffix":""},{"dropping-particle":"","family":"Arnold","given":"D.","non-dropping-particle":"","parse-names":false,"suffix":""},{"dropping-particle":"","family":"Martinelli","given":"E.","non-dropping-particle":"","parse-names":false,"suffix":""}],"container-title":"Annals of Oncology","id":"ITEM-2","issued":{"date-parts":[["2018","10","1"]]},"page":"iv238-iv255","publisher":"Oxford University Press","title":"Hepatocellular carcinoma: ESMO Clinical Practice Guidelines for diagnosis, treatment and follow-up","type":"article-journal","volume":"29"},"uris":["http://www.mendeley.com/documents/?uuid=21b70589-bd16-3bd9-b432-9f2042108c3b"]},{"id":"ITEM-3","itemData":{"DOI":"10.1002/hep.29913","ISSN":"15273350","PMID":"29624699","author":[{"dropping-particle":"","family":"Marrero","given":"Jorge A.","non-dropping-particle":"","parse-names":false,"suffix":""},{"dropping-particle":"","family":"Kulik","given":"Laura M.","non-dropping-particle":"","parse-names":false,"suffix":""},{"dropping-particle":"","family":"Sirlin","given":"Claude B.","non-dropping-particle":"","parse-names":false,"suffix":""},{"dropping-particle":"","family":"Zhu","given":"Andrew X.","non-dropping-particle":"","parse-names":false,"suffix":""},{"dropping-particle":"","family":"Finn","given":"Richard S.","non-dropping-particle":"","parse-names":false,"suffix":""},{"dropping-particle":"","family":"Abecassis","given":"Michael M.","non-dropping-particle":"","parse-names":false,"suffix":""},{"dropping-particle":"","family":"Roberts","given":"Lewis R.","non-dropping-particle":"","parse-names":false,"suffix":""},{"dropping-particle":"","family":"Heimbach","given":"Julie K.","non-dropping-particle":"","parse-names":false,"suffix":""}],"container-title":"Hepatology","id":"ITEM-3","issue":"2","issued":{"date-parts":[["2018","8","1"]]},"page":"723-750","publisher":"John Wiley and Sons Inc.","title":"Diagnosis, Staging, and Management of Hepatocellular Carcinoma: 2018 Practice Guidance by the American Association for the Study of Liver Diseases","type":"article-journal","volume":"68"},"uris":["http://www.mendeley.com/documents/?uuid=524b992f-ba18-31f8-aa7d-c271bdc57c09"]},{"id":"ITEM-4","itemData":{"author":[{"dropping-particle":"","family":"NCCN","given":"","non-dropping-particle":"","parse-names":false,"suffix":""}],"id":"ITEM-4","issued":{"date-parts":[["2021"]]},"title":"Clinical Practice Guidelines in Oncology. Hepatobiliary Cancers, version 4.2021","type":"article-journal"},"uris":["http://www.mendeley.com/documents/?uuid=db314d5f-b05a-4fec-a403-5589c18d9ebd"]},{"id":"ITEM-5","itemData":{"DOI":"10.1016/j.jhep.2005.12.015","ISSN":"01688278","PMID":"16488051","abstract":"Background/Aims: The Barcelona Clinic Liver Cancer (BCLC) classification offers a prognostic stratification of patients with hepatocellular carcinoma (HCC). We recently demonstrated the BCLC's peculiar prognostic ability in a retrospective cohort of HCC patients. The aim of this study was to evaluate the BCLC system prospectively in a subsequent separate group of HCC patients enrolled at the same surgically oriented liver unit. Methods: One hundred and ninety-five consecutive HCC patients were prospectively enrolled and their liver disease was staged before therapy. Unlike the BCLC treatment protocol, nodule size and number were not used as absolute exclusion criteria for radical treatment. Predictors of survival were identified using the Cox model. Results: The median survival time was 23 months overall, and 53, 16, 7 and 3 months, respectively, for BCLC categories A, B, C, and D. In our cohort, BCLC had the best independent predictive power for survival when compared with the Okuda, CLIP, UNOS-TNM, and JIS prognostic systems (linear trend χ2=43. 01, likelihood χ2=57.94, AIC 885.98). Moreover, the BCLC classification showed a better prognostic ability than the AJCC-TNM 2002 system in surgical patients. Conclusions: The discriminating power of BCLC staging was prospectively assessed in an Italian cohort of HCC patients treated mainly with radical therapies. © 2006 European Association for the Study of the Liver. Published by Elsevier B.V. All rights reserved.","author":[{"dropping-particle":"","family":"Cillo","given":"Umberto","non-dropping-particle":"","parse-names":false,"suffix":""},{"dropping-particle":"","family":"Vitale","given":"Alessandro","non-dropping-particle":"","parse-names":false,"suffix":""},{"dropping-particle":"","family":"Grigoletto","given":"Francesco","non-dropping-particle":"","parse-names":false,"suffix":""},{"dropping-particle":"","family":"Farinati","given":"Fabio","non-dropping-particle":"","parse-names":false,"suffix":""},{"dropping-particle":"","family":"Brolese","given":"Alberto","non-dropping-particle":"","parse-names":false,"suffix":""},{"dropping-particle":"","family":"Zanus","given":"Giacomo","non-dropping-particle":"","parse-names":false,"suffix":""},{"dropping-particle":"","family":"Neri","given":"Daniele","non-dropping-particle":"","parse-names":false,"suffix":""},{"dropping-particle":"","family":"Boccagni","given":"Patrizia","non-dropping-particle":"","parse-names":false,"suffix":""},{"dropping-particle":"","family":"Srsen","given":"Nela","non-dropping-particle":"","parse-names":false,"suffix":""},{"dropping-particle":"","family":"D'Amico","given":"Francesco","non-dropping-particle":"","parse-names":false,"suffix":""},{"dropping-particle":"","family":"Antonio Ciarleglio","given":"Francesco","non-dropping-particle":"","parse-names":false,"suffix":""},{"dropping-particle":"","family":"Bridda","given":"Alessio","non-dropping-particle":"","parse-names":false,"suffix":""},{"dropping-particle":"","family":"Francesco D'Amico","given":"Davide","non-dropping-particle":"","parse-names":false,"suffix":""}],"container-title":"Journal of Hepatology","id":"ITEM-5","issue":"4","issued":{"date-parts":[["2006","4"]]},"page":"723-731","title":"Prospective validation of the Barcelona Clinic Liver Cancer staging system","type":"article-journal","volume":"44"},"uris":["http://www.mendeley.com/documents/?uuid=84b602e2-b510-37a4-a41c-946fc81ce0c8"]},{"id":"ITEM-6","itemData":{"DOI":"10.1016/j.ejca.2008.12.025","ISSN":"09598049","author":[{"dropping-particle":"","family":"Chen","given":"Chien-Hung","non-dropping-particle":"","parse-names":false,"suffix":""},{"dropping-particle":"","family":"Hu","given":"Fu-Chang","non-dropping-particle":"","parse-names":false,"suffix":""},{"dropping-particle":"","family":"Huang","given":"Guan-Tarn","non-dropping-particle":"","parse-names":false,"suffix":""},{"dropping-particle":"","family":"Lee","given":"Po-Huang","non-dropping-particle":"","parse-names":false,"suffix":""},{"dropping-particle":"","family":"Tsang","given":"Yuk-Ming","non-dropping-particle":"","parse-names":false,"suffix":""},{"dropping-particle":"","family":"Cheng","given":"Ann-Lii","non-dropping-particle":"","parse-names":false,"suffix":""},{"dropping-particle":"","family":"Chen","given":"Ding-Shinn","non-dropping-particle":"","parse-names":false,"suffix":""},{"dropping-particle":"","family":"Wang","given":"Jung-Der","non-dropping-particle":"","parse-names":false,"suffix":""},{"dropping-particle":"","family":"Sheu","given":"Jin-Chuan","non-dropping-particle":"","parse-names":false,"suffix":""}],"container-title":"European Journal of Cancer","id":"ITEM-6","issue":"9","issued":{"date-parts":[["2009","6"]]},"page":"1630-1639","title":"Applicability of staging systems for patients with hepatocellular carcinoma is dependent on treatment method – Analysis of 2010 Taiwanese patients","type":"article-journal","volume":"45"},"uris":["http://www.mendeley.com/documents/?uuid=35807a40-4981-4954-9f5b-5d908d668da0"]},{"id":"ITEM-7","itemData":{"DOI":"10.1245/s10434-010-0976-5","ISSN":"1068-9265","author":[{"dropping-particle":"","family":"Truty","given":"Mark J.","non-dropping-particle":"","parse-names":false,"suffix":""},{"dropping-particle":"","family":"Vauthey","given":"Jean-Nicolas","non-dropping-particle":"","parse-names":false,"suffix":""}],"container-title":"Annals of Surgical Oncology","id":"ITEM-7","issue":"5","issued":{"date-parts":[["2010","5","20"]]},"page":"1219-1225","title":"Surgical Resection of High-Risk Hepatocellular Carcinoma: Patient Selection, Preoperative Considerations, and Operative Technique","type":"article-journal","volume":"17"},"uris":["http://www.mendeley.com/documents/?uuid=fdf17aa9-c66c-43f8-8920-6bc0f7e41c65"]},{"id":"ITEM-8","itemData":{"DOI":"10.1001/archsurg.140.5.450","ISSN":"0004-0010","author":[{"dropping-particle":"","family":"Pawlik","given":"Timothy M.","non-dropping-particle":"","parse-names":false,"suffix":""}],"container-title":"Archives of Surgery","id":"ITEM-8","issue":"5","issued":{"date-parts":[["2005","5","1"]]},"page":"450","title":"Critical Appraisal of the Clinical and Pathologic Predictors of Survival After Resection of Large Hepatocellular Carcinoma","type":"article-journal","volume":"140"},"uris":["http://www.mendeley.com/documents/?uuid=6076106b-814e-449a-8de3-3f3b98b1b457"]},{"id":"ITEM-9","itemData":{"DOI":"10.1002/bjs.6358","ISSN":"00071323","PMID":"19065644","abstract":"Background: The aim of this retrospective study was to determine the impact of postoperative complications on the long-term outcome of curative liver resection for hepatocellular carcinoma (HCC). Methods: A total of 863 patients who had curative resection of HCC from December 1989 to December 2004 were included in the analysis. Median follow-up was 35.6 months. Results: Some 288 patients (33.4 per cent) developed postoperative complications. The hospital mortality rate was 5.3 per cent (46 patients). Multiple logistic regression analysis showed that older age and massive intraoperative blood loss were related to a significantly higher complication rate. Demographics of patients with and without postoperative complications were comparable. The former had significantly more blood loss (median 1.1 versus 0.7 litres; P &lt; 0.001) and required more transfused blood (P &lt; 0.001). The overall survival rates of patients without complications at 1, 3, 5 and 10 years were 83.6, 62.8, 51.5 and 32.1 per cent respectively. Corresponding rates for those with complications were 67.8, 52.4, 41.5 and 26.6 per cent (P = 0.004). Cox proportional hazard model analysis revealed that the presence of postoperative complications was independently associated with poor overall survival. Conclusion: Postoperative complications can affect overall long-term survival after resection of HCC. Copyright © 2008 British Journal of Surgery Society Ltd. Published by John Wiley &amp; Sons Ltd.","author":[{"dropping-particle":"","family":"Chok","given":"K. S.","non-dropping-particle":"","parse-names":false,"suffix":""},{"dropping-particle":"","family":"Ng","given":"K. K.","non-dropping-particle":"","parse-names":false,"suffix":""},{"dropping-particle":"","family":"Poon","given":"R. T.","non-dropping-particle":"","parse-names":false,"suffix":""},{"dropping-particle":"","family":"Lo","given":"C. M.","non-dropping-particle":"","parse-names":false,"suffix":""},{"dropping-particle":"","family":"Fan","given":"S. T.","non-dropping-particle":"","parse-names":false,"suffix":""}],"container-title":"British Journal of Surgery","id":"ITEM-9","issue":"1","issued":{"date-parts":[["2009","1"]]},"page":"81-87","title":"Impact of postoperative complications on long-term outcome of curative resection for hepatocellular carcinoma","type":"article-journal","volume":"96"},"uris":["http://www.mendeley.com/documents/?uuid=5f6b8913-7526-3a1d-aa49-f70dc284371b"]},{"id":"ITEM-10","itemData":{"DOI":"10.1245/s10434-007-9731-y","ISSN":"10689265","PMID":"18236112","author":[{"dropping-particle":"","family":"Ribero","given":"Dario","non-dropping-particle":"","parse-names":false,"suffix":""},{"dropping-particle":"","family":"Curley","given":"Steven A.","non-dropping-particle":"","parse-names":false,"suffix":""},{"dropping-particle":"","family":"Imamura","given":"Hiroshi","non-dropping-particle":"","parse-names":false,"suffix":""},{"dropping-particle":"","family":"Madoff","given":"David C.","non-dropping-particle":"","parse-names":false,"suffix":""},{"dropping-particle":"","family":"Nagorney","given":"David M.","non-dropping-particle":"","parse-names":false,"suffix":""},{"dropping-particle":"","family":"Ng","given":"Kelvin K.","non-dropping-particle":"","parse-names":false,"suffix":""},{"dropping-particle":"","family":"Donadon","given":"Matteo","non-dropping-particle":"","parse-names":false,"suffix":""},{"dropping-particle":"","family":"Vilgrain","given":"Valerie","non-dropping-particle":"","parse-names":false,"suffix":""},{"dropping-particle":"","family":"Torzilli","given":"Guido","non-dropping-particle":"","parse-names":false,"suffix":""},{"dropping-particle":"","family":"Roh","given":"Mark","non-dropping-particle":"","parse-names":false,"suffix":""},{"dropping-particle":"","family":"Vauthey","given":"Jean Nicolas","non-dropping-particle":"","parse-names":false,"suffix":""}],"container-title":"Annals of Surgical Oncology","id":"ITEM-10","issue":"4","issued":{"date-parts":[["2008","4"]]},"page":"986-992","title":"Selection for resection of hepatocellular carcinoma and surgical strategy: Indications for resection, evaluation of liver function, portal vein embolization, and resection","type":"paper-conference","volume":"15"},"uris":["http://www.mendeley.com/documents/?uuid=fcb4c68e-46cf-353e-9f7d-296bd0b4b6c9"]},{"id":"ITEM-11","itemData":{"DOI":"10.1002/hep.27431","ISSN":"15273350","PMID":"25212123","abstract":"Whether preoperative clinically significant portal hypertension (CSPH) has or not an impact on the outcome of surgery for hepatocellular carcinoma (HCC) in patients with compensated cirrhosis is debated. This systematic review assesses the impact of CSPH on the outcome of HCC in patients with compensated cirrhosis treated with surgery. We performed a systematic search of the MEDLINE database (articles published in full in English language from 1996 to October 2013) and related bibliography for studies reporting on the postoperative outcomes (3- and 5-year mortality and/or early clinical decompensation) of patients with HCC and compensated cirrhosis treated with surgery according to the presence or absence of CSPH. Independent extraction of articles by two authors using predefined data fields, including study quality indicators, was used; pooled analyses were based on random-effects models. Eleven studies in total met our inclusion criteria (eight studies for 3- and 5-year postoperative mortality and eight for postoperative clinical decompensation). Moderate heterogeneity among studies for both outcomes was observed, which disappeared after pooling studies using similar methods to assess CSPH. The presence of CSPH increased the risk of 3- and 5-year mortality versus absence of CSPH (pooled odds ratio [OR] for 3-year mortality: 2.09; 95% confidence interval [CI]: 1.52-2.88; for 5-year mortality: 2.07; 95% CI: 1.51-2.84). CSPH also increased the risk of postoperative clinical decompensation (pooled OR: 3.04; 95% CI: 2.02-4.59). Conclusions: CSPH (evaluated by any method) significantly increases the risk of 3- and 5-year mortality and of clinical decompensation after surgery for HCC.","author":[{"dropping-particle":"","family":"Berzigotti","given":"Annalisa","non-dropping-particle":"","parse-names":false,"suffix":""},{"dropping-particle":"","family":"Reig","given":"Maria","non-dropping-particle":"","parse-names":false,"suffix":""},{"dropping-particle":"","family":"Abraldes","given":"Juan G.","non-dropping-particle":"","parse-names":false,"suffix":""},{"dropping-particle":"","family":"Bosch","given":"Jaime","non-dropping-particle":"","parse-names":false,"suffix":""},{"dropping-particle":"","family":"Bruix","given":"Jordi","non-dropping-particle":"","parse-names":false,"suffix":""}],"container-title":"Hepatology","id":"ITEM-11","issue":"2","issued":{"date-parts":[["2015","2","1"]]},"page":"526-536","publisher":"John Wiley and Sons Inc.","title":"Portal hypertension and the outcome of surgery for hepatocellular carcinoma in compensated cirrhosis: A systematic review and meta-analysis","type":"article-journal","volume":"61"},"uris":["http://www.mendeley.com/documents/?uuid=9e573c4a-585a-3bce-ba88-125038e4665f"]}],"mendeley":{"formattedCitation":"[6,8,42,9,14,34,35,38–41]","plainTextFormattedCitation":"[6,8,42,9,14,34,35,38–41]"},"properties":{"noteIndex":0},"schema":"https://github.com/citation-style-language/schema/raw/master/csl-citation.json"}</w:instrText>
      </w:r>
      <w:r w:rsidR="00E91266" w:rsidRPr="00DF0D90">
        <w:rPr>
          <w:szCs w:val="28"/>
        </w:rPr>
        <w:fldChar w:fldCharType="separate"/>
      </w:r>
      <w:r w:rsidR="00E91266" w:rsidRPr="00DF0D90">
        <w:rPr>
          <w:noProof/>
          <w:szCs w:val="28"/>
        </w:rPr>
        <w:t>[6,8,42,9,14,34,35,38–41]</w:t>
      </w:r>
      <w:r w:rsidR="00E91266" w:rsidRPr="00DF0D90">
        <w:rPr>
          <w:szCs w:val="28"/>
        </w:rPr>
        <w:fldChar w:fldCharType="end"/>
      </w:r>
      <w:r w:rsidR="00954207" w:rsidRPr="00DF0D90">
        <w:rPr>
          <w:szCs w:val="28"/>
        </w:rPr>
        <w:t>.</w:t>
      </w:r>
    </w:p>
    <w:p w14:paraId="79DCF991" w14:textId="77777777" w:rsidR="00AC1020" w:rsidRPr="00DF0D90" w:rsidRDefault="00AC1020" w:rsidP="00454D85">
      <w:pPr>
        <w:pStyle w:val="afa"/>
        <w:spacing w:after="120" w:line="360" w:lineRule="auto"/>
        <w:jc w:val="both"/>
        <w:rPr>
          <w:shd w:val="clear" w:color="auto" w:fill="FFFFFF"/>
        </w:rPr>
      </w:pPr>
      <w:r w:rsidRPr="00DF0D90">
        <w:rPr>
          <w:shd w:val="clear" w:color="auto" w:fill="FFFFFF"/>
        </w:rPr>
        <w:t xml:space="preserve">Уровень убедительности рекомендаций – </w:t>
      </w:r>
      <w:r w:rsidR="00040D10" w:rsidRPr="00DF0D90">
        <w:rPr>
          <w:shd w:val="clear" w:color="auto" w:fill="FFFFFF"/>
        </w:rPr>
        <w:t>В</w:t>
      </w:r>
      <w:r w:rsidR="00123A49" w:rsidRPr="00DF0D90">
        <w:rPr>
          <w:shd w:val="clear" w:color="auto" w:fill="FFFFFF"/>
          <w:lang w:val="ru-RU"/>
        </w:rPr>
        <w:t xml:space="preserve"> </w:t>
      </w:r>
      <w:r w:rsidRPr="00DF0D90">
        <w:rPr>
          <w:shd w:val="clear" w:color="auto" w:fill="FFFFFF"/>
        </w:rPr>
        <w:t xml:space="preserve">(уровень достоверности доказательств – </w:t>
      </w:r>
      <w:r w:rsidR="00040D10" w:rsidRPr="00DF0D90">
        <w:t>3</w:t>
      </w:r>
      <w:r w:rsidRPr="00DF0D90">
        <w:rPr>
          <w:shd w:val="clear" w:color="auto" w:fill="FFFFFF"/>
        </w:rPr>
        <w:t>).</w:t>
      </w:r>
    </w:p>
    <w:p w14:paraId="2D5F1FB2" w14:textId="77777777" w:rsidR="00C51C9B" w:rsidRPr="00DF0D90" w:rsidRDefault="00AC1020" w:rsidP="00454D85">
      <w:pPr>
        <w:spacing w:after="120" w:line="360" w:lineRule="auto"/>
        <w:jc w:val="both"/>
        <w:rPr>
          <w:i/>
          <w:szCs w:val="28"/>
        </w:rPr>
      </w:pPr>
      <w:r w:rsidRPr="00DF0D90">
        <w:rPr>
          <w:b/>
          <w:i/>
        </w:rPr>
        <w:t>Комментарии:</w:t>
      </w:r>
      <w:r w:rsidRPr="00DF0D90">
        <w:rPr>
          <w:b/>
        </w:rPr>
        <w:t xml:space="preserve"> </w:t>
      </w:r>
      <w:r w:rsidR="00123A49" w:rsidRPr="00DF0D90">
        <w:rPr>
          <w:i/>
          <w:szCs w:val="28"/>
        </w:rPr>
        <w:t>о</w:t>
      </w:r>
      <w:r w:rsidR="00C51C9B" w:rsidRPr="00DF0D90">
        <w:rPr>
          <w:i/>
          <w:szCs w:val="28"/>
        </w:rPr>
        <w:t xml:space="preserve">сновным условием, которое должно выполняться </w:t>
      </w:r>
      <w:r w:rsidR="00372FFB" w:rsidRPr="00DF0D90">
        <w:rPr>
          <w:i/>
          <w:szCs w:val="28"/>
        </w:rPr>
        <w:t>при планировании</w:t>
      </w:r>
      <w:r w:rsidR="00C51C9B" w:rsidRPr="00DF0D90">
        <w:rPr>
          <w:i/>
          <w:szCs w:val="28"/>
        </w:rPr>
        <w:t xml:space="preserve"> резекции печени является сохранение в предполагаемой остающейся части паренхимы печени адекватного кровоснабжения, крово- и </w:t>
      </w:r>
      <w:proofErr w:type="spellStart"/>
      <w:r w:rsidR="00C51C9B" w:rsidRPr="00DF0D90">
        <w:rPr>
          <w:i/>
          <w:szCs w:val="28"/>
        </w:rPr>
        <w:t>желчеоттока</w:t>
      </w:r>
      <w:proofErr w:type="spellEnd"/>
      <w:r w:rsidR="00C51C9B" w:rsidRPr="00DF0D90">
        <w:rPr>
          <w:i/>
          <w:szCs w:val="28"/>
        </w:rPr>
        <w:t>. Объем предполагаемой остающейся паренхимы печени должен составлять при отсутствии лабораторных и инструментальных признаков цирроза не менее 25% (от непораженной паренхимы), при их наличии не менее 40%. В случае недостаточного объема паренхимы возможна рентген-интервенционная эмболизация ветви воротной вены в предполагаемой для удаления доле печени.</w:t>
      </w:r>
    </w:p>
    <w:p w14:paraId="354FB86C" w14:textId="0F7CCCDD" w:rsidR="00C51C9B" w:rsidRPr="00DF0D90" w:rsidRDefault="00C51C9B" w:rsidP="006D217F">
      <w:pPr>
        <w:spacing w:after="120" w:line="360" w:lineRule="auto"/>
        <w:ind w:firstLine="567"/>
        <w:jc w:val="both"/>
        <w:rPr>
          <w:i/>
          <w:szCs w:val="28"/>
        </w:rPr>
      </w:pPr>
      <w:r w:rsidRPr="00DF0D90">
        <w:rPr>
          <w:i/>
          <w:szCs w:val="28"/>
        </w:rPr>
        <w:t xml:space="preserve">При наличии у больного лабораторных и инструментальных признаков цирроза, следует учитывать степень нарушения печено-клеточной функции (резекция печени целесообразна у больных соответствующих классу А по шкале </w:t>
      </w:r>
      <w:bookmarkStart w:id="81" w:name="_Hlk81497381"/>
      <w:r w:rsidRPr="00DF0D90">
        <w:rPr>
          <w:i/>
          <w:szCs w:val="28"/>
          <w:lang w:val="en-US"/>
        </w:rPr>
        <w:t>Child</w:t>
      </w:r>
      <w:r w:rsidR="00123A49" w:rsidRPr="00DF0D90">
        <w:rPr>
          <w:i/>
          <w:szCs w:val="28"/>
        </w:rPr>
        <w:t xml:space="preserve"> – </w:t>
      </w:r>
      <w:r w:rsidRPr="00DF0D90">
        <w:rPr>
          <w:i/>
          <w:szCs w:val="28"/>
          <w:lang w:val="en-US"/>
        </w:rPr>
        <w:t>Pugh</w:t>
      </w:r>
      <w:bookmarkEnd w:id="81"/>
      <w:r w:rsidRPr="00DF0D90">
        <w:rPr>
          <w:i/>
          <w:szCs w:val="28"/>
        </w:rPr>
        <w:t>) и выраженность портальной гипертензии (клинически значимые проявления: наличие варикозно-расширенных вен пищевода, тромбоцитопения менее 100</w:t>
      </w:r>
      <w:r w:rsidR="00641949" w:rsidRPr="00DF0D90">
        <w:rPr>
          <w:i/>
          <w:szCs w:val="28"/>
        </w:rPr>
        <w:t xml:space="preserve"> </w:t>
      </w:r>
      <w:r w:rsidRPr="00DF0D90">
        <w:rPr>
          <w:i/>
          <w:szCs w:val="28"/>
          <w:lang w:val="en-US"/>
        </w:rPr>
        <w:t>x</w:t>
      </w:r>
      <w:r w:rsidRPr="00DF0D90">
        <w:rPr>
          <w:i/>
          <w:szCs w:val="28"/>
        </w:rPr>
        <w:t>10</w:t>
      </w:r>
      <w:r w:rsidRPr="00DF0D90">
        <w:rPr>
          <w:i/>
          <w:szCs w:val="28"/>
          <w:vertAlign w:val="superscript"/>
        </w:rPr>
        <w:t>9</w:t>
      </w:r>
      <w:r w:rsidRPr="00DF0D90">
        <w:rPr>
          <w:i/>
          <w:szCs w:val="28"/>
        </w:rPr>
        <w:t xml:space="preserve">/л). </w:t>
      </w:r>
    </w:p>
    <w:p w14:paraId="4E62C905" w14:textId="77777777" w:rsidR="00C51C9B" w:rsidRPr="00DF0D90" w:rsidRDefault="00C51C9B" w:rsidP="006D217F">
      <w:pPr>
        <w:spacing w:after="120" w:line="360" w:lineRule="auto"/>
        <w:ind w:firstLine="567"/>
        <w:jc w:val="both"/>
        <w:rPr>
          <w:szCs w:val="28"/>
        </w:rPr>
      </w:pPr>
      <w:r w:rsidRPr="00DF0D90">
        <w:rPr>
          <w:i/>
          <w:szCs w:val="28"/>
        </w:rPr>
        <w:t xml:space="preserve">В условиях специализированных центров (при наличии подготовленного персонала и оборудования) возможно выполнение резекций печени мини-инвазивным доступом под </w:t>
      </w:r>
      <w:proofErr w:type="spellStart"/>
      <w:r w:rsidRPr="00DF0D90">
        <w:rPr>
          <w:i/>
          <w:szCs w:val="28"/>
        </w:rPr>
        <w:t>видеоэдоскопическим</w:t>
      </w:r>
      <w:proofErr w:type="spellEnd"/>
      <w:r w:rsidRPr="00DF0D90">
        <w:rPr>
          <w:i/>
          <w:szCs w:val="28"/>
        </w:rPr>
        <w:t xml:space="preserve"> контролем. Предпочтительным для планирования применения данного доступа являются </w:t>
      </w:r>
      <w:proofErr w:type="spellStart"/>
      <w:r w:rsidRPr="00DF0D90">
        <w:rPr>
          <w:i/>
          <w:szCs w:val="28"/>
        </w:rPr>
        <w:t>подкапсульно</w:t>
      </w:r>
      <w:proofErr w:type="spellEnd"/>
      <w:r w:rsidRPr="00DF0D90">
        <w:rPr>
          <w:i/>
          <w:szCs w:val="28"/>
        </w:rPr>
        <w:t xml:space="preserve"> расположенные образования, а также узлы, располагающиеся в латеральных секторах печени.</w:t>
      </w:r>
    </w:p>
    <w:p w14:paraId="3EC6B117" w14:textId="77777777" w:rsidR="00AC1020" w:rsidRPr="00DF0D90" w:rsidRDefault="00AC1020" w:rsidP="006D217F">
      <w:pPr>
        <w:autoSpaceDE w:val="0"/>
        <w:autoSpaceDN w:val="0"/>
        <w:adjustRightInd w:val="0"/>
        <w:spacing w:after="120" w:line="360" w:lineRule="auto"/>
        <w:ind w:firstLine="567"/>
        <w:jc w:val="both"/>
        <w:rPr>
          <w:i/>
        </w:rPr>
      </w:pPr>
      <w:r w:rsidRPr="00DF0D90">
        <w:rPr>
          <w:i/>
        </w:rPr>
        <w:t>Следует учитывать, что большой размер опухоли и/или множественное внутриорганное</w:t>
      </w:r>
      <w:r w:rsidR="00123A49" w:rsidRPr="00DF0D90">
        <w:rPr>
          <w:i/>
        </w:rPr>
        <w:t xml:space="preserve"> </w:t>
      </w:r>
      <w:r w:rsidRPr="00DF0D90">
        <w:rPr>
          <w:i/>
        </w:rPr>
        <w:t xml:space="preserve">поражение, наличие инвазии магистральных сосудов, метастатическое поражение регионарных лимфатических узлов не являются абсолютным </w:t>
      </w:r>
      <w:r w:rsidRPr="00DF0D90">
        <w:rPr>
          <w:i/>
        </w:rPr>
        <w:lastRenderedPageBreak/>
        <w:t>противопоказанием к резекции печени, однако результаты хирургического лечения в этих случаях предсказуемо хуже.</w:t>
      </w:r>
    </w:p>
    <w:p w14:paraId="678484E3" w14:textId="77777777" w:rsidR="00AC1020" w:rsidRPr="00DF0D90" w:rsidRDefault="00AC1020" w:rsidP="00454D85">
      <w:pPr>
        <w:numPr>
          <w:ilvl w:val="0"/>
          <w:numId w:val="34"/>
        </w:numPr>
        <w:autoSpaceDE w:val="0"/>
        <w:autoSpaceDN w:val="0"/>
        <w:adjustRightInd w:val="0"/>
        <w:spacing w:after="120" w:line="360" w:lineRule="auto"/>
        <w:ind w:left="0" w:firstLine="567"/>
        <w:jc w:val="both"/>
        <w:rPr>
          <w:rFonts w:eastAsia="AdvGulliv-R"/>
        </w:rPr>
      </w:pPr>
      <w:r w:rsidRPr="00DF0D90">
        <w:rPr>
          <w:b/>
        </w:rPr>
        <w:t xml:space="preserve">Рекомендуется </w:t>
      </w:r>
      <w:proofErr w:type="spellStart"/>
      <w:r w:rsidRPr="00DF0D90">
        <w:t>ортотопическая</w:t>
      </w:r>
      <w:proofErr w:type="spellEnd"/>
      <w:r w:rsidRPr="00DF0D90">
        <w:t xml:space="preserve"> трансплантация печени при раннем</w:t>
      </w:r>
      <w:r w:rsidR="002629E9" w:rsidRPr="00DF0D90">
        <w:t xml:space="preserve"> </w:t>
      </w:r>
      <w:r w:rsidRPr="00DF0D90">
        <w:t>ГЦР</w:t>
      </w:r>
      <w:r w:rsidR="00D53E6B" w:rsidRPr="00DF0D90">
        <w:t xml:space="preserve"> </w:t>
      </w:r>
      <w:r w:rsidRPr="00DF0D90">
        <w:t>(</w:t>
      </w:r>
      <w:r w:rsidR="00D53E6B" w:rsidRPr="00DF0D90">
        <w:rPr>
          <w:lang w:val="en-US"/>
        </w:rPr>
        <w:t>BCLC</w:t>
      </w:r>
      <w:r w:rsidR="00D53E6B" w:rsidRPr="00DF0D90">
        <w:t xml:space="preserve"> 0</w:t>
      </w:r>
      <w:r w:rsidR="00B63745" w:rsidRPr="00DF0D90">
        <w:t xml:space="preserve"> – </w:t>
      </w:r>
      <w:r w:rsidR="00D53E6B" w:rsidRPr="00DF0D90">
        <w:t xml:space="preserve">А) </w:t>
      </w:r>
      <w:r w:rsidRPr="00DF0D90">
        <w:t>в случаях, не подходящих для резекции, при соответствии принятым</w:t>
      </w:r>
      <w:r w:rsidR="00D53E6B" w:rsidRPr="00DF0D90">
        <w:t xml:space="preserve"> </w:t>
      </w:r>
      <w:r w:rsidRPr="00DF0D90">
        <w:t>критериям</w:t>
      </w:r>
      <w:r w:rsidR="00D53E6B" w:rsidRPr="00DF0D90">
        <w:t xml:space="preserve"> (</w:t>
      </w:r>
      <w:r w:rsidRPr="00DF0D90">
        <w:t>показаниям) к трансплантации при ГЦР</w:t>
      </w:r>
      <w:r w:rsidR="00F80D5D" w:rsidRPr="00DF0D90">
        <w:t xml:space="preserve">  </w:t>
      </w:r>
      <w:r w:rsidR="00BC1283" w:rsidRPr="00DF0D90">
        <w:fldChar w:fldCharType="begin" w:fldLock="1"/>
      </w:r>
      <w:r w:rsidR="007335C5" w:rsidRPr="00DF0D90">
        <w:instrText>ADDIN CSL_CITATION {"citationItems":[{"id":"ITEM-1","itemData":{"DOI":"10.1093/annonc/mdy308","ISSN":"15698041","PMID":"30285213","author":[{"dropping-particle":"","family":"Vogel","given":"A.","non-dropping-particle":"","parse-names":false,"suffix":""},{"dropping-particle":"","family":"Cervantes","given":"A.","non-dropping-particle":"","parse-names":false,"suffix":""},{"dropping-particle":"","family":"Chau","given":"I.","non-dropping-particle":"","parse-names":false,"suffix":""},{"dropping-particle":"","family":"Daniele","given":"B.","non-dropping-particle":"","parse-names":false,"suffix":""},{"dropping-particle":"","family":"Llovet","given":"J.","non-dropping-particle":"","parse-names":false,"suffix":""},{"dropping-particle":"","family":"Meyer","given":"T.","non-dropping-particle":"","parse-names":false,"suffix":""},{"dropping-particle":"","family":"Nault","given":"J. C.","non-dropping-particle":"","parse-names":false,"suffix":""},{"dropping-particle":"","family":"Neumann","given":"U.","non-dropping-particle":"","parse-names":false,"suffix":""},{"dropping-particle":"","family":"Ricke","given":"J.","non-dropping-particle":"","parse-names":false,"suffix":""},{"dropping-particle":"","family":"Sangro","given":"B.","non-dropping-particle":"","parse-names":false,"suffix":""},{"dropping-particle":"","family":"Schirmacher","given":"P.","non-dropping-particle":"","parse-names":false,"suffix":""},{"dropping-particle":"","family":"Verslype","given":"C.","non-dropping-particle":"","parse-names":false,"suffix":""},{"dropping-particle":"","family":"Zech","given":"C. J.","non-dropping-particle":"","parse-names":false,"suffix":""},{"dropping-particle":"","family":"Arnold","given":"D.","non-dropping-particle":"","parse-names":false,"suffix":""},{"dropping-particle":"","family":"Martinelli","given":"E.","non-dropping-particle":"","parse-names":false,"suffix":""}],"container-title":"Annals of Oncology","id":"ITEM-1","issued":{"date-parts":[["2018","10","1"]]},"page":"iv238-iv255","publisher":"Oxford University Press","title":"Hepatocellular carcinoma: ESMO Clinical Practice Guidelines for diagnosis, treatment and follow-up","type":"article-journal","volume":"29"},"uris":["http://www.mendeley.com/documents/?uuid=21b70589-bd16-3bd9-b432-9f2042108c3b"]},{"id":"ITEM-2","itemData":{"DOI":"10.1002/hep.29913","ISSN":"15273350","PMID":"29624699","author":[{"dropping-particle":"","family":"Marrero","given":"Jorge A.","non-dropping-particle":"","parse-names":false,"suffix":""},{"dropping-particle":"","family":"Kulik","given":"Laura M.","non-dropping-particle":"","parse-names":false,"suffix":""},{"dropping-particle":"","family":"Sirlin","given":"Claude B.","non-dropping-particle":"","parse-names":false,"suffix":""},{"dropping-particle":"","family":"Zhu","given":"Andrew X.","non-dropping-particle":"","parse-names":false,"suffix":""},{"dropping-particle":"","family":"Finn","given":"Richard S.","non-dropping-particle":"","parse-names":false,"suffix":""},{"dropping-particle":"","family":"Abecassis","given":"Michael M.","non-dropping-particle":"","parse-names":false,"suffix":""},{"dropping-particle":"","family":"Roberts","given":"Lewis R.","non-dropping-particle":"","parse-names":false,"suffix":""},{"dropping-particle":"","family":"Heimbach","given":"Julie K.","non-dropping-particle":"","parse-names":false,"suffix":""}],"container-title":"Hepatology","id":"ITEM-2","issue":"2","issued":{"date-parts":[["2018","8","1"]]},"page":"723-750","publisher":"John Wiley and Sons Inc.","title":"Diagnosis, Staging, and Management of Hepatocellular Carcinoma: 2018 Practice Guidance by the American Association for the Study of Liver Diseases","type":"article-journal","volume":"68"},"uris":["http://www.mendeley.com/documents/?uuid=524b992f-ba18-31f8-aa7d-c271bdc57c09"]},{"id":"ITEM-3","itemData":{"author":[{"dropping-particle":"","family":"NCCN","given":"","non-dropping-particle":"","parse-names":false,"suffix":""}],"id":"ITEM-3","issued":{"date-parts":[["2021"]]},"title":"Clinical Practice Guidelines in Oncology. Hepatobiliary Cancers, version 4.2021","type":"article-journal"},"uris":["http://www.mendeley.com/documents/?uuid=db314d5f-b05a-4fec-a403-5589c18d9ebd"]},{"id":"ITEM-4","itemData":{"DOI":"10.1111/ajt.13831","ISSN":"16006143","PMID":"27134017","abstract":"Selection criteria and benefit of liver transplantation for hepatic metastases from neuroendocrine tumors (NETs) remain uncertain. Eighty-eight consecutive patients with metastatic NETs eligible for liver transplantation according to Milan-NET criteria were offered transplant (n = 42) versus nontransplant options (n = 46) depending on list dynamics, patient disposition, and age. Tumor burden between groups did not differ. Transplant patients were younger (40.5 vs. 55.5 years; p &lt; 0.001). Long-term outcomes were compared after matching between groups made on multiple Cox models adjusted for propensity score built on logistic models. Survival benefit was the difference in mean survival between transplant versus nontransplant options. No patients were lost or died without recurrence. Median followup was 122 months. The transplant group showed a significant advantage over nontransplant strategies at 5 and 10 years in survival (97.2% and 88.8% vs. 50.9% and 22.4%, respectively; p &lt; 0.001) and timeto- progression (13.1% and 13.1% vs. 83.5% and 89%; p &lt; 0.001). After adjustment for propensity score, survival advantage of the transplant group was significant (hazard ratio = 7.4; 95% confidence interval (CI): 2.4–23.0; p = 0.001). Adjusted transplant-related survival benefit was 6.82 months (95% CI: 1.10–12.54; p = 0.019) and 38.43 months (95% CI: 21.41–55.45; p &lt; 0.001) at 5 and 10 years, respectively. Liver transplantation for metastatic NETs under restrictive criteria provides excellent long-term outcome. Transplant-related survival benefit increases over time and maximizes after 10 years.","author":[{"dropping-particle":"","family":"Mazzaferro","given":"Vincenzo","non-dropping-particle":"","parse-names":false,"suffix":""},{"dropping-particle":"","family":"Sposito","given":"C.","non-dropping-particle":"","parse-names":false,"suffix":""},{"dropping-particle":"","family":"Coppa","given":"J.","non-dropping-particle":"","parse-names":false,"suffix":""},{"dropping-particle":"","family":"Miceli","given":"R.","non-dropping-particle":"","parse-names":false,"suffix":""},{"dropping-particle":"","family":"Bhoori","given":"S.","non-dropping-particle":"","parse-names":false,"suffix":""},{"dropping-particle":"","family":"Bongini","given":"M.","non-dropping-particle":"","parse-names":false,"suffix":""},{"dropping-particle":"","family":"Camerini","given":"T.","non-dropping-particle":"","parse-names":false,"suffix":""},{"dropping-particle":"","family":"Milione","given":"M.","non-dropping-particle":"","parse-names":false,"suffix":""},{"dropping-particle":"","family":"Regalia","given":"E.","non-dropping-particle":"","parse-names":false,"suffix":""},{"dropping-particle":"","family":"Spreafico","given":"C.","non-dropping-particle":"","parse-names":false,"suffix":""},{"dropping-particle":"","family":"Gangeri","given":"L.","non-dropping-particle":"","parse-names":false,"suffix":""},{"dropping-particle":"","family":"Buzzoni","given":"R.","non-dropping-particle":"","parse-names":false,"suffix":""},{"dropping-particle":"","family":"Braud","given":"F. G.","non-dropping-particle":"de","parse-names":false,"suffix":""},{"dropping-particle":"","family":"Feo","given":"T.","non-dropping-particle":"De","parse-names":false,"suffix":""},{"dropping-particle":"","family":"Mariani","given":"L.","non-dropping-particle":"","parse-names":false,"suffix":""}],"container-title":"American Journal of Transplantation","id":"ITEM-4","issue":"10","issued":{"date-parts":[["2016","10"]]},"page":"2892-2902","title":"The long-term benefit of liver transplantation for hepatic metastases from neuroendocrine tumors","type":"article-journal","volume":"16"},"uris":["http://www.mendeley.com/documents/?uuid=32308fba-ebf6-3bbf-9444-aac1e7084eca"]},{"id":"ITEM-5","itemData":{"DOI":"10.1002/lt.24963","ISSN":"15276473","PMID":"29077253","abstract":"The success of liver transplantation (LT) in curing cancer (particularly hepatocellular carcinoma and hepatic metastases from neuroendocrine tumors) is based on the augmented oncologic potentials of the total hepatectomy and on restrictive criteria applied to patient selection. Consensus on the grade of expansion of conventional limits and implementation of alternative indications to LT (cholangiocarcinoma and metastases from colorectal cancer) has not been reached. On top of regional/local conditions for wait-list dynamics and organ availability, expanded cancer indications for LT should be explored with caution. Prospective investigations should rely on staging protocols predicting the exclusive hepatic location of cancer; restrictions on clinical conditions, tumor biology, and molecular profile, including the response to neoadjuvant therapies; confirmed tumor nonresectability with curative intent; sufficient life span of the transplant candidates to assess survival and transplant benefit; and use of marginal and extended criteria donors. In conclusion, the arguments supporting moderately loosened criteria for cancer seem more valid today than in the past. Transplant oncology is likely to represent a leading field in the near future, also because comorbidities and transplant-related causes of death are better managed and often eliminated. Liver Transplantation 24 98–103 2018 AASLD.","author":[{"dropping-particle":"","family":"Mazzaferro","given":"Vincenzo","non-dropping-particle":"","parse-names":false,"suffix":""},{"dropping-particle":"","family":"Battiston","given":"Carlo","non-dropping-particle":"","parse-names":false,"suffix":""},{"dropping-particle":"","family":"Sposito","given":"Carlo","non-dropping-particle":"","parse-names":false,"suffix":""}],"container-title":"Liver Transplantation","id":"ITEM-5","issue":"1","issued":{"date-parts":[["2018","1"]]},"page":"98-103","title":"Pro (With Caution): Extended oncologic indications in liver transplantation","type":"article-journal","volume":"24"},"uris":["http://www.mendeley.com/documents/?uuid=46b29d03-fc03-31e4-8598-a8c06c6f916d"]},{"id":"ITEM-6","itemData":{"DOI":"10.1016/S1470-2045(20)30224-2","ISSN":"14745488","PMID":"32615109","abstract":"Background: Indications for liver transplantation for hepatocellular carcinoma are evolving and so-called expanded criteria remain debated. Locoregional therapies are able to downstage hepatocellular carcinoma from beyond to within the Milan criteria. We aimed to investigate the efficacy of liver transplantation after successful hepatocellular carcinoma downstaging. Methods: We did an open-label, multicentre, randomised, controlled trial designed in two phases, 2b and 3, at nine Italian tertiary care and transplantation centres. Patients aged 18–65 years with hepatocellular carcinoma beyond the Milan criteria, absence of macrovascular invasion or extrahepatic spread, 5-year estimated post-transplantation survival of at least 50%, and good liver function (Child-Pugh A-B7) were recruited and underwent tumour downstaging with locoregional, surgical, or systemic therapies according to multidisciplinary decision. After an observation period of 3 months, during which sorafenib was allowed, patients with partial or complete responses according to modified Response Evaluation Criteria in Solid Tumors were randomly assigned (1:1) by an interactive web-response system to liver transplantation or non-transplantation therapies (control group). A block randomisation (block size of 2), stratified by centre and compliance to sorafenib treatment, was applied. Liver transplantation was done with whole or split organs procured from brain-dead donors. The control group received sequences of locoregional and systemic treatment at the time of demonstrated tumour progression. The primary outcomes were 5-year tumour event-free survival for phase 2b and overall survival for phase 3. Analyses were by intention to treat. Organ allocation policy changed during the course of the study and restricted patient accrual to 4 years. This trial is registered with ClinicalTrials.gov, NCT01387503. Findings: Between March 1, 2011, and March 31, 2015, 74 patients were enrolled. Median duration of downstaging was 6 months (IQR 4–11). 29 patients dropped out before randomisation and 45 were randomly assigned: 23 to the transplantation group versus 22 to the control group. At data cutoff on July 31, 2019, median follow-up was 71 months (IQR 60–85). 5-year tumour event-free survival was 76·8% (95% CI 60·8–96·9) in the transplantation group versus 18·3% (7·1–47·0) in the control group (hazard ratio [HR] 0·20, 95% CI 0·07–0·57; p=0·003). 5-year overall survival was 77·5% (95% CI 61·9–97·1) in the …","author":[{"dropping-particle":"","family":"Mazzaferro","given":"Vincenzo","non-dropping-particle":"","parse-names":false,"suffix":""},{"dropping-particle":"","family":"Citterio","given":"Davide","non-dropping-particle":"","parse-names":false,"suffix":""},{"dropping-particle":"","family":"Bhoori","given":"Sherrie","non-dropping-particle":"","parse-names":false,"suffix":""},{"dropping-particle":"","family":"Bongini","given":"Marco","non-dropping-particle":"","parse-names":false,"suffix":""},{"dropping-particle":"","family":"Miceli","given":"Rosalba","non-dropping-particle":"","parse-names":false,"suffix":""},{"dropping-particle":"","family":"Carlis","given":"Luciano","non-dropping-particle":"De","parse-names":false,"suffix":""},{"dropping-particle":"","family":"Colledan","given":"Michele","non-dropping-particle":"","parse-names":false,"suffix":""},{"dropping-particle":"","family":"Salizzoni","given":"Mauro","non-dropping-particle":"","parse-names":false,"suffix":""},{"dropping-particle":"","family":"Romagnoli","given":"Renato","non-dropping-particle":"","parse-names":false,"suffix":""},{"dropping-particle":"","family":"Antonelli","given":"Barbara","non-dropping-particle":"","parse-names":false,"suffix":""},{"dropping-particle":"","family":"Vivarelli","given":"Marco","non-dropping-particle":"","parse-names":false,"suffix":""},{"dropping-particle":"","family":"Tisone","given":"Giuseppe","non-dropping-particle":"","parse-names":false,"suffix":""},{"dropping-particle":"","family":"Rossi","given":"Massimo","non-dropping-particle":"","parse-names":false,"suffix":""},{"dropping-particle":"","family":"Gruttadauria","given":"Salvatore","non-dropping-particle":"","parse-names":false,"suffix":""},{"dropping-particle":"","family":"Sandro","given":"Stefano","non-dropping-particle":"Di","parse-names":false,"suffix":""},{"dropping-particle":"","family":"Carlis","given":"Riccardo","non-dropping-particle":"De","parse-names":false,"suffix":""},{"dropping-particle":"","family":"Lucà","given":"Maria Grazia","non-dropping-particle":"","parse-names":false,"suffix":""},{"dropping-particle":"","family":"Giorgio","given":"Massimo","non-dropping-particle":"De","parse-names":false,"suffix":""},{"dropping-particle":"","family":"Mirabella","given":"Stefano","non-dropping-particle":"","parse-names":false,"suffix":""},{"dropping-particle":"","family":"Belli","given":"Luca","non-dropping-particle":"","parse-names":false,"suffix":""},{"dropping-particle":"","family":"Fagiuoli","given":"Stefano","non-dropping-particle":"","parse-names":false,"suffix":""},{"dropping-particle":"","family":"Martini","given":"Silvia","non-dropping-particle":"","parse-names":false,"suffix":""},{"dropping-particle":"","family":"Iavarone","given":"Massimo","non-dropping-particle":"","parse-names":false,"suffix":""},{"dropping-particle":"","family":"Svegliati Baroni","given":"Gianluca","non-dropping-particle":"","parse-names":false,"suffix":""},{"dropping-particle":"","family":"Angelico","given":"Mario","non-dropping-particle":"","parse-names":false,"suffix":""},{"dropping-particle":"","family":"Ginanni Corradini","given":"Stefano","non-dropping-particle":"","parse-names":false,"suffix":""},{"dropping-particle":"","family":"Volpes","given":"Riccardo","non-dropping-particle":"","parse-names":false,"suffix":""},{"dropping-particle":"","family":"Mariani","given":"Luigi","non-dropping-particle":"","parse-names":false,"suffix":""},{"dropping-particle":"","family":"Regalia","given":"Enrico","non-dropping-particle":"","parse-names":false,"suffix":""},{"dropping-particle":"","family":"Flores","given":"Maria","non-dropping-particle":"","parse-names":false,"suffix":""},{"dropping-particle":"","family":"Droz dit Busset","given":"Michele","non-dropping-particle":"","parse-names":false,"suffix":""},{"dropping-particle":"","family":"Sposito","given":"Carlo","non-dropping-particle":"","parse-names":false,"suffix":""}],"container-title":"The Lancet Oncology","id":"ITEM-6","issue":"7","issued":{"date-parts":[["2020","7"]]},"page":"947-956","title":"Liver transplantation in hepatocellular carcinoma after tumour downstaging (XXL): a randomised, controlled, phase 2b/3 trial","type":"article-journal","volume":"21"},"uris":["http://www.mendeley.com/documents/?uuid=009fc785-e6a6-3c0f-b3bb-c44afbca4c0a"]}],"mendeley":{"formattedCitation":"[8,9,14,43–45]","plainTextFormattedCitation":"[8,9,14,43–45]","previouslyFormattedCitation":"[8,9,14,43–45]"},"properties":{"noteIndex":0},"schema":"https://github.com/citation-style-language/schema/raw/master/csl-citation.json"}</w:instrText>
      </w:r>
      <w:r w:rsidR="00BC1283" w:rsidRPr="00DF0D90">
        <w:fldChar w:fldCharType="separate"/>
      </w:r>
      <w:r w:rsidR="007335C5" w:rsidRPr="00DF0D90">
        <w:rPr>
          <w:noProof/>
        </w:rPr>
        <w:t>[8,9,14,43–45]</w:t>
      </w:r>
      <w:r w:rsidR="00BC1283" w:rsidRPr="00DF0D90">
        <w:fldChar w:fldCharType="end"/>
      </w:r>
      <w:r w:rsidR="00641949" w:rsidRPr="00DF0D90">
        <w:t>.</w:t>
      </w:r>
      <w:r w:rsidR="00F80D5D" w:rsidRPr="00DF0D90">
        <w:t xml:space="preserve">  </w:t>
      </w:r>
      <w:r w:rsidRPr="00DF0D90">
        <w:t xml:space="preserve"> </w:t>
      </w:r>
    </w:p>
    <w:p w14:paraId="61EAE7E2" w14:textId="1F0C3E4F" w:rsidR="00AC1020" w:rsidRPr="00DF0D90" w:rsidRDefault="00AC1020" w:rsidP="00454D85">
      <w:pPr>
        <w:pStyle w:val="afa"/>
        <w:spacing w:after="120" w:line="360" w:lineRule="auto"/>
        <w:jc w:val="both"/>
        <w:rPr>
          <w:shd w:val="clear" w:color="auto" w:fill="FFFFFF"/>
        </w:rPr>
      </w:pPr>
      <w:r w:rsidRPr="00DF0D90">
        <w:rPr>
          <w:shd w:val="clear" w:color="auto" w:fill="FFFFFF"/>
        </w:rPr>
        <w:t xml:space="preserve">Уровень убедительности рекомендаций – </w:t>
      </w:r>
      <w:r w:rsidR="00505B1E" w:rsidRPr="00DF0D90">
        <w:rPr>
          <w:shd w:val="clear" w:color="auto" w:fill="FFFFFF"/>
          <w:lang w:val="en-US"/>
        </w:rPr>
        <w:t>A</w:t>
      </w:r>
      <w:r w:rsidR="00123A49" w:rsidRPr="00DF0D90">
        <w:rPr>
          <w:shd w:val="clear" w:color="auto" w:fill="FFFFFF"/>
          <w:lang w:val="ru-RU"/>
        </w:rPr>
        <w:t xml:space="preserve"> </w:t>
      </w:r>
      <w:r w:rsidRPr="00DF0D90">
        <w:rPr>
          <w:shd w:val="clear" w:color="auto" w:fill="FFFFFF"/>
        </w:rPr>
        <w:t xml:space="preserve">(уровень достоверности доказательств – </w:t>
      </w:r>
      <w:r w:rsidR="00505B1E" w:rsidRPr="00DF0D90">
        <w:rPr>
          <w:shd w:val="clear" w:color="auto" w:fill="FFFFFF"/>
        </w:rPr>
        <w:t>2</w:t>
      </w:r>
      <w:r w:rsidRPr="00DF0D90">
        <w:rPr>
          <w:shd w:val="clear" w:color="auto" w:fill="FFFFFF"/>
        </w:rPr>
        <w:t>).</w:t>
      </w:r>
    </w:p>
    <w:p w14:paraId="0BCEA6C4" w14:textId="4170B9B1" w:rsidR="00D24B13" w:rsidRPr="00DF0D90" w:rsidRDefault="00AC1020" w:rsidP="00454D85">
      <w:pPr>
        <w:spacing w:after="120" w:line="360" w:lineRule="auto"/>
        <w:jc w:val="both"/>
      </w:pPr>
      <w:r w:rsidRPr="00DF0D90">
        <w:rPr>
          <w:b/>
          <w:i/>
        </w:rPr>
        <w:t>Комментарии:</w:t>
      </w:r>
      <w:r w:rsidRPr="00DF0D90">
        <w:rPr>
          <w:b/>
        </w:rPr>
        <w:t xml:space="preserve"> </w:t>
      </w:r>
      <w:r w:rsidRPr="00DF0D90">
        <w:rPr>
          <w:i/>
        </w:rPr>
        <w:t xml:space="preserve">чаще используются так называемые </w:t>
      </w:r>
      <w:r w:rsidR="00372FFB" w:rsidRPr="00DF0D90">
        <w:rPr>
          <w:i/>
        </w:rPr>
        <w:t>«</w:t>
      </w:r>
      <w:r w:rsidRPr="00DF0D90">
        <w:rPr>
          <w:i/>
        </w:rPr>
        <w:t>миланские</w:t>
      </w:r>
      <w:r w:rsidR="00372FFB" w:rsidRPr="00DF0D90">
        <w:rPr>
          <w:i/>
        </w:rPr>
        <w:t>»</w:t>
      </w:r>
      <w:r w:rsidRPr="00DF0D90">
        <w:rPr>
          <w:i/>
        </w:rPr>
        <w:t xml:space="preserve"> критерии: размер единственной опухоли ≤5 см или наличие в печени не более 3 очагов с диаметром наибольшего узла ≤3 см и отсутствием инвазии в сосуды</w:t>
      </w:r>
      <w:r w:rsidR="00BC1283" w:rsidRPr="00DF0D90">
        <w:rPr>
          <w:i/>
        </w:rPr>
        <w:t xml:space="preserve"> </w:t>
      </w:r>
      <w:r w:rsidR="00BC1283" w:rsidRPr="00DF0D90">
        <w:rPr>
          <w:i/>
        </w:rPr>
        <w:fldChar w:fldCharType="begin" w:fldLock="1"/>
      </w:r>
      <w:r w:rsidR="006E1A32" w:rsidRPr="00DF0D90">
        <w:rPr>
          <w:i/>
        </w:rPr>
        <w:instrText>ADDIN CSL_CITATION {"citationItems":[{"id":"ITEM-1","itemData":{"DOI":"10.1002/hep.29913","ISSN":"15273350","PMID":"29624699","author":[{"dropping-particle":"","family":"Marrero","given":"Jorge A.","non-dropping-particle":"","parse-names":false,"suffix":""},{"dropping-particle":"","family":"Kulik","given":"Laura M.","non-dropping-particle":"","parse-names":false,"suffix":""},{"dropping-particle":"","family":"Sirlin","given":"Claude B.","non-dropping-particle":"","parse-names":false,"suffix":""},{"dropping-particle":"","family":"Zhu","given":"Andrew X.","non-dropping-particle":"","parse-names":false,"suffix":""},{"dropping-particle":"","family":"Finn","given":"Richard S.","non-dropping-particle":"","parse-names":false,"suffix":""},{"dropping-particle":"","family":"Abecassis","given":"Michael M.","non-dropping-particle":"","parse-names":false,"suffix":""},{"dropping-particle":"","family":"Roberts","given":"Lewis R.","non-dropping-particle":"","parse-names":false,"suffix":""},{"dropping-particle":"","family":"Heimbach","given":"Julie K.","non-dropping-particle":"","parse-names":false,"suffix":""}],"container-title":"Hepatology","id":"ITEM-1","issue":"2","issued":{"date-parts":[["2018","8","1"]]},"page":"723-750","publisher":"John Wiley and Sons Inc.","title":"Diagnosis, Staging, and Management of Hepatocellular Carcinoma: 2018 Practice Guidance by the American Association for the Study of Liver Diseases","type":"article-journal","volume":"68"},"uris":["http://www.mendeley.com/documents/?uuid=524b992f-ba18-31f8-aa7d-c271bdc57c09"]},{"id":"ITEM-2","itemData":{"DOI":"10.1093/annonc/mdy308","ISSN":"15698041","PMID":"30285213","author":[{"dropping-particle":"","family":"Vogel","given":"A.","non-dropping-particle":"","parse-names":false,"suffix":""},{"dropping-particle":"","family":"Cervantes","given":"A.","non-dropping-particle":"","parse-names":false,"suffix":""},{"dropping-particle":"","family":"Chau","given":"I.","non-dropping-particle":"","parse-names":false,"suffix":""},{"dropping-particle":"","family":"Daniele","given":"B.","non-dropping-particle":"","parse-names":false,"suffix":""},{"dropping-particle":"","family":"Llovet","given":"J.","non-dropping-particle":"","parse-names":false,"suffix":""},{"dropping-particle":"","family":"Meyer","given":"T.","non-dropping-particle":"","parse-names":false,"suffix":""},{"dropping-particle":"","family":"Nault","given":"J. C.","non-dropping-particle":"","parse-names":false,"suffix":""},{"dropping-particle":"","family":"Neumann","given":"U.","non-dropping-particle":"","parse-names":false,"suffix":""},{"dropping-particle":"","family":"Ricke","given":"J.","non-dropping-particle":"","parse-names":false,"suffix":""},{"dropping-particle":"","family":"Sangro","given":"B.","non-dropping-particle":"","parse-names":false,"suffix":""},{"dropping-particle":"","family":"Schirmacher","given":"P.","non-dropping-particle":"","parse-names":false,"suffix":""},{"dropping-particle":"","family":"Verslype","given":"C.","non-dropping-particle":"","parse-names":false,"suffix":""},{"dropping-particle":"","family":"Zech","given":"C. J.","non-dropping-particle":"","parse-names":false,"suffix":""},{"dropping-particle":"","family":"Arnold","given":"D.","non-dropping-particle":"","parse-names":false,"suffix":""},{"dropping-particle":"","family":"Martinelli","given":"E.","non-dropping-particle":"","parse-names":false,"suffix":""}],"container-title":"Annals of Oncology","id":"ITEM-2","issued":{"date-parts":[["2018","10","1"]]},"page":"iv238-iv255","publisher":"Oxford University Press","title":"Hepatocellular carcinoma: ESMO Clinical Practice Guidelines for diagnosis, treatment and follow-up","type":"article-journal","volume":"29"},"uris":["http://www.mendeley.com/documents/?uuid=21b70589-bd16-3bd9-b432-9f2042108c3b"]},{"id":"ITEM-3","itemData":{"DOI":"10.1016/j.jhep.2018.03.019","ISSN":"16000641","PMID":"29628281","author":[{"dropping-particle":"","family":"Galle","given":"Peter R.","non-dropping-particle":"","parse-names":false,"suffix":""},{"dropping-particle":"","family":"Forner","given":"Alejandro","non-dropping-particle":"","parse-names":false,"suffix":""},{"dropping-particle":"","family":"Llovet","given":"Josep M.","non-dropping-particle":"","parse-names":false,"suffix":""},{"dropping-particle":"","family":"Mazzaferro","given":"Vincenzo","non-dropping-particle":"","parse-names":false,"suffix":""},{"dropping-particle":"","family":"Piscaglia","given":"Fabio","non-dropping-particle":"","parse-names":false,"suffix":""},{"dropping-particle":"","family":"Raoul","given":"Jean Luc","non-dropping-particle":"","parse-names":false,"suffix":""},{"dropping-particle":"","family":"Schirmacher","given":"Peter","non-dropping-particle":"","parse-names":false,"suffix":""},{"dropping-particle":"","family":"Vilgrain","given":"Valérie","non-dropping-particle":"","parse-names":false,"suffix":""}],"container-title":"Journal of Hepatology","id":"ITEM-3","issue":"1","issued":{"date-parts":[["2018","7","1"]]},"page":"182-236","publisher":"Elsevier B.V.","title":"EASL Clinical Practice Guidelines: Management of hepatocellular carcinoma","type":"article-journal","volume":"69"},"uris":["http://www.mendeley.com/documents/?uuid=055ddbc3-5b48-34fb-b03b-bdc43880d69c"]}],"mendeley":{"formattedCitation":"[6,8,9]","plainTextFormattedCitation":"[6,8,9]","previouslyFormattedCitation":"[6,8,9]"},"properties":{"noteIndex":0},"schema":"https://github.com/citation-style-language/schema/raw/master/csl-citation.json"}</w:instrText>
      </w:r>
      <w:r w:rsidR="00BC1283" w:rsidRPr="00DF0D90">
        <w:rPr>
          <w:i/>
        </w:rPr>
        <w:fldChar w:fldCharType="separate"/>
      </w:r>
      <w:r w:rsidR="00BC1283" w:rsidRPr="00DF0D90">
        <w:rPr>
          <w:noProof/>
        </w:rPr>
        <w:t>[6,8,9]</w:t>
      </w:r>
      <w:r w:rsidR="00BC1283" w:rsidRPr="00DF0D90">
        <w:rPr>
          <w:i/>
        </w:rPr>
        <w:fldChar w:fldCharType="end"/>
      </w:r>
      <w:r w:rsidRPr="00DF0D90">
        <w:rPr>
          <w:i/>
        </w:rPr>
        <w:t>.</w:t>
      </w:r>
      <w:r w:rsidR="00904BAB" w:rsidRPr="00DF0D90">
        <w:rPr>
          <w:i/>
        </w:rPr>
        <w:t xml:space="preserve"> Показания и противопоказания к выполнению трансплантации печени определяются врачом-трансплантологом</w:t>
      </w:r>
      <w:r w:rsidR="00B63745" w:rsidRPr="00DF0D90">
        <w:rPr>
          <w:i/>
        </w:rPr>
        <w:t>.</w:t>
      </w:r>
      <w:r w:rsidR="00EA77D2" w:rsidRPr="00DF0D90">
        <w:rPr>
          <w:i/>
        </w:rPr>
        <w:t xml:space="preserve"> </w:t>
      </w:r>
      <w:r w:rsidR="00AB47DB" w:rsidRPr="00DF0D90">
        <w:rPr>
          <w:i/>
          <w:iCs/>
        </w:rPr>
        <w:t xml:space="preserve">Трансплантация печени у пациентов с </w:t>
      </w:r>
      <w:proofErr w:type="spellStart"/>
      <w:r w:rsidR="00E07E10" w:rsidRPr="00DF0D90">
        <w:rPr>
          <w:i/>
          <w:iCs/>
        </w:rPr>
        <w:t>нерезек</w:t>
      </w:r>
      <w:r w:rsidR="00B63745" w:rsidRPr="00DF0D90">
        <w:rPr>
          <w:i/>
          <w:iCs/>
        </w:rPr>
        <w:t>табельной</w:t>
      </w:r>
      <w:proofErr w:type="spellEnd"/>
      <w:r w:rsidR="00AB47DB" w:rsidRPr="00DF0D90">
        <w:rPr>
          <w:i/>
          <w:iCs/>
        </w:rPr>
        <w:t xml:space="preserve"> </w:t>
      </w:r>
      <w:r w:rsidR="00123A49" w:rsidRPr="00DF0D90">
        <w:rPr>
          <w:i/>
          <w:iCs/>
        </w:rPr>
        <w:t>формой ГЦР</w:t>
      </w:r>
      <w:r w:rsidR="00AB47DB" w:rsidRPr="00DF0D90">
        <w:rPr>
          <w:i/>
          <w:iCs/>
        </w:rPr>
        <w:t xml:space="preserve"> (например, </w:t>
      </w:r>
      <w:proofErr w:type="spellStart"/>
      <w:r w:rsidR="00AB47DB" w:rsidRPr="00DF0D90">
        <w:rPr>
          <w:i/>
          <w:iCs/>
        </w:rPr>
        <w:t>фиброламеллярная</w:t>
      </w:r>
      <w:proofErr w:type="spellEnd"/>
      <w:r w:rsidR="00AB47DB" w:rsidRPr="00DF0D90">
        <w:rPr>
          <w:i/>
          <w:iCs/>
        </w:rPr>
        <w:t xml:space="preserve"> </w:t>
      </w:r>
      <w:r w:rsidR="002127BA" w:rsidRPr="00DF0D90">
        <w:rPr>
          <w:i/>
          <w:iCs/>
        </w:rPr>
        <w:t>карцинома</w:t>
      </w:r>
      <w:r w:rsidR="00AB47DB" w:rsidRPr="00DF0D90">
        <w:rPr>
          <w:i/>
          <w:iCs/>
        </w:rPr>
        <w:t xml:space="preserve">) в отсутствие фонового заболевания печени (цирроз, гепатит) является наиболее радикальным методом. К таким пациентам не должны применяться </w:t>
      </w:r>
      <w:r w:rsidR="00372FFB" w:rsidRPr="00DF0D90">
        <w:rPr>
          <w:i/>
          <w:iCs/>
        </w:rPr>
        <w:t>«м</w:t>
      </w:r>
      <w:r w:rsidR="00AB47DB" w:rsidRPr="00DF0D90">
        <w:rPr>
          <w:i/>
          <w:iCs/>
        </w:rPr>
        <w:t>иланские</w:t>
      </w:r>
      <w:r w:rsidR="00372FFB" w:rsidRPr="00DF0D90">
        <w:rPr>
          <w:i/>
          <w:iCs/>
        </w:rPr>
        <w:t>»</w:t>
      </w:r>
      <w:r w:rsidR="00AB47DB" w:rsidRPr="00DF0D90">
        <w:rPr>
          <w:i/>
          <w:iCs/>
        </w:rPr>
        <w:t xml:space="preserve"> критерии. Важно: отсутствие внепеченочного распространения (строго), отсутствие </w:t>
      </w:r>
      <w:proofErr w:type="spellStart"/>
      <w:r w:rsidR="00AB47DB" w:rsidRPr="00DF0D90">
        <w:rPr>
          <w:i/>
          <w:iCs/>
        </w:rPr>
        <w:t>макрососудистой</w:t>
      </w:r>
      <w:proofErr w:type="spellEnd"/>
      <w:r w:rsidR="00AB47DB" w:rsidRPr="00DF0D90">
        <w:rPr>
          <w:i/>
          <w:iCs/>
        </w:rPr>
        <w:t xml:space="preserve"> инвазии (желательно</w:t>
      </w:r>
      <w:r w:rsidR="00B63745" w:rsidRPr="00DF0D90">
        <w:rPr>
          <w:i/>
          <w:iCs/>
        </w:rPr>
        <w:t>)</w:t>
      </w:r>
      <w:r w:rsidR="006E1A32" w:rsidRPr="00DF0D90">
        <w:rPr>
          <w:i/>
          <w:iCs/>
        </w:rPr>
        <w:fldChar w:fldCharType="begin" w:fldLock="1"/>
      </w:r>
      <w:r w:rsidR="007335C5" w:rsidRPr="00DF0D90">
        <w:rPr>
          <w:i/>
          <w:iCs/>
        </w:rPr>
        <w:instrText>ADDIN CSL_CITATION {"citationItems":[{"id":"ITEM-1","itemData":{"DOI":"10.1016/S1470-2045(11)70175-9","ISSN":"14702045","PMID":"22047762","abstract":"Although liver transplantation is a widely accepted treatment for hepatocellular carcinoma (HCC), much controversy remains and there is no generally accepted set of guidelines. An international consensus conference was held on Dec 2-4, 2010, in Zurich, Switzerland, with the aim of reviewing current practice regarding liver transplantation in patients with HCC and to develop internationally accepted statements and guidelines. The format of the conference was based on the Danish model. 19 working groups of experts prepared evidence-based reviews according to the Oxford classification, and drafted recommendations answering 19 specific questions. An independent jury of nine members was appointed to review these submissions and make final recommendations, after debates with the experts and audience at the conference. This report presents the final 37 statements and recommendations, covering assessment of candidates for liver transplantation, criteria for listing in cirrhotic and non-cirrhotic patients, role of tumour downstaging, management of patients on the waiting list, role of living donation, and post-transplant management. © 2012 Elsevier Ltd.","author":[{"dropping-particle":"","family":"Clavien","given":"Pierre Alain","non-dropping-particle":"","parse-names":false,"suffix":""},{"dropping-particle":"","family":"Lesurtel","given":"Mickael","non-dropping-particle":"","parse-names":false,"suffix":""},{"dropping-particle":"","family":"Bossuyt","given":"Patrick MM","non-dropping-particle":"","parse-names":false,"suffix":""},{"dropping-particle":"","family":"Gores","given":"Gregory J","non-dropping-particle":"","parse-names":false,"suffix":""},{"dropping-particle":"","family":"Langer","given":"Bernard","non-dropping-particle":"","parse-names":false,"suffix":""},{"dropping-particle":"","family":"Perrier","given":"Arnaud","non-dropping-particle":"","parse-names":false,"suffix":""}],"container-title":"The Lancet Oncology","id":"ITEM-1","issue":"1","issued":{"date-parts":[["2012","1"]]},"title":"Recommendations for liver transplantation for hepatocellular carcinoma: An international consensus conference report","type":"article","volume":"13"},"uris":["http://www.mendeley.com/documents/?uuid=50da9698-84a0-31ac-ba3e-0c0e6ee6fb40"]},{"id":"ITEM-2","itemData":{"author":[{"dropping-particle":"","family":"Олисов","given":"О.Д.","non-dropping-particle":"","parse-names":false,"suffix":""},{"dropping-particle":"","family":"Новрузбеков","given":"М.С.","non-dropping-particle":"","parse-names":false,"suffix":""},{"dropping-particle":"","family":"Галанкина","given":"И.Е.","non-dropping-particle":"","parse-names":false,"suffix":""},{"dropping-particle":"","family":"Зимина","given":"Л.Н.","non-dropping-particle":"","parse-names":false,"suffix":""},{"dropping-particle":"","family":"Гуляев","given":"В.А.","non-dropping-particle":"","parse-names":false,"suffix":""},{"dropping-particle":"","family":"Донова","given":"Л.В.","non-dropping-particle":"","parse-names":false,"suffix":""},{"dropping-particle":"","family":"Хубутия","given":"М.Ш","non-dropping-particle":"","parse-names":false,"suffix":""}],"container-title":"Российский журнал гастроэнтерологии, гепатологии, колопроктологии.","id":"ITEM-2","issue":"4","issued":{"date-parts":[["2018"]]},"note":"1","page":"76-83","title":"Трансплантация печени в лечении нерезектабельной гепатоцеллюлярной карциномы в отсутствие цирроза печени.","type":"article-journal","volume":"28"},"uris":["http://www.mendeley.com/documents/?uuid=f7e4045e-5f44-37bc-ba5c-29869f6ef3ff"]},{"id":"ITEM-3","itemData":{"author":[{"dropping-particle":"","family":"Новзурбеков","given":"М.С.","non-dropping-particle":"","parse-names":false,"suffix":""},{"dropping-particle":"","family":"Олисов","given":"О.Д.","non-dropping-particle":"","parse-names":false,"suffix":""},{"dropping-particle":"","family":"Гуляев","given":"В.А.","non-dropping-particle":"","parse-names":false,"suffix":""},{"dropping-particle":"","family":"Луцык","given":"К.Н.","non-dropping-particle":"","parse-names":false,"suffix":""},{"dropping-particle":"","family":"Магомедов","given":"К.М.","non-dropping-particle":"","parse-names":false,"suffix":""}],"container-title":"Анналы хирургической гепатологии","id":"ITEM-3","issue":"4","issued":{"date-parts":[["2020"]]},"note":"1","page":"49-59","title":"Трансплантация и аутотрансплантация как радикальный метод лечения нерезектабельных опухолевых и паразитарных заболеваний печени","type":"article-journal","volume":"25"},"uris":["http://www.mendeley.com/documents/?uuid=7c2fc7ca-8471-3245-8423-9fefa854f989"]},{"id":"ITEM-4","itemData":{"DOI":"10.1016/j.jhep.2012.05.001","ISSN":"01688278","PMID":"22584453","author":[{"dropping-particle":"","family":"Decaens","given":"Thomas","non-dropping-particle":"","parse-names":false,"suffix":""},{"dropping-particle":"","family":"Laurent","given":"Alexis","non-dropping-particle":"","parse-names":false,"suffix":""},{"dropping-particle":"","family":"Luciani","given":"Alain","non-dropping-particle":"","parse-names":false,"suffix":""}],"container-title":"Journal of Hepatology","id":"ITEM-4","issue":"2","issued":{"date-parts":[["2012","8"]]},"page":"235-236","title":"Liver transplantation for hepatocellular carcinoma in non-cirrhotic livers regardless of the number and size of tumours?","type":"article","volume":"57"},"uris":["http://www.mendeley.com/documents/?uuid=97a52c4e-263b-3cbd-b519-a04daac93f37"]}],"mendeley":{"formattedCitation":"[46–49]","plainTextFormattedCitation":"[46–49]","previouslyFormattedCitation":"[46–49]"},"properties":{"noteIndex":0},"schema":"https://github.com/citation-style-language/schema/raw/master/csl-citation.json"}</w:instrText>
      </w:r>
      <w:r w:rsidR="006E1A32" w:rsidRPr="00DF0D90">
        <w:rPr>
          <w:i/>
          <w:iCs/>
        </w:rPr>
        <w:fldChar w:fldCharType="separate"/>
      </w:r>
      <w:r w:rsidR="007335C5" w:rsidRPr="00DF0D90">
        <w:rPr>
          <w:iCs/>
          <w:noProof/>
        </w:rPr>
        <w:t>[46–49]</w:t>
      </w:r>
      <w:r w:rsidR="006E1A32" w:rsidRPr="00DF0D90">
        <w:rPr>
          <w:i/>
          <w:iCs/>
        </w:rPr>
        <w:fldChar w:fldCharType="end"/>
      </w:r>
      <w:r w:rsidR="00B63745" w:rsidRPr="00DF0D90">
        <w:rPr>
          <w:i/>
          <w:iCs/>
        </w:rPr>
        <w:t>.</w:t>
      </w:r>
    </w:p>
    <w:p w14:paraId="11E062A1" w14:textId="71082534" w:rsidR="00D24B13" w:rsidRPr="00DF0D90" w:rsidRDefault="00AB47DB" w:rsidP="006D217F">
      <w:pPr>
        <w:spacing w:after="120" w:line="360" w:lineRule="auto"/>
        <w:ind w:firstLine="567"/>
        <w:jc w:val="both"/>
        <w:rPr>
          <w:i/>
          <w:iCs/>
        </w:rPr>
      </w:pPr>
      <w:r w:rsidRPr="00DF0D90">
        <w:rPr>
          <w:i/>
          <w:iCs/>
        </w:rPr>
        <w:t xml:space="preserve">В целях объективного стадирования и селекции пациентов на трансплантацию печени необходимо исключить внепеченочное распространение. КТ органов грудной клетки является </w:t>
      </w:r>
      <w:r w:rsidRPr="00DF0D90">
        <w:rPr>
          <w:b/>
          <w:i/>
          <w:iCs/>
          <w:u w:val="single"/>
        </w:rPr>
        <w:t>обязательным</w:t>
      </w:r>
      <w:r w:rsidR="00EA77D2" w:rsidRPr="00DF0D90">
        <w:rPr>
          <w:b/>
          <w:i/>
          <w:iCs/>
          <w:u w:val="single"/>
        </w:rPr>
        <w:t xml:space="preserve"> </w:t>
      </w:r>
      <w:r w:rsidRPr="00DF0D90">
        <w:rPr>
          <w:i/>
          <w:iCs/>
        </w:rPr>
        <w:t>методом исследования для пациентов с ГЦ</w:t>
      </w:r>
      <w:r w:rsidR="00D24B13" w:rsidRPr="00DF0D90">
        <w:rPr>
          <w:i/>
          <w:iCs/>
        </w:rPr>
        <w:t>Р</w:t>
      </w:r>
      <w:r w:rsidRPr="00DF0D90">
        <w:rPr>
          <w:i/>
          <w:iCs/>
        </w:rPr>
        <w:t>, планирующимся на трансплантацию печени</w:t>
      </w:r>
      <w:r w:rsidR="00641949" w:rsidRPr="00DF0D90">
        <w:rPr>
          <w:i/>
          <w:iCs/>
        </w:rPr>
        <w:t xml:space="preserve"> </w:t>
      </w:r>
      <w:r w:rsidR="006E1A32" w:rsidRPr="00DF0D90">
        <w:rPr>
          <w:i/>
          <w:iCs/>
        </w:rPr>
        <w:fldChar w:fldCharType="begin" w:fldLock="1"/>
      </w:r>
      <w:r w:rsidR="007335C5" w:rsidRPr="00DF0D90">
        <w:rPr>
          <w:i/>
          <w:iCs/>
        </w:rPr>
        <w:instrText>ADDIN CSL_CITATION {"citationItems":[{"id":"ITEM-1","itemData":{"DOI":"10.1016/S1470-2045(11)70175-9","ISSN":"14702045","PMID":"22047762","abstract":"Although liver transplantation is a widely accepted treatment for hepatocellular carcinoma (HCC), much controversy remains and there is no generally accepted set of guidelines. An international consensus conference was held on Dec 2-4, 2010, in Zurich, Switzerland, with the aim of reviewing current practice regarding liver transplantation in patients with HCC and to develop internationally accepted statements and guidelines. The format of the conference was based on the Danish model. 19 working groups of experts prepared evidence-based reviews according to the Oxford classification, and drafted recommendations answering 19 specific questions. An independent jury of nine members was appointed to review these submissions and make final recommendations, after debates with the experts and audience at the conference. This report presents the final 37 statements and recommendations, covering assessment of candidates for liver transplantation, criteria for listing in cirrhotic and non-cirrhotic patients, role of tumour downstaging, management of patients on the waiting list, role of living donation, and post-transplant management. © 2012 Elsevier Ltd.","author":[{"dropping-particle":"","family":"Clavien","given":"Pierre Alain","non-dropping-particle":"","parse-names":false,"suffix":""},{"dropping-particle":"","family":"Lesurtel","given":"Mickael","non-dropping-particle":"","parse-names":false,"suffix":""},{"dropping-particle":"","family":"Bossuyt","given":"Patrick MM","non-dropping-particle":"","parse-names":false,"suffix":""},{"dropping-particle":"","family":"Gores","given":"Gregory J","non-dropping-particle":"","parse-names":false,"suffix":""},{"dropping-particle":"","family":"Langer","given":"Bernard","non-dropping-particle":"","parse-names":false,"suffix":""},{"dropping-particle":"","family":"Perrier","given":"Arnaud","non-dropping-particle":"","parse-names":false,"suffix":""}],"container-title":"The Lancet Oncology","id":"ITEM-1","issue":"1","issued":{"date-parts":[["2012","1"]]},"title":"Recommendations for liver transplantation for hepatocellular carcinoma: An international consensus conference report","type":"article","volume":"13"},"uris":["http://www.mendeley.com/documents/?uuid=50da9698-84a0-31ac-ba3e-0c0e6ee6fb40"]}],"mendeley":{"formattedCitation":"[46]","plainTextFormattedCitation":"[46]","previouslyFormattedCitation":"[46]"},"properties":{"noteIndex":0},"schema":"https://github.com/citation-style-language/schema/raw/master/csl-citation.json"}</w:instrText>
      </w:r>
      <w:r w:rsidR="006E1A32" w:rsidRPr="00DF0D90">
        <w:rPr>
          <w:i/>
          <w:iCs/>
        </w:rPr>
        <w:fldChar w:fldCharType="separate"/>
      </w:r>
      <w:r w:rsidR="007335C5" w:rsidRPr="00DF0D90">
        <w:rPr>
          <w:iCs/>
          <w:noProof/>
        </w:rPr>
        <w:t>[46]</w:t>
      </w:r>
      <w:r w:rsidR="006E1A32" w:rsidRPr="00DF0D90">
        <w:rPr>
          <w:i/>
          <w:iCs/>
        </w:rPr>
        <w:fldChar w:fldCharType="end"/>
      </w:r>
      <w:r w:rsidR="00641949" w:rsidRPr="00DF0D90">
        <w:rPr>
          <w:i/>
          <w:iCs/>
        </w:rPr>
        <w:t>.</w:t>
      </w:r>
      <w:r w:rsidRPr="00DF0D90">
        <w:rPr>
          <w:i/>
          <w:iCs/>
        </w:rPr>
        <w:t xml:space="preserve"> </w:t>
      </w:r>
    </w:p>
    <w:p w14:paraId="68348185" w14:textId="42CB2C1D" w:rsidR="00505B1E" w:rsidRDefault="00AC1020" w:rsidP="006D217F">
      <w:pPr>
        <w:pStyle w:val="a"/>
        <w:spacing w:before="0" w:after="120" w:line="360" w:lineRule="auto"/>
        <w:ind w:firstLine="567"/>
        <w:jc w:val="both"/>
      </w:pPr>
      <w:r w:rsidRPr="00DF0D90">
        <w:rPr>
          <w:b/>
          <w:bCs/>
          <w:lang w:val="en-US"/>
        </w:rPr>
        <w:t>B</w:t>
      </w:r>
      <w:proofErr w:type="spellStart"/>
      <w:r w:rsidRPr="00DF0D90">
        <w:rPr>
          <w:b/>
          <w:bCs/>
        </w:rPr>
        <w:t>ridge</w:t>
      </w:r>
      <w:proofErr w:type="spellEnd"/>
      <w:r w:rsidRPr="00DF0D90">
        <w:rPr>
          <w:b/>
          <w:bCs/>
        </w:rPr>
        <w:t>-терапия</w:t>
      </w:r>
      <w:r w:rsidRPr="00DF0D90">
        <w:t xml:space="preserve"> (</w:t>
      </w:r>
      <w:proofErr w:type="spellStart"/>
      <w:r w:rsidR="004F7795" w:rsidRPr="00DF0D90">
        <w:rPr>
          <w:lang w:val="en-US"/>
        </w:rPr>
        <w:t>bridging</w:t>
      </w:r>
      <w:proofErr w:type="spellEnd"/>
      <w:r w:rsidR="004F7795" w:rsidRPr="00DF0D90">
        <w:rPr>
          <w:lang w:val="ru-RU"/>
        </w:rPr>
        <w:t xml:space="preserve">, </w:t>
      </w:r>
      <w:r w:rsidRPr="00DF0D90">
        <w:t>терапия «ожидания», которая направлена на замедление прогрессирования опухоли и уменьшение вероятности выбытия из листа ожидания трансплантации)</w:t>
      </w:r>
      <w:r w:rsidR="00EA77D2" w:rsidRPr="00DF0D90">
        <w:rPr>
          <w:lang w:val="ru-RU"/>
        </w:rPr>
        <w:t xml:space="preserve"> </w:t>
      </w:r>
      <w:r w:rsidRPr="00DF0D90">
        <w:rPr>
          <w:b/>
        </w:rPr>
        <w:t>рекоменд</w:t>
      </w:r>
      <w:r w:rsidR="00040D10" w:rsidRPr="00DF0D90">
        <w:rPr>
          <w:b/>
        </w:rPr>
        <w:t>уется</w:t>
      </w:r>
      <w:r w:rsidRPr="00DF0D90">
        <w:t xml:space="preserve"> пациентам, ожидающим трансплантации печени</w:t>
      </w:r>
      <w:r w:rsidR="008F6032" w:rsidRPr="00DF0D90">
        <w:t>,</w:t>
      </w:r>
      <w:r w:rsidR="00EA77D2" w:rsidRPr="00DF0D90">
        <w:rPr>
          <w:lang w:val="ru-RU"/>
        </w:rPr>
        <w:t xml:space="preserve"> </w:t>
      </w:r>
      <w:r w:rsidR="00624ED5" w:rsidRPr="00DF0D90">
        <w:t>для</w:t>
      </w:r>
      <w:r w:rsidRPr="00DF0D90">
        <w:t xml:space="preserve"> увелич</w:t>
      </w:r>
      <w:r w:rsidR="00624ED5" w:rsidRPr="00DF0D90">
        <w:t>ения</w:t>
      </w:r>
      <w:r w:rsidRPr="00DF0D90">
        <w:t xml:space="preserve"> вероятност</w:t>
      </w:r>
      <w:r w:rsidR="00624ED5" w:rsidRPr="00DF0D90">
        <w:t>и</w:t>
      </w:r>
      <w:r w:rsidRPr="00DF0D90">
        <w:t xml:space="preserve"> выполнения трансплантации печени, </w:t>
      </w:r>
      <w:r w:rsidR="00624ED5" w:rsidRPr="00DF0D90">
        <w:t>улучшения</w:t>
      </w:r>
      <w:r w:rsidRPr="00DF0D90">
        <w:t xml:space="preserve"> селекции и исключени</w:t>
      </w:r>
      <w:r w:rsidR="008F6032" w:rsidRPr="00DF0D90">
        <w:t>я</w:t>
      </w:r>
      <w:r w:rsidRPr="00DF0D90">
        <w:t xml:space="preserve"> агрессивных случаев ГЦР</w:t>
      </w:r>
      <w:r w:rsidR="006E1A32" w:rsidRPr="00DF0D90">
        <w:rPr>
          <w:lang w:val="ru-RU"/>
        </w:rPr>
        <w:t xml:space="preserve"> </w:t>
      </w:r>
      <w:r w:rsidR="006E1A32" w:rsidRPr="00DF0D90">
        <w:rPr>
          <w:lang w:val="ru-RU"/>
        </w:rPr>
        <w:fldChar w:fldCharType="begin" w:fldLock="1"/>
      </w:r>
      <w:r w:rsidR="007335C5" w:rsidRPr="00DF0D90">
        <w:rPr>
          <w:lang w:val="ru-RU"/>
        </w:rPr>
        <w:instrText>ADDIN CSL_CITATION {"citationItems":[{"id":"ITEM-1","itemData":{"DOI":"10.1002/hep.29913","ISSN":"15273350","PMID":"29624699","author":[{"dropping-particle":"","family":"Marrero","given":"Jorge A.","non-dropping-particle":"","parse-names":false,"suffix":""},{"dropping-particle":"","family":"Kulik","given":"Laura M.","non-dropping-particle":"","parse-names":false,"suffix":""},{"dropping-particle":"","family":"Sirlin","given":"Claude B.","non-dropping-particle":"","parse-names":false,"suffix":""},{"dropping-particle":"","family":"Zhu","given":"Andrew X.","non-dropping-particle":"","parse-names":false,"suffix":""},{"dropping-particle":"","family":"Finn","given":"Richard S.","non-dropping-particle":"","parse-names":false,"suffix":""},{"dropping-particle":"","family":"Abecassis","given":"Michael M.","non-dropping-particle":"","parse-names":false,"suffix":""},{"dropping-particle":"","family":"Roberts","given":"Lewis R.","non-dropping-particle":"","parse-names":false,"suffix":""},{"dropping-particle":"","family":"Heimbach","given":"Julie K.","non-dropping-particle":"","parse-names":false,"suffix":""}],"container-title":"Hepatology","id":"ITEM-1","issue":"2","issued":{"date-parts":[["2018","8","1"]]},"page":"723-750","publisher":"John Wiley and Sons Inc.","title":"Diagnosis, Staging, and Management of Hepatocellular Carcinoma: 2018 Practice Guidance by the American Association for the Study of Liver Diseases","type":"article-journal","volume":"68"},"uris":["http://www.mendeley.com/documents/?uuid=524b992f-ba18-31f8-aa7d-c271bdc57c09"]},{"id":"ITEM-2","itemData":{"DOI":"10.1016/j.jhep.2018.03.019","ISSN":"16000641","PMID":"29628281","author":[{"dropping-particle":"","family":"Galle","given":"Peter R.","non-dropping-particle":"","parse-names":false,"suffix":""},{"dropping-particle":"","family":"Forner","given":"Alejandro","non-dropping-particle":"","parse-names":false,"suffix":""},{"dropping-particle":"","family":"Llovet","given":"Josep M.","non-dropping-particle":"","parse-names":false,"suffix":""},{"dropping-particle":"","family":"Mazzaferro","given":"Vincenzo","non-dropping-particle":"","parse-names":false,"suffix":""},{"dropping-particle":"","family":"Piscaglia","given":"Fabio","non-dropping-particle":"","parse-names":false,"suffix":""},{"dropping-particle":"","family":"Raoul","given":"Jean Luc","non-dropping-particle":"","parse-names":false,"suffix":""},{"dropping-particle":"","family":"Schirmacher","given":"Peter","non-dropping-particle":"","parse-names":false,"suffix":""},{"dropping-particle":"","family":"Vilgrain","given":"Valérie","non-dropping-particle":"","parse-names":false,"suffix":""}],"container-title":"Journal of Hepatology","id":"ITEM-2","issue":"1","issued":{"date-parts":[["2018","7","1"]]},"page":"182-236","publisher":"Elsevier B.V.","title":"EASL Clinical Practice Guidelines: Management of hepatocellular carcinoma","type":"article-journal","volume":"69"},"uris":["http://www.mendeley.com/documents/?uuid=055ddbc3-5b48-34fb-b03b-bdc43880d69c"]},{"id":"ITEM-3","itemData":{"DOI":"10.1111/j.1478-3231.2011.02473.x","ISSN":"14783231","abstract":"Because of its increasing incidence of hepatocellular carcinoma, it is now recognized as a worldwide health problem affecting mostly patients with chronic liver disease. Liver transplantation is the optimal therapy and achieves its best results in patients with small tumour burden. In an effort to prevent tumour progression and patient dropout from the transplant wait list, the concept and utilization of neo-adjuvant locoregional therapies have gained relevance in the past few years. Moreover, good and maintained response to therapy is now considered a surrogate of favourable tumour biology, therefore aiding the patient transplant selection process. Herein, we review the current role of neo-adjuvant therapies and revise concepts of tumour 'downstaging' or 'bridging therapy' in the setting of liver transplantation. In addition, we explore the debate of implementing locoregional therapy for patients with small tumours and short waiting times to liver transplantation. © 2011 John Wiley &amp; Sons A/S.","author":[{"dropping-particle":"","family":"Fujiki","given":"Masato","non-dropping-particle":"","parse-names":false,"suffix":""},{"dropping-particle":"","family":"Aucejo","given":"Federico","non-dropping-particle":"","parse-names":false,"suffix":""},{"dropping-particle":"","family":"Kim","given":"Richard","non-dropping-particle":"","parse-names":false,"suffix":""}],"container-title":"Liver International","id":"ITEM-3","issue":"8","issued":{"date-parts":[["2011","9"]]},"page":"1081-1089","title":"General overview of neo-adjuvant therapy for hepatocellular carcinoma before liver transplantation: Necessity or option?","type":"article","volume":"31"},"uris":["http://www.mendeley.com/documents/?uuid=204e9550-16c3-32e3-ac21-cfa0df9ea1ee"]},{"id":"ITEM-4","itemData":{"DOI":"10.1002/lt.21328","ISSN":"15276465","PMID":"17969086","author":[{"dropping-particle":"","family":"Majno","given":"Pietro","non-dropping-particle":"","parse-names":false,"suffix":""},{"dropping-particle":"","family":"Giostra","given":"Emiliano","non-dropping-particle":"","parse-names":false,"suffix":""},{"dropping-particle":"","family":"Mentha","given":"Gilles","non-dropping-particle":"","parse-names":false,"suffix":""}],"container-title":"Liver Transplantation","id":"ITEM-4","issue":"11 SUPPL. 2","issued":{"date-parts":[["2007","11"]]},"title":"Management of hepatocellular carcinoma on the waitng list before liver transplantation: Time for controlled trials?","type":"article-journal","volume":"13"},"uris":["http://www.mendeley.com/documents/?uuid=b8c7c037-f5e0-326c-a7d3-e9799f27acfc"]}],"mendeley":{"formattedCitation":"[6,9,50,51]","plainTextFormattedCitation":"[6,9,50,51]","previouslyFormattedCitation":"[6,9,50,51]"},"properties":{"noteIndex":0},"schema":"https://github.com/citation-style-language/schema/raw/master/csl-citation.json"}</w:instrText>
      </w:r>
      <w:r w:rsidR="006E1A32" w:rsidRPr="00DF0D90">
        <w:rPr>
          <w:lang w:val="ru-RU"/>
        </w:rPr>
        <w:fldChar w:fldCharType="separate"/>
      </w:r>
      <w:r w:rsidR="007335C5" w:rsidRPr="00DF0D90">
        <w:rPr>
          <w:noProof/>
          <w:lang w:val="ru-RU"/>
        </w:rPr>
        <w:t>[6,9,50,51]</w:t>
      </w:r>
      <w:r w:rsidR="006E1A32" w:rsidRPr="00DF0D90">
        <w:rPr>
          <w:lang w:val="ru-RU"/>
        </w:rPr>
        <w:fldChar w:fldCharType="end"/>
      </w:r>
      <w:r w:rsidRPr="00DF0D90">
        <w:t xml:space="preserve">. </w:t>
      </w:r>
    </w:p>
    <w:p w14:paraId="184379EA" w14:textId="61E99424" w:rsidR="00682F2D" w:rsidRPr="00DF0D90" w:rsidRDefault="00682F2D" w:rsidP="0043377B">
      <w:pPr>
        <w:pStyle w:val="a"/>
      </w:pPr>
      <w:r w:rsidRPr="00DF0D90">
        <w:t xml:space="preserve">Уровень убедительности рекомендаций – </w:t>
      </w:r>
      <w:r w:rsidRPr="00DF0D90">
        <w:rPr>
          <w:lang w:val="en-US"/>
        </w:rPr>
        <w:t>A</w:t>
      </w:r>
      <w:r w:rsidRPr="00DF0D90">
        <w:rPr>
          <w:lang w:val="ru-RU"/>
        </w:rPr>
        <w:t xml:space="preserve"> </w:t>
      </w:r>
      <w:r w:rsidRPr="00DF0D90">
        <w:t>(уровень достоверности доказательств – 2).</w:t>
      </w:r>
      <w:r>
        <w:br/>
      </w:r>
    </w:p>
    <w:p w14:paraId="4159ACA6" w14:textId="77777777" w:rsidR="00AC1020" w:rsidRPr="00DF0D90" w:rsidRDefault="00505B1E" w:rsidP="006D217F">
      <w:pPr>
        <w:pStyle w:val="a"/>
        <w:spacing w:before="0" w:after="120" w:line="360" w:lineRule="auto"/>
        <w:ind w:firstLine="567"/>
        <w:jc w:val="both"/>
        <w:rPr>
          <w:lang w:val="ru-RU"/>
        </w:rPr>
      </w:pPr>
      <w:r w:rsidRPr="00DF0D90">
        <w:rPr>
          <w:b/>
          <w:bCs/>
        </w:rPr>
        <w:t>Терапия «понижения</w:t>
      </w:r>
      <w:r w:rsidR="00123A49" w:rsidRPr="00DF0D90">
        <w:rPr>
          <w:b/>
          <w:bCs/>
          <w:lang w:val="ru-RU"/>
        </w:rPr>
        <w:t xml:space="preserve"> </w:t>
      </w:r>
      <w:r w:rsidRPr="00DF0D90">
        <w:rPr>
          <w:b/>
          <w:bCs/>
        </w:rPr>
        <w:t>стадии</w:t>
      </w:r>
      <w:r w:rsidRPr="00DF0D90">
        <w:t>»</w:t>
      </w:r>
      <w:r w:rsidR="00EA77D2" w:rsidRPr="00DF0D90">
        <w:rPr>
          <w:lang w:val="ru-RU"/>
        </w:rPr>
        <w:t xml:space="preserve"> </w:t>
      </w:r>
      <w:r w:rsidRPr="00DF0D90">
        <w:t>(</w:t>
      </w:r>
      <w:proofErr w:type="spellStart"/>
      <w:r w:rsidRPr="00DF0D90">
        <w:t>down-staging</w:t>
      </w:r>
      <w:proofErr w:type="spellEnd"/>
      <w:r w:rsidRPr="00DF0D90">
        <w:t xml:space="preserve">, направлена на уменьшение внутрипеченочной распространенности опухолевого процесса при отсутствии внепеченочных изменений) </w:t>
      </w:r>
      <w:r w:rsidRPr="0043377B">
        <w:rPr>
          <w:b/>
        </w:rPr>
        <w:t>рекомендуется</w:t>
      </w:r>
      <w:r w:rsidRPr="00DF0D90">
        <w:t xml:space="preserve"> пациентам с локализованным ГЦР</w:t>
      </w:r>
      <w:r w:rsidR="0062799E" w:rsidRPr="00DF0D90">
        <w:t xml:space="preserve"> превышающим стандартные критерии для трансплантации печени и при условии достижения объективного противоопухолевого эффекта локо</w:t>
      </w:r>
      <w:r w:rsidR="00B538B5" w:rsidRPr="00DF0D90">
        <w:t>-</w:t>
      </w:r>
      <w:r w:rsidR="0062799E" w:rsidRPr="00DF0D90">
        <w:t>регионарной и/или системной терапии в виде уменьшения внутрипеченочной распространенности до принятых  критериев трансплантации печен</w:t>
      </w:r>
      <w:r w:rsidR="00123A49" w:rsidRPr="00DF0D90">
        <w:rPr>
          <w:lang w:val="ru-RU"/>
        </w:rPr>
        <w:t xml:space="preserve">и </w:t>
      </w:r>
      <w:r w:rsidR="006E1A32" w:rsidRPr="00DF0D90">
        <w:fldChar w:fldCharType="begin" w:fldLock="1"/>
      </w:r>
      <w:r w:rsidR="007335C5" w:rsidRPr="00DF0D90">
        <w:instrText>ADDIN CSL_CITATION {"citationItems":[{"id":"ITEM-1","itemData":{"DOI":"10.1016/S1470-2045(20)30224-2","ISSN":"14745488","PMID":"32615109","abstract":"Background: Indications for liver transplantation for hepatocellular carcinoma are evolving and so-called expanded criteria remain debated. Locoregional therapies are able to downstage hepatocellular carcinoma from beyond to within the Milan criteria. We aimed to investigate the efficacy of liver transplantation after successful hepatocellular carcinoma downstaging. Methods: We did an open-label, multicentre, randomised, controlled trial designed in two phases, 2b and 3, at nine Italian tertiary care and transplantation centres. Patients aged 18–65 years with hepatocellular carcinoma beyond the Milan criteria, absence of macrovascular invasion or extrahepatic spread, 5-year estimated post-transplantation survival of at least 50%, and good liver function (Child-Pugh A-B7) were recruited and underwent tumour downstaging with locoregional, surgical, or systemic therapies according to multidisciplinary decision. After an observation period of 3 months, during which sorafenib was allowed, patients with partial or complete responses according to modified Response Evaluation Criteria in Solid Tumors were randomly assigned (1:1) by an interactive web-response system to liver transplantation or non-transplantation therapies (control group). A block randomisation (block size of 2), stratified by centre and compliance to sorafenib treatment, was applied. Liver transplantation was done with whole or split organs procured from brain-dead donors. The control group received sequences of locoregional and systemic treatment at the time of demonstrated tumour progression. The primary outcomes were 5-year tumour event-free survival for phase 2b and overall survival for phase 3. Analyses were by intention to treat. Organ allocation policy changed during the course of the study and restricted patient accrual to 4 years. This trial is registered with ClinicalTrials.gov, NCT01387503. Findings: Between March 1, 2011, and March 31, 2015, 74 patients were enrolled. Median duration of downstaging was 6 months (IQR 4–11). 29 patients dropped out before randomisation and 45 were randomly assigned: 23 to the transplantation group versus 22 to the control group. At data cutoff on July 31, 2019, median follow-up was 71 months (IQR 60–85). 5-year tumour event-free survival was 76·8% (95% CI 60·8–96·9) in the transplantation group versus 18·3% (7·1–47·0) in the control group (hazard ratio [HR] 0·20, 95% CI 0·07–0·57; p=0·003). 5-year overall survival was 77·5% (95% CI 61·9–97·1) in the …","author":[{"dropping-particle":"","family":"Mazzaferro","given":"Vincenzo","non-dropping-particle":"","parse-names":false,"suffix":""},{"dropping-particle":"","family":"Citterio","given":"Davide","non-dropping-particle":"","parse-names":false,"suffix":""},{"dropping-particle":"","family":"Bhoori","given":"Sherrie","non-dropping-particle":"","parse-names":false,"suffix":""},{"dropping-particle":"","family":"Bongini","given":"Marco","non-dropping-particle":"","parse-names":false,"suffix":""},{"dropping-particle":"","family":"Miceli","given":"Rosalba","non-dropping-particle":"","parse-names":false,"suffix":""},{"dropping-particle":"","family":"Carlis","given":"Luciano","non-dropping-particle":"De","parse-names":false,"suffix":""},{"dropping-particle":"","family":"Colledan","given":"Michele","non-dropping-particle":"","parse-names":false,"suffix":""},{"dropping-particle":"","family":"Salizzoni","given":"Mauro","non-dropping-particle":"","parse-names":false,"suffix":""},{"dropping-particle":"","family":"Romagnoli","given":"Renato","non-dropping-particle":"","parse-names":false,"suffix":""},{"dropping-particle":"","family":"Antonelli","given":"Barbara","non-dropping-particle":"","parse-names":false,"suffix":""},{"dropping-particle":"","family":"Vivarelli","given":"Marco","non-dropping-particle":"","parse-names":false,"suffix":""},{"dropping-particle":"","family":"Tisone","given":"Giuseppe","non-dropping-particle":"","parse-names":false,"suffix":""},{"dropping-particle":"","family":"Rossi","given":"Massimo","non-dropping-particle":"","parse-names":false,"suffix":""},{"dropping-particle":"","family":"Gruttadauria","given":"Salvatore","non-dropping-particle":"","parse-names":false,"suffix":""},{"dropping-particle":"","family":"Sandro","given":"Stefano","non-dropping-particle":"Di","parse-names":false,"suffix":""},{"dropping-particle":"","family":"Carlis","given":"Riccardo","non-dropping-particle":"De","parse-names":false,"suffix":""},{"dropping-particle":"","family":"Lucà","given":"Maria Grazia","non-dropping-particle":"","parse-names":false,"suffix":""},{"dropping-particle":"","family":"Giorgio","given":"Massimo","non-dropping-particle":"De","parse-names":false,"suffix":""},{"dropping-particle":"","family":"Mirabella","given":"Stefano","non-dropping-particle":"","parse-names":false,"suffix":""},{"dropping-particle":"","family":"Belli","given":"Luca","non-dropping-particle":"","parse-names":false,"suffix":""},{"dropping-particle":"","family":"Fagiuoli","given":"Stefano","non-dropping-particle":"","parse-names":false,"suffix":""},{"dropping-particle":"","family":"Martini","given":"Silvia","non-dropping-particle":"","parse-names":false,"suffix":""},{"dropping-particle":"","family":"Iavarone","given":"Massimo","non-dropping-particle":"","parse-names":false,"suffix":""},{"dropping-particle":"","family":"Svegliati Baroni","given":"Gianluca","non-dropping-particle":"","parse-names":false,"suffix":""},{"dropping-particle":"","family":"Angelico","given":"Mario","non-dropping-particle":"","parse-names":false,"suffix":""},{"dropping-particle":"","family":"Ginanni Corradini","given":"Stefano","non-dropping-particle":"","parse-names":false,"suffix":""},{"dropping-particle":"","family":"Volpes","given":"Riccardo","non-dropping-particle":"","parse-names":false,"suffix":""},{"dropping-particle":"","family":"Mariani","given":"Luigi","non-dropping-particle":"","parse-names":false,"suffix":""},{"dropping-particle":"","family":"Regalia","given":"Enrico","non-dropping-particle":"","parse-names":false,"suffix":""},{"dropping-particle":"","family":"Flores","given":"Maria","non-dropping-particle":"","parse-names":false,"suffix":""},{"dropping-particle":"","family":"Droz dit Busset","given":"Michele","non-dropping-particle":"","parse-names":false,"suffix":""},{"dropping-particle":"","family":"Sposito","given":"Carlo","non-dropping-particle":"","parse-names":false,"suffix":""}],"container-title":"The Lancet Oncology","id":"ITEM-1","issue":"7","issued":{"date-parts":[["2020","7"]]},"page":"947-956","title":"Liver transplantation in hepatocellular carcinoma after tumour downstaging (XXL): a randomised, controlled, phase 2b/3 trial","type":"article-journal","volume":"21"},"uris":["http://www.mendeley.com/documents/?uuid=009fc785-e6a6-3c0f-b3bb-c44afbca4c0a"]}],"mendeley":{"formattedCitation":"[45]","plainTextFormattedCitation":"[45]","previouslyFormattedCitation":"[45]"},"properties":{"noteIndex":0},"schema":"https://github.com/citation-style-language/schema/raw/master/csl-citation.json"}</w:instrText>
      </w:r>
      <w:r w:rsidR="006E1A32" w:rsidRPr="00DF0D90">
        <w:fldChar w:fldCharType="separate"/>
      </w:r>
      <w:r w:rsidR="007335C5" w:rsidRPr="00DF0D90">
        <w:rPr>
          <w:noProof/>
        </w:rPr>
        <w:t>[45]</w:t>
      </w:r>
      <w:r w:rsidR="006E1A32" w:rsidRPr="00DF0D90">
        <w:fldChar w:fldCharType="end"/>
      </w:r>
      <w:r w:rsidR="00123A49" w:rsidRPr="00DF0D90">
        <w:rPr>
          <w:lang w:val="ru-RU"/>
        </w:rPr>
        <w:t>.</w:t>
      </w:r>
    </w:p>
    <w:p w14:paraId="28413446" w14:textId="77777777" w:rsidR="00AC1020" w:rsidRPr="00DF0D90" w:rsidRDefault="00AC1020" w:rsidP="00454D85">
      <w:pPr>
        <w:pStyle w:val="afa"/>
        <w:spacing w:after="120" w:line="360" w:lineRule="auto"/>
        <w:jc w:val="both"/>
      </w:pPr>
      <w:r w:rsidRPr="00DF0D90">
        <w:rPr>
          <w:shd w:val="clear" w:color="auto" w:fill="FFFFFF"/>
        </w:rPr>
        <w:lastRenderedPageBreak/>
        <w:t xml:space="preserve">Уровень убедительности рекомендаций – </w:t>
      </w:r>
      <w:r w:rsidR="0062799E" w:rsidRPr="00DF0D90">
        <w:rPr>
          <w:shd w:val="clear" w:color="auto" w:fill="FFFFFF"/>
          <w:lang w:val="en-US"/>
        </w:rPr>
        <w:t>A</w:t>
      </w:r>
      <w:r w:rsidR="00123A49" w:rsidRPr="00DF0D90">
        <w:rPr>
          <w:shd w:val="clear" w:color="auto" w:fill="FFFFFF"/>
          <w:lang w:val="ru-RU"/>
        </w:rPr>
        <w:t xml:space="preserve"> </w:t>
      </w:r>
      <w:r w:rsidRPr="00DF0D90">
        <w:rPr>
          <w:shd w:val="clear" w:color="auto" w:fill="FFFFFF"/>
        </w:rPr>
        <w:t xml:space="preserve">(уровень достоверности доказательств – </w:t>
      </w:r>
      <w:r w:rsidR="0062799E" w:rsidRPr="00DF0D90">
        <w:rPr>
          <w:shd w:val="clear" w:color="auto" w:fill="FFFFFF"/>
        </w:rPr>
        <w:t>2</w:t>
      </w:r>
      <w:r w:rsidRPr="00DF0D90">
        <w:rPr>
          <w:shd w:val="clear" w:color="auto" w:fill="FFFFFF"/>
        </w:rPr>
        <w:t>)</w:t>
      </w:r>
      <w:r w:rsidRPr="00DF0D90">
        <w:t>.</w:t>
      </w:r>
    </w:p>
    <w:p w14:paraId="687F1E58" w14:textId="39D7C2B8" w:rsidR="00624ED5" w:rsidRPr="00DF0D90" w:rsidRDefault="00624ED5" w:rsidP="00454D85">
      <w:pPr>
        <w:pStyle w:val="afa"/>
        <w:spacing w:after="120" w:line="360" w:lineRule="auto"/>
        <w:jc w:val="both"/>
        <w:rPr>
          <w:shd w:val="clear" w:color="auto" w:fill="FFFFFF"/>
          <w:lang w:val="ru-RU"/>
        </w:rPr>
      </w:pPr>
      <w:r w:rsidRPr="00DF0D90">
        <w:rPr>
          <w:i/>
        </w:rPr>
        <w:t>Комментарии:</w:t>
      </w:r>
      <w:r w:rsidRPr="00DF0D90">
        <w:t xml:space="preserve"> </w:t>
      </w:r>
      <w:r w:rsidRPr="00DF0D90">
        <w:rPr>
          <w:b w:val="0"/>
          <w:i/>
          <w:lang w:val="en-US"/>
        </w:rPr>
        <w:t>B</w:t>
      </w:r>
      <w:proofErr w:type="spellStart"/>
      <w:r w:rsidRPr="00DF0D90">
        <w:rPr>
          <w:b w:val="0"/>
          <w:i/>
        </w:rPr>
        <w:t>ridge</w:t>
      </w:r>
      <w:proofErr w:type="spellEnd"/>
      <w:r w:rsidRPr="00DF0D90">
        <w:rPr>
          <w:b w:val="0"/>
          <w:i/>
        </w:rPr>
        <w:t>-терапия</w:t>
      </w:r>
      <w:r w:rsidR="0062799E" w:rsidRPr="00DF0D90">
        <w:rPr>
          <w:b w:val="0"/>
          <w:i/>
        </w:rPr>
        <w:t xml:space="preserve"> и терапия «понижения стадии»</w:t>
      </w:r>
      <w:r w:rsidR="00FE4F7D" w:rsidRPr="00DF0D90">
        <w:rPr>
          <w:b w:val="0"/>
          <w:i/>
          <w:lang w:val="ru-RU"/>
        </w:rPr>
        <w:t xml:space="preserve"> </w:t>
      </w:r>
      <w:r w:rsidRPr="00DF0D90">
        <w:rPr>
          <w:b w:val="0"/>
          <w:i/>
        </w:rPr>
        <w:t xml:space="preserve">включает </w:t>
      </w:r>
      <w:proofErr w:type="spellStart"/>
      <w:r w:rsidRPr="00DF0D90">
        <w:rPr>
          <w:b w:val="0"/>
          <w:i/>
        </w:rPr>
        <w:t>аблацию</w:t>
      </w:r>
      <w:proofErr w:type="spellEnd"/>
      <w:r w:rsidRPr="00DF0D90">
        <w:rPr>
          <w:b w:val="0"/>
          <w:i/>
        </w:rPr>
        <w:t xml:space="preserve">, </w:t>
      </w:r>
      <w:proofErr w:type="spellStart"/>
      <w:r w:rsidRPr="00DF0D90">
        <w:rPr>
          <w:b w:val="0"/>
          <w:i/>
        </w:rPr>
        <w:t>трансартериальную</w:t>
      </w:r>
      <w:proofErr w:type="spellEnd"/>
      <w:r w:rsidRPr="00DF0D90">
        <w:rPr>
          <w:b w:val="0"/>
          <w:i/>
        </w:rPr>
        <w:t xml:space="preserve"> </w:t>
      </w:r>
      <w:r w:rsidR="00325837" w:rsidRPr="00DF0D90">
        <w:rPr>
          <w:b w:val="0"/>
          <w:i/>
          <w:lang w:val="ru-RU"/>
        </w:rPr>
        <w:t>химио</w:t>
      </w:r>
      <w:r w:rsidRPr="00DF0D90">
        <w:rPr>
          <w:b w:val="0"/>
          <w:i/>
        </w:rPr>
        <w:t>эм</w:t>
      </w:r>
      <w:r w:rsidR="00682F2D">
        <w:rPr>
          <w:b w:val="0"/>
          <w:i/>
          <w:lang w:val="ru-RU"/>
        </w:rPr>
        <w:t xml:space="preserve"> </w:t>
      </w:r>
      <w:proofErr w:type="spellStart"/>
      <w:r w:rsidRPr="00DF0D90">
        <w:rPr>
          <w:b w:val="0"/>
          <w:i/>
        </w:rPr>
        <w:t>болизацию</w:t>
      </w:r>
      <w:proofErr w:type="spellEnd"/>
      <w:r w:rsidRPr="00DF0D90">
        <w:rPr>
          <w:b w:val="0"/>
          <w:i/>
        </w:rPr>
        <w:t>, резекцию печени, лекарственную терапию</w:t>
      </w:r>
      <w:r w:rsidR="0062799E" w:rsidRPr="00DF0D90">
        <w:rPr>
          <w:b w:val="0"/>
          <w:i/>
        </w:rPr>
        <w:t xml:space="preserve"> или сочетание методов</w:t>
      </w:r>
      <w:r w:rsidRPr="00DF0D90">
        <w:rPr>
          <w:b w:val="0"/>
          <w:i/>
        </w:rPr>
        <w:t>.</w:t>
      </w:r>
      <w:r w:rsidR="00EA77D2" w:rsidRPr="00DF0D90">
        <w:rPr>
          <w:b w:val="0"/>
          <w:i/>
          <w:lang w:val="ru-RU"/>
        </w:rPr>
        <w:t xml:space="preserve"> </w:t>
      </w:r>
      <w:r w:rsidR="0062799E" w:rsidRPr="00DF0D90">
        <w:rPr>
          <w:b w:val="0"/>
          <w:i/>
        </w:rPr>
        <w:t>Трансплантация печени после уменьшения внутрипеченочной распространенности опухоли в результате противоопухолевой терапии до принятых критериев трансплантации печени ассоциируется со значимым увеличением общей выживаемости по сравнению с использованием методов консервативного лечения</w:t>
      </w:r>
      <w:r w:rsidR="00641949" w:rsidRPr="00DF0D90">
        <w:rPr>
          <w:b w:val="0"/>
          <w:i/>
          <w:lang w:val="ru-RU"/>
        </w:rPr>
        <w:t>.</w:t>
      </w:r>
    </w:p>
    <w:p w14:paraId="6FBC09A8" w14:textId="09C9FCAE" w:rsidR="0006017E" w:rsidRPr="00DF0D90" w:rsidRDefault="0006017E" w:rsidP="001E1D85">
      <w:pPr>
        <w:pStyle w:val="a"/>
        <w:spacing w:after="120" w:line="360" w:lineRule="auto"/>
        <w:ind w:firstLine="567"/>
        <w:jc w:val="both"/>
        <w:rPr>
          <w:noProof/>
          <w:lang w:val="ru-RU"/>
        </w:rPr>
      </w:pPr>
      <w:r w:rsidRPr="00DF0D90">
        <w:rPr>
          <w:b/>
        </w:rPr>
        <w:t>Рекомендуется</w:t>
      </w:r>
      <w:r w:rsidR="00123A49" w:rsidRPr="00DF0D90">
        <w:rPr>
          <w:b/>
          <w:lang w:val="ru-RU"/>
        </w:rPr>
        <w:t xml:space="preserve"> </w:t>
      </w:r>
      <w:r w:rsidRPr="00DF0D90">
        <w:t>пациентам с ГЦР и сопутствующем хроническим гепатитом В (</w:t>
      </w:r>
      <w:proofErr w:type="spellStart"/>
      <w:r w:rsidRPr="00DF0D90">
        <w:rPr>
          <w:lang w:val="en-US"/>
        </w:rPr>
        <w:t>HBsAg</w:t>
      </w:r>
      <w:proofErr w:type="spellEnd"/>
      <w:r w:rsidRPr="00DF0D90">
        <w:t>+, ДНК-ВГВ&gt;2000 МЕ/мл) противовирусная терапия аналогами нуклеозидов (</w:t>
      </w:r>
      <w:proofErr w:type="spellStart"/>
      <w:r w:rsidRPr="00DF0D90">
        <w:t>энтекавир</w:t>
      </w:r>
      <w:proofErr w:type="spellEnd"/>
      <w:r w:rsidR="00F82512" w:rsidRPr="00DF0D90">
        <w:t>**</w:t>
      </w:r>
      <w:r w:rsidRPr="00DF0D90">
        <w:t xml:space="preserve"> или </w:t>
      </w:r>
      <w:bookmarkStart w:id="82" w:name="_Hlk83294808"/>
      <w:proofErr w:type="spellStart"/>
      <w:r w:rsidRPr="00DF0D90">
        <w:t>тенофовира</w:t>
      </w:r>
      <w:proofErr w:type="spellEnd"/>
      <w:r w:rsidRPr="00DF0D90">
        <w:t xml:space="preserve"> </w:t>
      </w:r>
      <w:proofErr w:type="spellStart"/>
      <w:r w:rsidRPr="00DF0D90">
        <w:t>дифумарат</w:t>
      </w:r>
      <w:proofErr w:type="spellEnd"/>
      <w:r w:rsidRPr="00DF0D90">
        <w:t xml:space="preserve"> </w:t>
      </w:r>
      <w:bookmarkEnd w:id="82"/>
      <w:r w:rsidRPr="00DF0D90">
        <w:t xml:space="preserve">или </w:t>
      </w:r>
      <w:proofErr w:type="spellStart"/>
      <w:r w:rsidRPr="00DF0D90">
        <w:t>тенофовира</w:t>
      </w:r>
      <w:proofErr w:type="spellEnd"/>
      <w:r w:rsidRPr="00DF0D90">
        <w:t xml:space="preserve"> </w:t>
      </w:r>
      <w:proofErr w:type="spellStart"/>
      <w:r w:rsidRPr="00DF0D90">
        <w:t>алафенамид</w:t>
      </w:r>
      <w:proofErr w:type="spellEnd"/>
      <w:r w:rsidR="00F82512" w:rsidRPr="00DF0D90">
        <w:t>**</w:t>
      </w:r>
      <w:r w:rsidRPr="00DF0D90">
        <w:t>);</w:t>
      </w:r>
      <w:r w:rsidR="00EA77D2" w:rsidRPr="00DF0D90">
        <w:rPr>
          <w:lang w:val="ru-RU"/>
        </w:rPr>
        <w:t xml:space="preserve"> </w:t>
      </w:r>
      <w:r w:rsidRPr="00DF0D90">
        <w:t>после радикального лечения ранних стадий ГЦР она</w:t>
      </w:r>
      <w:r w:rsidR="00EA77D2" w:rsidRPr="00DF0D90">
        <w:rPr>
          <w:lang w:val="ru-RU"/>
        </w:rPr>
        <w:t xml:space="preserve"> </w:t>
      </w:r>
      <w:r w:rsidRPr="00DF0D90">
        <w:t xml:space="preserve">увеличивает </w:t>
      </w:r>
      <w:proofErr w:type="spellStart"/>
      <w:r w:rsidRPr="00DF0D90">
        <w:t>безрецидивную</w:t>
      </w:r>
      <w:proofErr w:type="spellEnd"/>
      <w:r w:rsidRPr="00DF0D90">
        <w:t xml:space="preserve"> и общую выживаемость</w:t>
      </w:r>
      <w:r w:rsidR="00123A49" w:rsidRPr="00DF0D90">
        <w:rPr>
          <w:lang w:val="ru-RU"/>
        </w:rPr>
        <w:t xml:space="preserve"> </w:t>
      </w:r>
      <w:r w:rsidR="00673D85" w:rsidRPr="00DF0D90">
        <w:fldChar w:fldCharType="begin" w:fldLock="1"/>
      </w:r>
      <w:r w:rsidR="007335C5" w:rsidRPr="00DF0D90">
        <w:instrText>ADDIN CSL_CITATION {"citationItems":[{"id":"ITEM-1","itemData":{"DOI":"10.1200/JCO.2012.48.5896","ISSN":"15277755","PMID":"24002499","abstract":"Purpose: Postoperative prognosis of hepatitis B virus (HBV) -related hepatocellular carcinoma (HCC) is poor. The effect of nucleotide/nucleoside analog (NA) treatment on the prognosis has not been fully clarified. Patients and Methods: We carried out a two-stage longitudinal study that included a randomized clinical trial (RCT) to evaluate the effect of NA treatment on postoperative prognosis of HBV-HCC. Seven hundred eighty patients (163 in the RCT) were enrolled onto this study following radical hepatectomy. Lamivudine, adefovir dipivoxil, or entecavir were postoperatively administered to antiviral groups. Surgical specimens were examined immunohistochemically for carboxylic acid-terminal truncated HBV X protein (Ct-HBx). Results: In the nonrandomized cohort, high viral load (≥ 104 copies/mL) significantly predicted unfavorable overall survival and recurrence-free survival (RFS), whereas antiviral treatment significantly improved both types of survival. In the RCT, antiviral treatment significantly decreased HCC recurrence and HCC-related death, with hazard ratios (HRs) of 0.48 (95% CI, 0.32 to 0.70) and 0.26 (95% CI, 0.14 to 0.50), respectively, in multivariate Cox analyses. Patients who received antiviral treatment had significantly decreased early recurrence (HR, 0.41; 95% CI, 0.27 to 0.62) and improved liver function 6 months after surgery compared with the controls (P &gt; .001). Those with recovered liver function had a higher 2-year RFS rate than those without (P = .003). Ct-HBx expression in adjacent hepatic tissues significantly predicted an unfavorable RFS in the antiviral group (P &gt; .001). Conclusion: Although it might not affect the HCC-promoting potential of Ct-HBx, NA treatment is effective in normalizing liver function, decreasing HBV-HCC recurrence, and improving postoperative survival. This effect should be validated in a multicenter phase III RCT.","author":[{"dropping-particle":"","family":"Yin","given":"Jianhua","non-dropping-particle":"","parse-names":false,"suffix":""},{"dropping-particle":"","family":"Li","given":"Nan","non-dropping-particle":"","parse-names":false,"suffix":""},{"dropping-particle":"","family":"Han","given":"Yifang","non-dropping-particle":"","parse-names":false,"suffix":""},{"dropping-particle":"","family":"Xue","given":"Jie","non-dropping-particle":"","parse-names":false,"suffix":""},{"dropping-particle":"","family":"Deng","given":"Yang","non-dropping-particle":"","parse-names":false,"suffix":""},{"dropping-particle":"","family":"Shi","given":"Jie","non-dropping-particle":"","parse-names":false,"suffix":""},{"dropping-particle":"","family":"Guo","given":"Weixing","non-dropping-particle":"","parse-names":false,"suffix":""},{"dropping-particle":"","family":"Zhang","given":"Hongwei","non-dropping-particle":"","parse-names":false,"suffix":""},{"dropping-particle":"","family":"Wang","given":"Hongyang","non-dropping-particle":"","parse-names":false,"suffix":""},{"dropping-particle":"","family":"Cheng","given":"Shuqun","non-dropping-particle":"","parse-names":false,"suffix":""},{"dropping-particle":"","family":"Cao","given":"Guangwen","non-dropping-particle":"","parse-names":false,"suffix":""}],"container-title":"Journal of Clinical Oncology","id":"ITEM-1","issue":"29","issued":{"date-parts":[["2013","10","10"]]},"page":"3647-3655","title":"Effect of antiviral treatment with nucleotide/nucleoside analogs on postoperative prognosis of hepatitis B virus-related hepatocellular carcinoma: A two-stage longitudinal clinical study","type":"article-journal","volume":"31"},"uris":["http://www.mendeley.com/documents/?uuid=13337f67-740a-309c-bbb8-d0aa8e16ce39"]},{"id":"ITEM-2","itemData":{"DOI":"10.1097/SLA.0000000000000858","ISSN":"15281140","PMID":"25072444","abstract":"Objective: A randomized controlled trial was conducted to find out whether antiviral therapy in patients with hepatitis B-related hepatocellular carcinoma (HCC) improves long-term survival after hepatic resection. Background: Despite advances in surgery and in multidisciplinary treatment, there is still no effective adjuvant treatment to prevent HCC recurrence after R0 resection for HCC. Whether antiviral therapy is useful in reducing postoperative HCC recurrence is unclear. Methods: Between May 2007 and April 2008, patients who received R0 hepatic resection for HBV-related HCC were randomly assigned to receive no treatment (the control group, n = 100) or antiviral therapy (adefovir 10 mg/d, the antiviral group, n = 100). Results: The baseline clinical, laboratory, and tumor characteristics of the 2 groups were comparable. The 1-, 3-, and 5-year recurrence-free survival rates for the antiviral group and the control group were 85.0%, 50.3%, 46.1% and 84.0%, 37.9%, 27.1%, respectively. The corresponding overall survival rates for the 2 groups were 96.0%, 77.6%, 63.1% and 94.0%, 67.4%, 41.5%, respectively. The recurrence-free survival and overall survival for the antiviral group were significantly better than the control group (P = 0.026, P = 0.001). After adjusting for the confounding prognostic factors in a Cox model, the relative risks of recurrence and death for antiviral treatment were 0.651 [95% confidence interval (CI): 0.451-0.938; P = 0.021] and 0.420 (95% CI: 0.271-0.651; P &lt; 0.001). Antiviral therapy was an independent protective factor of late tumor recurrence (HR = 0.348, 95% CI: 0.177-0.687; P = 0.002) but not of early tumor recurrence [hazard ratio (HR) = 0.949, 95% CI: 0.617-1.459; P = 0.810]. Conclusions: In patients with hepatitis B-related HCC, adefovir antiviral therapy reduced late HCC recurrence and significantly improved overall survival after R0 hepatic resection.","author":[{"dropping-particle":"","family":"Huang","given":"Gang","non-dropping-particle":"","parse-names":false,"suffix":""},{"dropping-particle":"","family":"Lau","given":"Wan Yee","non-dropping-particle":"","parse-names":false,"suffix":""},{"dropping-particle":"","family":"Wang","given":"Zhen Guang","non-dropping-particle":"","parse-names":false,"suffix":""},{"dropping-particle":"","family":"Pan","given":"Ze Ya","non-dropping-particle":"","parse-names":false,"suffix":""},{"dropping-particle":"","family":"Yuan","given":"Sheng Xian","non-dropping-particle":"","parse-names":false,"suffix":""},{"dropping-particle":"","family":"Shen","given":"Feng","non-dropping-particle":"","parse-names":false,"suffix":""},{"dropping-particle":"","family":"Zhou","given":"Wei Ping","non-dropping-particle":"","parse-names":false,"suffix":""},{"dropping-particle":"","family":"Wu","given":"Meng Chao","non-dropping-particle":"","parse-names":false,"suffix":""}],"container-title":"Annals of Surgery","id":"ITEM-2","issue":"1","issued":{"date-parts":[["2015"]]},"page":"56-66","publisher":"Lippincott Williams and Wilkins","title":"Antiviral therapy improves postoperative survival in patients with hepatocellular carcinoma","type":"article-journal","volume":"261"},"uris":["http://www.mendeley.com/documents/?uuid=5a79fd0c-f168-3a40-873a-295a90c45984"]}],"mendeley":{"formattedCitation":"[52,53]","plainTextFormattedCitation":"[52,53]","previouslyFormattedCitation":"[52,53]"},"properties":{"noteIndex":0},"schema":"https://github.com/citation-style-language/schema/raw/master/csl-citation.json"}</w:instrText>
      </w:r>
      <w:r w:rsidR="00673D85" w:rsidRPr="00DF0D90">
        <w:fldChar w:fldCharType="separate"/>
      </w:r>
      <w:r w:rsidR="007335C5" w:rsidRPr="00DF0D90">
        <w:rPr>
          <w:noProof/>
        </w:rPr>
        <w:t>[52,53</w:t>
      </w:r>
      <w:r w:rsidR="0057197A" w:rsidRPr="00DF0D90">
        <w:rPr>
          <w:noProof/>
          <w:lang w:val="en-US"/>
        </w:rPr>
        <w:t>,</w:t>
      </w:r>
      <w:r w:rsidR="005A6A41" w:rsidRPr="00DF0D90">
        <w:rPr>
          <w:noProof/>
          <w:lang w:val="ru-RU"/>
        </w:rPr>
        <w:t>125</w:t>
      </w:r>
      <w:r w:rsidR="007335C5" w:rsidRPr="00DF0D90">
        <w:rPr>
          <w:noProof/>
        </w:rPr>
        <w:t>]</w:t>
      </w:r>
      <w:r w:rsidR="00673D85" w:rsidRPr="00DF0D90">
        <w:fldChar w:fldCharType="end"/>
      </w:r>
      <w:r w:rsidRPr="00DF0D90">
        <w:t>.</w:t>
      </w:r>
    </w:p>
    <w:p w14:paraId="0FB3D6FD" w14:textId="77777777" w:rsidR="001E1D85" w:rsidRPr="00DF0D90" w:rsidRDefault="001E1D85" w:rsidP="001E1D85">
      <w:pPr>
        <w:pStyle w:val="a"/>
        <w:numPr>
          <w:ilvl w:val="0"/>
          <w:numId w:val="0"/>
        </w:numPr>
        <w:ind w:left="-425"/>
        <w:rPr>
          <w:b/>
          <w:bCs/>
        </w:rPr>
      </w:pPr>
      <w:r w:rsidRPr="00DF0D90">
        <w:rPr>
          <w:b/>
          <w:bCs/>
        </w:rPr>
        <w:t>Уровень убедительности рекомендаций–В (уровень достоверности доказательств – 2)</w:t>
      </w:r>
    </w:p>
    <w:p w14:paraId="0EB6218F" w14:textId="42ACDC9B" w:rsidR="001E1D85" w:rsidRPr="0043377B" w:rsidRDefault="0006017E" w:rsidP="001E1D85">
      <w:pPr>
        <w:pStyle w:val="a"/>
        <w:spacing w:after="120" w:line="360" w:lineRule="auto"/>
        <w:ind w:firstLine="567"/>
        <w:jc w:val="both"/>
        <w:rPr>
          <w:noProof/>
          <w:szCs w:val="24"/>
        </w:rPr>
      </w:pPr>
      <w:r w:rsidRPr="00DF0D90">
        <w:rPr>
          <w:b/>
          <w:bCs/>
        </w:rPr>
        <w:t>Рекомендуется</w:t>
      </w:r>
      <w:r w:rsidR="002629E9" w:rsidRPr="00DF0D90">
        <w:rPr>
          <w:lang w:val="ru-RU"/>
        </w:rPr>
        <w:t xml:space="preserve"> </w:t>
      </w:r>
      <w:r w:rsidRPr="00DF0D90">
        <w:t xml:space="preserve">пациентам с ГЦР и </w:t>
      </w:r>
      <w:proofErr w:type="spellStart"/>
      <w:r w:rsidRPr="00DF0D90">
        <w:t>сопутствующ</w:t>
      </w:r>
      <w:r w:rsidR="00325837" w:rsidRPr="00DF0D90">
        <w:rPr>
          <w:lang w:val="ru-RU"/>
        </w:rPr>
        <w:t>и</w:t>
      </w:r>
      <w:proofErr w:type="spellEnd"/>
      <w:r w:rsidRPr="00DF0D90">
        <w:t>м хроническим гепатитом</w:t>
      </w:r>
      <w:r w:rsidR="00EA77D2" w:rsidRPr="00DF0D90">
        <w:rPr>
          <w:lang w:val="ru-RU"/>
        </w:rPr>
        <w:t xml:space="preserve"> </w:t>
      </w:r>
      <w:r w:rsidRPr="00DF0D90">
        <w:t>С (РНК-ВГС+)</w:t>
      </w:r>
      <w:r w:rsidR="00EA77D2" w:rsidRPr="00DF0D90">
        <w:rPr>
          <w:lang w:val="ru-RU"/>
        </w:rPr>
        <w:t xml:space="preserve"> </w:t>
      </w:r>
      <w:r w:rsidRPr="00DF0D90">
        <w:t>терапия</w:t>
      </w:r>
      <w:r w:rsidR="007B459A" w:rsidRPr="00DF0D90">
        <w:rPr>
          <w:lang w:val="ru-RU"/>
        </w:rPr>
        <w:t xml:space="preserve"> противовирусными </w:t>
      </w:r>
      <w:r w:rsidR="00D77927" w:rsidRPr="00DF0D90">
        <w:rPr>
          <w:lang w:val="ru-RU"/>
        </w:rPr>
        <w:t>препаратами прямого действия</w:t>
      </w:r>
      <w:r w:rsidRPr="00DF0D90">
        <w:t xml:space="preserve"> при компенсированном поражении печени) , после радикального лечения ранних стадий ГЦР она</w:t>
      </w:r>
      <w:r w:rsidR="00EA77D2" w:rsidRPr="00DF0D90">
        <w:rPr>
          <w:lang w:val="ru-RU"/>
        </w:rPr>
        <w:t xml:space="preserve"> </w:t>
      </w:r>
      <w:r w:rsidRPr="00DF0D90">
        <w:t xml:space="preserve">увеличивает </w:t>
      </w:r>
      <w:proofErr w:type="spellStart"/>
      <w:r w:rsidRPr="00DF0D90">
        <w:rPr>
          <w:color w:val="auto"/>
        </w:rPr>
        <w:t>безрецидивную</w:t>
      </w:r>
      <w:proofErr w:type="spellEnd"/>
      <w:r w:rsidRPr="00DF0D90">
        <w:rPr>
          <w:color w:val="auto"/>
        </w:rPr>
        <w:t xml:space="preserve"> и общую выживаемость</w:t>
      </w:r>
      <w:r w:rsidR="00C37C8E" w:rsidRPr="00DF0D90">
        <w:rPr>
          <w:color w:val="auto"/>
          <w:lang w:val="ru-RU"/>
        </w:rPr>
        <w:t xml:space="preserve"> </w:t>
      </w:r>
      <w:r w:rsidR="00C37C8E" w:rsidRPr="00750486">
        <w:rPr>
          <w:color w:val="auto"/>
          <w:szCs w:val="24"/>
          <w:lang w:val="ru-RU"/>
        </w:rPr>
        <w:fldChar w:fldCharType="begin" w:fldLock="1"/>
      </w:r>
      <w:r w:rsidR="007335C5" w:rsidRPr="00687234">
        <w:rPr>
          <w:color w:val="auto"/>
          <w:szCs w:val="24"/>
          <w:lang w:val="ru-RU"/>
        </w:rPr>
        <w:instrText>ADDIN CSL_CITATION {"citationItems":[{"id":"ITEM-1","itemData":{"DOI":"10.1002/hep.30988","ISSN":"15273350","PMID":"31610027","abstract":"Background and Aims: Survival data among patients with hepatitis C virus (HCV)-related hepatocellular carcinoma (HCC) after achieving sustained virologic response (SVR) with interferon-free direct-acting antivirals (DAAs) in both Asian and western countries are limited. Survival rates were compared between patients with HCV-related HCC who were untreated for HCV and those who achieved SVR. Approach and Results: Using data from two U.S. and six Asian centers from 2005 to 2017, we categorized 1,676 patients who were mono-infected with HCV-related HCC into patients untreated for HCV (untreated group) and DAA-treated patients with SVR (SVR group) and matched by propensity score matching (PSM); multivariable Cox regression with HCV treatment status as a time-varying covariate was used to determine mortality risk and landmark analysis to avoid immortal time bias. There were 1,239 untreated patients and 437 patients with SVR. After PSM, background risks of the 321 pairs of matched patients were balanced (all P &gt; 0.05). After time-varying adjustment for HCV treatment initiation compared with untreated patients, patients with SVR had significantly higher 5-year overall survival (87.78% vs. 66.05%, P &lt; 0.001). Multivariable Cox regression showed that SVR was independently associated with a 63% lower risk of 5-year all-cause mortality (hazard ratio [HR], 0.37; 95% confidence interval [CI], 0.16-0.83; P = 0.016) and 66% lower risk of 5-year liver-related mortality (HR, 0.34; 95% CI, 0.13-0.88; P = 0.026) with similar trends after removing patients with liver transplants. Landmark analysis at 90, 180, and 360 days showed consistent results (HRs ranged 0.22 to 0.44, all P &lt; 0.05). Conclusion: In this multinational consortium, patients with HCV-related HCC who obtained SVR achieved a 60%-70% improvement in 5-year survival (both all-cause and liver related) compared with patients untreated for HCV. Patients eligible for HCC therapy should also be considered for DAA therapy.","author":[{"dropping-particle":"","family":"Dang","given":"Hansen","non-dropping-particle":"","parse-names":false,"suffix":""},{"dropping-particle":"","family":"Yeo","given":"Yee Hui","non-dropping-particle":"","parse-names":false,"suffix":""},{"dropping-particle":"","family":"Yasuda","given":"Satoshi","non-dropping-particle":"","parse-names":false,"suffix":""},{"dropping-particle":"","family":"Huang","given":"Chung Feng","non-dropping-particle":"","parse-names":false,"suffix":""},{"dropping-particle":"","family":"Iio","given":"Etsuko","non-dropping-particle":"","parse-names":false,"suffix":""},{"dropping-particle":"","family":"Landis","given":"Charles","non-dropping-particle":"","parse-names":false,"suffix":""},{"dropping-particle":"","family":"Jun","given":"Dae Won","non-dropping-particle":"","parse-names":false,"suffix":""},{"dropping-particle":"","family":"Enomoto","given":"Masaru","non-dropping-particle":"","parse-names":false,"suffix":""},{"dropping-particle":"","family":"Ogawa","given":"Eiichi","non-dropping-particle":"","parse-names":false,"suffix":""},{"dropping-particle":"","family":"Tsai","given":"Pei Chien","non-dropping-particle":"","parse-names":false,"suffix":""},{"dropping-particle":"","family":"Le","given":"An","non-dropping-particle":"","parse-names":false,"suffix":""},{"dropping-particle":"","family":"Liu","given":"Matthew","non-dropping-particle":"","parse-names":false,"suffix":""},{"dropping-particle":"","family":"Maeda","given":"Mayumi","non-dropping-particle":"","parse-names":false,"suffix":""},{"dropping-particle":"","family":"Nguyen","given":"Brian","non-dropping-particle":"","parse-names":false,"suffix":""},{"dropping-particle":"","family":"Ramrakhiani","given":"Nathan","non-dropping-particle":"","parse-names":false,"suffix":""},{"dropping-particle":"","family":"Henry","given":"Linda","non-dropping-particle":"","parse-names":false,"suffix":""},{"dropping-particle":"","family":"Cheung","given":"Ramsey","non-dropping-particle":"","parse-names":false,"suffix":""},{"dropping-particle":"","family":"Tamori","given":"Akihiro","non-dropping-particle":"","parse-names":false,"suffix":""},{"dropping-particle":"","family":"Kumada","given":"Takashi","non-dropping-particle":"","parse-names":false,"suffix":""},{"dropping-particle":"","family":"Tanaka","given":"Yasuhito","non-dropping-particle":"","parse-names":false,"suffix":""},{"dropping-particle":"","family":"Yu","given":"Ming Lung","non-dropping-particle":"","parse-names":false,"suffix":""},{"dropping-particle":"","family":"Toyoda","given":"Hidenori","non-dropping-particle":"","parse-names":false,"suffix":""},{"dropping-particle":"","family":"Nguyen","given":"Mindie H.","non-dropping-particle":"","parse-names":false,"suffix":""}],"container-title":"Hepatology","id":"ITEM-1","issue":"6","issued":{"date-parts":[["2020","6","1"]]},"page":"1910-1922","publisher":"John Wiley and Sons Inc.","title":"Cure With Interferon-Free Direct-Acting Antiviral Is Associated With Increased Survival in Patients With Hepatitis C Virus-Related Hepatocellular Carcinoma From Both East and West","type":"article-journal","volume":"71"},"uris":["http://www.mendeley.com/documents/?uuid=a071236f-ba0c-30e9-b12e-ce6294588fe6"]},{"id":"ITEM-2","itemData":{"DOI":"10.1016/j.jhep.2019.03.027","ISSN":"16000641","PMID":"30959157","abstract":"Background &amp; Aims: The effectiveness of direct-acting antivirals (DAAs) against hepatitis C virus (HCV), following successful treatment of early hepatocellular carcinoma (HCC), has been studied extensively. However, the benefit in terms of overall survival (OS) remains to be conclusively demonstrated. The aim of this study was to assess the impact of DAAs on OS, HCC recurrence, and hepatic decompensation. Methods: We prospectively enrolled 163 consecutive patients with HCV-related cirrhosis and a first diagnosis of early Barcelona Clinic Liver Cancer stage 0/A HCC, who had achieved a complete radiologic response after curative resection or ablation and were subsequently treated with DAAs. DAA-untreated patients from the ITA.LI.CA. cohort (n = 328) served as controls. After propensity score matching, outcomes of 102 DAA-treated (DAA group) and 102 DAA-untreated patients (No DAA group) were compared. Results: In the DAA group, 7/102 patients (6.9%) died, HCC recurred in 28/102 patients (27.5%) and hepatic decompensation occurred in 6/102 patients (5.9%), after a mean follow-up of 21.4 months. OS was significantly higher in the DAA group compared to the No DAA group (hazard ratio [HR] 0.39; 95% CI 0.17–0.91; p = 0.03). HCC recurrence was not significantly different between the DAA and No DAA groups (HR 0.70; 95% CI 0.44–1.13; p = 0.15). A significant reduction in the rate of hepatic decompensation was observed in the DAA group compared with the No DAA group (HR 0.32; 95% CI 0.13–0.84; p = 0.02). In the DAA group, sustained virologic response was a significant predictor of OS (HR 0.02; 95% CI 0.00–0.19; p &lt;0.001), HCC recurrence (HR 0.25; 95% CI 0.11–0.57; p &lt;0.001) and hepatic decompensation (HR 0.12; 95% CI 0.02–0.38; p = 0.02). Conclusions: In patients with HCV-related cirrhosis who had been successfully treated for early HCC, DAAs significantly improved OS compared with No DAA treatment. Lay summary: We aimed to determine whether direct-acting antivirals (DAAs) significantly improve overall survival in patients with hepatitis C virus-related compensated cirrhosis and a first diagnosis of hepatocellular carcinoma (HCC) which has been successfully treated with curative resection or ablation. Using propensity-score matched patients, we found that DAAs improved overall survival and reduced the risk of hepatic decompensation. However, the risk of HCC recurrence was not significantly reduced.","author":[{"dropping-particle":"","family":"Cabibbo","given":"Giuseppe","non-dropping-particle":"","parse-names":false,"suffix":""},{"dropping-particle":"","family":"Celsa","given":"Ciro","non-dropping-particle":"","parse-names":false,"suffix":""},{"dropping-particle":"","family":"Calvaruso","given":"Vincenza","non-dropping-particle":"","parse-names":false,"suffix":""},{"dropping-particle":"","family":"Petta","given":"Salvatore","non-dropping-particle":"","parse-names":false,"suffix":""},{"dropping-particle":"","family":"Cacciola","given":"Irene","non-dropping-particle":"","parse-names":false,"suffix":""},{"dropping-particle":"","family":"Cannavò","given":"Maria Rita","non-dropping-particle":"","parse-names":false,"suffix":""},{"dropping-particle":"","family":"Madonia","given":"Salvatore","non-dropping-particle":"","parse-names":false,"suffix":""},{"dropping-particle":"","family":"Rossi","given":"Margherita","non-dropping-particle":"","parse-names":false,"suffix":""},{"dropping-particle":"","family":"Magro","given":"Bianca","non-dropping-particle":"","parse-names":false,"suffix":""},{"dropping-particle":"","family":"Rini","given":"Francesca","non-dropping-particle":"","parse-names":false,"suffix":""},{"dropping-particle":"","family":"Distefano","given":"Marco","non-dropping-particle":"","parse-names":false,"suffix":""},{"dropping-particle":"","family":"Larocca","given":"Licia","non-dropping-particle":"","parse-names":false,"suffix":""},{"dropping-particle":"","family":"Prestileo","given":"Tullio","non-dropping-particle":"","parse-names":false,"suffix":""},{"dropping-particle":"","family":"Malizia","given":"Giuseppe","non-dropping-particle":"","parse-names":false,"suffix":""},{"dropping-particle":"","family":"Bertino","given":"Gaetano","non-dropping-particle":"","parse-names":false,"suffix":""},{"dropping-particle":"","family":"Benanti","given":"Francesco","non-dropping-particle":"","parse-names":false,"suffix":""},{"dropping-particle":"","family":"Licata","given":"Anna","non-dropping-particle":"","parse-names":false,"suffix":""},{"dropping-particle":"","family":"Scalisi","given":"Ignazio","non-dropping-particle":"","parse-names":false,"suffix":""},{"dropping-particle":"","family":"Mazzola","given":"Giovanni","non-dropping-particle":"","parse-names":false,"suffix":""},{"dropping-particle":"","family":"Rosolini","given":"Maria Antonietta","non-dropping-particle":"Di","parse-names":false,"suffix":""},{"dropping-particle":"","family":"Alaimo","given":"Giuseppe","non-dropping-particle":"","parse-names":false,"suffix":""},{"dropping-particle":"","family":"Averna","given":"Alfonso","non-dropping-particle":"","parse-names":false,"suffix":""},{"dropping-particle":"","family":"Cartabellotta","given":"Fabio","non-dropping-particle":"","parse-names":false,"suffix":""},{"dropping-particle":"","family":"Alessi","given":"Nicola","non-dropping-particle":"","parse-names":false,"suffix":""},{"dropping-particle":"","family":"Guastella","given":"Salvatore","non-dropping-particle":"","parse-names":false,"suffix":""},{"dropping-particle":"","family":"Russello","given":"Maurizio","non-dropping-particle":"","parse-names":false,"suffix":""},{"dropping-particle":"","family":"Scifo","given":"Gaetano","non-dropping-particle":"","parse-names":false,"suffix":""},{"dropping-particle":"","family":"Squadrito","given":"Giovanni","non-dropping-particle":"","parse-names":false,"suffix":""},{"dropping-particle":"","family":"Raimondo","given":"Giovanni","non-dropping-particle":"","parse-names":false,"suffix":""},{"dropping-particle":"","family":"Trevisani","given":"Franco","non-dropping-particle":"","parse-names":false,"suffix":""},{"dropping-particle":"","family":"Craxì","given":"Antonio","non-dropping-particle":"","parse-names":false,"suffix":""},{"dropping-particle":"","family":"Marco","given":"Vito","non-dropping-particle":"Di","parse-names":false,"suffix":""},{"dropping-particle":"","family":"Cammà","given":"Calogero","non-dropping-particle":"","parse-names":false,"suffix":""}],"container-title":"Journal of Hepatology","id":"ITEM-2","issue":"2","issued":{"date-parts":[["2019","8"]]},"page":"265-273","title":"Direct-acting antivirals after successful treatment of early hepatocellular carcinoma improve survival in HCV-cirrhotic patients","type":"article-journal","volume":"71"},"uris":["http://www.mendeley.com/documents/?uuid=2999b991-2518-3f0a-9324-cdc37281d2e4"]},{"id":"ITEM-3","itemData":{"DOI":"10.1371/journal.pone.0233212","ISSN":"19326203","PMID":"32442193","abstract":"With the introduction of direct-acting antiviral (DAA) agents, hepatitis C virus (HCV) treatment has dramatically improved. However, there are insufficient data on the benefits of DAA therapy in hepatocellular carcinoma (HCC). The purpose of this study was to investigate the outcome of patients who received DAA therapy after HCC treatment. We retrospectively reviewed patients with HCV-related HCC in a single medical center, and the outcome of patients with or without DAA therapy was analyzed. In total, 107 HCC patients were enrolled, of whom 60 had received DAA therapy after treatment for HCC. There were no significant intergroup differences in age, sex, laboratory results, or tumor burden. A more advanced stage was noted in the no DAA group (P = 0.003). In the treatment modality, sorafenib was commonly prescribed in the no DAA group (P = 0.007). The DAA group had a longer overall survival (OS) time than the no DAA group (P&lt;0.001). When stratified by Barcelona Clinic Liver Cancer staging, the DAA group had better OS in the HCC stages 0-A and B-C (P = 0.034 and P = 0.006). There were 35 patients who received DAA therapy after curative HCC therapy. At a median follow-up of 20 months, 37.1% patients had HCC recurrence after DAA therapy. There was no statistical difference in recurrence-free survival between patients receiving and those not receiving DAA (P = 0.278). DAA therapy improved the survival outcome of HCC patients and did not increase recurrent HCC after curative therapy.","author":[{"dropping-particle":"","family":"Lin","given":"Wei Chen","non-dropping-particle":"","parse-names":false,"suffix":""},{"dropping-particle":"","family":"Lin","given":"Yang Sheng","non-dropping-particle":"","parse-names":false,"suffix":""},{"dropping-particle":"","family":"Chang","given":"Chen Wang","non-dropping-particle":"","parse-names":false,"suffix":""},{"dropping-particle":"","family":"Chang","given":"Ching Wei","non-dropping-particle":"","parse-names":false,"suffix":""},{"dropping-particle":"","family":"Wang","given":"Tsang En","non-dropping-particle":"","parse-names":false,"suffix":""},{"dropping-particle":"","family":"Wang","given":"Horng Yuan","non-dropping-particle":"","parse-names":false,"suffix":""},{"dropping-particle":"","family":"Chen","given":"Ming Jen","non-dropping-particle":"","parse-names":false,"suffix":""}],"container-title":"PLoS ONE","id":"ITEM-3","issue":"5","issued":{"date-parts":[["2020","5","22"]]},"title":"Impact of direct-acting antiviral therapy for hepatitis C–related hepatocellular carcinoma","type":"article-journal","volume":"15"},"uris":["http://www.mendeley.com/documents/?uuid=b8af2a66-2c7b-3e77-8276-b9c00a1c6113"]}],"mendeley":{"formattedCitation":"[54–56]","plainTextFormattedCitation":"[54–56]","previouslyFormattedCitation":"[54–56]"},"properties":{"noteIndex":0},"schema":"https://github.com/citation-style-language/schema/raw/master/csl-citation.json"}</w:instrText>
      </w:r>
      <w:r w:rsidR="00C37C8E" w:rsidRPr="00750486">
        <w:rPr>
          <w:color w:val="auto"/>
          <w:szCs w:val="24"/>
          <w:lang w:val="ru-RU"/>
        </w:rPr>
        <w:fldChar w:fldCharType="separate"/>
      </w:r>
      <w:r w:rsidR="007335C5" w:rsidRPr="0043377B">
        <w:rPr>
          <w:noProof/>
          <w:color w:val="auto"/>
          <w:szCs w:val="24"/>
          <w:lang w:val="ru-RU"/>
        </w:rPr>
        <w:t>[54–56</w:t>
      </w:r>
      <w:r w:rsidR="0057197A" w:rsidRPr="0043377B">
        <w:rPr>
          <w:noProof/>
          <w:color w:val="auto"/>
          <w:szCs w:val="24"/>
          <w:lang w:val="ru-RU"/>
        </w:rPr>
        <w:t>,</w:t>
      </w:r>
      <w:r w:rsidR="001E1D85" w:rsidRPr="0043377B">
        <w:rPr>
          <w:noProof/>
          <w:color w:val="auto"/>
          <w:szCs w:val="24"/>
          <w:lang w:val="ru-RU"/>
        </w:rPr>
        <w:t xml:space="preserve"> </w:t>
      </w:r>
      <w:r w:rsidR="005A6A41" w:rsidRPr="0043377B">
        <w:rPr>
          <w:noProof/>
          <w:color w:val="auto"/>
          <w:szCs w:val="24"/>
          <w:lang w:val="ru-RU"/>
        </w:rPr>
        <w:t>126</w:t>
      </w:r>
      <w:r w:rsidR="001E1D85" w:rsidRPr="0043377B">
        <w:rPr>
          <w:noProof/>
          <w:color w:val="auto"/>
          <w:szCs w:val="24"/>
          <w:lang w:val="ru-RU"/>
        </w:rPr>
        <w:t>]</w:t>
      </w:r>
      <w:r w:rsidR="00750486">
        <w:rPr>
          <w:noProof/>
          <w:color w:val="auto"/>
          <w:szCs w:val="24"/>
          <w:lang w:val="ru-RU"/>
        </w:rPr>
        <w:t>.</w:t>
      </w:r>
    </w:p>
    <w:p w14:paraId="63C55DC1" w14:textId="78A4A094" w:rsidR="00AC1020" w:rsidRPr="00DF0D90" w:rsidRDefault="00C37C8E" w:rsidP="00454D85">
      <w:pPr>
        <w:spacing w:after="120" w:line="360" w:lineRule="auto"/>
        <w:jc w:val="both"/>
        <w:rPr>
          <w:b/>
        </w:rPr>
      </w:pPr>
      <w:r w:rsidRPr="00750486">
        <w:fldChar w:fldCharType="end"/>
      </w:r>
      <w:r w:rsidR="00AC1020" w:rsidRPr="00DF0D90">
        <w:rPr>
          <w:b/>
        </w:rPr>
        <w:t>Уровень убедительности рекомендаций–</w:t>
      </w:r>
      <w:r w:rsidR="001E1D85" w:rsidRPr="00DF0D90">
        <w:rPr>
          <w:b/>
        </w:rPr>
        <w:t>С</w:t>
      </w:r>
      <w:r w:rsidR="00123A49" w:rsidRPr="00DF0D90">
        <w:rPr>
          <w:b/>
        </w:rPr>
        <w:t xml:space="preserve"> </w:t>
      </w:r>
      <w:r w:rsidR="00AC1020" w:rsidRPr="00DF0D90">
        <w:rPr>
          <w:b/>
        </w:rPr>
        <w:t xml:space="preserve">(уровень достоверности доказательств – </w:t>
      </w:r>
      <w:r w:rsidR="001E1D85" w:rsidRPr="00DF0D90">
        <w:rPr>
          <w:b/>
        </w:rPr>
        <w:t>4</w:t>
      </w:r>
      <w:r w:rsidR="00750486">
        <w:rPr>
          <w:b/>
        </w:rPr>
        <w:t>)</w:t>
      </w:r>
    </w:p>
    <w:p w14:paraId="25AA9878" w14:textId="77777777" w:rsidR="00AC1020" w:rsidRPr="00DF0D90" w:rsidRDefault="00AB47DB" w:rsidP="006D217F">
      <w:pPr>
        <w:pStyle w:val="2"/>
        <w:spacing w:before="0" w:after="120" w:line="360" w:lineRule="auto"/>
        <w:ind w:firstLine="567"/>
        <w:jc w:val="both"/>
        <w:rPr>
          <w:lang w:val="ru-RU"/>
        </w:rPr>
      </w:pPr>
      <w:bookmarkStart w:id="83" w:name="_Toc98349282"/>
      <w:bookmarkStart w:id="84" w:name="_Toc83293980"/>
      <w:r w:rsidRPr="00DF0D90">
        <w:rPr>
          <w:lang w:eastAsia="ko-KR"/>
        </w:rPr>
        <w:t>3.2 Методы локальной деструкции опухоли</w:t>
      </w:r>
      <w:bookmarkEnd w:id="83"/>
      <w:bookmarkEnd w:id="84"/>
    </w:p>
    <w:p w14:paraId="1CA807E4" w14:textId="77777777" w:rsidR="000320F8" w:rsidRPr="00DF0D90" w:rsidRDefault="00AB47DB" w:rsidP="00454D85">
      <w:pPr>
        <w:numPr>
          <w:ilvl w:val="0"/>
          <w:numId w:val="34"/>
        </w:numPr>
        <w:spacing w:after="120" w:line="360" w:lineRule="auto"/>
        <w:ind w:left="0" w:firstLine="567"/>
        <w:jc w:val="both"/>
      </w:pPr>
      <w:r w:rsidRPr="00DF0D90">
        <w:rPr>
          <w:b/>
        </w:rPr>
        <w:t>Рекомендуется</w:t>
      </w:r>
      <w:r w:rsidRPr="00DF0D90">
        <w:t xml:space="preserve"> применять методы </w:t>
      </w:r>
      <w:r w:rsidR="00F049A7" w:rsidRPr="00DF0D90">
        <w:t>локальной</w:t>
      </w:r>
      <w:r w:rsidR="00EA77D2" w:rsidRPr="00DF0D90">
        <w:t xml:space="preserve"> </w:t>
      </w:r>
      <w:r w:rsidRPr="00DF0D90">
        <w:t>деструкции (</w:t>
      </w:r>
      <w:r w:rsidRPr="00DF0D90">
        <w:rPr>
          <w:i/>
        </w:rPr>
        <w:t>энергетической</w:t>
      </w:r>
      <w:r w:rsidR="00454D85" w:rsidRPr="00DF0D90">
        <w:t xml:space="preserve"> </w:t>
      </w:r>
      <w:proofErr w:type="spellStart"/>
      <w:r w:rsidRPr="00DF0D90">
        <w:rPr>
          <w:i/>
        </w:rPr>
        <w:t>аблации</w:t>
      </w:r>
      <w:proofErr w:type="spellEnd"/>
      <w:r w:rsidRPr="00DF0D90">
        <w:t xml:space="preserve">) опухоли как </w:t>
      </w:r>
      <w:r w:rsidRPr="00DF0D90">
        <w:rPr>
          <w:i/>
        </w:rPr>
        <w:t>стандарт терапии</w:t>
      </w:r>
      <w:r w:rsidRPr="00DF0D90">
        <w:t xml:space="preserve"> у пациентов</w:t>
      </w:r>
      <w:r w:rsidR="00EA77D2" w:rsidRPr="00DF0D90">
        <w:t xml:space="preserve"> </w:t>
      </w:r>
      <w:r w:rsidRPr="00DF0D90">
        <w:t>с ГЦР стадии BCLC 0 (</w:t>
      </w:r>
      <w:proofErr w:type="spellStart"/>
      <w:r w:rsidRPr="00DF0D90">
        <w:t>солитарная</w:t>
      </w:r>
      <w:proofErr w:type="spellEnd"/>
      <w:r w:rsidRPr="00DF0D90">
        <w:t xml:space="preserve"> опухоль до 2 см в диаметре) и стадии BCLC A (три опухоли до 3 см в диаметре)</w:t>
      </w:r>
      <w:r w:rsidR="00EA77D2" w:rsidRPr="00DF0D90">
        <w:t xml:space="preserve"> </w:t>
      </w:r>
      <w:r w:rsidRPr="00DF0D90">
        <w:t>при</w:t>
      </w:r>
      <w:r w:rsidR="00EA77D2" w:rsidRPr="00DF0D90">
        <w:t xml:space="preserve"> </w:t>
      </w:r>
      <w:r w:rsidRPr="00DF0D90">
        <w:t>невозможности выполнения хирургического лечения (резекции печени или трансплантации печени)</w:t>
      </w:r>
      <w:r w:rsidR="00123A49" w:rsidRPr="00DF0D90">
        <w:t xml:space="preserve"> </w:t>
      </w:r>
      <w:r w:rsidR="00C37C8E" w:rsidRPr="00DF0D90">
        <w:fldChar w:fldCharType="begin" w:fldLock="1"/>
      </w:r>
      <w:r w:rsidR="007335C5" w:rsidRPr="00DF0D90">
        <w:instrText>ADDIN CSL_CITATION {"citationItems":[{"id":"ITEM-1","itemData":{"DOI":"10.1002/bjs.7669","ISSN":"0007-1323","author":[{"dropping-particle":"","family":"Tiong","given":"L","non-dropping-particle":"","parse-names":false,"suffix":""},{"dropping-particle":"","family":"Maddern","given":"G J","non-dropping-particle":"","parse-names":false,"suffix":""}],"container-title":"British Journal of Surgery","id":"ITEM-1","issue":"9","issued":{"date-parts":[["2011","7","25"]]},"page":"1210-1224","title":"Systematic review and meta-analysis of survival and disease recurrence after radiofrequency ablation for hepatocellular carcinoma","type":"article-journal","volume":"98"},"uris":["http://www.mendeley.com/documents/?uuid=7f49b300-f3d3-4ded-bc9e-146689ee1ecd"]}],"mendeley":{"formattedCitation":"[57]","plainTextFormattedCitation":"[57]","previouslyFormattedCitation":"[57]"},"properties":{"noteIndex":0},"schema":"https://github.com/citation-style-language/schema/raw/master/csl-citation.json"}</w:instrText>
      </w:r>
      <w:r w:rsidR="00C37C8E" w:rsidRPr="00DF0D90">
        <w:fldChar w:fldCharType="separate"/>
      </w:r>
      <w:r w:rsidR="007335C5" w:rsidRPr="00DF0D90">
        <w:rPr>
          <w:noProof/>
        </w:rPr>
        <w:t>[57]</w:t>
      </w:r>
      <w:r w:rsidR="00C37C8E" w:rsidRPr="00DF0D90">
        <w:fldChar w:fldCharType="end"/>
      </w:r>
      <w:r w:rsidR="00123A49" w:rsidRPr="00DF0D90">
        <w:t>.</w:t>
      </w:r>
    </w:p>
    <w:p w14:paraId="75437690" w14:textId="477436A3" w:rsidR="002629E9" w:rsidRPr="00DF0D90" w:rsidRDefault="00AB47DB" w:rsidP="00454D85">
      <w:pPr>
        <w:tabs>
          <w:tab w:val="left" w:pos="142"/>
          <w:tab w:val="left" w:pos="1276"/>
        </w:tabs>
        <w:autoSpaceDE w:val="0"/>
        <w:autoSpaceDN w:val="0"/>
        <w:spacing w:after="120" w:line="360" w:lineRule="auto"/>
        <w:ind w:right="6"/>
        <w:jc w:val="both"/>
        <w:rPr>
          <w:b/>
          <w:spacing w:val="-4"/>
          <w:shd w:val="clear" w:color="auto" w:fill="FFFFFF"/>
        </w:rPr>
      </w:pPr>
      <w:r w:rsidRPr="00DF0D90">
        <w:rPr>
          <w:b/>
          <w:spacing w:val="-4"/>
          <w:shd w:val="clear" w:color="auto" w:fill="FFFFFF"/>
        </w:rPr>
        <w:t>Уровень убедительности рекомендаций – А (уровень достоверности доказательств – 1).</w:t>
      </w:r>
    </w:p>
    <w:p w14:paraId="3828701E" w14:textId="005A487D" w:rsidR="00CA77D4" w:rsidRPr="00DF0D90" w:rsidRDefault="00AB47DB" w:rsidP="00454D85">
      <w:pPr>
        <w:numPr>
          <w:ilvl w:val="0"/>
          <w:numId w:val="34"/>
        </w:numPr>
        <w:spacing w:after="120" w:line="360" w:lineRule="auto"/>
        <w:ind w:left="0" w:firstLine="567"/>
        <w:jc w:val="both"/>
      </w:pPr>
      <w:r w:rsidRPr="00DF0D90">
        <w:rPr>
          <w:b/>
        </w:rPr>
        <w:t>Рекомендуется</w:t>
      </w:r>
      <w:r w:rsidRPr="00DF0D90">
        <w:t xml:space="preserve"> применять метод чрескожной деструкции (</w:t>
      </w:r>
      <w:r w:rsidRPr="00DF0D90">
        <w:rPr>
          <w:i/>
        </w:rPr>
        <w:t xml:space="preserve">химической </w:t>
      </w:r>
      <w:proofErr w:type="spellStart"/>
      <w:r w:rsidRPr="00DF0D90">
        <w:rPr>
          <w:i/>
        </w:rPr>
        <w:t>абл</w:t>
      </w:r>
      <w:r w:rsidR="00EA77D2" w:rsidRPr="00DF0D90">
        <w:rPr>
          <w:i/>
        </w:rPr>
        <w:t>а</w:t>
      </w:r>
      <w:r w:rsidRPr="00DF0D90">
        <w:rPr>
          <w:i/>
        </w:rPr>
        <w:t>ции</w:t>
      </w:r>
      <w:proofErr w:type="spellEnd"/>
      <w:r w:rsidR="00964065" w:rsidRPr="00DF0D90">
        <w:rPr>
          <w:i/>
        </w:rPr>
        <w:t>)</w:t>
      </w:r>
      <w:r w:rsidR="00454D85" w:rsidRPr="00DF0D90">
        <w:t xml:space="preserve"> </w:t>
      </w:r>
      <w:r w:rsidRPr="00DF0D90">
        <w:t>этанолом</w:t>
      </w:r>
      <w:r w:rsidR="00EA77D2" w:rsidRPr="00DF0D90">
        <w:rPr>
          <w:i/>
        </w:rPr>
        <w:t xml:space="preserve"> </w:t>
      </w:r>
      <w:r w:rsidRPr="00DF0D90">
        <w:t xml:space="preserve">опухоли у пациентов с ГЦР </w:t>
      </w:r>
      <w:r w:rsidR="003F56E5" w:rsidRPr="00DF0D90">
        <w:t xml:space="preserve">на фоне цирроза </w:t>
      </w:r>
      <w:r w:rsidRPr="00DF0D90">
        <w:t>стадии BCLC 0 (</w:t>
      </w:r>
      <w:proofErr w:type="spellStart"/>
      <w:r w:rsidRPr="00DF0D90">
        <w:t>солитарная</w:t>
      </w:r>
      <w:proofErr w:type="spellEnd"/>
      <w:r w:rsidRPr="00DF0D90">
        <w:t xml:space="preserve"> опухоль до 2 см в диаметре) как метод терапии при невозможности выполнения хирургического лечения (резекции печени или трансплантации печени) и </w:t>
      </w:r>
      <w:r w:rsidR="00FF75E4" w:rsidRPr="00DF0D90">
        <w:t xml:space="preserve">невозможности </w:t>
      </w:r>
      <w:r w:rsidRPr="00DF0D90">
        <w:t xml:space="preserve">проведения </w:t>
      </w:r>
      <w:r w:rsidRPr="00DF0D90">
        <w:rPr>
          <w:i/>
        </w:rPr>
        <w:t xml:space="preserve">энергической </w:t>
      </w:r>
      <w:proofErr w:type="spellStart"/>
      <w:r w:rsidRPr="00DF0D90">
        <w:rPr>
          <w:i/>
        </w:rPr>
        <w:t>аблации</w:t>
      </w:r>
      <w:proofErr w:type="spellEnd"/>
      <w:r w:rsidR="002629E9" w:rsidRPr="00DF0D90">
        <w:t xml:space="preserve"> </w:t>
      </w:r>
      <w:r w:rsidR="00C37C8E" w:rsidRPr="00DF0D90">
        <w:fldChar w:fldCharType="begin" w:fldLock="1"/>
      </w:r>
      <w:r w:rsidR="007335C5" w:rsidRPr="00DF0D90">
        <w:instrText>ADDIN CSL_CITATION {"citationItems":[{"id":"ITEM-1","itemData":{"DOI":"10.1016/j.jhep.2009.12.004","ISSN":"01688278","author":[{"dropping-particle":"","family":"Germani","given":"Giacomo","non-dropping-particle":"","parse-names":false,"suffix":""},{"dropping-particle":"","family":"Pleguezuelo","given":"Maria","non-dropping-particle":"","parse-names":false,"suffix":""},{"dropping-particle":"","family":"Gurusamy","given":"Kurinchi","non-dropping-particle":"","parse-names":false,"suffix":""},{"dropping-particle":"","family":"Meyer","given":"Tim","non-dropping-particle":"","parse-names":false,"suffix":""},{"dropping-particle":"","family":"Isgrò","given":"Graziella","non-dropping-particle":"","parse-names":false,"suffix":""},{"dropping-particle":"","family":"Burroughs","given":"Andrew Kenneth","non-dropping-particle":"","parse-names":false,"suffix":""}],"container-title":"Journal of Hepatology","id":"ITEM-1","issue":"3","issued":{"date-parts":[["2010","3"]]},"page":"380-388","title":"Clinical outcomes of radiofrequency ablation, percutaneous alcohol and acetic acid injection for hepatocelullar carcinoma: A meta-analysis","type":"article-journal","volume":"52"},"uris":["http://www.mendeley.com/documents/?uuid=d5241f35-45b2-4c55-8cc4-ce7b39a067b4"]}],"mendeley":{"formattedCitation":"[58]","plainTextFormattedCitation":"[58]","previouslyFormattedCitation":"[58]"},"properties":{"noteIndex":0},"schema":"https://github.com/citation-style-language/schema/raw/master/csl-citation.json"}</w:instrText>
      </w:r>
      <w:r w:rsidR="00C37C8E" w:rsidRPr="00DF0D90">
        <w:fldChar w:fldCharType="separate"/>
      </w:r>
      <w:r w:rsidR="007335C5" w:rsidRPr="00DF0D90">
        <w:rPr>
          <w:noProof/>
        </w:rPr>
        <w:t>[58]</w:t>
      </w:r>
      <w:r w:rsidR="00C37C8E" w:rsidRPr="00DF0D90">
        <w:fldChar w:fldCharType="end"/>
      </w:r>
      <w:r w:rsidR="002629E9" w:rsidRPr="00DF0D90">
        <w:t>.</w:t>
      </w:r>
    </w:p>
    <w:p w14:paraId="026207D8" w14:textId="77777777" w:rsidR="008B1593" w:rsidRPr="00DF0D90" w:rsidRDefault="00AB47DB" w:rsidP="00454D85">
      <w:pPr>
        <w:tabs>
          <w:tab w:val="left" w:pos="142"/>
          <w:tab w:val="left" w:pos="1276"/>
        </w:tabs>
        <w:autoSpaceDE w:val="0"/>
        <w:autoSpaceDN w:val="0"/>
        <w:spacing w:after="120" w:line="360" w:lineRule="auto"/>
        <w:ind w:right="3"/>
        <w:jc w:val="both"/>
        <w:rPr>
          <w:b/>
          <w:spacing w:val="-4"/>
          <w:shd w:val="clear" w:color="auto" w:fill="FFFFFF"/>
        </w:rPr>
      </w:pPr>
      <w:r w:rsidRPr="00DF0D90">
        <w:rPr>
          <w:b/>
          <w:spacing w:val="-4"/>
          <w:shd w:val="clear" w:color="auto" w:fill="FFFFFF"/>
        </w:rPr>
        <w:t>Уровень убедительности рекомендаций – А (уровень достоверности доказательств – 1).</w:t>
      </w:r>
    </w:p>
    <w:p w14:paraId="05D38DE3" w14:textId="77777777" w:rsidR="008B1593" w:rsidRPr="00DF0D90" w:rsidRDefault="00AB47DB" w:rsidP="00454D85">
      <w:pPr>
        <w:numPr>
          <w:ilvl w:val="0"/>
          <w:numId w:val="34"/>
        </w:numPr>
        <w:spacing w:after="120" w:line="360" w:lineRule="auto"/>
        <w:ind w:left="0" w:firstLine="567"/>
        <w:jc w:val="both"/>
      </w:pPr>
      <w:r w:rsidRPr="00DF0D90">
        <w:rPr>
          <w:b/>
        </w:rPr>
        <w:lastRenderedPageBreak/>
        <w:t>Рекомендуется</w:t>
      </w:r>
      <w:r w:rsidRPr="00DF0D90">
        <w:t xml:space="preserve"> применять метод </w:t>
      </w:r>
      <w:r w:rsidR="00F049A7" w:rsidRPr="00DF0D90">
        <w:t xml:space="preserve">локальной </w:t>
      </w:r>
      <w:r w:rsidRPr="00DF0D90">
        <w:t>деструкции (</w:t>
      </w:r>
      <w:r w:rsidRPr="00DF0D90">
        <w:rPr>
          <w:i/>
        </w:rPr>
        <w:t xml:space="preserve">химической </w:t>
      </w:r>
      <w:proofErr w:type="spellStart"/>
      <w:r w:rsidRPr="00DF0D90">
        <w:rPr>
          <w:i/>
        </w:rPr>
        <w:t>абл</w:t>
      </w:r>
      <w:r w:rsidR="00EA77D2" w:rsidRPr="00DF0D90">
        <w:rPr>
          <w:i/>
        </w:rPr>
        <w:t>а</w:t>
      </w:r>
      <w:r w:rsidRPr="00DF0D90">
        <w:rPr>
          <w:i/>
        </w:rPr>
        <w:t>ции</w:t>
      </w:r>
      <w:proofErr w:type="spellEnd"/>
      <w:r w:rsidR="00454D85" w:rsidRPr="00DF0D90">
        <w:t xml:space="preserve"> </w:t>
      </w:r>
      <w:r w:rsidRPr="00DF0D90">
        <w:rPr>
          <w:i/>
        </w:rPr>
        <w:t>этанолом</w:t>
      </w:r>
      <w:r w:rsidRPr="00DF0D90">
        <w:t xml:space="preserve">) как дополнение к энергетической </w:t>
      </w:r>
      <w:proofErr w:type="spellStart"/>
      <w:r w:rsidRPr="00DF0D90">
        <w:t>абл</w:t>
      </w:r>
      <w:r w:rsidR="00EA77D2" w:rsidRPr="00DF0D90">
        <w:t>а</w:t>
      </w:r>
      <w:r w:rsidRPr="00DF0D90">
        <w:t>ции</w:t>
      </w:r>
      <w:proofErr w:type="spellEnd"/>
      <w:r w:rsidRPr="00DF0D90">
        <w:t xml:space="preserve"> при лечении опухолей диаметром более 3 см и опухолей, прилежащих к крупным сосудам</w:t>
      </w:r>
      <w:r w:rsidR="00EA77D2" w:rsidRPr="00DF0D90">
        <w:t xml:space="preserve"> (у неоперабельных больных)</w:t>
      </w:r>
      <w:r w:rsidR="002629E9" w:rsidRPr="00DF0D90">
        <w:t xml:space="preserve"> </w:t>
      </w:r>
      <w:r w:rsidR="00C37C8E" w:rsidRPr="00DF0D90">
        <w:fldChar w:fldCharType="begin" w:fldLock="1"/>
      </w:r>
      <w:r w:rsidR="007335C5" w:rsidRPr="00DF0D90">
        <w:instrText>ADDIN CSL_CITATION {"citationItems":[{"id":"ITEM-1","itemData":{"ISSN":"1827-1669","PMID":"27329398","abstract":"INTRODUCTION To compare radiofrequency ablation (RFA) plus ethanol injection (EI) with RFA alone for hepatocellular carcinoma. EVIDENCE ACQUISITION A comprehensive search of studies among PubMed, EMBASE, Cochrane Central Register of Controlled Trials, Cochrane Database of Systematic Reviews, and Chinese BioMedical Literature Database (CBM) was conducted with published date from the earliest to May 1st, 2016. No language restrictions were applied, but only prospective randomized controlled trials (RCTs) or non-randomized controlled trials (non-RCTs) were eligible for a full-text review. Published trials that included a treatment group receiving RFA plus EI and a control group receiving RFA alone with data for at least 1-year survival or complete ablation rate were included. Pooled ORs with 95% confidence interval (CI) were calculated using either the fixed-effects model or random-effects model. All statistical analyses were carried out using Stata v.12.0 (Stata Corporation, College Station, TX, USA). EVIDENCE SYNTHESIS There were 8 trials (3 RCTs) involving 969 patients. Patients receiving RFA plus EI showed significantly better in 1-year survival rate (OR=2.09, 95% CI: 1.38-3.01; P&lt;0.001), 2-year survival rate (OR=21.84, 95% CI: 1.13-3.00; P=0.014), 3-year survival rate (OR=1.86, 95% CI: 1.35-2.57; P&lt;0.001) and complete ablation rate (OR=2.34, 95% CI: 1.52-3.61; P&lt;0.001). CONCLUSIONS RFA plus EI was superior than RFA alone for treating HCC.","author":[{"dropping-particle":"","family":"Zhu","given":"Ze X","non-dropping-particle":"","parse-names":false,"suffix":""},{"dropping-particle":"","family":"Liao","given":"Ming H","non-dropping-particle":"","parse-names":false,"suffix":""},{"dropping-particle":"","family":"Wang","given":"Xiao X","non-dropping-particle":"","parse-names":false,"suffix":""},{"dropping-particle":"","family":"Huang","given":"Ji W","non-dropping-particle":"","parse-names":false,"suffix":""}],"container-title":"Minerva medica","id":"ITEM-1","issue":"6","issued":{"date-parts":[["2016","12"]]},"page":"381-391","title":"Radiofrequency ablation with or without ethanol injection for hepatocellular carcinoma: a systematic review and meta-analysis.","type":"article-journal","volume":"107"},"uris":["http://www.mendeley.com/documents/?uuid=8fc8b52f-ed36-4f88-b247-d2d26e9a5239"]}],"mendeley":{"formattedCitation":"[59]","plainTextFormattedCitation":"[59]","previouslyFormattedCitation":"[59]"},"properties":{"noteIndex":0},"schema":"https://github.com/citation-style-language/schema/raw/master/csl-citation.json"}</w:instrText>
      </w:r>
      <w:r w:rsidR="00C37C8E" w:rsidRPr="00DF0D90">
        <w:fldChar w:fldCharType="separate"/>
      </w:r>
      <w:r w:rsidR="007335C5" w:rsidRPr="00DF0D90">
        <w:rPr>
          <w:noProof/>
        </w:rPr>
        <w:t>[59]</w:t>
      </w:r>
      <w:r w:rsidR="00C37C8E" w:rsidRPr="00DF0D90">
        <w:fldChar w:fldCharType="end"/>
      </w:r>
      <w:r w:rsidR="002629E9" w:rsidRPr="00DF0D90">
        <w:t>.</w:t>
      </w:r>
      <w:r w:rsidR="00D2453F" w:rsidRPr="00DF0D90">
        <w:t xml:space="preserve"> </w:t>
      </w:r>
    </w:p>
    <w:p w14:paraId="1FF6FB96" w14:textId="77777777" w:rsidR="008B1593" w:rsidRPr="00DF0D90" w:rsidRDefault="00AB47DB" w:rsidP="00454D85">
      <w:pPr>
        <w:tabs>
          <w:tab w:val="left" w:pos="142"/>
          <w:tab w:val="left" w:pos="1276"/>
        </w:tabs>
        <w:autoSpaceDE w:val="0"/>
        <w:autoSpaceDN w:val="0"/>
        <w:spacing w:after="120" w:line="360" w:lineRule="auto"/>
        <w:ind w:right="3"/>
        <w:jc w:val="both"/>
        <w:rPr>
          <w:b/>
          <w:spacing w:val="-4"/>
          <w:shd w:val="clear" w:color="auto" w:fill="FFFFFF"/>
        </w:rPr>
      </w:pPr>
      <w:r w:rsidRPr="00DF0D90">
        <w:rPr>
          <w:b/>
          <w:spacing w:val="-4"/>
          <w:shd w:val="clear" w:color="auto" w:fill="FFFFFF"/>
        </w:rPr>
        <w:t xml:space="preserve">Уровень убедительности рекомендаций – </w:t>
      </w:r>
      <w:r w:rsidR="00FF75E4" w:rsidRPr="00DF0D90">
        <w:rPr>
          <w:b/>
          <w:spacing w:val="-4"/>
          <w:shd w:val="clear" w:color="auto" w:fill="FFFFFF"/>
          <w:lang w:val="en-US"/>
        </w:rPr>
        <w:t>B</w:t>
      </w:r>
      <w:r w:rsidRPr="00DF0D90">
        <w:rPr>
          <w:b/>
          <w:spacing w:val="-4"/>
          <w:shd w:val="clear" w:color="auto" w:fill="FFFFFF"/>
        </w:rPr>
        <w:t xml:space="preserve"> (уровень достоверности доказательств – </w:t>
      </w:r>
      <w:r w:rsidR="000F76DB" w:rsidRPr="00DF0D90">
        <w:rPr>
          <w:b/>
          <w:spacing w:val="-4"/>
          <w:shd w:val="clear" w:color="auto" w:fill="FFFFFF"/>
        </w:rPr>
        <w:t>1</w:t>
      </w:r>
      <w:r w:rsidRPr="00DF0D90">
        <w:rPr>
          <w:b/>
          <w:spacing w:val="-4"/>
          <w:shd w:val="clear" w:color="auto" w:fill="FFFFFF"/>
        </w:rPr>
        <w:t>).</w:t>
      </w:r>
      <w:r w:rsidR="00D2453F" w:rsidRPr="00DF0D90">
        <w:rPr>
          <w:b/>
          <w:spacing w:val="-4"/>
          <w:shd w:val="clear" w:color="auto" w:fill="FFFFFF"/>
        </w:rPr>
        <w:t xml:space="preserve"> </w:t>
      </w:r>
    </w:p>
    <w:p w14:paraId="611E63DA" w14:textId="229BA3C7" w:rsidR="00C37C8E" w:rsidRPr="00DF0D90" w:rsidRDefault="00AB47DB" w:rsidP="00454D85">
      <w:pPr>
        <w:numPr>
          <w:ilvl w:val="0"/>
          <w:numId w:val="34"/>
        </w:numPr>
        <w:spacing w:after="120" w:line="360" w:lineRule="auto"/>
        <w:ind w:left="0" w:firstLine="567"/>
        <w:jc w:val="both"/>
      </w:pPr>
      <w:r w:rsidRPr="00DF0D90">
        <w:rPr>
          <w:b/>
        </w:rPr>
        <w:t>Рекомендуется</w:t>
      </w:r>
      <w:r w:rsidR="00EA77D2" w:rsidRPr="00DF0D90">
        <w:rPr>
          <w:b/>
        </w:rPr>
        <w:t xml:space="preserve"> </w:t>
      </w:r>
      <w:r w:rsidRPr="00DF0D90">
        <w:t xml:space="preserve">рассматривать возможность применения методов </w:t>
      </w:r>
      <w:r w:rsidR="00F049A7" w:rsidRPr="00DF0D90">
        <w:t>локальной</w:t>
      </w:r>
      <w:r w:rsidR="00454D85" w:rsidRPr="00DF0D90">
        <w:t xml:space="preserve"> </w:t>
      </w:r>
      <w:r w:rsidRPr="00DF0D90">
        <w:t>деструкции (</w:t>
      </w:r>
      <w:r w:rsidRPr="00DF0D90">
        <w:rPr>
          <w:i/>
        </w:rPr>
        <w:t xml:space="preserve">энергетической и химической </w:t>
      </w:r>
      <w:proofErr w:type="spellStart"/>
      <w:r w:rsidRPr="00DF0D90">
        <w:rPr>
          <w:i/>
        </w:rPr>
        <w:t>аблации</w:t>
      </w:r>
      <w:proofErr w:type="spellEnd"/>
      <w:r w:rsidRPr="00DF0D90">
        <w:t xml:space="preserve">) в сочетании с другими видами лечения, в том числе </w:t>
      </w:r>
      <w:r w:rsidR="003C12DF" w:rsidRPr="00DF0D90">
        <w:rPr>
          <w:lang w:val="en-US"/>
        </w:rPr>
        <w:t>c</w:t>
      </w:r>
      <w:r w:rsidR="003C12DF" w:rsidRPr="00DF0D90">
        <w:t xml:space="preserve"> внутриартериальной терапией</w:t>
      </w:r>
      <w:r w:rsidR="001E1D85" w:rsidRPr="00DF0D90">
        <w:t xml:space="preserve"> </w:t>
      </w:r>
      <w:r w:rsidRPr="00DF0D90">
        <w:t xml:space="preserve"> и хирургическим лечением</w:t>
      </w:r>
      <w:r w:rsidR="006A0B36" w:rsidRPr="00DF0D90">
        <w:t xml:space="preserve"> </w:t>
      </w:r>
      <w:r w:rsidR="00C37C8E" w:rsidRPr="00DF0D90">
        <w:fldChar w:fldCharType="begin" w:fldLock="1"/>
      </w:r>
      <w:r w:rsidR="007335C5" w:rsidRPr="00DF0D90">
        <w:instrText>ADDIN CSL_CITATION {"citationItems":[{"id":"ITEM-1","itemData":{"DOI":"10.1111/j.1478-3231.2010.02221.x","ISSN":"14783223","author":[{"dropping-particle":"","family":"Wang","given":"Wei","non-dropping-particle":"","parse-names":false,"suffix":""},{"dropping-particle":"","family":"Shi","given":"Jian","non-dropping-particle":"","parse-names":false,"suffix":""},{"dropping-particle":"","family":"Xie","given":"Wei-Fen","non-dropping-particle":"","parse-names":false,"suffix":""}],"container-title":"Liver International","id":"ITEM-1","issue":"5","issued":{"date-parts":[["2010","5"]]},"page":"741-749","title":"Transarterial chemoembolization in combination with percutaneous ablation therapy in unresectable hepatocellular carcinoma: a meta-analysis","type":"article-journal","volume":"30"},"uris":["http://www.mendeley.com/documents/?uuid=dd4aee6f-3fab-486c-881f-34d3b03f3e34"]},{"id":"ITEM-2","itemData":{"DOI":"10.1007/s00432-012-1369-x","ISSN":"0171-5216","author":[{"dropping-particle":"","family":"Ni","given":"Jia-yan","non-dropping-particle":"","parse-names":false,"suffix":""},{"dropping-particle":"","family":"Liu","given":"Shan-shan","non-dropping-particle":"","parse-names":false,"suffix":""},{"dropping-particle":"","family":"Xu","given":"Lin-feng","non-dropping-particle":"","parse-names":false,"suffix":""},{"dropping-particle":"","family":"Sun","given":"Hong-liang","non-dropping-particle":"","parse-names":false,"suffix":""},{"dropping-particle":"","family":"Chen","given":"Yao-ting","non-dropping-particle":"","parse-names":false,"suffix":""}],"container-title":"Journal of Cancer Research and Clinical Oncology","id":"ITEM-2","issue":"4","issued":{"date-parts":[["2013","4","5"]]},"page":"653-659","title":"Transarterial chemoembolization combined with percutaneous radiofrequency ablation versus TACE and PRFA monotherapy in the treatment for hepatocellular carcinoma: a meta-analysis","type":"article-journal","volume":"139"},"uris":["http://www.mendeley.com/documents/?uuid=276b4b28-2a29-48ee-a361-47bed65c4ede"]},{"id":"ITEM-3","itemData":{"DOI":"10.1136/bmjopen-2017-021269","ISSN":"2044-6055","author":[{"dropping-particle":"","family":"Tian","given":"Guo","non-dropping-particle":"","parse-names":false,"suffix":""},{"dropping-particle":"","family":"Yang","given":"Shigui","non-dropping-particle":"","parse-names":false,"suffix":""},{"dropping-particle":"","family":"Yuan","given":"Jinqiu","non-dropping-particle":"","parse-names":false,"suffix":""},{"dropping-particle":"","family":"Threapleton","given":"Diane","non-dropping-particle":"","parse-names":false,"suffix":""},{"dropping-particle":"","family":"Zhao","given":"Qiyu","non-dropping-particle":"","parse-names":false,"suffix":""},{"dropping-particle":"","family":"Chen","given":"Fen","non-dropping-particle":"","parse-names":false,"suffix":""},{"dropping-particle":"","family":"Cao","given":"Hongcui","non-dropping-particle":"","parse-names":false,"suffix":""},{"dropping-particle":"","family":"Jiang","given":"Tian’an","non-dropping-particle":"","parse-names":false,"suffix":""},{"dropping-particle":"","family":"Li","given":"Lanjuan","non-dropping-particle":"","parse-names":false,"suffix":""}],"container-title":"BMJ Open","id":"ITEM-3","issue":"10","issued":{"date-parts":[["2018","10","18"]]},"page":"e021269","title":"Comparative efficacy of treatment strategies for hepatocellular carcinoma: systematic review and network meta-analysis","type":"article-journal","volume":"8"},"uris":["http://www.mendeley.com/documents/?uuid=8ed583a5-798f-412e-bbb9-c359bbcba6a5"]}],"mendeley":{"formattedCitation":"[60–62]","plainTextFormattedCitation":"[60–62]","previouslyFormattedCitation":"[60–62]"},"properties":{"noteIndex":0},"schema":"https://github.com/citation-style-language/schema/raw/master/csl-citation.json"}</w:instrText>
      </w:r>
      <w:r w:rsidR="00C37C8E" w:rsidRPr="00DF0D90">
        <w:fldChar w:fldCharType="separate"/>
      </w:r>
      <w:r w:rsidR="007335C5" w:rsidRPr="00DF0D90">
        <w:rPr>
          <w:noProof/>
        </w:rPr>
        <w:t>[60–62</w:t>
      </w:r>
      <w:r w:rsidR="001E1D85" w:rsidRPr="00DF0D90">
        <w:rPr>
          <w:noProof/>
        </w:rPr>
        <w:t xml:space="preserve">, </w:t>
      </w:r>
      <w:r w:rsidR="005A6A41" w:rsidRPr="00DF0D90">
        <w:rPr>
          <w:noProof/>
        </w:rPr>
        <w:t>127</w:t>
      </w:r>
      <w:r w:rsidR="007335C5" w:rsidRPr="00DF0D90">
        <w:rPr>
          <w:noProof/>
        </w:rPr>
        <w:t>]</w:t>
      </w:r>
      <w:r w:rsidR="00C37C8E" w:rsidRPr="00DF0D90">
        <w:fldChar w:fldCharType="end"/>
      </w:r>
      <w:r w:rsidR="002629E9" w:rsidRPr="00DF0D90">
        <w:t>.</w:t>
      </w:r>
    </w:p>
    <w:p w14:paraId="65E97FE4" w14:textId="63D033E8" w:rsidR="008C4700" w:rsidRPr="00DF0D90" w:rsidRDefault="00AB47DB" w:rsidP="00454D85">
      <w:pPr>
        <w:spacing w:after="120" w:line="360" w:lineRule="auto"/>
        <w:jc w:val="both"/>
        <w:rPr>
          <w:b/>
        </w:rPr>
      </w:pPr>
      <w:r w:rsidRPr="00DF0D90">
        <w:rPr>
          <w:b/>
        </w:rPr>
        <w:t>Уровень убедительности рекомендаций –</w:t>
      </w:r>
      <w:r w:rsidR="001E1D85" w:rsidRPr="00DF0D90">
        <w:rPr>
          <w:b/>
        </w:rPr>
        <w:t xml:space="preserve">С </w:t>
      </w:r>
      <w:r w:rsidRPr="00DF0D90">
        <w:rPr>
          <w:b/>
        </w:rPr>
        <w:t>(уровен</w:t>
      </w:r>
      <w:r w:rsidR="00454D85" w:rsidRPr="00DF0D90">
        <w:rPr>
          <w:b/>
        </w:rPr>
        <w:t xml:space="preserve">ь достоверности доказательств </w:t>
      </w:r>
      <w:r w:rsidR="001E1D85" w:rsidRPr="00DF0D90">
        <w:rPr>
          <w:b/>
        </w:rPr>
        <w:t>4</w:t>
      </w:r>
      <w:r w:rsidRPr="00DF0D90">
        <w:rPr>
          <w:b/>
        </w:rPr>
        <w:t>).</w:t>
      </w:r>
    </w:p>
    <w:p w14:paraId="49DC4051" w14:textId="77777777" w:rsidR="00677B1A" w:rsidRPr="00DF0D90" w:rsidRDefault="00677B1A" w:rsidP="00454D85">
      <w:pPr>
        <w:numPr>
          <w:ilvl w:val="0"/>
          <w:numId w:val="34"/>
        </w:numPr>
        <w:spacing w:after="120" w:line="360" w:lineRule="auto"/>
        <w:ind w:left="0" w:firstLine="567"/>
        <w:jc w:val="both"/>
      </w:pPr>
      <w:r w:rsidRPr="00DF0D90">
        <w:rPr>
          <w:b/>
        </w:rPr>
        <w:t xml:space="preserve">Рекомендуется </w:t>
      </w:r>
      <w:r w:rsidRPr="00DF0D90">
        <w:t>применение методов локальной деструкции</w:t>
      </w:r>
      <w:r w:rsidR="000F76DB" w:rsidRPr="00DF0D90">
        <w:t xml:space="preserve"> </w:t>
      </w:r>
      <w:r w:rsidR="00F35677" w:rsidRPr="00DF0D90">
        <w:t xml:space="preserve">в виде энергетической и химической </w:t>
      </w:r>
      <w:proofErr w:type="spellStart"/>
      <w:r w:rsidR="00F35677" w:rsidRPr="00DF0D90">
        <w:t>аблации</w:t>
      </w:r>
      <w:proofErr w:type="spellEnd"/>
      <w:r w:rsidR="00F35677" w:rsidRPr="00DF0D90">
        <w:t xml:space="preserve"> </w:t>
      </w:r>
      <w:r w:rsidR="000F76DB" w:rsidRPr="00DF0D90">
        <w:t>(</w:t>
      </w:r>
      <w:r w:rsidRPr="00DF0D90">
        <w:t>если это технически возможно</w:t>
      </w:r>
      <w:r w:rsidR="000F76DB" w:rsidRPr="00DF0D90">
        <w:t>)</w:t>
      </w:r>
      <w:r w:rsidRPr="00DF0D90">
        <w:t xml:space="preserve">, в случаях локального прогрессирования и локального рецидива заболевания после ранее выполненной резекции печени или </w:t>
      </w:r>
      <w:proofErr w:type="spellStart"/>
      <w:r w:rsidRPr="00DF0D90">
        <w:t>абл</w:t>
      </w:r>
      <w:r w:rsidR="00E12506" w:rsidRPr="00DF0D90">
        <w:t>а</w:t>
      </w:r>
      <w:r w:rsidRPr="00DF0D90">
        <w:t>ции</w:t>
      </w:r>
      <w:proofErr w:type="spellEnd"/>
      <w:r w:rsidRPr="00DF0D90">
        <w:t xml:space="preserve"> опухоли</w:t>
      </w:r>
      <w:r w:rsidR="000F76DB" w:rsidRPr="00DF0D90">
        <w:t xml:space="preserve"> </w:t>
      </w:r>
      <w:r w:rsidRPr="00DF0D90">
        <w:t xml:space="preserve">при невозможности выполнения хирургического лечения </w:t>
      </w:r>
      <w:r w:rsidR="00C37C8E" w:rsidRPr="00DF0D90">
        <w:fldChar w:fldCharType="begin" w:fldLock="1"/>
      </w:r>
      <w:r w:rsidR="007335C5" w:rsidRPr="00DF0D90">
        <w:instrText>ADDIN CSL_CITATION {"citationItems":[{"id":"ITEM-1","itemData":{"DOI":"10.1002/bjs.10597","ISSN":"13652168","PMID":"28628947","abstract":"Background: Intrahepatic recurrence of hepatocellular carcinoma (HCC) following resection is common. However, no current consensus guidelines exist to inform management decisions in these patients. Systematic review and meta-analysis of survival following different treatment modalities may allow improved treatment selection. This review aimed to identify the optimum treatment strategies for HCC recurrence. Methods: A systematic review, up to September 2016, was conducted in accordance with MOOSE guidelines. The primary outcome was the hazard ratio for overall survival of different treatment modalities. Meta-analysis of different treatment modalities was carried out using a random-effects model, with further assessment of additional prognostic factors for survival. Results: Nineteen cohort studies (2764 patients) were included in final data analysis. The median 5-year survival rates after repeat hepatectomy (525 patients), ablation (658) and transarterial chemoembolization (TACE) (855) were 35·2, 48·3 and 15·5 per cent respectively. Pooled analysis of ten studies demonstrated no significant difference between overall survival after ablation versus repeat hepatectomy (hazard ratio 1·03, 95 per cent c.i. 0·68 to 1·55; P = 0·897). Pooled analysis of seven studies comparing TACE with repeat hepatectomy showed no statistically significant difference in survival (hazard ratio 1·61, 0·99 to 2·63; P = 0·056). Conclusion: Based on these limited data, there does not appear to be a significant difference in survival between patients undergoing repeat hepatectomy or ablation for recurrent HCC. The results also identify important negative prognostic factors (short disease-free interval, multiple hepatic metastases and large hepatic metastases), which may influence choice of treatment.","author":[{"dropping-particle":"","family":"Erridge","given":"S.","non-dropping-particle":"","parse-names":false,"suffix":""},{"dropping-particle":"","family":"Pucher","given":"P. H.","non-dropping-particle":"","parse-names":false,"suffix":""},{"dropping-particle":"","family":"Markar","given":"S. R.","non-dropping-particle":"","parse-names":false,"suffix":""},{"dropping-particle":"","family":"Malietzis","given":"G.","non-dropping-particle":"","parse-names":false,"suffix":""},{"dropping-particle":"","family":"Athanasiou","given":"T.","non-dropping-particle":"","parse-names":false,"suffix":""},{"dropping-particle":"","family":"Darzi","given":"A.","non-dropping-particle":"","parse-names":false,"suffix":""},{"dropping-particle":"","family":"Sodergren","given":"M. H.","non-dropping-particle":"","parse-names":false,"suffix":""},{"dropping-particle":"","family":"Jiao","given":"L. R.","non-dropping-particle":"","parse-names":false,"suffix":""}],"container-title":"British Journal of Surgery","id":"ITEM-1","issue":"11","issued":{"date-parts":[["2017","10","1"]]},"page":"1433-1442","publisher":"John Wiley and Sons Ltd","title":"Meta-analysis of determinants of survival following treatment of recurrent hepatocellular carcinoma","type":"article","volume":"104"},"uris":["http://www.mendeley.com/documents/?uuid=6bd0d1a8-c7c5-3f8e-ad35-781000d27d62"]}],"mendeley":{"formattedCitation":"[63]","plainTextFormattedCitation":"[63]","previouslyFormattedCitation":"[63]"},"properties":{"noteIndex":0},"schema":"https://github.com/citation-style-language/schema/raw/master/csl-citation.json"}</w:instrText>
      </w:r>
      <w:r w:rsidR="00C37C8E" w:rsidRPr="00DF0D90">
        <w:fldChar w:fldCharType="separate"/>
      </w:r>
      <w:r w:rsidR="007335C5" w:rsidRPr="00DF0D90">
        <w:rPr>
          <w:noProof/>
        </w:rPr>
        <w:t>[63]</w:t>
      </w:r>
      <w:r w:rsidR="00C37C8E" w:rsidRPr="00DF0D90">
        <w:fldChar w:fldCharType="end"/>
      </w:r>
      <w:r w:rsidR="00641949" w:rsidRPr="00DF0D90">
        <w:t>.</w:t>
      </w:r>
    </w:p>
    <w:p w14:paraId="219C523F" w14:textId="77777777" w:rsidR="00641949" w:rsidRPr="00DF0D90" w:rsidRDefault="00677B1A" w:rsidP="00454D85">
      <w:pPr>
        <w:spacing w:after="120" w:line="360" w:lineRule="auto"/>
        <w:jc w:val="both"/>
        <w:rPr>
          <w:b/>
        </w:rPr>
      </w:pPr>
      <w:r w:rsidRPr="00DF0D90">
        <w:rPr>
          <w:b/>
        </w:rPr>
        <w:t xml:space="preserve">Уровень убедительности рекомендаций – </w:t>
      </w:r>
      <w:r w:rsidRPr="00DF0D90">
        <w:rPr>
          <w:b/>
          <w:lang w:val="en-US"/>
        </w:rPr>
        <w:t>B</w:t>
      </w:r>
      <w:r w:rsidRPr="00DF0D90">
        <w:rPr>
          <w:b/>
        </w:rPr>
        <w:t xml:space="preserve"> (уровен</w:t>
      </w:r>
      <w:r w:rsidR="00454D85" w:rsidRPr="00DF0D90">
        <w:rPr>
          <w:b/>
        </w:rPr>
        <w:t xml:space="preserve">ь достоверности доказательств </w:t>
      </w:r>
      <w:r w:rsidRPr="00DF0D90">
        <w:rPr>
          <w:b/>
        </w:rPr>
        <w:t>2).</w:t>
      </w:r>
    </w:p>
    <w:p w14:paraId="050C072B" w14:textId="4A0F4208" w:rsidR="0072016F" w:rsidRPr="00DF0D90" w:rsidRDefault="008C4700" w:rsidP="00454D85">
      <w:pPr>
        <w:spacing w:after="120" w:line="360" w:lineRule="auto"/>
        <w:jc w:val="both"/>
        <w:rPr>
          <w:i/>
        </w:rPr>
      </w:pPr>
      <w:r w:rsidRPr="00DF0D90">
        <w:rPr>
          <w:b/>
          <w:i/>
        </w:rPr>
        <w:t>Комментарии:</w:t>
      </w:r>
      <w:r w:rsidR="00072AC3" w:rsidRPr="00DF0D90">
        <w:rPr>
          <w:b/>
        </w:rPr>
        <w:t xml:space="preserve"> </w:t>
      </w:r>
      <w:r w:rsidRPr="00DF0D90">
        <w:rPr>
          <w:i/>
        </w:rPr>
        <w:t xml:space="preserve">Основным критерием при определении показаний является техническая возможность выполнения вмешательства с минимальным риском развития осложнений. Деструкции подлежат не более 5 узлов диаметром ≤3 см. Возможна деструкция узлов большего диаметра, но частота локальных рецидивов существенно увеличивается при опухолях &gt;3 см в наибольшем измерении. В ряде случаев целесообразно выполнять </w:t>
      </w:r>
      <w:proofErr w:type="spellStart"/>
      <w:r w:rsidRPr="00DF0D90">
        <w:rPr>
          <w:i/>
        </w:rPr>
        <w:t>аблацию</w:t>
      </w:r>
      <w:proofErr w:type="spellEnd"/>
      <w:r w:rsidRPr="00DF0D90">
        <w:rPr>
          <w:i/>
        </w:rPr>
        <w:t xml:space="preserve"> после проведения предварительной </w:t>
      </w:r>
      <w:proofErr w:type="spellStart"/>
      <w:r w:rsidRPr="00DF0D90">
        <w:rPr>
          <w:i/>
        </w:rPr>
        <w:t>трансартериальной</w:t>
      </w:r>
      <w:proofErr w:type="spellEnd"/>
      <w:r w:rsidRPr="00DF0D90">
        <w:rPr>
          <w:i/>
        </w:rPr>
        <w:t xml:space="preserve"> (химио-)эмболизации опухоли печени</w:t>
      </w:r>
      <w:r w:rsidR="006A0B36" w:rsidRPr="00DF0D90">
        <w:rPr>
          <w:i/>
        </w:rPr>
        <w:t xml:space="preserve"> или осуществлять энергетическую </w:t>
      </w:r>
      <w:proofErr w:type="spellStart"/>
      <w:r w:rsidR="006A0B36" w:rsidRPr="00DF0D90">
        <w:rPr>
          <w:i/>
        </w:rPr>
        <w:t>аблацию</w:t>
      </w:r>
      <w:proofErr w:type="spellEnd"/>
      <w:r w:rsidR="006A0B36" w:rsidRPr="00DF0D90">
        <w:rPr>
          <w:i/>
        </w:rPr>
        <w:t xml:space="preserve"> в комбинации с чрескожным</w:t>
      </w:r>
      <w:r w:rsidR="0082371E" w:rsidRPr="00DF0D90">
        <w:rPr>
          <w:i/>
        </w:rPr>
        <w:t xml:space="preserve"> </w:t>
      </w:r>
      <w:proofErr w:type="spellStart"/>
      <w:r w:rsidR="0082371E" w:rsidRPr="00DF0D90">
        <w:rPr>
          <w:i/>
        </w:rPr>
        <w:t>внутриопухолевым</w:t>
      </w:r>
      <w:proofErr w:type="spellEnd"/>
      <w:r w:rsidR="006A0B36" w:rsidRPr="00DF0D90">
        <w:rPr>
          <w:i/>
        </w:rPr>
        <w:t xml:space="preserve"> введением этилового спирта (химическая </w:t>
      </w:r>
      <w:proofErr w:type="spellStart"/>
      <w:r w:rsidR="006A0B36" w:rsidRPr="00DF0D90">
        <w:rPr>
          <w:i/>
        </w:rPr>
        <w:t>аблация</w:t>
      </w:r>
      <w:proofErr w:type="spellEnd"/>
      <w:r w:rsidR="006A0B36" w:rsidRPr="00DF0D90">
        <w:rPr>
          <w:i/>
        </w:rPr>
        <w:t xml:space="preserve">). </w:t>
      </w:r>
      <w:r w:rsidRPr="00DF0D90">
        <w:rPr>
          <w:i/>
        </w:rPr>
        <w:t>Локальная деструкция противопоказана при множественном поражении печени, декомпенсированном циррозе (класса C по Child – </w:t>
      </w:r>
      <w:proofErr w:type="spellStart"/>
      <w:r w:rsidRPr="00DF0D90">
        <w:rPr>
          <w:i/>
        </w:rPr>
        <w:t>Pugh</w:t>
      </w:r>
      <w:proofErr w:type="spellEnd"/>
      <w:r w:rsidRPr="00DF0D90">
        <w:rPr>
          <w:i/>
        </w:rPr>
        <w:t xml:space="preserve">), внепеченочных проявлениях заболевания, при наличии портального шунта, </w:t>
      </w:r>
      <w:proofErr w:type="spellStart"/>
      <w:r w:rsidRPr="00DF0D90">
        <w:rPr>
          <w:i/>
        </w:rPr>
        <w:t>несмещаемом</w:t>
      </w:r>
      <w:proofErr w:type="spellEnd"/>
      <w:r w:rsidRPr="00DF0D90">
        <w:rPr>
          <w:i/>
        </w:rPr>
        <w:t xml:space="preserve"> прилежании опухолевого узла к рядом расположенным </w:t>
      </w:r>
      <w:r w:rsidR="006A0B36" w:rsidRPr="00DF0D90">
        <w:rPr>
          <w:i/>
        </w:rPr>
        <w:t xml:space="preserve">полым </w:t>
      </w:r>
      <w:r w:rsidRPr="00DF0D90">
        <w:rPr>
          <w:i/>
        </w:rPr>
        <w:t xml:space="preserve">органам, а также </w:t>
      </w:r>
      <w:r w:rsidR="006A0B36" w:rsidRPr="00DF0D90">
        <w:rPr>
          <w:i/>
        </w:rPr>
        <w:t xml:space="preserve">к </w:t>
      </w:r>
      <w:r w:rsidRPr="00DF0D90">
        <w:rPr>
          <w:i/>
        </w:rPr>
        <w:t>вне(внутри-)печеночно расположенным трубчатым структурам</w:t>
      </w:r>
      <w:r w:rsidR="00C37C8E" w:rsidRPr="00DF0D90">
        <w:rPr>
          <w:i/>
        </w:rPr>
        <w:t xml:space="preserve"> </w:t>
      </w:r>
      <w:r w:rsidR="000A74C1" w:rsidRPr="00DF0D90">
        <w:rPr>
          <w:i/>
        </w:rPr>
        <w:fldChar w:fldCharType="begin" w:fldLock="1"/>
      </w:r>
      <w:r w:rsidR="007335C5" w:rsidRPr="00DF0D90">
        <w:rPr>
          <w:i/>
        </w:rPr>
        <w:instrText>ADDIN CSL_CITATION {"citationItems":[{"id":"ITEM-1","itemData":{"DOI":"10.1148/radiol.2281020718","ISSN":"00338419","PMID":"12759473","abstract":"PURPOSE: To compare the effectiveness of radio-frequency (RF) thermal ablation with that of percutaneous ethanol injection (PEI) for the treatment of small hepatocellular carcinoma (HCC) in patients with cirrhosis. MATERIALS AND METHODS: A series of 102 patients with hepatic cirrhosis and either single HCC 5 cm in diameter or smaller or as many as three HCCs each 3 cm or smaller (overall number of lesions, 142) randomly received either RF ablation (n = 52) or PEI (n = 50) as the sole first-line anticancer treatment. Mean follow-up was 22.9 months ± 9.4 (SD) in the RF group and 22.4 months ± 8.6 in the PEI group. Prognostic value of treatment techniques was assessed with univariate and multivariate Cox proportional hazards regression models. RESULTS: One- and 2-year survival rates were 100% and 98% in the RF group and 96% and 88% in the PEI group, respectively (univariate relative risk [RR] = 0.20; 95% CI: 0.02, 1.69; P = .138). One- and 2-year local recurrence-free survival rates were 98% and 96% in the RF group and 83% and 62% in the PEI group, respectively (univariate RR = 0.17; 95% CI: 0.06, 0.51; P = .002). One- and 2-year event-free survival rates were 86% and 64% for the RF group and 77% and 43% for the PEI group, respectively (univariate RR = 0.48; 95% CI: 0.27, 0.85; P = .012). RF treatment was confirmed as an independent prognostic factor for local recurrence-free survival rates with multivariate analysis (adjusted RR = 0.20; 95% CI: 0.05, 0.73; P = .015). CONCLUSION: RF ablation is superior to PEI with respect to local recurrence-free survival rates. © RSNA, 2003.","author":[{"dropping-particle":"","family":"Lencioni","given":"Riccardo A.","non-dropping-particle":"","parse-names":false,"suffix":""},{"dropping-particle":"","family":"Allgaier","given":"Hans Peter","non-dropping-particle":"","parse-names":false,"suffix":""},{"dropping-particle":"","family":"Cioni","given":"Dania","non-dropping-particle":"","parse-names":false,"suffix":""},{"dropping-particle":"","family":"Olschewski","given":"Manfred","non-dropping-particle":"","parse-names":false,"suffix":""},{"dropping-particle":"","family":"Deibert","given":"Peter","non-dropping-particle":"","parse-names":false,"suffix":""},{"dropping-particle":"","family":"Crocetti","given":"Laura","non-dropping-particle":"","parse-names":false,"suffix":""},{"dropping-particle":"","family":"Frings","given":"Holger","non-dropping-particle":"","parse-names":false,"suffix":""},{"dropping-particle":"","family":"Laubenberger","given":"Joerg","non-dropping-particle":"","parse-names":false,"suffix":""},{"dropping-particle":"","family":"Zuber","given":"Ina","non-dropping-particle":"","parse-names":false,"suffix":""},{"dropping-particle":"","family":"Blum","given":"Hubert E.","non-dropping-particle":"","parse-names":false,"suffix":""},{"dropping-particle":"","family":"Bartolozzi","given":"Carlo","non-dropping-particle":"","parse-names":false,"suffix":""}],"container-title":"Radiology","id":"ITEM-1","issue":"1","issued":{"date-parts":[["2003","7"]]},"page":"235-240","title":"Small hepatocellular carcinoma in cirrhosis: Randomized comparison of radio-frequency thermal ablation versus percutaneous ethanol injection","type":"article-journal","volume":"228"},"uris":["http://www.mendeley.com/documents/?uuid=52df5fca-38d5-3ad0-83f2-ede04f2a3caa"]},{"id":"ITEM-2","itemData":{"DOI":"10.1136/gut.2004.045203","ISSN":"00175749","PMID":"16009687","abstract":"Aims: The aim of this study was to compare the outcomes of radiofrequency thermal ablation (RFTA), percutaneous ethanol injection (PEI), and percutaneous acetic acid injection (PAI) in the treatment of hepatocellular carcinoma (HCC). Patients and methods: A total of 187 patients with HCCs of 3 cm or less were randomly assigned to RFTA (n = 62), PEI (n = 62), or PAI (n = 63). Tumour recurrence and survival rates were assessed. Results: One, two, and three year local recurrence rates were 10%, 14%, and 14% in the RFTA group, 16%, 34%, and 34% in the PEI group, and 14%, 31%, and 31% in the PAI group (RFTA v PEI, p = 0.012; RFTA v PAI, p = 0.017). One, two, and three year survival rates were 93%, 81%, and 74% in the RFTA group, 88%, 66%, and 51% in the PEI group, and 90%, 67%, and 53% in the PAI group (RFTA v PEI, p = 0.031; RFTA v PAI, p = 0.038). One, two, and three year cancer free survival rates were 74%, 60%, and 43% in the RFTA group, 70%, 41%, and 21% in the PEI group, and 71%, 43%, and 23% in the PAI group (RFTA v PEI, p = 0.038; RFTA v PAI, p = 0.041). Tumour size, tumour differentiation, and treatment methods (RFTA v PEI and PAI) were significant factors for local recurrence, overall survival, and cancer free survival. Major complications occurred in 4.8% of patients (two with haemothorax, one gastric perforation) in the RFTA group and in none in two other groups (RFTA v PEI and PAI, p = 0.035). Conclusions: RFTA was superior to PEI and PAI with respect to local recurrence, overall survival, and cancer free survival rates, but RFTA also caused more major complications.","author":[{"dropping-particle":"","family":"Lin","given":"S. M.","non-dropping-particle":"","parse-names":false,"suffix":""},{"dropping-particle":"","family":"Lin","given":"C. J.","non-dropping-particle":"","parse-names":false,"suffix":""},{"dropping-particle":"","family":"Lin","given":"C. C.","non-dropping-particle":"","parse-names":false,"suffix":""},{"dropping-particle":"","family":"Hsu","given":"C. W.","non-dropping-particle":"","parse-names":false,"suffix":""},{"dropping-particle":"","family":"Chen","given":"Y. C.","non-dropping-particle":"","parse-names":false,"suffix":""}],"container-title":"Gut","id":"ITEM-2","issue":"8","issued":{"date-parts":[["2005","8","1"]]},"page":"1151-1156","title":"Randomised controlled trial comparing percutaneous radiofrequency thermal ablation, percutaneous ethanol injection, and percutaneous acetic acid injection to treat hepatocellular carcinoma of 3 cm or less","type":"article-journal","volume":"54"},"uris":["http://www.mendeley.com/documents/?uuid=50c1474e-1861-39e6-81e0-71bc571aaacd"]},{"id":"ITEM-3","itemData":{"DOI":"10.1002/hep.22648","ISSN":"02709139","PMID":"19065676","abstract":"According to the American Association for the Study of Liver Diseases guidelines, percutaneous ethanol injection (PEI) is a safe and highly effective treatment for small hepatocellular carcinomas (HCC) and should be the standard against which any new therapy is compared. The primary purpose of this study was to identify survival benefit of any percutaneous ablation therapy as compared with PEI in the treatment of patients with unresectable HCC. The secondary endpoints were initial tumor response, local tumor progression, and complications. Randomized controlled trials that compared pecutaneous ablative therapies with PEI were included. MEDLINE, the Cochrane Library, CANCERLIT, and manual search from 1978 to July 2008 were used. To control the potential heterogeneity, the random effects model of DerSimonian and Laird was used for ameta-analysis. Egger's test was performed to test a potential publication bias. We identified seven randomized controlled trials (RCTs), but only four RCTs including 652 patients that compared radiofrequency ablation (RFA) with PEI met the inclusion criteria to perform a meta-analysis assessing 3-year survival. A meta-analysis of the four RCTs demonstrated a significant improvement in 3-year survival favoring RFA over PEI (odds ratio 0.477, 95% confidence interval 0.340-0.670; P&lt;0.001). Heterogeneity among the four trials was not significant (Q = 4.586; P= 0.205). Egger's test revealed that the publication bias was not significant (P = 0.647). However, the number of patients included in the analysis was insufficient for a robust meta-analysis of initial tumor response. The definition of local tumor progression or major complication was not unified among the trials included in the meta-analysis. Conclusion: RFA demonstrated significantly improved 3-year survival status for patients with HCC, when compared to PEI. Copyright © 2008 by the American Association for the Study of Liver Diseases.","author":[{"dropping-particle":"","family":"Cho","given":"Yun Ku","non-dropping-particle":"","parse-names":false,"suffix":""},{"dropping-particle":"","family":"Kim","given":"Jae Kyun","non-dropping-particle":"","parse-names":false,"suffix":""},{"dropping-particle":"","family":"Kim","given":"Mi Young","non-dropping-particle":"","parse-names":false,"suffix":""},{"dropping-particle":"","family":"Rhim","given":"Hyunchul","non-dropping-particle":"","parse-names":false,"suffix":""},{"dropping-particle":"","family":"Han","given":"Joon Koo","non-dropping-particle":"","parse-names":false,"suffix":""}],"container-title":"Hepatology","id":"ITEM-3","issue":"2","issued":{"date-parts":[["2009","2"]]},"page":"453-459","title":"Systematic review of randomized trials for hepatocellular carcinoma treated with percutaneous ablation therapies","type":"article","volume":"49"},"uris":["http://www.mendeley.com/documents/?uuid=2f7031da-28b5-3391-ac20-7f6e64ae0817"]}],"mendeley":{"formattedCitation":"[64–66]","plainTextFormattedCitation":"[64–66]","previouslyFormattedCitation":"[64–66]"},"properties":{"noteIndex":0},"schema":"https://github.com/citation-style-language/schema/raw/master/csl-citation.json"}</w:instrText>
      </w:r>
      <w:r w:rsidR="000A74C1" w:rsidRPr="00DF0D90">
        <w:rPr>
          <w:i/>
        </w:rPr>
        <w:fldChar w:fldCharType="separate"/>
      </w:r>
      <w:r w:rsidR="007335C5" w:rsidRPr="00DF0D90">
        <w:rPr>
          <w:noProof/>
        </w:rPr>
        <w:t>[64–66]</w:t>
      </w:r>
      <w:r w:rsidR="000A74C1" w:rsidRPr="00DF0D90">
        <w:rPr>
          <w:i/>
        </w:rPr>
        <w:fldChar w:fldCharType="end"/>
      </w:r>
      <w:r w:rsidR="00452147" w:rsidRPr="00DF0D90">
        <w:rPr>
          <w:i/>
        </w:rPr>
        <w:t>.</w:t>
      </w:r>
      <w:r w:rsidR="0069731A" w:rsidRPr="00DF0D90">
        <w:rPr>
          <w:i/>
        </w:rPr>
        <w:t xml:space="preserve"> В качестве методов локальной</w:t>
      </w:r>
      <w:r w:rsidR="00E63536" w:rsidRPr="00DF0D90">
        <w:rPr>
          <w:rFonts w:eastAsia="BlissPro-Light"/>
        </w:rPr>
        <w:t xml:space="preserve"> </w:t>
      </w:r>
      <w:r w:rsidR="00E63536" w:rsidRPr="00DF0D90">
        <w:rPr>
          <w:rFonts w:eastAsia="BlissPro-Light"/>
          <w:i/>
        </w:rPr>
        <w:t>чрескожной и лапароскопически-</w:t>
      </w:r>
      <w:proofErr w:type="spellStart"/>
      <w:r w:rsidR="00E63536" w:rsidRPr="00DF0D90">
        <w:rPr>
          <w:rFonts w:eastAsia="BlissPro-Light"/>
          <w:i/>
        </w:rPr>
        <w:t>ассистированной</w:t>
      </w:r>
      <w:proofErr w:type="spellEnd"/>
      <w:r w:rsidR="00E63536" w:rsidRPr="00DF0D90">
        <w:rPr>
          <w:rFonts w:eastAsia="BlissPro-Light"/>
        </w:rPr>
        <w:t xml:space="preserve"> </w:t>
      </w:r>
      <w:r w:rsidR="0069731A" w:rsidRPr="00DF0D90">
        <w:rPr>
          <w:i/>
        </w:rPr>
        <w:t xml:space="preserve">энергетической </w:t>
      </w:r>
      <w:proofErr w:type="spellStart"/>
      <w:r w:rsidR="0069731A" w:rsidRPr="00DF0D90">
        <w:rPr>
          <w:i/>
        </w:rPr>
        <w:t>аблации</w:t>
      </w:r>
      <w:proofErr w:type="spellEnd"/>
      <w:r w:rsidR="0069731A" w:rsidRPr="00DF0D90">
        <w:rPr>
          <w:i/>
        </w:rPr>
        <w:t xml:space="preserve"> </w:t>
      </w:r>
      <w:r w:rsidR="00FF75E4" w:rsidRPr="00DF0D90">
        <w:rPr>
          <w:i/>
        </w:rPr>
        <w:t xml:space="preserve">рекомендуется </w:t>
      </w:r>
      <w:r w:rsidR="0069731A" w:rsidRPr="00DF0D90">
        <w:rPr>
          <w:i/>
        </w:rPr>
        <w:t xml:space="preserve">использовать радиочастотную </w:t>
      </w:r>
      <w:proofErr w:type="spellStart"/>
      <w:r w:rsidR="0069731A" w:rsidRPr="00DF0D90">
        <w:rPr>
          <w:i/>
        </w:rPr>
        <w:t>аблацию</w:t>
      </w:r>
      <w:proofErr w:type="spellEnd"/>
      <w:r w:rsidR="0069731A" w:rsidRPr="00DF0D90">
        <w:rPr>
          <w:i/>
        </w:rPr>
        <w:t xml:space="preserve">, микроволновую </w:t>
      </w:r>
      <w:proofErr w:type="spellStart"/>
      <w:r w:rsidR="0069731A" w:rsidRPr="00DF0D90">
        <w:rPr>
          <w:i/>
        </w:rPr>
        <w:t>аблацию</w:t>
      </w:r>
      <w:proofErr w:type="spellEnd"/>
      <w:r w:rsidR="0069731A" w:rsidRPr="00DF0D90">
        <w:rPr>
          <w:i/>
        </w:rPr>
        <w:t xml:space="preserve"> и </w:t>
      </w:r>
      <w:proofErr w:type="spellStart"/>
      <w:r w:rsidR="0069731A" w:rsidRPr="00DF0D90">
        <w:rPr>
          <w:i/>
        </w:rPr>
        <w:t>криоаблацию</w:t>
      </w:r>
      <w:proofErr w:type="spellEnd"/>
      <w:r w:rsidR="00FF75E4" w:rsidRPr="00DF0D90">
        <w:rPr>
          <w:i/>
        </w:rPr>
        <w:t xml:space="preserve">. </w:t>
      </w:r>
      <w:r w:rsidR="0072016F" w:rsidRPr="00DF0D90">
        <w:rPr>
          <w:i/>
        </w:rPr>
        <w:t xml:space="preserve">В качестве метода локальной химической </w:t>
      </w:r>
      <w:proofErr w:type="spellStart"/>
      <w:r w:rsidR="0072016F" w:rsidRPr="00DF0D90">
        <w:rPr>
          <w:i/>
        </w:rPr>
        <w:t>абл</w:t>
      </w:r>
      <w:r w:rsidR="00992015" w:rsidRPr="00DF0D90">
        <w:rPr>
          <w:i/>
        </w:rPr>
        <w:t>а</w:t>
      </w:r>
      <w:r w:rsidR="0072016F" w:rsidRPr="00DF0D90">
        <w:rPr>
          <w:i/>
        </w:rPr>
        <w:t>ции</w:t>
      </w:r>
      <w:proofErr w:type="spellEnd"/>
      <w:r w:rsidR="0072016F" w:rsidRPr="00DF0D90">
        <w:rPr>
          <w:i/>
        </w:rPr>
        <w:t xml:space="preserve"> рекомендуется использовать чрескожное введение этилового спирта </w:t>
      </w:r>
      <w:r w:rsidR="000A74C1" w:rsidRPr="00DF0D90">
        <w:rPr>
          <w:i/>
        </w:rPr>
        <w:fldChar w:fldCharType="begin" w:fldLock="1"/>
      </w:r>
      <w:r w:rsidR="007335C5" w:rsidRPr="00DF0D90">
        <w:rPr>
          <w:i/>
        </w:rPr>
        <w:instrText>ADDIN CSL_CITATION {"citationItems":[{"id":"ITEM-1","itemData":{"DOI":"10.1186/s12957-017-1196-2","ISSN":"1477-7819","author":[{"dropping-particle":"","family":"Luo","given":"Wen","non-dropping-particle":"","parse-names":false,"suffix":""},{"dropping-particle":"","family":"Zhang","given":"Yunfei","non-dropping-particle":"","parse-names":false,"suffix":""},{"dropping-particle":"","family":"He","given":"Guangbin","non-dropping-particle":"","parse-names":false,"suffix":""},{"dropping-particle":"","family":"Yu","given":"Ming","non-dropping-particle":"","parse-names":false,"suffix":""},{"dropping-particle":"","family":"Zheng","given":"Minjuan","non-dropping-particle":"","parse-names":false,"suffix":""},{"dropping-particle":"","family":"Liu","given":"Liwen","non-dropping-particle":"","parse-names":false,"suffix":""},{"dropping-particle":"","family":"Zhou","given":"Xiaodong","non-dropping-particle":"","parse-names":false,"suffix":""}],"container-title":"World Journal of Surgical Oncology","id":"ITEM-1","issue":"1","issued":{"date-parts":[["2017","12","10"]]},"page":"126","title":"Effects of radiofrequency ablation versus other ablating techniques on hepatocellular carcinomas: a systematic review and meta-analysis","type":"article-journal","volume":"15"},"uris":["http://www.mendeley.com/documents/?uuid=57736d79-606d-4fde-bb64-107b13aa6bb3"]},{"id":"ITEM-2","itemData":{"DOI":"10.1007/s00270-020-02471-z","ISSN":"1432086X","PMID":"32382856","abstract":"This CIRSE Standards of Practice document reviews current literature and provides best practices for image guided thermal ablation of liver tumours, including radiofrequency, microwave and cryoablation techniques.","author":[{"dropping-particle":"","family":"Crocetti","given":"Laura","non-dropping-particle":"","parse-names":false,"suffix":""},{"dropping-particle":"","family":"Baére","given":"Thierry","non-dropping-particle":"de","parse-names":false,"suffix":""},{"dropping-particle":"","family":"Pereira","given":"Philippe L.","non-dropping-particle":"","parse-names":false,"suffix":""},{"dropping-particle":"","family":"Tarantino","given":"Francesco Paolo","non-dropping-particle":"","parse-names":false,"suffix":""}],"container-title":"CardioVascular and Interventional Radiology","id":"ITEM-2","issue":"7","issued":{"date-parts":[["2020","7","1"]]},"page":"951-962","publisher":"Springer","title":"CIRSE Standards of Practice on Thermal Ablation of Liver Tumours","type":"article-journal","volume":"43"},"uris":["http://www.mendeley.com/documents/?uuid=9e06d629-3c66-36b7-b9f5-4c4501db7f46"]},{"id":"ITEM-3","itemData":{"DOI":"10.1007/s00330-020-07610-1","ISSN":"14321084","PMID":"33439319","abstract":"Objective: To compare overall survival (OS) and local recurrence (LR) following radiofrequency ablation (RFA), microwave ablation (MWA), and cryoablation (CA) for very early and early hepatocellular carcinoma (HCC). Methods: This systematic review was performed according to the PRISMA guidelines. MEDLINE, Embase, and Cochrane databases were searched. Randomized controlled trials (RCTs) and observational studies were included. OS and LR at 1 year and 3 years were assessed. OS was reported as hazard ratio (HR) with 95% credible intervals (CrI) and LR as relative risk (RR) with 95% CrI, to summarize effect of each comparison. Results: Nineteen studies (3043 patients), including six RCTs and 13 observational studies, met inclusion criteria. For OS at 1 year, as compared to RFA, CA had HR of 0.81 (95% CrI: 0.43–1.51), and MWA had HR of 1.01 (95% CrI: 0.71–1.43). For OS at 3 years, as compared to RFA, CA had HR of 0.90 (95% CrI: 0.48–1.64) and MWA had HR of 1.07 (95% CrI: 0.73–1.50). For LR at 1 year, CA and MWA had RR of 0.75 (95% CrI: 0.45–1.24) and 0.93 (95% CrI: 0.78–1.14), respectively, as compared to RFA. For LR at 3 years, CA and MWA had RR of 0.96 (0.74–1.23) and 0.98 (0.87–1.09), respectively, as compared to RFA. Overall, none of the comparisons was statistically significant. Age of patients and tumor size did not influence treatment effect. Conclusions: RFA, MWA, and CA are equally effective for locoregional treatment of very early and early HCC. Key Points: • There is no significant difference in the OS and LR (at 1 year and 3 years) following ablation of very early and early HCC with RFA, MWA, and CA. • There was no effect of tumor size on the treatment efficacy. • More RCTs comparing CA with RFA and MWA should be performed.","author":[{"dropping-particle":"","family":"Gupta","given":"Pankaj","non-dropping-particle":"","parse-names":false,"suffix":""},{"dropping-particle":"","family":"Maralakunte","given":"Muniraju","non-dropping-particle":"","parse-names":false,"suffix":""},{"dropping-particle":"","family":"Kumar-M","given":"Praveen","non-dropping-particle":"","parse-names":false,"suffix":""},{"dropping-particle":"","family":"Chandel","given":"Karamvir","non-dropping-particle":"","parse-names":false,"suffix":""},{"dropping-particle":"","family":"Chaluvashetty","given":"Sreedhara B.","non-dropping-particle":"","parse-names":false,"suffix":""},{"dropping-particle":"","family":"Bhujade","given":"Harish","non-dropping-particle":"","parse-names":false,"suffix":""},{"dropping-particle":"","family":"Kalra","given":"Naveen","non-dropping-particle":"","parse-names":false,"suffix":""},{"dropping-particle":"","family":"Sandhu","given":"Manavjit Singh","non-dropping-particle":"","parse-names":false,"suffix":""}],"container-title":"European Radiology","id":"ITEM-3","issue":"7","issued":{"date-parts":[["2021","7","1"]]},"page":"5400-5408","publisher":"Springer Science and Business Media Deutschland GmbH","title":"Overall survival and local recurrence following RFA, MWA, and cryoablation of very early and early HCC: a systematic review and Bayesian network meta-analysis","type":"article-journal","volume":"31"},"uris":["http://www.mendeley.com/documents/?uuid=a6ce2ae7-e893-3992-aee0-aeb1a8e228e4"]},{"id":"ITEM-4","itemData":{"DOI":"10.1002/14651858.CD006745.pub3","ISSN":"1469493X","PMID":"25620061","abstract":"Background: Hepatocellular carcinoma (HCC) is the fifth most common global cancer. When HCC is diagnosed early, interventions such as percutaneous ethanol injection (PEI), percutaneous acetic acid injection (PAI), or radiofrequency (thermal) ablation (RF(T)A) may have curative potential and represent less invasive alternatives to surgery. Objectives: To evaluate the beneficial and harmful effects of PEI or PAI in adults with early HCC defined according to the Milan criteria, that is, one cancer nodule up to 5 cm in diameter or up to three cancer nodules up to 3 cm in diameter compared with no intervention, sham intervention, each other, other percutaneous interventions, or surgery. Search methods: We searched the Cochrane Hepato-Biliary Group Controlled Trials Register (July 2014), the Cochrane Central Register of Controlled Trials (CENTRAL) (2014, Issue 6), MEDLINE (1946 to July 2014), EMBASE (1976 to July 2014), and Science Citation Index Expanded (1900 to July 2014). We handsearched meeting abstracts of six oncological and hepatological societies and references of articles to July 2014. We contacted researchers in the field. Selection criteria: We considered randomised clinical trials comparing PEI or PAI versus no intervention, sham intervention, each other, other percutaneous interventions, or surgery for the treatment of early HCC regardless of blinding, publication status, or language. We excluded studies comparing RFA or combination of different interventions as such interventions have been or will be addressed in other Cochrane Hepato-Biliary Group systematic reviews. Data collection and analysis: Two review authors independently selected trials for inclusion, and extracted and analysed data. We calculated the hazard ratios (HR) for median overall survival and recurrence-free survival using the Cox regression model with Parmar's method. We reported type and number of adverse events descriptively. We assessed risk of bias by The Cochrane Collaboration domains to reduce systematic errors and risk of play of chance by trial sequential analysis to reduce random errors. We assessed the methodological quality with GRADE. Main results: We identified three randomised trials with 261 participants for inclusion. The risk of bias was low in one and high in two trials. Two of the randomised trials compared PEI versus PAI; we included 185 participants in the analysis. The overall survival (HR 1.47; 95% confidence interval (CI) 0.68 to 3.19) and recurrence-f…","author":[{"dropping-particle":"","family":"Weis","given":"Sebastian","non-dropping-particle":"","parse-names":false,"suffix":""},{"dropping-particle":"","family":"Franke","given":"Annegret","non-dropping-particle":"","parse-names":false,"suffix":""},{"dropping-particle":"","family":"Berg","given":"Thomas","non-dropping-particle":"","parse-names":false,"suffix":""},{"dropping-particle":"","family":"Mössner","given":"Joachim","non-dropping-particle":"","parse-names":false,"suffix":""},{"dropping-particle":"","family":"Fleig","given":"Wolfgang E.","non-dropping-particle":"","parse-names":false,"suffix":""},{"dropping-particle":"","family":"Schoppmeyer","given":"Konrad","non-dropping-particle":"","parse-names":false,"suffix":""}],"container-title":"Cochrane Database of Systematic Reviews","id":"ITEM-4","issue":"6","issued":{"date-parts":[["2015","1","26"]]},"publisher":"John Wiley and Sons Ltd","title":"Percutaneous ethanol injection or percutaneous acetic acid injection for early hepatocellular carcinoma","type":"article","volume":"2017"},"uris":["http://www.mendeley.com/documents/?uuid=7917f5a8-617f-3ed7-a77e-aa3c43c02aa9"]}],"mendeley":{"formattedCitation":"[67–70]","plainTextFormattedCitation":"[67–70]","previouslyFormattedCitation":"[67–70]"},"properties":{"noteIndex":0},"schema":"https://github.com/citation-style-language/schema/raw/master/csl-citation.json"}</w:instrText>
      </w:r>
      <w:r w:rsidR="000A74C1" w:rsidRPr="00DF0D90">
        <w:rPr>
          <w:i/>
        </w:rPr>
        <w:fldChar w:fldCharType="separate"/>
      </w:r>
      <w:r w:rsidR="007335C5" w:rsidRPr="00DF0D90">
        <w:rPr>
          <w:noProof/>
        </w:rPr>
        <w:t>[67–70]</w:t>
      </w:r>
      <w:r w:rsidR="000A74C1" w:rsidRPr="00DF0D90">
        <w:rPr>
          <w:i/>
        </w:rPr>
        <w:fldChar w:fldCharType="end"/>
      </w:r>
      <w:r w:rsidR="002629E9" w:rsidRPr="00DF0D90">
        <w:rPr>
          <w:i/>
        </w:rPr>
        <w:t>.</w:t>
      </w:r>
    </w:p>
    <w:p w14:paraId="397BACA7" w14:textId="77777777" w:rsidR="00EE74E0" w:rsidRPr="00DF0D90" w:rsidRDefault="00AC1020" w:rsidP="00454D85">
      <w:pPr>
        <w:pStyle w:val="a"/>
        <w:numPr>
          <w:ilvl w:val="0"/>
          <w:numId w:val="34"/>
        </w:numPr>
        <w:spacing w:before="0" w:after="120" w:line="360" w:lineRule="auto"/>
        <w:ind w:left="0" w:firstLine="567"/>
        <w:jc w:val="both"/>
        <w:rPr>
          <w:color w:val="auto"/>
        </w:rPr>
      </w:pPr>
      <w:r w:rsidRPr="00DF0D90">
        <w:rPr>
          <w:b/>
          <w:color w:val="auto"/>
        </w:rPr>
        <w:t xml:space="preserve">Рекомендуется </w:t>
      </w:r>
      <w:r w:rsidR="006A2AEF" w:rsidRPr="00DF0D90">
        <w:rPr>
          <w:color w:val="auto"/>
        </w:rPr>
        <w:t>дистанционная лучевая терапия стереотаксическим методом</w:t>
      </w:r>
      <w:r w:rsidR="00454D85" w:rsidRPr="00DF0D90">
        <w:rPr>
          <w:color w:val="auto"/>
          <w:lang w:val="ru-RU"/>
        </w:rPr>
        <w:t xml:space="preserve"> </w:t>
      </w:r>
      <w:r w:rsidRPr="00DF0D90">
        <w:rPr>
          <w:color w:val="auto"/>
        </w:rPr>
        <w:t xml:space="preserve">единичных (1–3) опухолевых узлов при </w:t>
      </w:r>
      <w:r w:rsidRPr="00DF0D90">
        <w:rPr>
          <w:bCs/>
          <w:color w:val="auto"/>
        </w:rPr>
        <w:t xml:space="preserve">ГЦР стадии </w:t>
      </w:r>
      <w:r w:rsidRPr="00DF0D90">
        <w:rPr>
          <w:color w:val="auto"/>
          <w:lang w:val="en-US"/>
        </w:rPr>
        <w:t>BCLC</w:t>
      </w:r>
      <w:r w:rsidRPr="00DF0D90">
        <w:rPr>
          <w:color w:val="auto"/>
        </w:rPr>
        <w:t xml:space="preserve"> 0–</w:t>
      </w:r>
      <w:r w:rsidRPr="00DF0D90">
        <w:rPr>
          <w:color w:val="auto"/>
          <w:lang w:val="en-US"/>
        </w:rPr>
        <w:t>A</w:t>
      </w:r>
      <w:r w:rsidRPr="00DF0D90">
        <w:rPr>
          <w:color w:val="auto"/>
        </w:rPr>
        <w:t xml:space="preserve">, </w:t>
      </w:r>
      <w:r w:rsidR="008B0CF8" w:rsidRPr="00DF0D90">
        <w:rPr>
          <w:color w:val="auto"/>
          <w:lang w:val="ru-RU"/>
        </w:rPr>
        <w:t xml:space="preserve">в случае </w:t>
      </w:r>
      <w:r w:rsidR="006A2AEF" w:rsidRPr="00DF0D90">
        <w:rPr>
          <w:color w:val="auto"/>
        </w:rPr>
        <w:t>наличи</w:t>
      </w:r>
      <w:r w:rsidR="008B0CF8" w:rsidRPr="00DF0D90">
        <w:rPr>
          <w:color w:val="auto"/>
          <w:lang w:val="ru-RU"/>
        </w:rPr>
        <w:t>я</w:t>
      </w:r>
      <w:r w:rsidRPr="00DF0D90">
        <w:rPr>
          <w:color w:val="auto"/>
        </w:rPr>
        <w:t xml:space="preserve"> </w:t>
      </w:r>
      <w:r w:rsidRPr="00DF0D90">
        <w:rPr>
          <w:color w:val="auto"/>
        </w:rPr>
        <w:lastRenderedPageBreak/>
        <w:t>противопоказани</w:t>
      </w:r>
      <w:r w:rsidR="006A2AEF" w:rsidRPr="00DF0D90">
        <w:rPr>
          <w:color w:val="auto"/>
        </w:rPr>
        <w:t>й</w:t>
      </w:r>
      <w:r w:rsidRPr="00DF0D90">
        <w:rPr>
          <w:color w:val="auto"/>
        </w:rPr>
        <w:t xml:space="preserve"> к </w:t>
      </w:r>
      <w:r w:rsidR="00EE74E0" w:rsidRPr="00DF0D90">
        <w:rPr>
          <w:color w:val="auto"/>
          <w:lang w:val="ru-RU"/>
        </w:rPr>
        <w:t xml:space="preserve">хирургическому лечению и противопоказаний к </w:t>
      </w:r>
      <w:r w:rsidRPr="00DF0D90">
        <w:rPr>
          <w:color w:val="auto"/>
        </w:rPr>
        <w:t>использованию методов локальной деструкции</w:t>
      </w:r>
      <w:r w:rsidR="00F35677" w:rsidRPr="00DF0D90">
        <w:rPr>
          <w:color w:val="auto"/>
          <w:lang w:val="ru-RU"/>
        </w:rPr>
        <w:t xml:space="preserve"> в виде </w:t>
      </w:r>
      <w:r w:rsidR="008B0CF8" w:rsidRPr="00DF0D90">
        <w:rPr>
          <w:color w:val="auto"/>
          <w:lang w:val="ru-RU"/>
        </w:rPr>
        <w:t>энергетической и</w:t>
      </w:r>
      <w:r w:rsidR="0094658D" w:rsidRPr="00DF0D90">
        <w:rPr>
          <w:color w:val="auto"/>
          <w:lang w:val="ru-RU"/>
        </w:rPr>
        <w:t xml:space="preserve">ли химической </w:t>
      </w:r>
      <w:proofErr w:type="spellStart"/>
      <w:r w:rsidR="0094658D" w:rsidRPr="00DF0D90">
        <w:rPr>
          <w:color w:val="auto"/>
          <w:lang w:val="ru-RU"/>
        </w:rPr>
        <w:t>абла</w:t>
      </w:r>
      <w:r w:rsidR="008B0CF8" w:rsidRPr="00DF0D90">
        <w:rPr>
          <w:color w:val="auto"/>
          <w:lang w:val="ru-RU"/>
        </w:rPr>
        <w:t>ции</w:t>
      </w:r>
      <w:proofErr w:type="spellEnd"/>
      <w:r w:rsidR="0094658D" w:rsidRPr="00DF0D90">
        <w:rPr>
          <w:color w:val="auto"/>
          <w:lang w:val="ru-RU"/>
        </w:rPr>
        <w:t xml:space="preserve"> </w:t>
      </w:r>
      <w:r w:rsidR="000A74C1" w:rsidRPr="00DF0D90">
        <w:rPr>
          <w:color w:val="auto"/>
          <w:lang w:val="ru-RU"/>
        </w:rPr>
        <w:fldChar w:fldCharType="begin" w:fldLock="1"/>
      </w:r>
      <w:r w:rsidR="007335C5" w:rsidRPr="00DF0D90">
        <w:rPr>
          <w:color w:val="auto"/>
          <w:lang w:val="ru-RU"/>
        </w:rPr>
        <w:instrText>ADDIN CSL_CITATION {"citationItems":[{"id":"ITEM-1","itemData":{"DOI":"10.1002/cam4.1948","ISSN":"20457634","PMID":"30701703","abstract":"Background: Stereotactic body radiation therapy (SBRT) is an emerging option for unresectable hepatocellular carcinoma (HCC) without consensus regarding optimal dose schemas. This analysis identifies practice patterns and factors that influence dose selection and overall survival, with particular emphasis on dose and tumor size. Materials/Methods: Query of the National Cancer Database (NCDB) identified patients with unresectable, nonmetastatic HCC who received SBRT from 2004 to 2013. Biological Effective Dose (BED) was calculated for each patient in order to uniformly analyze different fractionation regimens. Results: A total of 456 patients met the inclusion criteria. The median BED was 100 Gy (22.5-208.0), which corresponded to the most common dose fractionation (50 Gy in five fractions). Various factors influenced dose selection including tumor size (P &lt; 0.001), tumor stage (P = 0.002), and facility case volume (&lt;0.001). On multivariate analysis, low BED (&lt;75 Gy, HR 2.537, P &lt; 0.001; 75-100 Gy, HR 1.986, P = 0.007), increasing tumor size (HR 1.067, P = 0.032), elevated AFP (HR 1.585, P = 0.019), stage 3 (HR 1.962, P &lt; 0.001), low-volume facilities (1-5 cases HR 1.687, P = 0.006), and a longer time interval from diagnosis to SBRT (&gt;2 to ≤4 months, HR 1.456, P = 0.048; &gt;4 months, HR 2.192, P &lt; 0.001) were associated with worse survival. Conclusion: SBRT use is increasing for HCC, and multiple regimens are clinically employed. Although high BED was associated with improved outcomes, multiple factors contributed to the dose selection with favorable patients receiving higher doses. Continued efforts to enhance radiation planning and delivery may help improve utilization, safety, and efficacy.","author":[{"dropping-particle":"","family":"Robbins","given":"Jared R.","non-dropping-particle":"","parse-names":false,"suffix":""},{"dropping-particle":"","family":"Schmid","given":"Ryan K.","non-dropping-particle":"","parse-names":false,"suffix":""},{"dropping-particle":"","family":"Hammad","given":"Abdulrahman Y.","non-dropping-particle":"","parse-names":false,"suffix":""},{"dropping-particle":"","family":"Gamblin","given":"Thomas Clark","non-dropping-particle":"","parse-names":false,"suffix":""},{"dropping-particle":"","family":"Erickson","given":"Beth A.","non-dropping-particle":"","parse-names":false,"suffix":""}],"container-title":"Cancer Medicine","id":"ITEM-1","issue":"3","issued":{"date-parts":[["2019","3","31"]]},"page":"928-938","title":"Stereotactic body radiation therapy for hepatocellular carcinoma: Practice patterns, dose selection and factors impacting survival","type":"article-journal","volume":"8"},"uris":["http://www.mendeley.com/documents/?uuid=38ecccff-e426-3db3-81e2-5840702cb37d"]},{"id":"ITEM-2","itemData":{"DOI":"10.2217/fon-2021-0263","ISSN":"1479-6694","abstract":"The present meta-analysis was performed to evaluate the efficacy of radiofrequency ablation (RFA) and stereotactic body radiotherapy (SBRT) in hepatocellular carcinoma (HCC) patients. A systematic literature search was conducted of online databases prior to February 21, 2021. Eleven articles involving 8429 patients were included. The pooled hazard ratio for overall survival (OS) of RFA versus SBRT was 0.79 (p &lt; 0.001). Statistically significant differences were found in the 1-, 2-, 3-, 4- and 5-year pooled OS and freedom from local progression (FFLP) rates between the two groups, favoring the RFA arms. However, the pooled local control (LC) rates were higher in the SBRT arm. RFA provided better OS and FFLP for treating HCC, while SBRT achieved superior LC.PROSPERO registration number: CRD42020207877 .Lay abstractRadiofrequency ablation (RFA) and stereotactic body radiation therapy (SBRT) are two common nonsurgical methods for the treatment of hepatocellular carcinoma patients. The purpose of this meta-analysis was to compare the efficacy of the two methods. The analysis included 11 original studies after online databases search prior to 21 February 2021. The results showed that RFA provided better survival benefits and less local disease progression for the treatment of HCC patients, while SBRT obtained superior local control of tumor tissues.","author":[{"dropping-particle":"","family":"Zhang","given":"Huimei","non-dropping-particle":"","parse-names":false,"suffix":""},{"dropping-particle":"","family":"Chang","given":"Na","non-dropping-particle":"","parse-names":false,"suffix":""},{"dropping-particle":"","family":"Han","given":"Tiantian","non-dropping-particle":"","parse-names":false,"suffix":""},{"dropping-particle":"","family":"Ma","given":"Shaodi","non-dropping-particle":"","parse-names":false,"suffix":""},{"dropping-particle":"","family":"Qu","given":"Guangbo","non-dropping-particle":"","parse-names":false,"suffix":""},{"dropping-particle":"","family":"Liu","given":"Haixia","non-dropping-particle":"","parse-names":false,"suffix":""},{"dropping-particle":"","family":"Sun","given":"Chenyu","non-dropping-particle":"","parse-names":false,"suffix":""},{"dropping-particle":"","family":"Cheng","given":"Ce","non-dropping-particle":"","parse-names":false,"suffix":""},{"dropping-particle":"","family":"Zhou","given":"Qin","non-dropping-particle":"","parse-names":false,"suffix":""},{"dropping-particle":"","family":"Sun","given":"Yehuan","non-dropping-particle":"","parse-names":false,"suffix":""}],"container-title":"Future Oncology","id":"ITEM-2","issued":{"date-parts":[["2021","7","19"]]},"publisher":"Future Medicine Ltd","title":"Radiofrequency ablation versus stereotactic body radiotherapy for hepatocellular carcinoma: a meta-analysis","type":"article-journal"},"uris":["http://www.mendeley.com/documents/?uuid=d1c629d0-bf30-3d64-b1c2-3b1ffbc75134"]}],"mendeley":{"formattedCitation":"[71,72]","plainTextFormattedCitation":"[71,72]","previouslyFormattedCitation":"[71,72]"},"properties":{"noteIndex":0},"schema":"https://github.com/citation-style-language/schema/raw/master/csl-citation.json"}</w:instrText>
      </w:r>
      <w:r w:rsidR="000A74C1" w:rsidRPr="00DF0D90">
        <w:rPr>
          <w:color w:val="auto"/>
          <w:lang w:val="ru-RU"/>
        </w:rPr>
        <w:fldChar w:fldCharType="separate"/>
      </w:r>
      <w:r w:rsidR="007335C5" w:rsidRPr="00DF0D90">
        <w:rPr>
          <w:noProof/>
          <w:color w:val="auto"/>
          <w:lang w:val="ru-RU"/>
        </w:rPr>
        <w:t>[71,72]</w:t>
      </w:r>
      <w:r w:rsidR="000A74C1" w:rsidRPr="00DF0D90">
        <w:rPr>
          <w:color w:val="auto"/>
          <w:lang w:val="ru-RU"/>
        </w:rPr>
        <w:fldChar w:fldCharType="end"/>
      </w:r>
      <w:r w:rsidRPr="00DF0D90">
        <w:rPr>
          <w:color w:val="auto"/>
        </w:rPr>
        <w:t>.</w:t>
      </w:r>
      <w:r w:rsidR="00EE74E0" w:rsidRPr="00DF0D90">
        <w:rPr>
          <w:color w:val="auto"/>
          <w:lang w:val="ru-RU"/>
        </w:rPr>
        <w:t xml:space="preserve"> </w:t>
      </w:r>
    </w:p>
    <w:p w14:paraId="589B46B4" w14:textId="2E06F55E" w:rsidR="00AC1020" w:rsidRPr="00DF0D90" w:rsidRDefault="00AC1020" w:rsidP="00454D85">
      <w:pPr>
        <w:pStyle w:val="afa"/>
        <w:spacing w:after="120" w:line="360" w:lineRule="auto"/>
        <w:jc w:val="both"/>
        <w:rPr>
          <w:color w:val="auto"/>
          <w:shd w:val="clear" w:color="auto" w:fill="FFFFFF"/>
        </w:rPr>
      </w:pPr>
      <w:r w:rsidRPr="00DF0D90">
        <w:rPr>
          <w:color w:val="auto"/>
          <w:shd w:val="clear" w:color="auto" w:fill="FFFFFF"/>
        </w:rPr>
        <w:t>Уровень убедительности рекомендаций –</w:t>
      </w:r>
      <w:r w:rsidR="008B0CF8" w:rsidRPr="00DF0D90">
        <w:rPr>
          <w:color w:val="auto"/>
          <w:shd w:val="clear" w:color="auto" w:fill="FFFFFF"/>
          <w:lang w:val="ru-RU"/>
        </w:rPr>
        <w:t xml:space="preserve"> </w:t>
      </w:r>
      <w:r w:rsidR="00EE74E0" w:rsidRPr="00DF0D90">
        <w:rPr>
          <w:color w:val="auto"/>
          <w:shd w:val="clear" w:color="auto" w:fill="FFFFFF"/>
          <w:lang w:val="en-US"/>
        </w:rPr>
        <w:t>B</w:t>
      </w:r>
      <w:r w:rsidR="00FF75E4" w:rsidRPr="00DF0D90">
        <w:rPr>
          <w:color w:val="auto"/>
          <w:shd w:val="clear" w:color="auto" w:fill="FFFFFF"/>
          <w:lang w:val="ru-RU"/>
        </w:rPr>
        <w:t xml:space="preserve"> </w:t>
      </w:r>
      <w:r w:rsidRPr="00DF0D90">
        <w:rPr>
          <w:color w:val="auto"/>
          <w:shd w:val="clear" w:color="auto" w:fill="FFFFFF"/>
        </w:rPr>
        <w:t xml:space="preserve">(уровень достоверности доказательств – </w:t>
      </w:r>
      <w:r w:rsidR="00EE74E0" w:rsidRPr="00DF0D90">
        <w:rPr>
          <w:color w:val="auto"/>
          <w:lang w:val="ru-RU"/>
        </w:rPr>
        <w:t>2</w:t>
      </w:r>
      <w:r w:rsidRPr="00DF0D90">
        <w:rPr>
          <w:color w:val="auto"/>
          <w:shd w:val="clear" w:color="auto" w:fill="FFFFFF"/>
        </w:rPr>
        <w:t>).</w:t>
      </w:r>
    </w:p>
    <w:p w14:paraId="57F43E88" w14:textId="77777777" w:rsidR="008B0CF8" w:rsidRPr="00DF0D90" w:rsidRDefault="008B0CF8" w:rsidP="00454D85">
      <w:pPr>
        <w:numPr>
          <w:ilvl w:val="0"/>
          <w:numId w:val="34"/>
        </w:numPr>
        <w:spacing w:after="120" w:line="360" w:lineRule="auto"/>
        <w:ind w:left="0" w:firstLine="567"/>
        <w:jc w:val="both"/>
      </w:pPr>
      <w:r w:rsidRPr="00DF0D90">
        <w:rPr>
          <w:b/>
        </w:rPr>
        <w:t xml:space="preserve">Не рекомендуется </w:t>
      </w:r>
      <w:r w:rsidRPr="00DF0D90">
        <w:t>пациентам с ГЦР после радикального (</w:t>
      </w:r>
      <w:r w:rsidRPr="00DF0D90">
        <w:rPr>
          <w:lang w:val="en-US"/>
        </w:rPr>
        <w:t>R</w:t>
      </w:r>
      <w:r w:rsidRPr="00DF0D90">
        <w:t xml:space="preserve">0) хирургического лечения </w:t>
      </w:r>
      <w:proofErr w:type="spellStart"/>
      <w:r w:rsidRPr="00DF0D90">
        <w:t>адъювантная</w:t>
      </w:r>
      <w:proofErr w:type="spellEnd"/>
      <w:r w:rsidRPr="00DF0D90">
        <w:t xml:space="preserve"> терапия </w:t>
      </w:r>
      <w:proofErr w:type="spellStart"/>
      <w:r w:rsidRPr="00DF0D90">
        <w:t>мультикиназными</w:t>
      </w:r>
      <w:proofErr w:type="spellEnd"/>
      <w:r w:rsidRPr="00DF0D90">
        <w:t xml:space="preserve"> ингибиторами в связи с отсутствием преимуществ перед другими вмешательствами в улучшении выживаемости пациентов </w:t>
      </w:r>
      <w:r w:rsidR="000A74C1" w:rsidRPr="00DF0D90">
        <w:fldChar w:fldCharType="begin" w:fldLock="1"/>
      </w:r>
      <w:r w:rsidR="007335C5" w:rsidRPr="00DF0D90">
        <w:instrText>ADDIN CSL_CITATION {"citationItems":[{"id":"ITEM-1","itemData":{"DOI":"10.1016/S1470-2045(15)00198-9","ISSN":"14745488","PMID":"26361969","abstract":"Background: There is no standard of care for adjuvant therapy for patients with hepatocellular carcinoma. This trial was designed to assess the efficacy and safety of sorafenib versus placebo as adjuvant therapy in patients with hepatocellular carcinoma after surgical resection or local ablation. Methods: We undertook this phase 3, double-blind, placebo-controlled study of patients with hepatocellular carcinoma with a complete radiological response after surgical resection (n=900) or local ablation (n=214) in 202 sites (hospitals and research centres) in 28 countries. Patients were randomly assigned (1:1) to receive 400 mg oral sorafenib or placebo twice a day, for a maximum of 4 years, according to a block randomisation scheme (block size of four) using an interactive voice-response system. Patients were stratified by curative treatment, geography, Child-Pugh status, and recurrence risk. The primary outcome was recurrence-free survival assessed after database cut-off on Nov 29, 2013. We analysed efficacy in the intention-to-treat population and safety in randomly assigned patients receiving at least one study dose. The final analysis is reported. This study is registered with ClinicalTrials.gov, number NCT00692770. Findings: We screened 1602 patients between Aug 15, 2008, and Nov 17, 2010, and randomly assigned 1114 patients. Of 556 patients in the sorafenib group, 553 (&gt;99%) received the study treatment and 471 (85%) terminated treatment. Of 558 patients in the placebo group, 554 (99%) received the study treatment and 447 (80%) terminated treatment. Median duration of treatment and mean daily dose were 12.5 months (IQR 2.6-35.8) and 577 mg per day (SD 212.8) for sorafenib, compared with 22.2 months (8.1-38.8) and 778.0 mg per day (79.8) for placebo. Dose modification was reported for 497 (89%) of 559 patients in the sorafenib group and 206 (38%) of 548 patients in the placebo group. At final analysis, 464 recurrence-free survival events had occurred (270 in the placebo group and 194 in the sorafenib group). Median follow-up for recurrence-free survival was 8.5 months (IQR 2.9-19.5) in the sorafenib group and 8.4 months (2.9-19.8) in the placebo group. We noted no difference in median recurrence-free survival between the two groups (33.3 months in the sorafenib group vs 33.7 months in the placebo group; hazard ratio [HR] 0.940; 95% CI 0.780-1.134; one-sided p=0.26). The most common grade 3 or 4 adverse events were hand-foot skin reaction (154 [28%] of …","author":[{"dropping-particle":"","family":"Bruix","given":"Jordi","non-dropping-particle":"","parse-names":false,"suffix":""},{"dropping-particle":"","family":"Takayama","given":"Tadatoshi","non-dropping-particle":"","parse-names":false,"suffix":""},{"dropping-particle":"","family":"Mazzaferro","given":"Vincenzo","non-dropping-particle":"","parse-names":false,"suffix":""},{"dropping-particle":"","family":"Chau","given":"Gar Yang","non-dropping-particle":"","parse-names":false,"suffix":""},{"dropping-particle":"","family":"Yang","given":"Jiamei","non-dropping-particle":"","parse-names":false,"suffix":""},{"dropping-particle":"","family":"Kudo","given":"Masatoshi","non-dropping-particle":"","parse-names":false,"suffix":""},{"dropping-particle":"","family":"Cai","given":"Jianqiang","non-dropping-particle":"","parse-names":false,"suffix":""},{"dropping-particle":"","family":"Poon","given":"Ronnie T","non-dropping-particle":"","parse-names":false,"suffix":""},{"dropping-particle":"","family":"Han","given":"Kwang Hyub","non-dropping-particle":"","parse-names":false,"suffix":""},{"dropping-particle":"","family":"Tak","given":"Won Young","non-dropping-particle":"","parse-names":false,"suffix":""},{"dropping-particle":"","family":"Lee","given":"Han Chu","non-dropping-particle":"","parse-names":false,"suffix":""},{"dropping-particle":"","family":"Song","given":"Tianqiang","non-dropping-particle":"","parse-names":false,"suffix":""},{"dropping-particle":"","family":"Roayaie","given":"Sasan","non-dropping-particle":"","parse-names":false,"suffix":""},{"dropping-particle":"","family":"Bolondi","given":"Luigi","non-dropping-particle":"","parse-names":false,"suffix":""},{"dropping-particle":"","family":"Lee","given":"Kwan Sik","non-dropping-particle":"","parse-names":false,"suffix":""},{"dropping-particle":"","family":"Makuuchi","given":"Masatoshi","non-dropping-particle":"","parse-names":false,"suffix":""},{"dropping-particle":"","family":"Souza","given":"Fabricio","non-dropping-particle":"","parse-names":false,"suffix":""},{"dropping-particle":"","family":"Berre","given":"Marie Aude","non-dropping-particle":"Le","parse-names":false,"suffix":""},{"dropping-particle":"","family":"Meinhardt","given":"Gerold","non-dropping-particle":"","parse-names":false,"suffix":""},{"dropping-particle":"","family":"Llovet","given":"Josep M","non-dropping-particle":"","parse-names":false,"suffix":""}],"container-title":"The Lancet Oncology","id":"ITEM-1","issue":"13","issued":{"date-parts":[["2015","10"]]},"page":"1344-1354","title":"Adjuvant sorafenib for hepatocellular carcinoma after resection or ablation (STORM): A phase 3, randomised, double-blind, placebo-controlled trial","type":"article-journal","volume":"16"},"uris":["http://www.mendeley.com/documents/?uuid=e5a75f03-274b-3991-bab9-d7b0e3980f63"]}],"mendeley":{"formattedCitation":"[73]","plainTextFormattedCitation":"[73]","previouslyFormattedCitation":"[73]"},"properties":{"noteIndex":0},"schema":"https://github.com/citation-style-language/schema/raw/master/csl-citation.json"}</w:instrText>
      </w:r>
      <w:r w:rsidR="000A74C1" w:rsidRPr="00DF0D90">
        <w:fldChar w:fldCharType="separate"/>
      </w:r>
      <w:r w:rsidR="007335C5" w:rsidRPr="00DF0D90">
        <w:rPr>
          <w:noProof/>
        </w:rPr>
        <w:t>[73]</w:t>
      </w:r>
      <w:r w:rsidR="000A74C1" w:rsidRPr="00DF0D90">
        <w:fldChar w:fldCharType="end"/>
      </w:r>
      <w:r w:rsidRPr="00DF0D90">
        <w:t>.</w:t>
      </w:r>
    </w:p>
    <w:p w14:paraId="500FCAC3" w14:textId="77777777" w:rsidR="008B0CF8" w:rsidRPr="00DF0D90" w:rsidRDefault="008B0CF8" w:rsidP="00454D85">
      <w:pPr>
        <w:pStyle w:val="afa"/>
        <w:spacing w:after="120" w:line="360" w:lineRule="auto"/>
        <w:jc w:val="both"/>
        <w:rPr>
          <w:color w:val="auto"/>
          <w:shd w:val="clear" w:color="auto" w:fill="FFFFFF"/>
        </w:rPr>
      </w:pPr>
      <w:r w:rsidRPr="00DF0D90">
        <w:rPr>
          <w:color w:val="auto"/>
          <w:shd w:val="clear" w:color="auto" w:fill="FFFFFF"/>
        </w:rPr>
        <w:t>Уровень убедительности рекомендаций –</w:t>
      </w:r>
      <w:r w:rsidR="002629E9" w:rsidRPr="00DF0D90">
        <w:rPr>
          <w:color w:val="auto"/>
          <w:shd w:val="clear" w:color="auto" w:fill="FFFFFF"/>
          <w:lang w:val="ru-RU"/>
        </w:rPr>
        <w:t xml:space="preserve"> </w:t>
      </w:r>
      <w:r w:rsidRPr="00DF0D90">
        <w:rPr>
          <w:color w:val="auto"/>
          <w:shd w:val="clear" w:color="auto" w:fill="FFFFFF"/>
          <w:lang w:val="en-US"/>
        </w:rPr>
        <w:t>A</w:t>
      </w:r>
      <w:r w:rsidR="00EE74E0" w:rsidRPr="00DF0D90">
        <w:rPr>
          <w:color w:val="auto"/>
          <w:shd w:val="clear" w:color="auto" w:fill="FFFFFF"/>
          <w:lang w:val="ru-RU"/>
        </w:rPr>
        <w:t xml:space="preserve"> </w:t>
      </w:r>
      <w:r w:rsidRPr="00DF0D90">
        <w:rPr>
          <w:color w:val="auto"/>
          <w:shd w:val="clear" w:color="auto" w:fill="FFFFFF"/>
        </w:rPr>
        <w:t>(уровень достоверности доказательств – 2).</w:t>
      </w:r>
    </w:p>
    <w:p w14:paraId="08E26F23" w14:textId="447A8D93" w:rsidR="00630BAC" w:rsidRPr="00DF0D90" w:rsidRDefault="00630BAC" w:rsidP="006D217F">
      <w:pPr>
        <w:pStyle w:val="2"/>
        <w:spacing w:before="0" w:after="120" w:line="360" w:lineRule="auto"/>
        <w:ind w:firstLine="567"/>
        <w:jc w:val="both"/>
      </w:pPr>
      <w:bookmarkStart w:id="85" w:name="_Toc98349283"/>
      <w:bookmarkStart w:id="86" w:name="_Toc83293981"/>
      <w:r w:rsidRPr="00DF0D90">
        <w:t>3.3 </w:t>
      </w:r>
      <w:proofErr w:type="spellStart"/>
      <w:r w:rsidRPr="00DF0D90">
        <w:t>Трансартериальная</w:t>
      </w:r>
      <w:proofErr w:type="spellEnd"/>
      <w:r w:rsidRPr="00DF0D90">
        <w:t xml:space="preserve"> </w:t>
      </w:r>
      <w:proofErr w:type="spellStart"/>
      <w:r w:rsidRPr="00DF0D90">
        <w:t>химиоэмболизация</w:t>
      </w:r>
      <w:bookmarkEnd w:id="85"/>
      <w:bookmarkEnd w:id="86"/>
      <w:proofErr w:type="spellEnd"/>
    </w:p>
    <w:p w14:paraId="33DBA816" w14:textId="0618DDB8" w:rsidR="0074472C" w:rsidRPr="00DF0D90" w:rsidRDefault="00677D84" w:rsidP="0043377B">
      <w:pPr>
        <w:pStyle w:val="a"/>
        <w:numPr>
          <w:ilvl w:val="0"/>
          <w:numId w:val="0"/>
        </w:numPr>
        <w:spacing w:line="360" w:lineRule="auto"/>
        <w:jc w:val="both"/>
        <w:rPr>
          <w:color w:val="auto"/>
        </w:rPr>
      </w:pPr>
      <w:r w:rsidRPr="00DF0D90">
        <w:rPr>
          <w:b/>
        </w:rPr>
        <w:t>Рекомендуется</w:t>
      </w:r>
      <w:r w:rsidR="00072AC3" w:rsidRPr="00DF0D90">
        <w:rPr>
          <w:b/>
          <w:lang w:val="ru-RU"/>
        </w:rPr>
        <w:t xml:space="preserve"> </w:t>
      </w:r>
      <w:r w:rsidR="0074472C" w:rsidRPr="00DF0D90">
        <w:rPr>
          <w:b/>
          <w:lang w:val="ru-RU"/>
        </w:rPr>
        <w:t xml:space="preserve">проведение </w:t>
      </w:r>
      <w:proofErr w:type="spellStart"/>
      <w:r w:rsidR="0074472C" w:rsidRPr="00DF0D90">
        <w:rPr>
          <w:color w:val="auto"/>
        </w:rPr>
        <w:t>трансартериальн</w:t>
      </w:r>
      <w:r w:rsidR="0074472C" w:rsidRPr="00DF0D90">
        <w:rPr>
          <w:color w:val="auto"/>
          <w:lang w:val="ru-RU"/>
        </w:rPr>
        <w:t>ой</w:t>
      </w:r>
      <w:proofErr w:type="spellEnd"/>
      <w:r w:rsidR="0074472C" w:rsidRPr="00DF0D90">
        <w:rPr>
          <w:color w:val="auto"/>
        </w:rPr>
        <w:t xml:space="preserve"> </w:t>
      </w:r>
      <w:proofErr w:type="spellStart"/>
      <w:r w:rsidR="0074472C" w:rsidRPr="00DF0D90">
        <w:rPr>
          <w:color w:val="auto"/>
        </w:rPr>
        <w:t>химиоэмболизаци</w:t>
      </w:r>
      <w:r w:rsidR="0074472C" w:rsidRPr="00DF0D90">
        <w:rPr>
          <w:color w:val="auto"/>
          <w:lang w:val="ru-RU"/>
        </w:rPr>
        <w:t>и</w:t>
      </w:r>
      <w:proofErr w:type="spellEnd"/>
      <w:r w:rsidR="0074472C" w:rsidRPr="00DF0D90">
        <w:rPr>
          <w:color w:val="auto"/>
        </w:rPr>
        <w:t xml:space="preserve"> </w:t>
      </w:r>
      <w:r w:rsidR="00ED5564" w:rsidRPr="00DF0D90">
        <w:rPr>
          <w:color w:val="auto"/>
        </w:rPr>
        <w:t>(ТАХЭ)</w:t>
      </w:r>
      <w:r w:rsidR="00072AC3" w:rsidRPr="00DF0D90">
        <w:rPr>
          <w:color w:val="auto"/>
          <w:lang w:val="ru-RU"/>
        </w:rPr>
        <w:t xml:space="preserve"> </w:t>
      </w:r>
      <w:r w:rsidR="006A2AEF" w:rsidRPr="00DF0D90">
        <w:rPr>
          <w:color w:val="auto"/>
        </w:rPr>
        <w:t xml:space="preserve">опухолевых сосудов </w:t>
      </w:r>
      <w:r w:rsidR="0074472C" w:rsidRPr="00DF0D90">
        <w:t>в качестве основного вида лечения пациент</w:t>
      </w:r>
      <w:r w:rsidR="0074472C" w:rsidRPr="00DF0D90">
        <w:rPr>
          <w:lang w:val="ru-RU"/>
        </w:rPr>
        <w:t>ам</w:t>
      </w:r>
      <w:r w:rsidR="0074472C" w:rsidRPr="00DF0D90">
        <w:t xml:space="preserve"> с</w:t>
      </w:r>
      <w:r w:rsidR="0074472C" w:rsidRPr="00DF0D90">
        <w:rPr>
          <w:lang w:val="ru-RU"/>
        </w:rPr>
        <w:t xml:space="preserve"> </w:t>
      </w:r>
      <w:r w:rsidR="0074472C" w:rsidRPr="00DF0D90">
        <w:t>промежуточной стадией</w:t>
      </w:r>
      <w:r w:rsidR="00745F3D" w:rsidRPr="00DF0D90">
        <w:rPr>
          <w:lang w:val="ru-RU"/>
        </w:rPr>
        <w:t xml:space="preserve"> ГЦР группы </w:t>
      </w:r>
      <w:r w:rsidR="0074472C" w:rsidRPr="00DF0D90">
        <w:t>BCLC B2 при четко определяемых опухолевых узлах и возможно</w:t>
      </w:r>
      <w:r w:rsidR="00745F3D" w:rsidRPr="00DF0D90">
        <w:rPr>
          <w:lang w:val="ru-RU"/>
        </w:rPr>
        <w:t>сти</w:t>
      </w:r>
      <w:r w:rsidR="0074472C" w:rsidRPr="00DF0D90">
        <w:t xml:space="preserve"> селективно</w:t>
      </w:r>
      <w:r w:rsidR="00745F3D" w:rsidRPr="00DF0D90">
        <w:rPr>
          <w:lang w:val="ru-RU"/>
        </w:rPr>
        <w:t>го</w:t>
      </w:r>
      <w:r w:rsidR="00745F3D" w:rsidRPr="00DF0D90">
        <w:t xml:space="preserve"> доступ</w:t>
      </w:r>
      <w:r w:rsidR="00745F3D" w:rsidRPr="00DF0D90">
        <w:rPr>
          <w:lang w:val="ru-RU"/>
        </w:rPr>
        <w:t>а</w:t>
      </w:r>
      <w:r w:rsidR="0074472C" w:rsidRPr="00DF0D90">
        <w:t xml:space="preserve"> для их последующей </w:t>
      </w:r>
      <w:proofErr w:type="spellStart"/>
      <w:r w:rsidR="0074472C" w:rsidRPr="00DF0D90">
        <w:t>химиоэмболизации</w:t>
      </w:r>
      <w:proofErr w:type="spellEnd"/>
      <w:r w:rsidR="0074472C" w:rsidRPr="00DF0D90">
        <w:t xml:space="preserve"> и сохранном портальном кровотоке;</w:t>
      </w:r>
      <w:r w:rsidR="0074472C" w:rsidRPr="00DF0D90">
        <w:rPr>
          <w:lang w:val="ru-RU"/>
        </w:rPr>
        <w:t xml:space="preserve"> для </w:t>
      </w:r>
      <w:r w:rsidR="0074472C" w:rsidRPr="00DF0D90">
        <w:t>уменьшени</w:t>
      </w:r>
      <w:r w:rsidR="0074472C" w:rsidRPr="00DF0D90">
        <w:rPr>
          <w:lang w:val="ru-RU"/>
        </w:rPr>
        <w:t>я</w:t>
      </w:r>
      <w:r w:rsidR="0074472C" w:rsidRPr="00DF0D90">
        <w:t xml:space="preserve"> общей опухолевой нагрузки до уровня, соответствующего критериям трансплантации (</w:t>
      </w:r>
      <w:proofErr w:type="spellStart"/>
      <w:r w:rsidR="0074472C" w:rsidRPr="00DF0D90">
        <w:t>down-staging</w:t>
      </w:r>
      <w:proofErr w:type="spellEnd"/>
      <w:r w:rsidR="0074472C" w:rsidRPr="00DF0D90">
        <w:t xml:space="preserve">) у пациентов группы </w:t>
      </w:r>
      <w:r w:rsidR="0074472C" w:rsidRPr="00DF0D90">
        <w:rPr>
          <w:lang w:val="en-US"/>
        </w:rPr>
        <w:t>BCLC</w:t>
      </w:r>
      <w:r w:rsidR="0074472C" w:rsidRPr="00DF0D90">
        <w:t xml:space="preserve"> </w:t>
      </w:r>
      <w:r w:rsidR="0074472C" w:rsidRPr="00DF0D90">
        <w:rPr>
          <w:lang w:val="en-US"/>
        </w:rPr>
        <w:t>B</w:t>
      </w:r>
      <w:r w:rsidR="0074472C" w:rsidRPr="00DF0D90">
        <w:t xml:space="preserve">1; </w:t>
      </w:r>
      <w:r w:rsidR="0074472C" w:rsidRPr="00DF0D90">
        <w:rPr>
          <w:lang w:val="ru-RU"/>
        </w:rPr>
        <w:t xml:space="preserve">для </w:t>
      </w:r>
      <w:r w:rsidR="0074472C" w:rsidRPr="00DF0D90">
        <w:t>локальн</w:t>
      </w:r>
      <w:r w:rsidR="0074472C" w:rsidRPr="00DF0D90">
        <w:rPr>
          <w:lang w:val="ru-RU"/>
        </w:rPr>
        <w:t>ого</w:t>
      </w:r>
      <w:r w:rsidR="0074472C" w:rsidRPr="00DF0D90">
        <w:t xml:space="preserve"> контрол</w:t>
      </w:r>
      <w:r w:rsidR="00D70DA4" w:rsidRPr="00DF0D90">
        <w:rPr>
          <w:lang w:val="ru-RU"/>
        </w:rPr>
        <w:t>я</w:t>
      </w:r>
      <w:r w:rsidR="0074472C" w:rsidRPr="00DF0D90">
        <w:t xml:space="preserve"> опухоли у пациентов, находящихся в списке на трансплантацию (</w:t>
      </w:r>
      <w:proofErr w:type="spellStart"/>
      <w:r w:rsidR="0074472C" w:rsidRPr="00DF0D90">
        <w:t>bridging</w:t>
      </w:r>
      <w:proofErr w:type="spellEnd"/>
      <w:r w:rsidR="0074472C" w:rsidRPr="00DF0D90">
        <w:t xml:space="preserve">), групп </w:t>
      </w:r>
      <w:r w:rsidR="0074472C" w:rsidRPr="00DF0D90">
        <w:rPr>
          <w:lang w:val="en-US"/>
        </w:rPr>
        <w:t>BCLC</w:t>
      </w:r>
      <w:r w:rsidR="0074472C" w:rsidRPr="00DF0D90">
        <w:t xml:space="preserve"> 0 и </w:t>
      </w:r>
      <w:r w:rsidR="0074472C" w:rsidRPr="00DF0D90">
        <w:rPr>
          <w:lang w:val="en-US"/>
        </w:rPr>
        <w:t>A</w:t>
      </w:r>
      <w:r w:rsidR="0074472C" w:rsidRPr="00DF0D90">
        <w:t xml:space="preserve">; </w:t>
      </w:r>
      <w:r w:rsidR="0074472C" w:rsidRPr="00DF0D90">
        <w:rPr>
          <w:lang w:val="ru-RU"/>
        </w:rPr>
        <w:t xml:space="preserve">для </w:t>
      </w:r>
      <w:r w:rsidR="0074472C" w:rsidRPr="00DF0D90">
        <w:t>увеличени</w:t>
      </w:r>
      <w:r w:rsidR="0074472C" w:rsidRPr="00DF0D90">
        <w:rPr>
          <w:lang w:val="ru-RU"/>
        </w:rPr>
        <w:t>я</w:t>
      </w:r>
      <w:r w:rsidR="0074472C" w:rsidRPr="00DF0D90">
        <w:t xml:space="preserve"> выживаемости у пациентов, не имеющих возможности для хирургии или трансплантации (паллиативное лечение) групп </w:t>
      </w:r>
      <w:r w:rsidR="0074472C" w:rsidRPr="00DF0D90">
        <w:rPr>
          <w:lang w:val="en-US"/>
        </w:rPr>
        <w:t>BCLC</w:t>
      </w:r>
      <w:r w:rsidR="0074472C" w:rsidRPr="00DF0D90">
        <w:t xml:space="preserve"> 0, </w:t>
      </w:r>
      <w:r w:rsidR="0074472C" w:rsidRPr="00DF0D90">
        <w:rPr>
          <w:lang w:val="en-US"/>
        </w:rPr>
        <w:t>A</w:t>
      </w:r>
      <w:r w:rsidR="0074472C" w:rsidRPr="00DF0D90">
        <w:t xml:space="preserve">, В1. У пациентов с промежуточной стадией заболевания при мультифокальном </w:t>
      </w:r>
      <w:proofErr w:type="spellStart"/>
      <w:r w:rsidR="0074472C" w:rsidRPr="00DF0D90">
        <w:t>билобарном</w:t>
      </w:r>
      <w:proofErr w:type="spellEnd"/>
      <w:r w:rsidR="0074472C" w:rsidRPr="00DF0D90">
        <w:t xml:space="preserve"> поражении, инфильтративном типе роста опухоли и отсутствии селективного доступа  для (химио-)</w:t>
      </w:r>
      <w:r w:rsidR="002127BA" w:rsidRPr="00DF0D90">
        <w:t xml:space="preserve"> </w:t>
      </w:r>
      <w:r w:rsidR="0074472C" w:rsidRPr="00DF0D90">
        <w:t xml:space="preserve">эмболизации </w:t>
      </w:r>
      <w:r w:rsidR="0074472C" w:rsidRPr="00DF0D90">
        <w:rPr>
          <w:lang w:val="ru-RU"/>
        </w:rPr>
        <w:t xml:space="preserve">группы </w:t>
      </w:r>
      <w:r w:rsidR="0074472C" w:rsidRPr="00DF0D90">
        <w:rPr>
          <w:lang w:val="en-US"/>
        </w:rPr>
        <w:t>BCLC</w:t>
      </w:r>
      <w:r w:rsidR="0074472C" w:rsidRPr="00DF0D90">
        <w:t xml:space="preserve"> </w:t>
      </w:r>
      <w:r w:rsidR="0074472C" w:rsidRPr="00DF0D90">
        <w:rPr>
          <w:lang w:val="en-US"/>
        </w:rPr>
        <w:t>B</w:t>
      </w:r>
      <w:r w:rsidR="0074472C" w:rsidRPr="00DF0D90">
        <w:t>3</w:t>
      </w:r>
      <w:r w:rsidR="0074472C" w:rsidRPr="00DF0D90">
        <w:rPr>
          <w:lang w:val="ru-RU"/>
        </w:rPr>
        <w:t xml:space="preserve"> </w:t>
      </w:r>
      <w:r w:rsidR="0074472C" w:rsidRPr="00DF0D90">
        <w:t>предпочтение отдается лекарственному лечению</w:t>
      </w:r>
      <w:r w:rsidR="002127BA" w:rsidRPr="00DF0D90">
        <w:t xml:space="preserve"> </w:t>
      </w:r>
      <w:r w:rsidR="0074472C" w:rsidRPr="00DF0D90">
        <w:rPr>
          <w:color w:val="auto"/>
        </w:rPr>
        <w:fldChar w:fldCharType="begin" w:fldLock="1"/>
      </w:r>
      <w:r w:rsidR="0074472C" w:rsidRPr="00DF0D90">
        <w:rPr>
          <w:color w:val="auto"/>
        </w:rPr>
        <w:instrText>ADDIN CSL_CITATION {"citationItems":[{"id":"ITEM-1","itemData":{"DOI":"10.1093/annonc/mdy308","ISSN":"15698041","PMID":"30285213","author":[{"dropping-particle":"","family":"Vogel","given":"A.","non-dropping-particle":"","parse-names":false,"suffix":""},{"dropping-particle":"","family":"Cervantes","given":"A.","non-dropping-particle":"","parse-names":false,"suffix":""},{"dropping-particle":"","family":"Chau","given":"I.","non-dropping-particle":"","parse-names":false,"suffix":""},{"dropping-particle":"","family":"Daniele","given":"B.","non-dropping-particle":"","parse-names":false,"suffix":""},{"dropping-particle":"","family":"Llovet","given":"J.","non-dropping-particle":"","parse-names":false,"suffix":""},{"dropping-particle":"","family":"Meyer","given":"T.","non-dropping-particle":"","parse-names":false,"suffix":""},{"dropping-particle":"","family":"Nault","given":"J. C.","non-dropping-particle":"","parse-names":false,"suffix":""},{"dropping-particle":"","family":"Neumann","given":"U.","non-dropping-particle":"","parse-names":false,"suffix":""},{"dropping-particle":"","family":"Ricke","given":"J.","non-dropping-particle":"","parse-names":false,"suffix":""},{"dropping-particle":"","family":"Sangro","given":"B.","non-dropping-particle":"","parse-names":false,"suffix":""},{"dropping-particle":"","family":"Schirmacher","given":"P.","non-dropping-particle":"","parse-names":false,"suffix":""},{"dropping-particle":"","family":"Verslype","given":"C.","non-dropping-particle":"","parse-names":false,"suffix":""},{"dropping-particle":"","family":"Zech","given":"C. J.","non-dropping-particle":"","parse-names":false,"suffix":""},{"dropping-particle":"","family":"Arnold","given":"D.","non-dropping-particle":"","parse-names":false,"suffix":""},{"dropping-particle":"","family":"Martinelli","given":"E.","non-dropping-particle":"","parse-names":false,"suffix":""}],"container-title":"Annals of Oncology","id":"ITEM-1","issued":{"date-parts":[["2018","10","1"]]},"page":"iv238-iv255","publisher":"Oxford University Press","title":"Hepatocellular carcinoma: ESMO Clinical Practice Guidelines for diagnosis, treatment and follow-up","type":"article-journal","volume":"29"},"uris":["http://www.mendeley.com/documents/?uuid=21b70589-bd16-3bd9-b432-9f2042108c3b"]},{"id":"ITEM-2","itemData":{"DOI":"10.1002/hep.29913","ISSN":"15273350","PMID":"29624699","author":[{"dropping-particle":"","family":"Marrero","given":"Jorge A.","non-dropping-particle":"","parse-names":false,"suffix":""},{"dropping-particle":"","family":"Kulik","given":"Laura M.","non-dropping-particle":"","parse-names":false,"suffix":""},{"dropping-particle":"","family":"Sirlin","given":"Claude B.","non-dropping-particle":"","parse-names":false,"suffix":""},{"dropping-particle":"","family":"Zhu","given":"Andrew X.","non-dropping-particle":"","parse-names":false,"suffix":""},{"dropping-particle":"","family":"Finn","given":"Richard S.","non-dropping-particle":"","parse-names":false,"suffix":""},{"dropping-particle":"","family":"Abecassis","given":"Michael M.","non-dropping-particle":"","parse-names":false,"suffix":""},{"dropping-particle":"","family":"Roberts","given":"Lewis R.","non-dropping-particle":"","parse-names":false,"suffix":""},{"dropping-particle":"","family":"Heimbach","given":"Julie K.","non-dropping-particle":"","parse-names":false,"suffix":""}],"container-title":"Hepatology","id":"ITEM-2","issue":"2","issued":{"date-parts":[["2018","8","1"]]},"page":"723-750","publisher":"John Wiley and Sons Inc.","title":"Diagnosis, Staging, and Management of Hepatocellular Carcinoma: 2018 Practice Guidance by the American Association for the Study of Liver Diseases","type":"article-journal","volume":"68"},"uris":["http://www.mendeley.com/documents/?uuid=524b992f-ba18-31f8-aa7d-c271bdc57c09"]},{"id":"ITEM-3","itemData":{"DOI":"10.1016/j.jhep.2018.03.019","ISSN":"16000641","PMID":"29628281","author":[{"dropping-particle":"","family":"Galle","given":"Peter R.","non-dropping-particle":"","parse-names":false,"suffix":""},{"dropping-particle":"","family":"Forner","given":"Alejandro","non-dropping-particle":"","parse-names":false,"suffix":""},{"dropping-particle":"","family":"Llovet","given":"Josep M.","non-dropping-particle":"","parse-names":false,"suffix":""},{"dropping-particle":"","family":"Mazzaferro","given":"Vincenzo","non-dropping-particle":"","parse-names":false,"suffix":""},{"dropping-particle":"","family":"Piscaglia","given":"Fabio","non-dropping-particle":"","parse-names":false,"suffix":""},{"dropping-particle":"","family":"Raoul","given":"Jean Luc","non-dropping-particle":"","parse-names":false,"suffix":""},{"dropping-particle":"","family":"Schirmacher","given":"Peter","non-dropping-particle":"","parse-names":false,"suffix":""},{"dropping-particle":"","family":"Vilgrain","given":"Valérie","non-dropping-particle":"","parse-names":false,"suffix":""}],"container-title":"Journal of Hepatology","id":"ITEM-3","issue":"1","issued":{"date-parts":[["2018","7","1"]]},"page":"182-236","publisher":"Elsevier B.V.","title":"EASL Clinical Practice Guidelines: Management of hepatocellular carcinoma","type":"article-journal","volume":"69"},"uris":["http://www.mendeley.com/documents/?uuid=055ddbc3-5b48-34fb-b03b-bdc43880d69c"]},{"id":"ITEM-4","itemData":{"DOI":"10.1007/s00270-004-0153-y","ISSN":"01741551","PMID":"15886943","abstract":"We performed a retrospective analysis of 46 patients with histologically confirmed hepatocellular carcinoma (HCC) who were treated with transarterial embolization (TAE) of the hepatic arteries. To induce permanent embolization, microspheres (Embosphere; 100 to 700μ) and a mixture of ethiodized oil (Lipiodol Ultrafluide) with cyanoacrylate (Glubran) was injected. A total of 106 TAE procedures were performed. Cumulative survival rates were calculated. No patient died during embolization or within the first 24 hours. Severe procedure-related complications were observed in 2 patients. At the time of analysis, 38 of 46 patients were alive. The 180-, 360-, 520-, and 700-day cumulative survival rates for the total study population were 80.6%, 70.7%, 70.7%, and 47.1%, respectively, with a median survival of 666 days. TAE with the use of microspheres and Lipiodol and cyanoacrylate for unresectable HCC is a feasible treatment modality. Bland embolization with the use of microspheres can be used in patients for whom chemoembolization is not desired. © Springer Science+Business Media, Inc. 2005.","author":[{"dropping-particle":"","family":"Rand","given":"Thomas","non-dropping-particle":"","parse-names":false,"suffix":""},{"dropping-particle":"","family":"Loewe","given":"Christian","non-dropping-particle":"","parse-names":false,"suffix":""},{"dropping-particle":"","family":"Schoder","given":"Maria","non-dropping-particle":"","parse-names":false,"suffix":""},{"dropping-particle":"","family":"Schmook","given":"Maria Theresa","non-dropping-particle":"","parse-names":false,"suffix":""},{"dropping-particle":"","family":"Peck-Radosavljevic","given":"Markus","non-dropping-particle":"","parse-names":false,"suffix":""},{"dropping-particle":"","family":"Kettenbach","given":"Joachim","non-dropping-particle":"","parse-names":false,"suffix":""},{"dropping-particle":"","family":"Wolf","given":"Florian","non-dropping-particle":"","parse-names":false,"suffix":""},{"dropping-particle":"","family":"Schneider","given":"Barbara","non-dropping-particle":"","parse-names":false,"suffix":""},{"dropping-particle":"","family":"Lammer","given":"Johannes","non-dropping-particle":"","parse-names":false,"suffix":""}],"container-title":"CardioVascular and Interventional Radiology","id":"ITEM-4","issue":"3","issued":{"date-parts":[["2005","4","23"]]},"page":"313-318","title":"Arterial embolization of unresectable hepatocellular carcinoma with use of microspheres, lipiodol, and cyanoacrylate","type":"article-journal","volume":"28"},"uris":["http://www.mendeley.com/documents/?uuid=34d9d283-aae0-3970-b85a-6a19c64a5f47"]},{"id":"ITEM-5","itemData":{"DOI":"10.1007/s00270-009-9752-y","ISSN":"01741551","PMID":"19957182","abstract":"The purpose of this study is to report on the feasibility, local response, and 1-year clinical outcome of bland transarterial embolization (TAE) with 40- and 100-μm Embozene microspheres in patients affected by unresectable hepatocellular carcinoma (HCC). Up to January 2009, 53 patients underwent superselective TAE for a total of 74 lesions. Diagnosis of HCC was based on multidetector computed tomography (MDCT), α-fetoprotein, and biopsy. MDCT was performed 24 after treatment and repeated at 1 month, 3 months, and then every 6 months. Local efficacy was defined according to RECIST criteria. Technical success was always achieved. Local results at 1-month, 3- to 6-month, and 6- to 12-month follow-up were 62%, 37%, and 16%, respectively, for stable disease and 35%, 56%, and 51%, respectively, for partial response. Complete response (no evidence of lesion) has been observed only at late follow-up (three lesions; 7%). To date, 20 of 53 patients have had at least 1 year of followup, with an overall survival rate of 96%. Hepatic progressive disease (i.e., new nodules) was observed in 14 of 20 patients due to underlying liver disease. Minor complications were observed in four patients. A major complication occurred in one patient, who died unexpectedly 24 h after TAE due to pulmonary embolism of necrotic pathologic tissue and passage of particles through a disrupted hepatic vein. Local results as well as 1-year clinical outcome after TAE with Embozene microspheres are veryly encouraging, however, further studies, a larger patient population, and a longer follow-up are mandatory to assess the real clinical impact. © Springer Science+Business Media, LLC and the Cardiovascular and Interventional Radiological Society of Europe (CIRSE) 2009.","author":[{"dropping-particle":"","family":"Bonomo","given":"Guido","non-dropping-particle":"","parse-names":false,"suffix":""},{"dropping-particle":"","family":"Pedicini","given":"Vittorio","non-dropping-particle":"","parse-names":false,"suffix":""},{"dropping-particle":"","family":"Monfardini","given":"Lorenzo","non-dropping-particle":"","parse-names":false,"suffix":""},{"dropping-particle":"","family":"Vigna","given":"Paolo","non-dropping-particle":"Della","parse-names":false,"suffix":""},{"dropping-particle":"","family":"Poretti","given":"Dario","non-dropping-particle":"","parse-names":false,"suffix":""},{"dropping-particle":"","family":"Orgera","given":"Gianluigi","non-dropping-particle":"","parse-names":false,"suffix":""},{"dropping-particle":"","family":"Orsi","given":"Franco","non-dropping-particle":"","parse-names":false,"suffix":""}],"container-title":"CardioVascular and Interventional Radiology","id":"ITEM-5","issue":"3","issued":{"date-parts":[["2010","6"]]},"page":"552-559","title":"Bland embolization in patients with unresectable hepatocellular carcinoma using precise, tightly size-calibrated, anti-inflammatory microparticles: First clinical experience and one-year follow-up","type":"article-journal","volume":"33"},"uris":["http://www.mendeley.com/documents/?uuid=daaebc73-ac50-3f81-8d1e-450beb7c8f48"]},{"id":"ITEM-6","itemData":{"DOI":"10.1016/S0140-6736(02)08649-X","ISSN":"01406736","PMID":"12049862","abstract":"Background: There is no standard treatment for unresectable hepatocellular carcinoma. Arterial embolisation is widely used, but evidence of survival benefits is lacking. Methods: We did a randomised controlled trial in patients with unresectable hepatocellular carcinoma not suitable for curative treatment, of Child-Pugh class A or B and Okuda stage I or II, to assess the survival benefits of regularly repeated arterial embolisation (gelatin sponge) or chemoembolisation (gelatin sponge plus doxorubicin) compared with conservative treatment. 903 patients were assessed, and 112 (12%) patients were finally included in the study. The primary endpoint was survival. Analyses were by intention to treat. Findings: The trial was stopped when the ninth sequential inspection showed that chemoembolisation had survival benefits compared with conservative treatment (hazard ratio of death 0.47 [95% CI 0.25-0.91], p=0.025). 25 of 37 patients assigned embolisation, 21 of 40 assigned chemoembolisation, and 25 of 35 assigned conservative treatment died. Survival probabilities at 1 year and 2 years were 75% and 50% for embolisation; 82% and 63% for chemoembolisation, and 63% and 27% for control (chemoembolisation vs control p=0.009). Chemoembolisation induced objective responses sustained for at least 6 months in 35% (14)of cases, and was associated with a significantly lower rate of portal-vein invasion than conservative treatment. Treatment allocation was the only variable independently related to survival (odds ratio 0.45 [95% CI 0.25-0.81], p=0.02). Interpretation: Chemoembolisation improved survival of stringently selected patients with unresectable hepatocellular carcinoma.","author":[{"dropping-particle":"","family":"Llovet","given":"Josep M","non-dropping-particle":"","parse-names":false,"suffix":""},{"dropping-particle":"","family":"Real","given":"Maria Isabel","non-dropping-particle":"","parse-names":false,"suffix":""},{"dropping-particle":"","family":"Montaña","given":"Xavier","non-dropping-particle":"","parse-names":false,"suffix":""},{"dropping-particle":"","family":"Planas","given":"Ramon","non-dropping-particle":"","parse-names":false,"suffix":""},{"dropping-particle":"","family":"Coll","given":"Susana","non-dropping-particle":"","parse-names":false,"suffix":""},{"dropping-particle":"","family":"Aponte","given":"John","non-dropping-particle":"","parse-names":false,"suffix":""},{"dropping-particle":"","family":"Ayuso","given":"Carmen","non-dropping-particle":"","parse-names":false,"suffix":""},{"dropping-particle":"","family":"Sala","given":"Margarita","non-dropping-particle":"","parse-names":false,"suffix":""},{"dropping-particle":"","family":"Muchart","given":"Jordi","non-dropping-particle":"","parse-names":false,"suffix":""},{"dropping-particle":"","family":"Solà","given":"Ricard","non-dropping-particle":"","parse-names":false,"suffix":""},{"dropping-particle":"","family":"Rodés","given":"Joan","non-dropping-particle":"","parse-names":false,"suffix":""},{"dropping-particle":"","family":"Bruix","given":"Jordi","non-dropping-particle":"","parse-names":false,"suffix":""}],"container-title":"Lancet","id":"ITEM-6","issue":"9319","issued":{"date-parts":[["2002","5"]]},"page":"1734-1739","title":"Arterial embolisation or chemoembolisation versus symptomatic treatment in patients with unresectable hepatocellular carcinoma: A randomised controlled trial","type":"article-journal","volume":"359"},"uris":["http://www.mendeley.com/documents/?uuid=24833368-df3c-3c2d-9168-bec7c56274db"]},{"id":"ITEM-7","itemData":{"DOI":"10.3748/wjg.v25.i37.5687","ISSN":"22192840","PMID":"31602168","abstract":"BACKGROUND Prospective study of 200 patients with hepatocellular carcinoma (HCC) that underwent liver transplant (LT) after drug-eluting beads transarterial chemoembolization (DEB-TACE) for downstaging versus bridging. Overall survival and tumor recurrence rates were calculated, eligibility for LT, time on the waiting list and radiological response were compared. After TACE, only patients within Milan Criteria (MC) were transplanted. More patients underwent LT in bridging group. Five-year post-transplant overall survival, recurrence-free survival has no difference between the groups. Complete response was observed more frequently in bridging group. Patients in DS group can achieve post-transplant survival and HCC recurrence-free probability, at five years, just like patients within MC in patients undergoing DEB-TACE. AIM To determine long-term outcomes of patients with HCC that underwent LT after DEB-TACE for downstaging vs bridging. METHODS Prospective cohort study of 200 patients included from April 2011 through June 2014. Bridging group included patients within MC. Downstaging group (out of MC) was divided in 5 subgroups (G1 to G5). Total tumor diameter was ≤ 8 cm for G1, 2, 3, 4 (n = 42) and was &gt; 8 cm for G5 (n = 22). Downstaging (n = 64) and bridging (n = 136) populations were not significantly different. Overall survival and tumor recurrence rates were calculated by the Kaplan-Meier method. Additionally, eligibility for LT, time on the waiting list until LT and radiological response were compared. RESULTS After TACE, only patients within MC were transplanted. More patients underwent LT in bridging group 65.9% (P = 0.001). Downstaging population presented: higher number of nodules 2.81 (P = 0.001); larger total tumor diameter 8.09 (P = 0.001); multifocal HCC 78% (P = 0.001); more post-transplantation recurrence 25% (P = 0.02). Patients with maximal tumor diameter up to 7.05 cm were more likely to receive LT (P = 0.005). Median time on the waiting list was significantly longer in downstaging group 10.6 mo (P = 0.028). Five-year post-transplant overall survival was 73.5% in downstaging and 72.3% bridging groups (P = 0.31), and recurrence-free survival was 62.1% in downstaging and 74.8% bridging groups (P = 0.93). Radiological response: complete response was observed more frequently in bridging group (P = 0.004). CONCLUSION Tumors initially exceeding the MC down-staged after DEB-TACE, can achieve post-transplant survival and HCC recurrence-free proba…","author":[{"dropping-particle":"","family":"Affonso","given":"Breno Boueri","non-dropping-particle":"","parse-names":false,"suffix":""},{"dropping-particle":"","family":"Galastri","given":"Francisco Leonardo","non-dropping-particle":"","parse-names":false,"suffix":""},{"dropping-particle":"","family":"Motta Leal Filho","given":"Joaquim Mauricio","non-dropping-particle":"Da","parse-names":false,"suffix":""},{"dropping-particle":"","family":"Nasser","given":"Felipe","non-dropping-particle":"","parse-names":false,"suffix":""},{"dropping-particle":"","family":"Falsarella","given":"Priscila Mina","non-dropping-particle":"","parse-names":false,"suffix":""},{"dropping-particle":"","family":"Cavalcante","given":"Rafael Noronha","non-dropping-particle":"","parse-names":false,"suffix":""},{"dropping-particle":"","family":"Almeida","given":"Marcio Dias","non-dropping-particle":"De","parse-names":false,"suffix":""},{"dropping-particle":"","family":"Gonçalves Felga","given":"Guilherme Eduardo","non-dropping-particle":"","parse-names":false,"suffix":""},{"dropping-particle":"","family":"Moreira Valle","given":"Leonardo Guedes","non-dropping-particle":"","parse-names":false,"suffix":""},{"dropping-particle":"","family":"Wolosker","given":"Nelson","non-dropping-particle":"","parse-names":false,"suffix":""}],"container-title":"World Journal of Gastroenterology","id":"ITEM-7","issue":"37","issued":{"date-parts":[["2019","10","7"]]},"page":"5687-5701","publisher":"Baishideng Publishing Group Co","title":"Long-term outcomes of hepatocellular carcinoma that underwent chemoembolization for bridging or downstaging","type":"article-journal","volume":"25"},"uris":["http://www.mendeley.com/documents/?uuid=ffde181f-d04b-3d33-8307-0a0074991d8e"]},{"id":"ITEM-8","itemData":{"DOI":"10.1053/jhep.2002.33156","ISSN":"02709139","PMID":"11981766","abstract":"This randomized, controlled trial assessed the efficacy of transarterial Lipiodol (Lipiodol Ultrafluide, Laboratoire Guerbet, Aulnay-Sous-Bois, France) chemoembolization in patients with unresectable hepatocellular carcinoma. From March 1996 to October 1997, 80 out of 279 Asian patients with newly diagnosed unresectable hepatocellular carcinoma fulfilled the entry criteria and randomly were assigned to treatment with chemoembolization using a variable dose of an emulsion of cisplatin in Lipiodol and gelatin-sponge particles injected through the hepatic artery (chemoembolization group, 40 patients) or symptomatic treatment (control group, 40 patients). One patient assigned to the control group secondarily was excluded because of unrecognized systemic metastasis. Chemoembolization was repeated every 2 to 3 months unless there was evidence of contraindications or progressive disease. Survival was the main end point. The chemoembolization group received a total of 192 courses of chemoembolization with a median of 4.5 (range, 1-15) courses per patient. Chemoembolization resulted in a marked tumor response, and the actuarial survival was significantly better in the chemoembolization group (1 year, 57%; 2 years, 31%; 3 years, 26%) than in the control group (1 year, 32%; 2 years, 11%; 3 years, 3%; P = .002). When adjustments for baseline variables that were prognostic on univariate analysis were made with a multivariate Cox model, the survival benefit of chemoembolization remained significant (relative risk of death, 0.49; 95% CI, 0.29-0.81; P = .006). Although death from liver failure was more frequent in patients who received chemoembolization, the liver functions of the survivors were not significantly different. In conclusion, in Asian patients with unresectable hepatocellular carcinoma, transarterial Lipiodol chemoembolization significantly improves survival and is an effective form of treatment.","author":[{"dropping-particle":"","family":"Lo","given":"Chung Mau","non-dropping-particle":"","parse-names":false,"suffix":""},{"dropping-particle":"","family":"Ngan","given":"Henry","non-dropping-particle":"","parse-names":false,"suffix":""},{"dropping-particle":"","family":"Tso","given":"Wai Kuen","non-dropping-particle":"","parse-names":false,"suffix":""},{"dropping-particle":"","family":"Liu","given":"Chi Leung","non-dropping-particle":"","parse-names":false,"suffix":""},{"dropping-particle":"","family":"Lam","given":"Chi Ming","non-dropping-particle":"","parse-names":false,"suffix":""},{"dropping-particle":"","family":"Poon","given":"Ronnie Tung Ping","non-dropping-particle":"","parse-names":false,"suffix":""},{"dropping-particle":"","family":"Fan","given":"Sheung Tat","non-dropping-particle":"","parse-names":false,"suffix":""},{"dropping-particle":"","family":"Wong","given":"John","non-dropping-particle":"","parse-names":false,"suffix":""}],"container-title":"Hepatology","id":"ITEM-8","issue":"5","issued":{"date-parts":[["2002","5"]]},"page":"1164-1171","title":"Randomized controlled trial of transarterial Lipiodol chemoembolization for unresectable hepatocellular carcinoma","type":"article-journal","volume":"35"},"uris":["http://www.mendeley.com/documents/?uuid=b0aba209-f50b-368b-8dcc-e5d28b1a52a5"]},{"id":"ITEM-9","itemData":{"DOI":"10.1148/radiol.2241011262","ISSN":"00338419","PMID":"12091661","abstract":"PURPOSE: To review the available evidence of chemoembolization for unresectable hepatocellular carcinoma (HCC). MATERIALS AND METHODS: Computerized bibliographic searches with MEDLINE and CANCERLIT databases from 1980 through 2000 were supplemented with manual searches, with the keywords \"hepatocellular carcinoma,\" \"liver cell carcinoma,\" \"randomized controlled trial [RCT],\" and \"chemoembolization.\" Studies were included if patients with unresectable HCC were enrolled and if they were RCTs in which chemoembolization was compared with nonactive treatment (five RCTs) or if different transarterial modalities of therapy (13 RCTs) were compared. Data were extracted from each RCT according to the intention-to-treat method. Five of the RCTs with a nonactive treatment arm were combined by using the random-effects model, whereas all 18 RCTs were pooled from meta-regression analysis. RESULTS: Chemoembolization significantly reduced the overall 2-year mortality rate (odds ratio, 0.54; 95% CI: 0.33, 0.89; P = .015) compared with nonactive treatment. Analysis of comparative RCTs helped to predict that overall mortality was significantly lower in patients treated with transarterial embolization (TAE) than in those treated with transarterial chemotherapy (odds ratio, 0.72; 95% CI: 0.53, 0.98; P = .039) and that there is no evidence that transarterial chemoembolization is more effective than TAE (odds ratio, 1.007; 95% CI: 0.79, 1.27; P = .95), which suggests that the addition of an anticancer drug did not improve the therapeutic benefit. CONCLUSION: In patients with unresectable HCC, chemoembolization significantly improved the overall 2-year survival compared with nonactive treatment, but the magnitude of the benefit is relatively small. © RSNA, 2002.","author":[{"dropping-particle":"","family":"Cammà","given":"Calogero","non-dropping-particle":"","parse-names":false,"suffix":""},{"dropping-particle":"","family":"Schepis","given":"Filippo","non-dropping-particle":"","parse-names":false,"suffix":""},{"dropping-particle":"","family":"Orlando","given":"Ambrogio","non-dropping-particle":"","parse-names":false,"suffix":""},{"dropping-particle":"","family":"Albanese","given":"Maddalena","non-dropping-particle":"","parse-names":false,"suffix":""},{"dropping-particle":"","family":"Shahied","given":"Lillian","non-dropping-particle":"","parse-names":false,"suffix":""},{"dropping-particle":"","family":"Trevisani","given":"Franco","non-dropping-particle":"","parse-names":false,"suffix":""},{"dropping-particle":"","family":"Andreone","given":"Pietro","non-dropping-particle":"","parse-names":false,"suffix":""},{"dropping-particle":"","family":"Craxì","given":"Antonio","non-dropping-particle":"","parse-names":false,"suffix":""},{"dropping-particle":"","family":"Cottone","given":"Mario","non-dropping-particle":"","parse-names":false,"suffix":""}],"container-title":"Radiology","id":"ITEM-9","issue":"1","issued":{"date-parts":[["2002","7"]]},"page":"47-54","title":"Transarterial chemoembolization for unresectable hepatocellular carcinoma: Meta-analysis of randomized controlled trials","type":"article-journal","volume":"224"},"uris":["http://www.mendeley.com/documents/?uuid=3d1978fd-7b1c-30bb-9985-1174aa868c32"]}],"mendeley":{"formattedCitation":"[6,8,9,74–79]","plainTextFormattedCitation":"[6,8,9,74–79]","previouslyFormattedCitation":"[6,8,9,74–79]"},"properties":{"noteIndex":0},"schema":"https://github.com/citation-style-language/schema/raw/master/csl-citation.json"}</w:instrText>
      </w:r>
      <w:r w:rsidR="0074472C" w:rsidRPr="00DF0D90">
        <w:rPr>
          <w:color w:val="auto"/>
        </w:rPr>
        <w:fldChar w:fldCharType="separate"/>
      </w:r>
      <w:r w:rsidR="0074472C" w:rsidRPr="00DF0D90">
        <w:rPr>
          <w:noProof/>
          <w:color w:val="auto"/>
        </w:rPr>
        <w:t>[6,</w:t>
      </w:r>
      <w:r w:rsidR="002127BA" w:rsidRPr="00DF0D90">
        <w:rPr>
          <w:noProof/>
          <w:color w:val="auto"/>
        </w:rPr>
        <w:t xml:space="preserve"> 7, </w:t>
      </w:r>
      <w:r w:rsidR="0074472C" w:rsidRPr="00DF0D90">
        <w:rPr>
          <w:noProof/>
          <w:color w:val="auto"/>
        </w:rPr>
        <w:t>8,</w:t>
      </w:r>
      <w:r w:rsidR="002127BA" w:rsidRPr="00DF0D90">
        <w:rPr>
          <w:noProof/>
          <w:color w:val="auto"/>
        </w:rPr>
        <w:t xml:space="preserve"> </w:t>
      </w:r>
      <w:r w:rsidR="0074472C" w:rsidRPr="00DF0D90">
        <w:rPr>
          <w:noProof/>
          <w:color w:val="auto"/>
        </w:rPr>
        <w:t>9,</w:t>
      </w:r>
      <w:r w:rsidR="002127BA" w:rsidRPr="00DF0D90">
        <w:rPr>
          <w:noProof/>
          <w:color w:val="auto"/>
        </w:rPr>
        <w:t xml:space="preserve"> </w:t>
      </w:r>
      <w:r w:rsidR="0074472C" w:rsidRPr="00DF0D90">
        <w:rPr>
          <w:noProof/>
          <w:color w:val="auto"/>
        </w:rPr>
        <w:t>74–79</w:t>
      </w:r>
      <w:r w:rsidR="002127BA" w:rsidRPr="00DF0D90">
        <w:rPr>
          <w:noProof/>
          <w:color w:val="auto"/>
          <w:lang w:val="ru-RU"/>
        </w:rPr>
        <w:t>]</w:t>
      </w:r>
      <w:r w:rsidR="0074472C" w:rsidRPr="00DF0D90">
        <w:rPr>
          <w:noProof/>
          <w:color w:val="auto"/>
          <w:lang w:val="ru-RU"/>
        </w:rPr>
        <w:t xml:space="preserve"> </w:t>
      </w:r>
      <w:r w:rsidR="0074472C" w:rsidRPr="00DF0D90">
        <w:rPr>
          <w:color w:val="auto"/>
        </w:rPr>
        <w:fldChar w:fldCharType="end"/>
      </w:r>
      <w:r w:rsidR="0074472C" w:rsidRPr="00DF0D90">
        <w:rPr>
          <w:color w:val="auto"/>
        </w:rPr>
        <w:t>.</w:t>
      </w:r>
      <w:r w:rsidR="00962DDE" w:rsidRPr="00DF0D90">
        <w:rPr>
          <w:i/>
          <w:iCs/>
          <w:color w:val="000000" w:themeColor="text1"/>
        </w:rPr>
        <w:t xml:space="preserve"> Показания к проведению ТАХЭ определяются врачом по </w:t>
      </w:r>
      <w:proofErr w:type="spellStart"/>
      <w:r w:rsidR="00962DDE" w:rsidRPr="00DF0D90">
        <w:rPr>
          <w:i/>
          <w:iCs/>
          <w:color w:val="000000" w:themeColor="text1"/>
        </w:rPr>
        <w:t>рентгеноэндоваскулярным</w:t>
      </w:r>
      <w:proofErr w:type="spellEnd"/>
      <w:r w:rsidR="00962DDE" w:rsidRPr="00DF0D90">
        <w:rPr>
          <w:i/>
          <w:iCs/>
          <w:color w:val="000000" w:themeColor="text1"/>
        </w:rPr>
        <w:t xml:space="preserve"> диагностике и лечению в составе мультидисциплинарного консилиума.</w:t>
      </w:r>
    </w:p>
    <w:p w14:paraId="133E0396" w14:textId="77777777" w:rsidR="00B726C2" w:rsidRPr="00DF0D90" w:rsidRDefault="00677D84" w:rsidP="004F7795">
      <w:pPr>
        <w:pStyle w:val="a"/>
        <w:numPr>
          <w:ilvl w:val="0"/>
          <w:numId w:val="0"/>
        </w:numPr>
        <w:spacing w:before="0" w:after="120" w:line="360" w:lineRule="auto"/>
        <w:jc w:val="both"/>
        <w:rPr>
          <w:b/>
        </w:rPr>
      </w:pPr>
      <w:r w:rsidRPr="00DF0D90">
        <w:rPr>
          <w:b/>
        </w:rPr>
        <w:t xml:space="preserve">Уровень убедительности рекомендаций – </w:t>
      </w:r>
      <w:r w:rsidRPr="00DF0D90">
        <w:rPr>
          <w:b/>
          <w:lang w:val="en-US"/>
        </w:rPr>
        <w:t>A</w:t>
      </w:r>
      <w:r w:rsidRPr="00DF0D90">
        <w:rPr>
          <w:b/>
        </w:rPr>
        <w:t xml:space="preserve"> (уровен</w:t>
      </w:r>
      <w:r w:rsidR="00454D85" w:rsidRPr="00DF0D90">
        <w:rPr>
          <w:b/>
        </w:rPr>
        <w:t xml:space="preserve">ь достоверности доказательств </w:t>
      </w:r>
      <w:r w:rsidR="002D37C6" w:rsidRPr="00DF0D90">
        <w:rPr>
          <w:b/>
        </w:rPr>
        <w:t>2</w:t>
      </w:r>
      <w:r w:rsidRPr="00DF0D90">
        <w:rPr>
          <w:b/>
        </w:rPr>
        <w:t>).</w:t>
      </w:r>
    </w:p>
    <w:p w14:paraId="0B32463E" w14:textId="0F074C54" w:rsidR="00745F3D" w:rsidRPr="00DF0D90" w:rsidRDefault="00677D84" w:rsidP="004F7795">
      <w:pPr>
        <w:spacing w:line="360" w:lineRule="auto"/>
        <w:ind w:firstLine="567"/>
        <w:jc w:val="both"/>
        <w:rPr>
          <w:i/>
          <w:iCs/>
          <w:color w:val="000000" w:themeColor="text1"/>
        </w:rPr>
      </w:pPr>
      <w:r w:rsidRPr="00DF0D90">
        <w:rPr>
          <w:b/>
          <w:i/>
        </w:rPr>
        <w:t>Комментарии:</w:t>
      </w:r>
      <w:r w:rsidRPr="00DF0D90">
        <w:rPr>
          <w:b/>
        </w:rPr>
        <w:t xml:space="preserve"> </w:t>
      </w:r>
    </w:p>
    <w:p w14:paraId="44066D9B" w14:textId="5A82B8AB" w:rsidR="00E63536" w:rsidRPr="00DF0D90" w:rsidRDefault="00282BCA" w:rsidP="004F7795">
      <w:pPr>
        <w:spacing w:line="360" w:lineRule="auto"/>
        <w:ind w:firstLine="567"/>
        <w:jc w:val="both"/>
        <w:rPr>
          <w:b/>
          <w:i/>
        </w:rPr>
      </w:pPr>
      <w:r w:rsidRPr="00DF0D90">
        <w:rPr>
          <w:i/>
          <w:iCs/>
          <w:color w:val="000000" w:themeColor="text1"/>
        </w:rPr>
        <w:t xml:space="preserve">Барселонская система стадирования рака печени </w:t>
      </w:r>
      <w:r w:rsidRPr="00DF0D90">
        <w:rPr>
          <w:i/>
          <w:iCs/>
          <w:color w:val="000000" w:themeColor="text1"/>
          <w:lang w:val="en-US"/>
        </w:rPr>
        <w:t>BCLC</w:t>
      </w:r>
      <w:r w:rsidR="004F7795" w:rsidRPr="00DF0D90">
        <w:rPr>
          <w:i/>
          <w:iCs/>
          <w:color w:val="000000" w:themeColor="text1"/>
        </w:rPr>
        <w:t>, (версия 2022 года)</w:t>
      </w:r>
      <w:r w:rsidRPr="00DF0D90">
        <w:rPr>
          <w:i/>
          <w:iCs/>
          <w:color w:val="000000" w:themeColor="text1"/>
        </w:rPr>
        <w:t xml:space="preserve"> </w:t>
      </w:r>
      <w:r w:rsidR="00745F3D" w:rsidRPr="00DF0D90">
        <w:rPr>
          <w:i/>
          <w:iCs/>
          <w:color w:val="000000" w:themeColor="text1"/>
        </w:rPr>
        <w:t xml:space="preserve">предполагает последовательную смену лечебной тактики, однако среди экспертного сообщества для пациентов с промежуточной и распространенной стадией обсуждается вопрос о сочетании </w:t>
      </w:r>
      <w:proofErr w:type="spellStart"/>
      <w:r w:rsidR="00745F3D" w:rsidRPr="00DF0D90">
        <w:rPr>
          <w:i/>
          <w:iCs/>
          <w:color w:val="000000" w:themeColor="text1"/>
        </w:rPr>
        <w:t>локорегионарного</w:t>
      </w:r>
      <w:proofErr w:type="spellEnd"/>
      <w:r w:rsidR="00745F3D" w:rsidRPr="00DF0D90">
        <w:rPr>
          <w:i/>
          <w:iCs/>
          <w:color w:val="000000" w:themeColor="text1"/>
        </w:rPr>
        <w:t xml:space="preserve"> лечения и системной терапии с целью увеличения частоты объективных ответов, выживаемости без прогрессирования (ВБП) и общей выживаемости (ОВ).</w:t>
      </w:r>
    </w:p>
    <w:p w14:paraId="1BAD051B" w14:textId="51E43AC3" w:rsidR="002127BA" w:rsidRPr="00DF0D90" w:rsidRDefault="00BE21F7" w:rsidP="002127BA">
      <w:pPr>
        <w:pStyle w:val="a"/>
        <w:numPr>
          <w:ilvl w:val="0"/>
          <w:numId w:val="34"/>
        </w:numPr>
        <w:spacing w:after="120" w:line="360" w:lineRule="auto"/>
        <w:jc w:val="both"/>
        <w:rPr>
          <w:noProof/>
          <w:lang w:val="ru-RU"/>
        </w:rPr>
      </w:pPr>
      <w:r w:rsidRPr="00DF0D90">
        <w:rPr>
          <w:b/>
        </w:rPr>
        <w:t>Не рекомендуется</w:t>
      </w:r>
      <w:r w:rsidRPr="00DF0D90">
        <w:rPr>
          <w:b/>
          <w:lang w:val="ru-RU"/>
        </w:rPr>
        <w:t xml:space="preserve"> </w:t>
      </w:r>
      <w:r w:rsidRPr="00DF0D90">
        <w:t>ТАХЭ пациентам</w:t>
      </w:r>
      <w:r w:rsidRPr="00DF0D90">
        <w:rPr>
          <w:lang w:val="ru-RU"/>
        </w:rPr>
        <w:t xml:space="preserve"> </w:t>
      </w:r>
      <w:r w:rsidRPr="00DF0D90">
        <w:t>с ГЦР</w:t>
      </w:r>
      <w:r w:rsidRPr="00DF0D90">
        <w:rPr>
          <w:lang w:val="ru-RU"/>
        </w:rPr>
        <w:t xml:space="preserve"> </w:t>
      </w:r>
      <w:r w:rsidRPr="00DF0D90">
        <w:t xml:space="preserve">при </w:t>
      </w:r>
      <w:r w:rsidRPr="00DF0D90">
        <w:rPr>
          <w:lang w:val="ru-RU"/>
        </w:rPr>
        <w:t>о</w:t>
      </w:r>
      <w:proofErr w:type="spellStart"/>
      <w:r w:rsidRPr="00DF0D90">
        <w:t>пухоле</w:t>
      </w:r>
      <w:r w:rsidRPr="00DF0D90">
        <w:rPr>
          <w:lang w:val="ru-RU"/>
        </w:rPr>
        <w:t>во</w:t>
      </w:r>
      <w:r w:rsidR="001412A1" w:rsidRPr="00DF0D90">
        <w:rPr>
          <w:lang w:val="ru-RU"/>
        </w:rPr>
        <w:t>й</w:t>
      </w:r>
      <w:proofErr w:type="spellEnd"/>
      <w:r w:rsidR="001412A1" w:rsidRPr="00DF0D90">
        <w:rPr>
          <w:lang w:val="ru-RU"/>
        </w:rPr>
        <w:t xml:space="preserve"> инвазии/тромбозе крупных сосудов (ветви и ствол </w:t>
      </w:r>
      <w:r w:rsidRPr="00DF0D90">
        <w:t>воротн</w:t>
      </w:r>
      <w:r w:rsidR="001412A1" w:rsidRPr="00DF0D90">
        <w:rPr>
          <w:lang w:val="ru-RU"/>
        </w:rPr>
        <w:t xml:space="preserve">ой вены, печеночные и/или нижняя полая </w:t>
      </w:r>
      <w:r w:rsidR="001412A1" w:rsidRPr="00DF0D90">
        <w:rPr>
          <w:lang w:val="ru-RU"/>
        </w:rPr>
        <w:lastRenderedPageBreak/>
        <w:t>вена)</w:t>
      </w:r>
      <w:r w:rsidRPr="00DF0D90">
        <w:t xml:space="preserve"> или </w:t>
      </w:r>
      <w:proofErr w:type="spellStart"/>
      <w:r w:rsidRPr="00DF0D90">
        <w:t>гепатофугальн</w:t>
      </w:r>
      <w:r w:rsidRPr="00DF0D90">
        <w:rPr>
          <w:lang w:val="ru-RU"/>
        </w:rPr>
        <w:t>ом</w:t>
      </w:r>
      <w:proofErr w:type="spellEnd"/>
      <w:r w:rsidRPr="00DF0D90">
        <w:t xml:space="preserve"> кровоток</w:t>
      </w:r>
      <w:r w:rsidRPr="00DF0D90">
        <w:rPr>
          <w:lang w:val="ru-RU"/>
        </w:rPr>
        <w:t>е, н</w:t>
      </w:r>
      <w:proofErr w:type="spellStart"/>
      <w:r w:rsidRPr="00DF0D90">
        <w:t>арушени</w:t>
      </w:r>
      <w:r w:rsidRPr="00DF0D90">
        <w:rPr>
          <w:lang w:val="ru-RU"/>
        </w:rPr>
        <w:t>и</w:t>
      </w:r>
      <w:proofErr w:type="spellEnd"/>
      <w:r w:rsidRPr="00DF0D90">
        <w:t xml:space="preserve"> функции печени (Child-</w:t>
      </w:r>
      <w:proofErr w:type="spellStart"/>
      <w:r w:rsidRPr="00DF0D90">
        <w:t>Pugh</w:t>
      </w:r>
      <w:proofErr w:type="spellEnd"/>
      <w:r w:rsidRPr="00DF0D90">
        <w:t xml:space="preserve"> B8 и выше), </w:t>
      </w:r>
      <w:r w:rsidRPr="00DF0D90">
        <w:rPr>
          <w:lang w:val="ru-RU"/>
        </w:rPr>
        <w:t xml:space="preserve"> п</w:t>
      </w:r>
      <w:r w:rsidRPr="00DF0D90">
        <w:t>лохо</w:t>
      </w:r>
      <w:r w:rsidRPr="00DF0D90">
        <w:rPr>
          <w:lang w:val="ru-RU"/>
        </w:rPr>
        <w:t>м</w:t>
      </w:r>
      <w:r w:rsidRPr="00DF0D90">
        <w:t xml:space="preserve"> функционально</w:t>
      </w:r>
      <w:r w:rsidRPr="00DF0D90">
        <w:rPr>
          <w:lang w:val="ru-RU"/>
        </w:rPr>
        <w:t>м</w:t>
      </w:r>
      <w:r w:rsidRPr="00DF0D90">
        <w:t xml:space="preserve"> состояни</w:t>
      </w:r>
      <w:r w:rsidRPr="00DF0D90">
        <w:rPr>
          <w:lang w:val="ru-RU"/>
        </w:rPr>
        <w:t>и пациента</w:t>
      </w:r>
      <w:r w:rsidRPr="00DF0D90">
        <w:t xml:space="preserve"> (ECOG 2 или выше)</w:t>
      </w:r>
      <w:r w:rsidRPr="00DF0D90">
        <w:rPr>
          <w:lang w:val="ru-RU"/>
        </w:rPr>
        <w:t>, при наличии п</w:t>
      </w:r>
      <w:proofErr w:type="spellStart"/>
      <w:r w:rsidRPr="00DF0D90">
        <w:t>ротивопоказани</w:t>
      </w:r>
      <w:r w:rsidRPr="00DF0D90">
        <w:rPr>
          <w:lang w:val="ru-RU"/>
        </w:rPr>
        <w:t>й</w:t>
      </w:r>
      <w:proofErr w:type="spellEnd"/>
      <w:r w:rsidRPr="00DF0D90">
        <w:t xml:space="preserve"> к проведению </w:t>
      </w:r>
      <w:proofErr w:type="spellStart"/>
      <w:r w:rsidRPr="00DF0D90">
        <w:t>артериографии</w:t>
      </w:r>
      <w:proofErr w:type="spellEnd"/>
      <w:r w:rsidRPr="00DF0D90">
        <w:t xml:space="preserve"> (</w:t>
      </w:r>
      <w:proofErr w:type="spellStart"/>
      <w:r w:rsidRPr="00DF0D90">
        <w:t>некорригируемая</w:t>
      </w:r>
      <w:proofErr w:type="spellEnd"/>
      <w:r w:rsidRPr="00DF0D90">
        <w:t xml:space="preserve"> тромбоцитопения, </w:t>
      </w:r>
      <w:proofErr w:type="spellStart"/>
      <w:r w:rsidRPr="00DF0D90">
        <w:t>коагулопатия</w:t>
      </w:r>
      <w:proofErr w:type="spellEnd"/>
      <w:r w:rsidRPr="00DF0D90">
        <w:t>, тяжелая почечная недостаточность или тяжелая аллергическая реакция на контрастное вещество)</w:t>
      </w:r>
      <w:r w:rsidR="002127BA" w:rsidRPr="00DF0D90">
        <w:t xml:space="preserve"> [6</w:t>
      </w:r>
      <w:r w:rsidR="002127BA" w:rsidRPr="00DF0D90">
        <w:rPr>
          <w:lang w:val="ru-RU"/>
        </w:rPr>
        <w:t>, 80, 81, 83, 133, 134]</w:t>
      </w:r>
      <w:r w:rsidR="00750486">
        <w:rPr>
          <w:lang w:val="ru-RU"/>
        </w:rPr>
        <w:t>.</w:t>
      </w:r>
    </w:p>
    <w:p w14:paraId="6B3C9F86" w14:textId="63F3569B" w:rsidR="00BE21F7" w:rsidRPr="00DF0D90" w:rsidRDefault="00BE21F7" w:rsidP="00F32797">
      <w:pPr>
        <w:pStyle w:val="a"/>
        <w:numPr>
          <w:ilvl w:val="0"/>
          <w:numId w:val="0"/>
        </w:numPr>
        <w:spacing w:after="120" w:line="360" w:lineRule="auto"/>
        <w:jc w:val="both"/>
        <w:rPr>
          <w:lang w:val="ru-RU"/>
        </w:rPr>
      </w:pPr>
      <w:r w:rsidRPr="00DF0D90">
        <w:rPr>
          <w:b/>
        </w:rPr>
        <w:t>Уровень убедительности рекомендаций –</w:t>
      </w:r>
      <w:r w:rsidRPr="00DF0D90">
        <w:rPr>
          <w:b/>
          <w:lang w:val="ru-RU"/>
        </w:rPr>
        <w:t xml:space="preserve"> </w:t>
      </w:r>
      <w:r w:rsidRPr="00DF0D90">
        <w:rPr>
          <w:b/>
        </w:rPr>
        <w:t>А</w:t>
      </w:r>
      <w:r w:rsidRPr="00DF0D90">
        <w:rPr>
          <w:b/>
          <w:lang w:val="ru-RU"/>
        </w:rPr>
        <w:t xml:space="preserve"> </w:t>
      </w:r>
      <w:r w:rsidRPr="00DF0D90">
        <w:rPr>
          <w:b/>
        </w:rPr>
        <w:t xml:space="preserve">(уровень достоверности доказательств </w:t>
      </w:r>
      <w:r w:rsidRPr="00DF0D90">
        <w:rPr>
          <w:b/>
          <w:lang w:val="ru-RU"/>
        </w:rPr>
        <w:t>-</w:t>
      </w:r>
      <w:r w:rsidRPr="00DF0D90">
        <w:rPr>
          <w:b/>
        </w:rPr>
        <w:t>2)</w:t>
      </w:r>
    </w:p>
    <w:p w14:paraId="0FC0D5A3" w14:textId="77E0703F" w:rsidR="00BE21F7" w:rsidRPr="00DF0D90" w:rsidRDefault="00BE21F7" w:rsidP="00BE21F7">
      <w:pPr>
        <w:spacing w:after="120" w:line="360" w:lineRule="auto"/>
        <w:jc w:val="both"/>
        <w:rPr>
          <w:i/>
          <w:lang w:val="en-US"/>
        </w:rPr>
      </w:pPr>
      <w:r w:rsidRPr="00DF0D90">
        <w:rPr>
          <w:b/>
          <w:i/>
        </w:rPr>
        <w:t>Комментарии:</w:t>
      </w:r>
      <w:r w:rsidRPr="00DF0D90">
        <w:rPr>
          <w:b/>
        </w:rPr>
        <w:t xml:space="preserve"> </w:t>
      </w:r>
      <w:r w:rsidRPr="00DF0D90">
        <w:rPr>
          <w:i/>
        </w:rPr>
        <w:t xml:space="preserve">относительными противопоказаниями к ТАХЭ являются </w:t>
      </w:r>
      <w:proofErr w:type="spellStart"/>
      <w:r w:rsidRPr="00DF0D90">
        <w:rPr>
          <w:i/>
        </w:rPr>
        <w:t>трансъюгулярный</w:t>
      </w:r>
      <w:proofErr w:type="spellEnd"/>
      <w:r w:rsidRPr="00DF0D90">
        <w:rPr>
          <w:i/>
        </w:rPr>
        <w:t xml:space="preserve"> внутрипеченочный </w:t>
      </w:r>
      <w:proofErr w:type="spellStart"/>
      <w:r w:rsidRPr="00DF0D90">
        <w:rPr>
          <w:i/>
        </w:rPr>
        <w:t>портосистемный</w:t>
      </w:r>
      <w:proofErr w:type="spellEnd"/>
      <w:r w:rsidRPr="00DF0D90">
        <w:rPr>
          <w:i/>
        </w:rPr>
        <w:t xml:space="preserve"> шунт; сегментарный или </w:t>
      </w:r>
      <w:proofErr w:type="spellStart"/>
      <w:r w:rsidRPr="00DF0D90">
        <w:rPr>
          <w:i/>
        </w:rPr>
        <w:t>субсегментарный</w:t>
      </w:r>
      <w:proofErr w:type="spellEnd"/>
      <w:r w:rsidRPr="00DF0D90">
        <w:rPr>
          <w:i/>
        </w:rPr>
        <w:t xml:space="preserve"> неопухолевой тромбоз воротной вены; пациенты с опухолевой массой &gt;50% объема печени. </w:t>
      </w:r>
      <w:r w:rsidRPr="00DF0D90">
        <w:rPr>
          <w:i/>
        </w:rPr>
        <w:fldChar w:fldCharType="begin" w:fldLock="1"/>
      </w:r>
      <w:r w:rsidRPr="00DF0D90">
        <w:rPr>
          <w:i/>
        </w:rPr>
        <w:instrText>ADDIN CSL_CITATION {"citationItems":[{"id":"ITEM-1","itemData":{"DOI":"10.1016/j.ctrv.2010.07.006","ISSN":"03057372","PMID":"20724077","abstract":"Transarterial chemoembolization (TACE) is considered the gold standard for treating intermediate-stage hepatocellular carcinoma (HCC). However, intermediate-stage HCC includes a heterogeneous population of patients with varying tumour burdens, liver function (Child-Pugh A or B) and disease aetiology. This suggests that not all patients with intermediate-stage HCC will derive similar benefit from TACE, and that some patients may benefit from other treatment options. Results of an extensive literature review into the treatment of unresectable HCC with TACE were combined with our own clinical experience to identify factors that may predict survival after TACE. We also report contraindications to TACE and propose a treatment algorithm for the repetition of TACE. In addition, we have constructed a number of expert opinions that may be used as a guide to help physicians make treatment decisions for their patients with intermediate-stage HCC. The data included in the literature review related almost exclusively to conventional TACE, rather than to TACE with drug-eluting beads. Therefore, the findings and conclusions of the literature review are only applicable to the treatment of HCC with conventional TACE. Treating physicians may want to consider other treatment options for patients with intermediate-stage HCC who are not suitable for or do not respond to TACE. By distinguishing those patients who represent good candidates for TACE from those where little or no benefit might be expected, it may be possible to make better use of current treatment options and improve outcomes for patients. © 2010.","author":[{"dropping-particle":"","family":"Raoul","given":"J. L.","non-dropping-particle":"","parse-names":false,"suffix":""},{"dropping-particle":"","family":"Sangro","given":"B.","non-dropping-particle":"","parse-names":false,"suffix":""},{"dropping-particle":"","family":"Forner","given":"A.","non-dropping-particle":"","parse-names":false,"suffix":""},{"dropping-particle":"","family":"Mazzaferro","given":"V.","non-dropping-particle":"","parse-names":false,"suffix":""},{"dropping-particle":"","family":"Piscaglia","given":"F.","non-dropping-particle":"","parse-names":false,"suffix":""},{"dropping-particle":"","family":"Bolondi","given":"L.","non-dropping-particle":"","parse-names":false,"suffix":""},{"dropping-particle":"","family":"Lencioni","given":"R.","non-dropping-particle":"","parse-names":false,"suffix":""}],"container-title":"Cancer Treatment Reviews","id":"ITEM-1","issue":"3","issued":{"date-parts":[["2011","5"]]},"page":"212-220","title":"Evolving strategies for the management of intermediate-stage hepatocellular carcinoma: Available evidence and expert opinion on the use of transarterial chemoembolization","type":"article","volume":"37"},"uris":["http://www.mendeley.com/documents/?uuid=821a4a6f-aa32-3d55-847b-60b7d8ce8b7c"]},{"id":"ITEM-2","itemData":{"DOI":"10.1038/nrclinonc.2014.122","ISSN":"17594782","PMID":"25091611","abstract":"Hepatocellular carcinoma (HCC) - closely associated with liver cirrhosis and, in fact, the main cause of death in patients with such disease - is now recognized as one of the most-prevalent and lethal neoplasms worldwide. Prognosis and allocation of the multiple available treatment options for patients with HCC are influenced not only by tumour stage, but also by the degree of liver-function impairment. Therefore, accurate assessment and classification of disease is important for patient management. According to the Barcelona Clinic Liver Cancer (BCLC) algorithm, intermediate-stage HCC is defined as extensive multifocal disease without vascular invasion in patients with preserved liver function and absence of cancer-related symptoms; in this context, transarterial chemoembolization (TACE) is considered the standard treatment. The use of drug-eluting beads has enabled standardization of this procedure, resulting in higher reproducibility and tolerability of the treatment. Nevertheless, not all patients with intermediate-stage HCC are good candidates for TACE and, for such patients in whom TACE is not appropriate or has failed, other treatments can be considered, including sorafenib. Radioembolization is a promising alternative that deserves further prospective studies. Herein, we review the current approaches used to accurately stratify patients with intermediate-stage HCC and subsequently allocate the most-appropriate treatments. The key developments in therapeutic strategies are also discussed. © 2014 Macmillan Publishers Limited.","author":[{"dropping-particle":"","family":"Forner","given":"Alejandro","non-dropping-particle":"","parse-names":false,"suffix":""},{"dropping-particle":"","family":"Gilabert","given":"Marine","non-dropping-particle":"","parse-names":false,"suffix":""},{"dropping-particle":"","family":"Bruix","given":"Jordi","non-dropping-particle":"","parse-names":false,"suffix":""},{"dropping-particle":"","family":"Raoul","given":"Jean Luc","non-dropping-particle":"","parse-names":false,"suffix":""}],"container-title":"Nature Reviews Clinical Oncology","id":"ITEM-2","issue":"9","issued":{"date-parts":[["2014"]]},"page":"525-535","publisher":"Nature Publishing Group","title":"Treatment of intermediate-stage hepatocellular carcinoma","type":"article","volume":"11"},"uris":["http://www.mendeley.com/documents/?uuid=2e574ae2-a836-3461-a1da-8f91e87785b2"]}],"mendeley":{"formattedCitation":"[80,81]","plainTextFormattedCitation":"[80,81]","previouslyFormattedCitation":"[80,81]"},"properties":{"noteIndex":0},"schema":"https://github.com/citation-style-language/schema/raw/master/csl-citation.json"}</w:instrText>
      </w:r>
      <w:r w:rsidRPr="00DF0D90">
        <w:rPr>
          <w:i/>
        </w:rPr>
        <w:fldChar w:fldCharType="separate"/>
      </w:r>
      <w:r w:rsidRPr="00DF0D90">
        <w:rPr>
          <w:noProof/>
        </w:rPr>
        <w:t>[</w:t>
      </w:r>
      <w:r w:rsidR="002127BA" w:rsidRPr="00DF0D90">
        <w:rPr>
          <w:noProof/>
          <w:lang w:val="en-US"/>
        </w:rPr>
        <w:t xml:space="preserve">6, </w:t>
      </w:r>
      <w:r w:rsidRPr="00DF0D90">
        <w:rPr>
          <w:noProof/>
        </w:rPr>
        <w:t>80,81</w:t>
      </w:r>
      <w:r w:rsidR="002127BA" w:rsidRPr="00DF0D90">
        <w:rPr>
          <w:noProof/>
          <w:lang w:val="en-US"/>
        </w:rPr>
        <w:t>, 83,  133, 134</w:t>
      </w:r>
      <w:r w:rsidRPr="00DF0D90">
        <w:rPr>
          <w:noProof/>
        </w:rPr>
        <w:t>]</w:t>
      </w:r>
      <w:r w:rsidRPr="00DF0D90">
        <w:rPr>
          <w:i/>
        </w:rPr>
        <w:fldChar w:fldCharType="end"/>
      </w:r>
      <w:r w:rsidRPr="00DF0D90">
        <w:rPr>
          <w:b/>
        </w:rPr>
        <w:t>.</w:t>
      </w:r>
      <w:r w:rsidRPr="00DF0D90">
        <w:rPr>
          <w:i/>
        </w:rPr>
        <w:t xml:space="preserve"> </w:t>
      </w:r>
    </w:p>
    <w:p w14:paraId="73D08EBA" w14:textId="3F051867" w:rsidR="00BE21F7" w:rsidRPr="00DF0D90" w:rsidRDefault="00BE21F7" w:rsidP="00BE21F7">
      <w:pPr>
        <w:pStyle w:val="af2"/>
        <w:numPr>
          <w:ilvl w:val="0"/>
          <w:numId w:val="47"/>
        </w:numPr>
        <w:tabs>
          <w:tab w:val="left" w:pos="0"/>
          <w:tab w:val="left" w:pos="142"/>
        </w:tabs>
        <w:spacing w:after="120" w:line="360" w:lineRule="auto"/>
        <w:ind w:left="0" w:firstLine="360"/>
        <w:jc w:val="both"/>
        <w:rPr>
          <w:iCs/>
          <w:sz w:val="16"/>
          <w:szCs w:val="16"/>
        </w:rPr>
      </w:pPr>
      <w:r w:rsidRPr="00DF0D90">
        <w:rPr>
          <w:b/>
          <w:bCs/>
          <w:iCs/>
        </w:rPr>
        <w:t>Рекомендуется</w:t>
      </w:r>
      <w:r w:rsidRPr="00DF0D90">
        <w:rPr>
          <w:iCs/>
        </w:rPr>
        <w:t xml:space="preserve"> проведение процедуры ТАХЭ на ангиографическом комплексе с возможностью проведения </w:t>
      </w:r>
      <w:proofErr w:type="spellStart"/>
      <w:r w:rsidRPr="00DF0D90">
        <w:rPr>
          <w:iCs/>
        </w:rPr>
        <w:t>плоскодетекторной</w:t>
      </w:r>
      <w:proofErr w:type="spellEnd"/>
      <w:r w:rsidRPr="00DF0D90">
        <w:rPr>
          <w:iCs/>
        </w:rPr>
        <w:t xml:space="preserve"> компьютерной томографии (ПДКТ) (при наличии </w:t>
      </w:r>
      <w:r w:rsidR="008B3F53" w:rsidRPr="00DF0D90">
        <w:rPr>
          <w:iCs/>
        </w:rPr>
        <w:t xml:space="preserve">сертифицированного </w:t>
      </w:r>
      <w:r w:rsidRPr="00DF0D90">
        <w:rPr>
          <w:iCs/>
        </w:rPr>
        <w:t xml:space="preserve">программного обеспечения). Выбор метода </w:t>
      </w:r>
      <w:proofErr w:type="spellStart"/>
      <w:r w:rsidRPr="00DF0D90">
        <w:rPr>
          <w:iCs/>
        </w:rPr>
        <w:t>трансартериальной</w:t>
      </w:r>
      <w:proofErr w:type="spellEnd"/>
      <w:r w:rsidRPr="00DF0D90">
        <w:rPr>
          <w:iCs/>
        </w:rPr>
        <w:t xml:space="preserve"> </w:t>
      </w:r>
      <w:proofErr w:type="spellStart"/>
      <w:r w:rsidRPr="00DF0D90">
        <w:rPr>
          <w:iCs/>
        </w:rPr>
        <w:t>химиоэмболизации</w:t>
      </w:r>
      <w:proofErr w:type="spellEnd"/>
      <w:r w:rsidRPr="00DF0D90">
        <w:rPr>
          <w:iCs/>
        </w:rPr>
        <w:t xml:space="preserve"> (</w:t>
      </w:r>
      <w:proofErr w:type="spellStart"/>
      <w:r w:rsidRPr="00DF0D90">
        <w:rPr>
          <w:iCs/>
        </w:rPr>
        <w:t>cуперселективная</w:t>
      </w:r>
      <w:proofErr w:type="spellEnd"/>
      <w:r w:rsidRPr="00DF0D90">
        <w:rPr>
          <w:iCs/>
        </w:rPr>
        <w:t xml:space="preserve"> масляная ТАХЭ (цитостатик + масляный рентгеноконтрастный препарат + гемостатический материал), </w:t>
      </w:r>
      <w:proofErr w:type="spellStart"/>
      <w:r w:rsidRPr="00DF0D90">
        <w:rPr>
          <w:iCs/>
        </w:rPr>
        <w:t>суперселективная</w:t>
      </w:r>
      <w:proofErr w:type="spellEnd"/>
      <w:r w:rsidRPr="00DF0D90">
        <w:rPr>
          <w:iCs/>
        </w:rPr>
        <w:t xml:space="preserve"> ТАХЭ микросферами насыщаемыми цитостатиком (DEM), селективная </w:t>
      </w:r>
      <w:proofErr w:type="spellStart"/>
      <w:r w:rsidRPr="00DF0D90">
        <w:rPr>
          <w:iCs/>
        </w:rPr>
        <w:t>баллонокклюзионная</w:t>
      </w:r>
      <w:proofErr w:type="spellEnd"/>
      <w:r w:rsidRPr="00DF0D90">
        <w:rPr>
          <w:iCs/>
        </w:rPr>
        <w:t xml:space="preserve"> ТАХЭ) зависит от клинической ситуации, технических условий и плана </w:t>
      </w:r>
      <w:r w:rsidR="001D7B82" w:rsidRPr="00DF0D90">
        <w:rPr>
          <w:iCs/>
        </w:rPr>
        <w:t>лечения</w:t>
      </w:r>
      <w:r w:rsidR="001D7B82">
        <w:rPr>
          <w:iCs/>
        </w:rPr>
        <w:t xml:space="preserve"> </w:t>
      </w:r>
      <w:r w:rsidR="001D7B82" w:rsidRPr="00DF0D90">
        <w:rPr>
          <w:iCs/>
        </w:rPr>
        <w:t>[</w:t>
      </w:r>
      <w:r w:rsidR="002127BA" w:rsidRPr="00DF0D90">
        <w:rPr>
          <w:iCs/>
        </w:rPr>
        <w:t>133, 135 - 140]</w:t>
      </w:r>
      <w:r w:rsidR="001D7B82">
        <w:rPr>
          <w:iCs/>
        </w:rPr>
        <w:t>.</w:t>
      </w:r>
    </w:p>
    <w:p w14:paraId="603506D2" w14:textId="1CFA2A3F" w:rsidR="00BE21F7" w:rsidRPr="00DF0D90" w:rsidRDefault="00BE21F7" w:rsidP="00BE21F7">
      <w:pPr>
        <w:spacing w:after="120" w:line="360" w:lineRule="auto"/>
        <w:jc w:val="both"/>
        <w:rPr>
          <w:iCs/>
        </w:rPr>
      </w:pPr>
      <w:r w:rsidRPr="00DF0D90">
        <w:rPr>
          <w:b/>
          <w:bCs/>
          <w:iCs/>
        </w:rPr>
        <w:t xml:space="preserve">Уровень убедительности рекомендаций – </w:t>
      </w:r>
      <w:r w:rsidRPr="00DF0D90">
        <w:rPr>
          <w:b/>
          <w:bCs/>
          <w:iCs/>
          <w:lang w:val="en-US"/>
        </w:rPr>
        <w:t>B</w:t>
      </w:r>
      <w:r w:rsidRPr="00DF0D90">
        <w:rPr>
          <w:b/>
          <w:bCs/>
          <w:iCs/>
        </w:rPr>
        <w:t xml:space="preserve"> (уровень достоверности доказательств -2)</w:t>
      </w:r>
    </w:p>
    <w:p w14:paraId="6D538F56" w14:textId="06BEA1EF" w:rsidR="00BE21F7" w:rsidRPr="00DF0D90" w:rsidRDefault="00BE21F7" w:rsidP="00BE21F7">
      <w:pPr>
        <w:spacing w:after="120" w:line="360" w:lineRule="auto"/>
        <w:jc w:val="both"/>
        <w:rPr>
          <w:i/>
        </w:rPr>
      </w:pPr>
      <w:r w:rsidRPr="00DF0D90">
        <w:rPr>
          <w:b/>
          <w:bCs/>
          <w:i/>
        </w:rPr>
        <w:t xml:space="preserve">Комментарии: </w:t>
      </w:r>
      <w:r w:rsidRPr="00DF0D90">
        <w:rPr>
          <w:i/>
        </w:rPr>
        <w:t xml:space="preserve">Диагностическая ПДКТ показала превосходство в обнаружении опухоли и опухолевых сосудов по сравнению с цифровой </w:t>
      </w:r>
      <w:proofErr w:type="spellStart"/>
      <w:r w:rsidRPr="00DF0D90">
        <w:rPr>
          <w:i/>
        </w:rPr>
        <w:t>субтракционной</w:t>
      </w:r>
      <w:proofErr w:type="spellEnd"/>
      <w:r w:rsidRPr="00DF0D90">
        <w:rPr>
          <w:i/>
        </w:rPr>
        <w:t xml:space="preserve"> ангиографией (DSA)</w:t>
      </w:r>
      <w:r w:rsidR="00962DDE" w:rsidRPr="00DF0D90">
        <w:rPr>
          <w:i/>
        </w:rPr>
        <w:t xml:space="preserve"> </w:t>
      </w:r>
      <w:r w:rsidR="001D7B82" w:rsidRPr="00DF0D90">
        <w:rPr>
          <w:i/>
        </w:rPr>
        <w:t>и позволяет</w:t>
      </w:r>
      <w:r w:rsidRPr="00DF0D90">
        <w:rPr>
          <w:i/>
        </w:rPr>
        <w:t xml:space="preserve"> обнаружить </w:t>
      </w:r>
      <w:proofErr w:type="spellStart"/>
      <w:r w:rsidRPr="00DF0D90">
        <w:rPr>
          <w:i/>
        </w:rPr>
        <w:t>невизуализируемые</w:t>
      </w:r>
      <w:proofErr w:type="spellEnd"/>
      <w:r w:rsidRPr="00DF0D90">
        <w:rPr>
          <w:i/>
        </w:rPr>
        <w:t xml:space="preserve"> ранее</w:t>
      </w:r>
      <w:r w:rsidR="008B3F53" w:rsidRPr="00DF0D90">
        <w:rPr>
          <w:i/>
        </w:rPr>
        <w:t xml:space="preserve"> внутрипеченочные</w:t>
      </w:r>
      <w:r w:rsidRPr="00DF0D90">
        <w:rPr>
          <w:i/>
        </w:rPr>
        <w:t xml:space="preserve"> очаги. Кроме того, ПДКТ </w:t>
      </w:r>
      <w:r w:rsidR="00602E0A" w:rsidRPr="00DF0D90">
        <w:rPr>
          <w:i/>
        </w:rPr>
        <w:t xml:space="preserve">без контрастного усиления </w:t>
      </w:r>
      <w:r w:rsidRPr="00DF0D90">
        <w:rPr>
          <w:i/>
        </w:rPr>
        <w:t xml:space="preserve">применяется для оценки распределения </w:t>
      </w:r>
      <w:proofErr w:type="spellStart"/>
      <w:r w:rsidRPr="00DF0D90">
        <w:rPr>
          <w:i/>
        </w:rPr>
        <w:t>эмболизата</w:t>
      </w:r>
      <w:proofErr w:type="spellEnd"/>
      <w:r w:rsidRPr="00DF0D90">
        <w:rPr>
          <w:i/>
        </w:rPr>
        <w:t xml:space="preserve"> во время процедуры</w:t>
      </w:r>
      <w:r w:rsidR="00962DDE" w:rsidRPr="00DF0D90">
        <w:rPr>
          <w:i/>
        </w:rPr>
        <w:t xml:space="preserve"> и</w:t>
      </w:r>
      <w:r w:rsidRPr="00DF0D90">
        <w:rPr>
          <w:i/>
        </w:rPr>
        <w:t xml:space="preserve"> визуализации точной анатомической области печени, подвергшейся </w:t>
      </w:r>
      <w:proofErr w:type="spellStart"/>
      <w:r w:rsidRPr="00DF0D90">
        <w:rPr>
          <w:i/>
        </w:rPr>
        <w:t>трансартериальному</w:t>
      </w:r>
      <w:proofErr w:type="spellEnd"/>
      <w:r w:rsidRPr="00DF0D90">
        <w:rPr>
          <w:i/>
        </w:rPr>
        <w:t xml:space="preserve"> лечению, сразу же после воздействия</w:t>
      </w:r>
      <w:r w:rsidR="00602E0A" w:rsidRPr="00DF0D90">
        <w:rPr>
          <w:i/>
        </w:rPr>
        <w:t>.</w:t>
      </w:r>
      <w:r w:rsidRPr="00DF0D90">
        <w:rPr>
          <w:i/>
        </w:rPr>
        <w:t xml:space="preserve">  Это может быть полезно для выявления неполной эмболизации опухолевого очага за счет наличия внепеченочных «паразитарных» сосудов при </w:t>
      </w:r>
      <w:proofErr w:type="spellStart"/>
      <w:r w:rsidRPr="00DF0D90">
        <w:rPr>
          <w:i/>
        </w:rPr>
        <w:t>подкапсульной</w:t>
      </w:r>
      <w:proofErr w:type="spellEnd"/>
      <w:r w:rsidRPr="00DF0D90">
        <w:rPr>
          <w:i/>
        </w:rPr>
        <w:t xml:space="preserve"> локализации или дополнительных питающих сосудов контр</w:t>
      </w:r>
      <w:r w:rsidR="000C1A1C" w:rsidRPr="00DF0D90">
        <w:rPr>
          <w:i/>
        </w:rPr>
        <w:t>а</w:t>
      </w:r>
      <w:r w:rsidRPr="00DF0D90">
        <w:rPr>
          <w:i/>
        </w:rPr>
        <w:t xml:space="preserve">латеральной доли печени при расположении опухоли на границе долей и направления пациента на дальнейшие сеансы </w:t>
      </w:r>
      <w:proofErr w:type="spellStart"/>
      <w:r w:rsidRPr="00DF0D90">
        <w:rPr>
          <w:i/>
        </w:rPr>
        <w:t>трансартериальной</w:t>
      </w:r>
      <w:proofErr w:type="spellEnd"/>
      <w:r w:rsidRPr="00DF0D90">
        <w:rPr>
          <w:i/>
        </w:rPr>
        <w:t xml:space="preserve"> </w:t>
      </w:r>
      <w:proofErr w:type="spellStart"/>
      <w:r w:rsidRPr="00DF0D90">
        <w:rPr>
          <w:i/>
        </w:rPr>
        <w:t>химиоэмболизации</w:t>
      </w:r>
      <w:proofErr w:type="spellEnd"/>
      <w:r w:rsidRPr="00DF0D90">
        <w:rPr>
          <w:i/>
        </w:rPr>
        <w:t xml:space="preserve">, а </w:t>
      </w:r>
      <w:r w:rsidR="008C7E55" w:rsidRPr="00DF0D90">
        <w:rPr>
          <w:i/>
        </w:rPr>
        <w:t>также</w:t>
      </w:r>
      <w:r w:rsidRPr="00DF0D90">
        <w:rPr>
          <w:i/>
        </w:rPr>
        <w:t xml:space="preserve"> для раннего выявления нецелевой эмболизации при попадании </w:t>
      </w:r>
      <w:proofErr w:type="spellStart"/>
      <w:r w:rsidRPr="00DF0D90">
        <w:rPr>
          <w:i/>
        </w:rPr>
        <w:t>эмболизирующего</w:t>
      </w:r>
      <w:proofErr w:type="spellEnd"/>
      <w:r w:rsidRPr="00DF0D90">
        <w:rPr>
          <w:i/>
        </w:rPr>
        <w:t xml:space="preserve"> агента в здоровые органы и ткани.</w:t>
      </w:r>
    </w:p>
    <w:p w14:paraId="606D409E" w14:textId="59189EC7" w:rsidR="000B32B8" w:rsidRPr="00DF0D90" w:rsidRDefault="00BE21F7" w:rsidP="000F43D8">
      <w:pPr>
        <w:spacing w:after="120" w:line="360" w:lineRule="auto"/>
        <w:jc w:val="both"/>
        <w:rPr>
          <w:i/>
          <w:sz w:val="16"/>
          <w:szCs w:val="16"/>
        </w:rPr>
      </w:pPr>
      <w:r w:rsidRPr="00DF0D90">
        <w:rPr>
          <w:i/>
        </w:rPr>
        <w:t xml:space="preserve">Выбор методики ТАХЭ у больных ГЦР зависит от стадии заболевания по BCLC, клинической ситуации, технических условий и плана лечения. При любом виде </w:t>
      </w:r>
      <w:proofErr w:type="spellStart"/>
      <w:r w:rsidR="001D7B82" w:rsidRPr="00DF0D90">
        <w:rPr>
          <w:i/>
        </w:rPr>
        <w:lastRenderedPageBreak/>
        <w:t>транскатетерного</w:t>
      </w:r>
      <w:proofErr w:type="spellEnd"/>
      <w:r w:rsidR="001D7B82" w:rsidRPr="00DF0D90">
        <w:rPr>
          <w:i/>
        </w:rPr>
        <w:t xml:space="preserve"> вмешательства</w:t>
      </w:r>
      <w:r w:rsidRPr="00DF0D90">
        <w:rPr>
          <w:i/>
        </w:rPr>
        <w:t xml:space="preserve"> требуется применение </w:t>
      </w:r>
      <w:proofErr w:type="spellStart"/>
      <w:r w:rsidRPr="00DF0D90">
        <w:rPr>
          <w:i/>
        </w:rPr>
        <w:t>микрокатетера</w:t>
      </w:r>
      <w:proofErr w:type="spellEnd"/>
      <w:r w:rsidRPr="00DF0D90">
        <w:rPr>
          <w:i/>
        </w:rPr>
        <w:t xml:space="preserve"> вне зависимости от </w:t>
      </w:r>
      <w:r w:rsidR="007529F2" w:rsidRPr="00DF0D90">
        <w:rPr>
          <w:i/>
        </w:rPr>
        <w:t xml:space="preserve">уровня введения </w:t>
      </w:r>
      <w:proofErr w:type="spellStart"/>
      <w:r w:rsidR="007529F2" w:rsidRPr="00DF0D90">
        <w:rPr>
          <w:i/>
        </w:rPr>
        <w:t>эмб</w:t>
      </w:r>
      <w:r w:rsidR="00602E0A" w:rsidRPr="00DF0D90">
        <w:rPr>
          <w:i/>
        </w:rPr>
        <w:t>о</w:t>
      </w:r>
      <w:r w:rsidR="007529F2" w:rsidRPr="00DF0D90">
        <w:rPr>
          <w:i/>
        </w:rPr>
        <w:t>лизирующего</w:t>
      </w:r>
      <w:proofErr w:type="spellEnd"/>
      <w:r w:rsidR="007529F2" w:rsidRPr="00DF0D90">
        <w:rPr>
          <w:i/>
        </w:rPr>
        <w:t xml:space="preserve"> материала </w:t>
      </w:r>
      <w:r w:rsidR="00602E0A" w:rsidRPr="00DF0D90">
        <w:rPr>
          <w:i/>
        </w:rPr>
        <w:t>(</w:t>
      </w:r>
      <w:proofErr w:type="spellStart"/>
      <w:r w:rsidR="00B941C7" w:rsidRPr="00DF0D90">
        <w:rPr>
          <w:i/>
        </w:rPr>
        <w:t>супер</w:t>
      </w:r>
      <w:r w:rsidR="007529F2" w:rsidRPr="00DF0D90">
        <w:rPr>
          <w:i/>
        </w:rPr>
        <w:t>селек</w:t>
      </w:r>
      <w:r w:rsidR="00602E0A" w:rsidRPr="00DF0D90">
        <w:rPr>
          <w:i/>
        </w:rPr>
        <w:t>тивный</w:t>
      </w:r>
      <w:proofErr w:type="spellEnd"/>
      <w:r w:rsidR="00602E0A" w:rsidRPr="00DF0D90">
        <w:rPr>
          <w:i/>
        </w:rPr>
        <w:t xml:space="preserve"> – от уровня сегментарных,</w:t>
      </w:r>
      <w:r w:rsidR="00B941C7" w:rsidRPr="00DF0D90">
        <w:rPr>
          <w:i/>
        </w:rPr>
        <w:t xml:space="preserve"> </w:t>
      </w:r>
      <w:proofErr w:type="spellStart"/>
      <w:r w:rsidR="007529F2" w:rsidRPr="00DF0D90">
        <w:rPr>
          <w:i/>
        </w:rPr>
        <w:t>субсегментарных</w:t>
      </w:r>
      <w:proofErr w:type="spellEnd"/>
      <w:r w:rsidR="007529F2" w:rsidRPr="00DF0D90">
        <w:rPr>
          <w:i/>
        </w:rPr>
        <w:t xml:space="preserve"> или питающих опухоль артерий)</w:t>
      </w:r>
      <w:r w:rsidR="00602E0A" w:rsidRPr="00DF0D90">
        <w:rPr>
          <w:i/>
        </w:rPr>
        <w:t xml:space="preserve"> </w:t>
      </w:r>
      <w:r w:rsidRPr="00DF0D90">
        <w:rPr>
          <w:i/>
        </w:rPr>
        <w:t xml:space="preserve">для минимизации риска травмы сосуда и поддержания свободного </w:t>
      </w:r>
      <w:proofErr w:type="spellStart"/>
      <w:r w:rsidRPr="00DF0D90">
        <w:rPr>
          <w:i/>
        </w:rPr>
        <w:t>антеградного</w:t>
      </w:r>
      <w:proofErr w:type="spellEnd"/>
      <w:r w:rsidRPr="00DF0D90">
        <w:rPr>
          <w:i/>
        </w:rPr>
        <w:t xml:space="preserve"> кровотока.</w:t>
      </w:r>
      <w:r w:rsidR="00B941C7" w:rsidRPr="00DF0D90">
        <w:t xml:space="preserve"> </w:t>
      </w:r>
      <w:r w:rsidR="002127BA" w:rsidRPr="00DF0D90">
        <w:t>[141</w:t>
      </w:r>
      <w:r w:rsidR="000B32B8" w:rsidRPr="00DF0D90">
        <w:t>-146]</w:t>
      </w:r>
    </w:p>
    <w:p w14:paraId="500AD7ED" w14:textId="37A4CF2B" w:rsidR="000B32B8" w:rsidRPr="00DF0D90" w:rsidRDefault="00B941C7" w:rsidP="0043377B">
      <w:pPr>
        <w:spacing w:after="120" w:line="360" w:lineRule="auto"/>
        <w:ind w:firstLine="567"/>
        <w:jc w:val="both"/>
        <w:rPr>
          <w:sz w:val="16"/>
          <w:szCs w:val="16"/>
        </w:rPr>
      </w:pPr>
      <w:r w:rsidRPr="00DF0D90">
        <w:rPr>
          <w:i/>
        </w:rPr>
        <w:t xml:space="preserve">Применение </w:t>
      </w:r>
      <w:proofErr w:type="spellStart"/>
      <w:r w:rsidRPr="00DF0D90">
        <w:rPr>
          <w:i/>
        </w:rPr>
        <w:t>суперселективной</w:t>
      </w:r>
      <w:proofErr w:type="spellEnd"/>
      <w:r w:rsidRPr="00DF0D90">
        <w:rPr>
          <w:i/>
        </w:rPr>
        <w:t xml:space="preserve"> техники при ТАХЭ способствует увеличению количества полных объективных ответов, увеличению медианы общей выживаемости и снижению количества нежелательных явлений</w:t>
      </w:r>
      <w:r w:rsidR="008C7E55" w:rsidRPr="00DF0D90">
        <w:rPr>
          <w:i/>
        </w:rPr>
        <w:t xml:space="preserve"> [142 – 146]</w:t>
      </w:r>
      <w:r w:rsidR="000F43D8" w:rsidRPr="00DF0D90">
        <w:rPr>
          <w:sz w:val="16"/>
          <w:szCs w:val="16"/>
        </w:rPr>
        <w:t>.</w:t>
      </w:r>
      <w:r w:rsidRPr="00DF0D90">
        <w:rPr>
          <w:i/>
          <w:sz w:val="16"/>
          <w:szCs w:val="16"/>
        </w:rPr>
        <w:t xml:space="preserve"> </w:t>
      </w:r>
      <w:r w:rsidR="00BE21F7" w:rsidRPr="00DF0D90">
        <w:rPr>
          <w:i/>
        </w:rPr>
        <w:t xml:space="preserve"> Наиболее часто используются противоопухолевые препараты – </w:t>
      </w:r>
      <w:proofErr w:type="spellStart"/>
      <w:r w:rsidR="00BE21F7" w:rsidRPr="00DF0D90">
        <w:rPr>
          <w:i/>
        </w:rPr>
        <w:t>доксорубицин</w:t>
      </w:r>
      <w:proofErr w:type="spellEnd"/>
      <w:r w:rsidR="00BE21F7" w:rsidRPr="00DF0D90">
        <w:rPr>
          <w:i/>
        </w:rPr>
        <w:t xml:space="preserve">** или </w:t>
      </w:r>
      <w:proofErr w:type="spellStart"/>
      <w:r w:rsidR="00BE21F7" w:rsidRPr="00DF0D90">
        <w:rPr>
          <w:i/>
        </w:rPr>
        <w:t>эпирубицин</w:t>
      </w:r>
      <w:proofErr w:type="spellEnd"/>
      <w:r w:rsidR="00BE21F7" w:rsidRPr="00DF0D90">
        <w:rPr>
          <w:i/>
        </w:rPr>
        <w:t xml:space="preserve">** в разовой дозе в зависимости от производителя носителя и его объема. Максимальная доза </w:t>
      </w:r>
      <w:proofErr w:type="spellStart"/>
      <w:r w:rsidR="00BE21F7" w:rsidRPr="00DF0D90">
        <w:rPr>
          <w:i/>
        </w:rPr>
        <w:t>доксорубицина</w:t>
      </w:r>
      <w:proofErr w:type="spellEnd"/>
      <w:r w:rsidR="00BE21F7" w:rsidRPr="00DF0D90">
        <w:rPr>
          <w:i/>
        </w:rPr>
        <w:t xml:space="preserve">, которую можно безопасно назначить взрослому пациенту на один сеанс, составляет 150 </w:t>
      </w:r>
      <w:proofErr w:type="gramStart"/>
      <w:r w:rsidR="00BE21F7" w:rsidRPr="00DF0D90">
        <w:rPr>
          <w:i/>
        </w:rPr>
        <w:t>мг.[</w:t>
      </w:r>
      <w:proofErr w:type="gramEnd"/>
      <w:r w:rsidR="00BE21F7" w:rsidRPr="00DF0D90">
        <w:t xml:space="preserve"> </w:t>
      </w:r>
      <w:r w:rsidR="000B32B8" w:rsidRPr="00DF0D90">
        <w:rPr>
          <w:i/>
          <w:iCs/>
        </w:rPr>
        <w:t>147]</w:t>
      </w:r>
      <w:r w:rsidR="000B32B8" w:rsidRPr="00DF0D90">
        <w:rPr>
          <w:sz w:val="16"/>
          <w:szCs w:val="16"/>
        </w:rPr>
        <w:t xml:space="preserve"> </w:t>
      </w:r>
    </w:p>
    <w:p w14:paraId="39AEC968" w14:textId="36C19E4A" w:rsidR="00BE21F7" w:rsidRPr="00DF0D90" w:rsidRDefault="00BE21F7" w:rsidP="0043377B">
      <w:pPr>
        <w:spacing w:after="120" w:line="360" w:lineRule="auto"/>
        <w:ind w:firstLine="567"/>
        <w:jc w:val="both"/>
        <w:rPr>
          <w:sz w:val="16"/>
          <w:szCs w:val="16"/>
          <w:lang w:val="en-US"/>
        </w:rPr>
      </w:pPr>
      <w:r w:rsidRPr="00DF0D90">
        <w:rPr>
          <w:i/>
        </w:rPr>
        <w:t xml:space="preserve">Конечной точкой при </w:t>
      </w:r>
      <w:proofErr w:type="spellStart"/>
      <w:r w:rsidRPr="00DF0D90">
        <w:rPr>
          <w:i/>
        </w:rPr>
        <w:t>суперселективной</w:t>
      </w:r>
      <w:proofErr w:type="spellEnd"/>
      <w:r w:rsidRPr="00DF0D90">
        <w:rPr>
          <w:i/>
        </w:rPr>
        <w:t xml:space="preserve"> масляной ТАХЭ является ангиографическая картина - "обгорелое дерево или дерево зимой" с окклюзией мелких сосудов, питающих опухоль, но с сохранением кровотока в крупных лобарных и сегментарных артериях для последующей эмболизации.</w:t>
      </w:r>
      <w:r w:rsidRPr="00DF0D90">
        <w:rPr>
          <w:rFonts w:cstheme="minorBidi"/>
          <w:color w:val="000000" w:themeColor="text1"/>
          <w:kern w:val="24"/>
          <w:sz w:val="36"/>
          <w:szCs w:val="36"/>
        </w:rPr>
        <w:t xml:space="preserve"> </w:t>
      </w:r>
      <w:r w:rsidRPr="00DF0D90">
        <w:rPr>
          <w:i/>
        </w:rPr>
        <w:t xml:space="preserve">При </w:t>
      </w:r>
      <w:proofErr w:type="spellStart"/>
      <w:r w:rsidRPr="00DF0D90">
        <w:rPr>
          <w:i/>
        </w:rPr>
        <w:t>суперселективной</w:t>
      </w:r>
      <w:proofErr w:type="spellEnd"/>
      <w:r w:rsidRPr="00DF0D90">
        <w:rPr>
          <w:i/>
        </w:rPr>
        <w:t xml:space="preserve"> ТАХЭ микросферами насыщаемыми цитостатиком гранулы вводят под непрерывным рентгеноскопическим контролем до тех пор, пока не будет достигнута стагнация кровотока, ориентируясь на 10 сердечных сокращений. </w:t>
      </w:r>
      <w:r w:rsidRPr="00DF0D90">
        <w:rPr>
          <w:i/>
          <w:lang w:val="en-US"/>
        </w:rPr>
        <w:t>[1</w:t>
      </w:r>
      <w:r w:rsidR="000B32B8" w:rsidRPr="00DF0D90">
        <w:rPr>
          <w:i/>
          <w:lang w:val="en-US"/>
        </w:rPr>
        <w:t xml:space="preserve">48, 149] </w:t>
      </w:r>
    </w:p>
    <w:p w14:paraId="01717BAB" w14:textId="70522BA2" w:rsidR="00BE21F7" w:rsidRPr="00DF0D90" w:rsidRDefault="00BE21F7" w:rsidP="00BE21F7">
      <w:pPr>
        <w:pStyle w:val="a"/>
        <w:spacing w:before="0" w:after="120" w:line="360" w:lineRule="auto"/>
        <w:ind w:firstLine="567"/>
        <w:jc w:val="both"/>
        <w:rPr>
          <w:noProof/>
          <w:lang w:val="ru-RU"/>
        </w:rPr>
      </w:pPr>
      <w:r w:rsidRPr="00DF0D90">
        <w:rPr>
          <w:b/>
        </w:rPr>
        <w:t>Рекомендуется</w:t>
      </w:r>
      <w:r w:rsidRPr="00DF0D90">
        <w:rPr>
          <w:b/>
          <w:lang w:val="ru-RU"/>
        </w:rPr>
        <w:t xml:space="preserve"> </w:t>
      </w:r>
      <w:r w:rsidRPr="00DF0D90">
        <w:t>пациентам с ГЦР оценивать</w:t>
      </w:r>
      <w:r w:rsidRPr="00DF0D90">
        <w:rPr>
          <w:lang w:val="ru-RU"/>
        </w:rPr>
        <w:t xml:space="preserve"> </w:t>
      </w:r>
      <w:r w:rsidRPr="00DF0D90">
        <w:t xml:space="preserve">эффективность ТАХЭ по данным динамической контрастной КТ/МРТ по критериям </w:t>
      </w:r>
      <w:proofErr w:type="spellStart"/>
      <w:r w:rsidRPr="00DF0D90">
        <w:t>mRE</w:t>
      </w:r>
      <w:r w:rsidRPr="00DF0D90">
        <w:rPr>
          <w:lang w:val="en-US"/>
        </w:rPr>
        <w:t>C</w:t>
      </w:r>
      <w:proofErr w:type="spellEnd"/>
      <w:r w:rsidRPr="00DF0D90">
        <w:t>IST (Приложение Г5) через 4–8 недель после процедур</w:t>
      </w:r>
      <w:r w:rsidRPr="00DF0D90">
        <w:rPr>
          <w:lang w:val="ru-RU"/>
        </w:rPr>
        <w:t xml:space="preserve">ы </w:t>
      </w:r>
      <w:r w:rsidR="000B32B8" w:rsidRPr="00DF0D90">
        <w:rPr>
          <w:lang w:val="ru-RU"/>
        </w:rPr>
        <w:t>[6, 7, 84, 150, 151]</w:t>
      </w:r>
      <w:r w:rsidR="004E3476">
        <w:rPr>
          <w:lang w:val="ru-RU"/>
        </w:rPr>
        <w:t>.</w:t>
      </w:r>
    </w:p>
    <w:p w14:paraId="79A1FD46" w14:textId="77777777" w:rsidR="00BE21F7" w:rsidRPr="00DF0D90" w:rsidRDefault="00BE21F7" w:rsidP="00BE21F7">
      <w:pPr>
        <w:pStyle w:val="afa"/>
        <w:spacing w:after="120" w:line="360" w:lineRule="auto"/>
        <w:jc w:val="both"/>
      </w:pPr>
      <w:r w:rsidRPr="00DF0D90">
        <w:t xml:space="preserve">Уровень убедительности рекомендаций – </w:t>
      </w:r>
      <w:r w:rsidRPr="00DF0D90">
        <w:rPr>
          <w:lang w:val="en-US"/>
        </w:rPr>
        <w:t>A</w:t>
      </w:r>
      <w:r w:rsidRPr="00DF0D90">
        <w:rPr>
          <w:lang w:val="ru-RU"/>
        </w:rPr>
        <w:t xml:space="preserve"> </w:t>
      </w:r>
      <w:r w:rsidRPr="00DF0D90">
        <w:t xml:space="preserve">(уровень достоверности доказательств – </w:t>
      </w:r>
      <w:r w:rsidRPr="00DF0D90">
        <w:rPr>
          <w:color w:val="auto"/>
          <w:lang w:val="ru-RU"/>
        </w:rPr>
        <w:t>1</w:t>
      </w:r>
      <w:r w:rsidRPr="00DF0D90">
        <w:t>).</w:t>
      </w:r>
    </w:p>
    <w:p w14:paraId="794B10D2" w14:textId="6097D7A8" w:rsidR="000B32B8" w:rsidRPr="00DF0D90" w:rsidRDefault="00BE21F7" w:rsidP="000B32B8">
      <w:pPr>
        <w:pStyle w:val="afa"/>
        <w:spacing w:after="120" w:line="360" w:lineRule="auto"/>
        <w:jc w:val="both"/>
        <w:rPr>
          <w:b w:val="0"/>
          <w:bCs/>
          <w:i/>
          <w:iCs/>
          <w:lang w:val="ru-RU"/>
        </w:rPr>
      </w:pPr>
      <w:r w:rsidRPr="00DF0D90">
        <w:rPr>
          <w:i/>
          <w:iCs/>
          <w:lang w:val="ru-RU"/>
        </w:rPr>
        <w:t>Комментарии</w:t>
      </w:r>
      <w:r w:rsidR="001D7B82" w:rsidRPr="00DF0D90">
        <w:rPr>
          <w:i/>
          <w:iCs/>
          <w:lang w:val="ru-RU"/>
        </w:rPr>
        <w:t xml:space="preserve">: </w:t>
      </w:r>
      <w:r w:rsidR="001D7B82" w:rsidRPr="00DF0D90">
        <w:rPr>
          <w:b w:val="0"/>
          <w:bCs/>
          <w:i/>
          <w:iCs/>
          <w:lang w:val="ru-RU"/>
        </w:rPr>
        <w:t>для</w:t>
      </w:r>
      <w:r w:rsidRPr="00DF0D90">
        <w:rPr>
          <w:b w:val="0"/>
          <w:bCs/>
          <w:i/>
          <w:iCs/>
          <w:lang w:val="ru-RU"/>
        </w:rPr>
        <w:t xml:space="preserve"> оценки эффекта ТАХЭ следует применять сравнимые модальности (все последующие должны соответствовать той, которая была выполнена изначально). При отсутствии контрастирования (тотальный некроз (</w:t>
      </w:r>
      <w:r w:rsidRPr="00DF0D90">
        <w:rPr>
          <w:b w:val="0"/>
          <w:bCs/>
          <w:i/>
          <w:iCs/>
          <w:lang w:val="en-US"/>
        </w:rPr>
        <w:t>CR</w:t>
      </w:r>
      <w:r w:rsidRPr="00DF0D90">
        <w:rPr>
          <w:b w:val="0"/>
          <w:bCs/>
          <w:i/>
          <w:iCs/>
          <w:lang w:val="ru-RU"/>
        </w:rPr>
        <w:t xml:space="preserve">)) в зоне воздействия повторная ТАХЭ не показана. При сохранении в зоне воздействия </w:t>
      </w:r>
      <w:proofErr w:type="spellStart"/>
      <w:r w:rsidRPr="00DF0D90">
        <w:rPr>
          <w:b w:val="0"/>
          <w:bCs/>
          <w:i/>
          <w:iCs/>
          <w:lang w:val="ru-RU"/>
        </w:rPr>
        <w:t>васкуляризации</w:t>
      </w:r>
      <w:proofErr w:type="spellEnd"/>
      <w:r w:rsidRPr="00DF0D90">
        <w:rPr>
          <w:b w:val="0"/>
          <w:bCs/>
          <w:i/>
          <w:iCs/>
          <w:lang w:val="ru-RU"/>
        </w:rPr>
        <w:t xml:space="preserve"> в опухоли (частичный ответ или стабилизация (</w:t>
      </w:r>
      <w:r w:rsidRPr="00DF0D90">
        <w:rPr>
          <w:b w:val="0"/>
          <w:bCs/>
          <w:i/>
          <w:iCs/>
          <w:lang w:val="en-US"/>
        </w:rPr>
        <w:t>PR</w:t>
      </w:r>
      <w:r w:rsidRPr="00DF0D90">
        <w:rPr>
          <w:b w:val="0"/>
          <w:bCs/>
          <w:i/>
          <w:iCs/>
          <w:lang w:val="ru-RU"/>
        </w:rPr>
        <w:t xml:space="preserve"> или </w:t>
      </w:r>
      <w:r w:rsidRPr="00DF0D90">
        <w:rPr>
          <w:b w:val="0"/>
          <w:bCs/>
          <w:i/>
          <w:iCs/>
          <w:lang w:val="en-US"/>
        </w:rPr>
        <w:t>SD</w:t>
      </w:r>
      <w:r w:rsidRPr="00DF0D90">
        <w:rPr>
          <w:b w:val="0"/>
          <w:bCs/>
          <w:i/>
          <w:iCs/>
          <w:lang w:val="ru-RU"/>
        </w:rPr>
        <w:t>)) повторно выполняется ТАХЭ с оценкой эффекта по данным КТ и/или МРТ с контрастированием через 4</w:t>
      </w:r>
      <w:r w:rsidR="00BD1DDF" w:rsidRPr="00DF0D90">
        <w:rPr>
          <w:b w:val="0"/>
          <w:bCs/>
          <w:i/>
          <w:iCs/>
          <w:lang w:val="ru-RU"/>
        </w:rPr>
        <w:t>-6</w:t>
      </w:r>
      <w:r w:rsidRPr="00DF0D90">
        <w:rPr>
          <w:b w:val="0"/>
          <w:bCs/>
          <w:i/>
          <w:iCs/>
          <w:lang w:val="ru-RU"/>
        </w:rPr>
        <w:t xml:space="preserve"> недел</w:t>
      </w:r>
      <w:r w:rsidR="00BD1DDF" w:rsidRPr="00DF0D90">
        <w:rPr>
          <w:b w:val="0"/>
          <w:bCs/>
          <w:i/>
          <w:iCs/>
          <w:lang w:val="ru-RU"/>
        </w:rPr>
        <w:t>ь</w:t>
      </w:r>
      <w:r w:rsidRPr="00DF0D90">
        <w:rPr>
          <w:b w:val="0"/>
          <w:bCs/>
          <w:i/>
          <w:iCs/>
          <w:lang w:val="ru-RU"/>
        </w:rPr>
        <w:t>.</w:t>
      </w:r>
      <w:r w:rsidRPr="00DF0D90">
        <w:rPr>
          <w:i/>
          <w:iCs/>
        </w:rPr>
        <w:t xml:space="preserve"> </w:t>
      </w:r>
      <w:r w:rsidRPr="00DF0D90">
        <w:rPr>
          <w:b w:val="0"/>
          <w:bCs/>
          <w:i/>
          <w:iCs/>
          <w:lang w:val="ru-RU"/>
        </w:rPr>
        <w:t>При полном ответе (CR) последующее наблюдение должно проводиться каждые 3 месяца</w:t>
      </w:r>
      <w:r w:rsidR="000B32B8" w:rsidRPr="00DF0D90">
        <w:rPr>
          <w:b w:val="0"/>
          <w:bCs/>
          <w:i/>
          <w:iCs/>
          <w:lang w:val="ru-RU"/>
        </w:rPr>
        <w:t xml:space="preserve"> [6, 151</w:t>
      </w:r>
      <w:r w:rsidR="004F7795" w:rsidRPr="00DF0D90">
        <w:rPr>
          <w:b w:val="0"/>
          <w:bCs/>
          <w:i/>
          <w:iCs/>
          <w:lang w:val="ru-RU"/>
        </w:rPr>
        <w:t>]</w:t>
      </w:r>
      <w:r w:rsidR="001D7B82">
        <w:rPr>
          <w:b w:val="0"/>
          <w:bCs/>
          <w:i/>
          <w:iCs/>
          <w:lang w:val="ru-RU"/>
        </w:rPr>
        <w:t>.</w:t>
      </w:r>
    </w:p>
    <w:p w14:paraId="4993393B" w14:textId="5FC35A6C" w:rsidR="00BE21F7" w:rsidRPr="00DF0D90" w:rsidRDefault="00BE21F7" w:rsidP="0043377B">
      <w:pPr>
        <w:pStyle w:val="afa"/>
        <w:numPr>
          <w:ilvl w:val="0"/>
          <w:numId w:val="47"/>
        </w:numPr>
        <w:spacing w:line="360" w:lineRule="auto"/>
        <w:jc w:val="both"/>
        <w:rPr>
          <w:lang w:val="ru-RU"/>
        </w:rPr>
      </w:pPr>
      <w:r w:rsidRPr="00DF0D90">
        <w:t>Рекомендуется</w:t>
      </w:r>
      <w:r w:rsidRPr="00DF0D90">
        <w:rPr>
          <w:lang w:val="ru-RU"/>
        </w:rPr>
        <w:t xml:space="preserve"> </w:t>
      </w:r>
      <w:r w:rsidRPr="00DF0D90">
        <w:rPr>
          <w:b w:val="0"/>
          <w:lang w:val="ru-RU"/>
        </w:rPr>
        <w:t>отказ от последующего проведения ТАХЭ и смена терапии</w:t>
      </w:r>
      <w:r w:rsidRPr="00DF0D90">
        <w:rPr>
          <w:b w:val="0"/>
        </w:rPr>
        <w:t xml:space="preserve"> пациентам</w:t>
      </w:r>
      <w:r w:rsidRPr="00DF0D90">
        <w:rPr>
          <w:b w:val="0"/>
          <w:lang w:val="ru-RU"/>
        </w:rPr>
        <w:t xml:space="preserve"> </w:t>
      </w:r>
      <w:r w:rsidRPr="00DF0D90">
        <w:rPr>
          <w:b w:val="0"/>
        </w:rPr>
        <w:t>с ГЦР при отсутствии эффекта от 2 последовательно выполненных сеансов ТАХЭ (</w:t>
      </w:r>
      <w:r w:rsidRPr="00DF0D90">
        <w:rPr>
          <w:rFonts w:eastAsia="BlissPro-Light"/>
          <w:b w:val="0"/>
        </w:rPr>
        <w:t xml:space="preserve">увеличение опухоли, отсутствие зоны некроза в </w:t>
      </w:r>
      <w:proofErr w:type="spellStart"/>
      <w:r w:rsidRPr="00DF0D90">
        <w:rPr>
          <w:rFonts w:eastAsia="BlissPro-Light"/>
          <w:b w:val="0"/>
        </w:rPr>
        <w:t>эмболизированных</w:t>
      </w:r>
      <w:proofErr w:type="spellEnd"/>
      <w:r w:rsidRPr="00DF0D90">
        <w:rPr>
          <w:rFonts w:eastAsia="BlissPro-Light"/>
          <w:b w:val="0"/>
        </w:rPr>
        <w:t xml:space="preserve"> узлах, появление новых узлов в зоне воздействия</w:t>
      </w:r>
      <w:r w:rsidRPr="00DF0D90">
        <w:rPr>
          <w:b w:val="0"/>
          <w:lang w:val="ru-RU"/>
        </w:rPr>
        <w:t xml:space="preserve">; появление внепеченочных очагов; появление </w:t>
      </w:r>
      <w:r w:rsidRPr="00DF0D90">
        <w:rPr>
          <w:b w:val="0"/>
          <w:lang w:val="ru-RU"/>
        </w:rPr>
        <w:lastRenderedPageBreak/>
        <w:t xml:space="preserve">сосудистой инвазии) </w:t>
      </w:r>
      <w:r w:rsidRPr="00DF0D90">
        <w:rPr>
          <w:b w:val="0"/>
        </w:rPr>
        <w:t>для улучшения отдаленных результатов лечения пациентов</w:t>
      </w:r>
      <w:r w:rsidRPr="00DF0D90">
        <w:rPr>
          <w:b w:val="0"/>
          <w:lang w:val="ru-RU"/>
        </w:rPr>
        <w:t xml:space="preserve"> </w:t>
      </w:r>
      <w:r w:rsidRPr="00DF0D90">
        <w:rPr>
          <w:b w:val="0"/>
          <w:lang w:val="ru-RU"/>
        </w:rPr>
        <w:fldChar w:fldCharType="begin" w:fldLock="1"/>
      </w:r>
      <w:r w:rsidRPr="00DF0D90">
        <w:rPr>
          <w:b w:val="0"/>
          <w:lang w:val="ru-RU"/>
        </w:rPr>
        <w:instrText>ADDIN CSL_CITATION {"citationItems":[{"id":"ITEM-1","itemData":{"DOI":"10.1093/annonc/mdy308","ISSN":"15698041","PMID":"30285213","author":[{"dropping-particle":"","family":"Vogel","given":"A.","non-dropping-particle":"","parse-names":false,"suffix":""},{"dropping-particle":"","family":"Cervantes","given":"A.","non-dropping-particle":"","parse-names":false,"suffix":""},{"dropping-particle":"","family":"Chau","given":"I.","non-dropping-particle":"","parse-names":false,"suffix":""},{"dropping-particle":"","family":"Daniele","given":"B.","non-dropping-particle":"","parse-names":false,"suffix":""},{"dropping-particle":"","family":"Llovet","given":"J.","non-dropping-particle":"","parse-names":false,"suffix":""},{"dropping-particle":"","family":"Meyer","given":"T.","non-dropping-particle":"","parse-names":false,"suffix":""},{"dropping-particle":"","family":"Nault","given":"J. C.","non-dropping-particle":"","parse-names":false,"suffix":""},{"dropping-particle":"","family":"Neumann","given":"U.","non-dropping-particle":"","parse-names":false,"suffix":""},{"dropping-particle":"","family":"Ricke","given":"J.","non-dropping-particle":"","parse-names":false,"suffix":""},{"dropping-particle":"","family":"Sangro","given":"B.","non-dropping-particle":"","parse-names":false,"suffix":""},{"dropping-particle":"","family":"Schirmacher","given":"P.","non-dropping-particle":"","parse-names":false,"suffix":""},{"dropping-particle":"","family":"Verslype","given":"C.","non-dropping-particle":"","parse-names":false,"suffix":""},{"dropping-particle":"","family":"Zech","given":"C. J.","non-dropping-particle":"","parse-names":false,"suffix":""},{"dropping-particle":"","family":"Arnold","given":"D.","non-dropping-particle":"","parse-names":false,"suffix":""},{"dropping-particle":"","family":"Martinelli","given":"E.","non-dropping-particle":"","parse-names":false,"suffix":""}],"container-title":"Annals of Oncology","id":"ITEM-1","issued":{"date-parts":[["2018","10","1"]]},"page":"iv238-iv255","publisher":"Oxford University Press","title":"Hepatocellular carcinoma: ESMO Clinical Practice Guidelines for diagnosis, treatment and follow-up","type":"article-journal","volume":"29"},"uris":["http://www.mendeley.com/documents/?uuid=21b70589-bd16-3bd9-b432-9f2042108c3b"]},{"id":"ITEM-2","itemData":{"author":[{"dropping-particle":"","family":"NCCN","given":"","non-dropping-particle":"","parse-names":false,"suffix":""}],"id":"ITEM-2","issued":{"date-parts":[["2021"]]},"title":"Clinical Practice Guidelines in Oncology. Hepatobiliary Cancers, version 4.2021","type":"article-journal"},"uris":["http://www.mendeley.com/documents/?uuid=db314d5f-b05a-4fec-a403-5589c18d9ebd"]},{"id":"ITEM-3","itemData":{"DOI":"10.1016/j.jhep.2018.03.019","ISSN":"16000641","PMID":"29628281","author":[{"dropping-particle":"","family":"Galle","given":"Peter R.","non-dropping-particle":"","parse-names":false,"suffix":""},{"dropping-particle":"","family":"Forner","given":"Alejandro","non-dropping-particle":"","parse-names":false,"suffix":""},{"dropping-particle":"","family":"Llovet","given":"Josep M.","non-dropping-particle":"","parse-names":false,"suffix":""},{"dropping-particle":"","family":"Mazzaferro","given":"Vincenzo","non-dropping-particle":"","parse-names":false,"suffix":""},{"dropping-particle":"","family":"Piscaglia","given":"Fabio","non-dropping-particle":"","parse-names":false,"suffix":""},{"dropping-particle":"","family":"Raoul","given":"Jean Luc","non-dropping-particle":"","parse-names":false,"suffix":""},{"dropping-particle":"","family":"Schirmacher","given":"Peter","non-dropping-particle":"","parse-names":false,"suffix":""},{"dropping-particle":"","family":"Vilgrain","given":"Valérie","non-dropping-particle":"","parse-names":false,"suffix":""}],"container-title":"Journal of Hepatology","id":"ITEM-3","issue":"1","issued":{"date-parts":[["2018","7","1"]]},"page":"182-236","publisher":"Elsevier B.V.","title":"EASL Clinical Practice Guidelines: Management of hepatocellular carcinoma","type":"article-journal","volume":"69"},"uris":["http://www.mendeley.com/documents/?uuid=055ddbc3-5b48-34fb-b03b-bdc43880d69c"]},{"id":"ITEM-4","itemData":{"DOI":"10.1016/j.ctrv.2010.07.006","ISSN":"03057372","PMID":"20724077","abstract":"Transarterial chemoembolization (TACE) is considered the gold standard for treating intermediate-stage hepatocellular carcinoma (HCC). However, intermediate-stage HCC includes a heterogeneous population of patients with varying tumour burdens, liver function (Child-Pugh A or B) and disease aetiology. This suggests that not all patients with intermediate-stage HCC will derive similar benefit from TACE, and that some patients may benefit from other treatment options. Results of an extensive literature review into the treatment of unresectable HCC with TACE were combined with our own clinical experience to identify factors that may predict survival after TACE. We also report contraindications to TACE and propose a treatment algorithm for the repetition of TACE. In addition, we have constructed a number of expert opinions that may be used as a guide to help physicians make treatment decisions for their patients with intermediate-stage HCC. The data included in the literature review related almost exclusively to conventional TACE, rather than to TACE with drug-eluting beads. Therefore, the findings and conclusions of the literature review are only applicable to the treatment of HCC with conventional TACE. Treating physicians may want to consider other treatment options for patients with intermediate-stage HCC who are not suitable for or do not respond to TACE. By distinguishing those patients who represent good candidates for TACE from those where little or no benefit might be expected, it may be possible to make better use of current treatment options and improve outcomes for patients. © 2010.","author":[{"dropping-particle":"","family":"Raoul","given":"J. L.","non-dropping-particle":"","parse-names":false,"suffix":""},{"dropping-particle":"","family":"Sangro","given":"B.","non-dropping-particle":"","parse-names":false,"suffix":""},{"dropping-particle":"","family":"Forner","given":"A.","non-dropping-particle":"","parse-names":false,"suffix":""},{"dropping-particle":"","family":"Mazzaferro","given":"V.","non-dropping-particle":"","parse-names":false,"suffix":""},{"dropping-particle":"","family":"Piscaglia","given":"F.","non-dropping-particle":"","parse-names":false,"suffix":""},{"dropping-particle":"","family":"Bolondi","given":"L.","non-dropping-particle":"","parse-names":false,"suffix":""},{"dropping-particle":"","family":"Lencioni","given":"R.","non-dropping-particle":"","parse-names":false,"suffix":""}],"container-title":"Cancer Treatment Reviews","id":"ITEM-4","issue":"3","issued":{"date-parts":[["2011","5"]]},"page":"212-220","title":"Evolving strategies for the management of intermediate-stage hepatocellular carcinoma: Available evidence and expert opinion on the use of transarterial chemoembolization","type":"article","volume":"37"},"uris":["http://www.mendeley.com/documents/?uuid=821a4a6f-aa32-3d55-847b-60b7d8ce8b7c"]}],"mendeley":{"formattedCitation":"[6,8,14,80]","plainTextFormattedCitation":"[6,8,14,80]","previouslyFormattedCitation":"[6,8,14,80]"},"properties":{"noteIndex":0},"schema":"https://github.com/citation-style-language/schema/raw/master/csl-citation.json"}</w:instrText>
      </w:r>
      <w:r w:rsidRPr="00DF0D90">
        <w:rPr>
          <w:b w:val="0"/>
          <w:lang w:val="ru-RU"/>
        </w:rPr>
        <w:fldChar w:fldCharType="separate"/>
      </w:r>
      <w:r w:rsidRPr="00DF0D90">
        <w:rPr>
          <w:b w:val="0"/>
          <w:noProof/>
          <w:lang w:val="ru-RU"/>
        </w:rPr>
        <w:t>[6,</w:t>
      </w:r>
      <w:r w:rsidR="000B32B8" w:rsidRPr="00DF0D90">
        <w:rPr>
          <w:b w:val="0"/>
          <w:noProof/>
          <w:lang w:val="en-US"/>
        </w:rPr>
        <w:t xml:space="preserve"> </w:t>
      </w:r>
      <w:r w:rsidRPr="00DF0D90">
        <w:rPr>
          <w:b w:val="0"/>
          <w:noProof/>
          <w:lang w:val="ru-RU"/>
        </w:rPr>
        <w:t>8,</w:t>
      </w:r>
      <w:r w:rsidR="000B32B8" w:rsidRPr="00DF0D90">
        <w:rPr>
          <w:b w:val="0"/>
          <w:noProof/>
          <w:lang w:val="en-US"/>
        </w:rPr>
        <w:t xml:space="preserve"> </w:t>
      </w:r>
      <w:r w:rsidRPr="00DF0D90">
        <w:rPr>
          <w:b w:val="0"/>
          <w:noProof/>
          <w:lang w:val="ru-RU"/>
        </w:rPr>
        <w:t>14,</w:t>
      </w:r>
      <w:r w:rsidR="000B32B8" w:rsidRPr="00DF0D90">
        <w:rPr>
          <w:b w:val="0"/>
          <w:noProof/>
          <w:lang w:val="en-US"/>
        </w:rPr>
        <w:t xml:space="preserve"> </w:t>
      </w:r>
      <w:r w:rsidRPr="00DF0D90">
        <w:rPr>
          <w:b w:val="0"/>
          <w:noProof/>
          <w:lang w:val="ru-RU"/>
        </w:rPr>
        <w:t>80]</w:t>
      </w:r>
      <w:r w:rsidRPr="00DF0D90">
        <w:rPr>
          <w:b w:val="0"/>
          <w:lang w:val="ru-RU"/>
        </w:rPr>
        <w:fldChar w:fldCharType="end"/>
      </w:r>
      <w:r w:rsidRPr="00DF0D90">
        <w:rPr>
          <w:b w:val="0"/>
        </w:rPr>
        <w:t>.</w:t>
      </w:r>
    </w:p>
    <w:p w14:paraId="30075E68" w14:textId="77777777" w:rsidR="00BE21F7" w:rsidRPr="00DF0D90" w:rsidRDefault="00BE21F7" w:rsidP="00BE21F7">
      <w:pPr>
        <w:pStyle w:val="afa"/>
        <w:spacing w:after="120" w:line="360" w:lineRule="auto"/>
        <w:jc w:val="both"/>
      </w:pPr>
      <w:r w:rsidRPr="00DF0D90">
        <w:t xml:space="preserve">Уровень убедительности рекомендаций – C (уровень достоверности доказательств – </w:t>
      </w:r>
      <w:r w:rsidRPr="00DF0D90">
        <w:rPr>
          <w:color w:val="auto"/>
        </w:rPr>
        <w:t>5</w:t>
      </w:r>
      <w:r w:rsidRPr="00DF0D90">
        <w:t>).</w:t>
      </w:r>
    </w:p>
    <w:p w14:paraId="25BD8AAF" w14:textId="77777777" w:rsidR="00BE21F7" w:rsidRPr="00DF0D90" w:rsidRDefault="00BE21F7" w:rsidP="00BE21F7">
      <w:pPr>
        <w:pStyle w:val="a"/>
        <w:spacing w:before="0" w:after="120" w:line="360" w:lineRule="auto"/>
        <w:ind w:firstLine="567"/>
        <w:jc w:val="both"/>
      </w:pPr>
      <w:r w:rsidRPr="00DF0D90">
        <w:rPr>
          <w:b/>
        </w:rPr>
        <w:t>Рекомендуется</w:t>
      </w:r>
      <w:r w:rsidRPr="00DF0D90">
        <w:t xml:space="preserve"> повторная ТАХЭ пациентам</w:t>
      </w:r>
      <w:r w:rsidRPr="00DF0D90">
        <w:rPr>
          <w:lang w:val="ru-RU"/>
        </w:rPr>
        <w:t xml:space="preserve"> </w:t>
      </w:r>
      <w:r w:rsidRPr="00DF0D90">
        <w:t xml:space="preserve">с ГЦР при изолированном внутрипеченочном </w:t>
      </w:r>
      <w:r w:rsidRPr="00DF0D90">
        <w:rPr>
          <w:lang w:val="ru-RU"/>
        </w:rPr>
        <w:t>прогрессировании</w:t>
      </w:r>
      <w:r w:rsidRPr="00DF0D90">
        <w:t xml:space="preserve"> в случае</w:t>
      </w:r>
      <w:r w:rsidRPr="00DF0D90">
        <w:rPr>
          <w:lang w:val="ru-RU"/>
        </w:rPr>
        <w:t xml:space="preserve"> </w:t>
      </w:r>
      <w:r w:rsidRPr="00DF0D90">
        <w:t>сохранения эффекта после ранее выполненной ТАХЭ более 6 месяцев</w:t>
      </w:r>
      <w:r w:rsidRPr="00DF0D90">
        <w:rPr>
          <w:lang w:val="ru-RU"/>
        </w:rPr>
        <w:t xml:space="preserve"> </w:t>
      </w:r>
      <w:r w:rsidRPr="00DF0D90">
        <w:t>для улучшения выживаемости пациентов</w:t>
      </w:r>
      <w:r w:rsidRPr="00DF0D90">
        <w:rPr>
          <w:lang w:val="ru-RU"/>
        </w:rPr>
        <w:t xml:space="preserve"> </w:t>
      </w:r>
      <w:r w:rsidRPr="00DF0D90">
        <w:rPr>
          <w:lang w:val="ru-RU"/>
        </w:rPr>
        <w:fldChar w:fldCharType="begin" w:fldLock="1"/>
      </w:r>
      <w:r w:rsidRPr="00DF0D90">
        <w:rPr>
          <w:lang w:val="ru-RU"/>
        </w:rPr>
        <w:instrText>ADDIN CSL_CITATION {"citationItems":[{"id":"ITEM-1","itemData":{"DOI":"10.1002/hep.29913","ISSN":"15273350","PMID":"29624699","author":[{"dropping-particle":"","family":"Marrero","given":"Jorge A.","non-dropping-particle":"","parse-names":false,"suffix":""},{"dropping-particle":"","family":"Kulik","given":"Laura M.","non-dropping-particle":"","parse-names":false,"suffix":""},{"dropping-particle":"","family":"Sirlin","given":"Claude B.","non-dropping-particle":"","parse-names":false,"suffix":""},{"dropping-particle":"","family":"Zhu","given":"Andrew X.","non-dropping-particle":"","parse-names":false,"suffix":""},{"dropping-particle":"","family":"Finn","given":"Richard S.","non-dropping-particle":"","parse-names":false,"suffix":""},{"dropping-particle":"","family":"Abecassis","given":"Michael M.","non-dropping-particle":"","parse-names":false,"suffix":""},{"dropping-particle":"","family":"Roberts","given":"Lewis R.","non-dropping-particle":"","parse-names":false,"suffix":""},{"dropping-particle":"","family":"Heimbach","given":"Julie K.","non-dropping-particle":"","parse-names":false,"suffix":""}],"container-title":"Hepatology","id":"ITEM-1","issue":"2","issued":{"date-parts":[["2018","8","1"]]},"page":"723-750","publisher":"John Wiley and Sons Inc.","title":"Diagnosis, Staging, and Management of Hepatocellular Carcinoma: 2018 Practice Guidance by the American Association for the Study of Liver Diseases","type":"article-journal","volume":"68"},"uris":["http://www.mendeley.com/documents/?uuid=524b992f-ba18-31f8-aa7d-c271bdc57c09"]}],"mendeley":{"formattedCitation":"[9]","plainTextFormattedCitation":"[9]","previouslyFormattedCitation":"[9]"},"properties":{"noteIndex":0},"schema":"https://github.com/citation-style-language/schema/raw/master/csl-citation.json"}</w:instrText>
      </w:r>
      <w:r w:rsidRPr="00DF0D90">
        <w:rPr>
          <w:lang w:val="ru-RU"/>
        </w:rPr>
        <w:fldChar w:fldCharType="separate"/>
      </w:r>
      <w:r w:rsidRPr="00DF0D90">
        <w:rPr>
          <w:noProof/>
          <w:lang w:val="ru-RU"/>
        </w:rPr>
        <w:t>[9]</w:t>
      </w:r>
      <w:r w:rsidRPr="00DF0D90">
        <w:rPr>
          <w:lang w:val="ru-RU"/>
        </w:rPr>
        <w:fldChar w:fldCharType="end"/>
      </w:r>
      <w:r w:rsidRPr="00DF0D90">
        <w:t>.</w:t>
      </w:r>
    </w:p>
    <w:p w14:paraId="737E1950" w14:textId="77777777" w:rsidR="00BE21F7" w:rsidRPr="00DF0D90" w:rsidRDefault="00BE21F7" w:rsidP="00BE21F7">
      <w:pPr>
        <w:pStyle w:val="afa"/>
        <w:spacing w:after="120" w:line="360" w:lineRule="auto"/>
        <w:jc w:val="both"/>
      </w:pPr>
      <w:r w:rsidRPr="00DF0D90">
        <w:t xml:space="preserve">Уровень убедительности рекомендаций – C (уровень достоверности доказательств – </w:t>
      </w:r>
      <w:r w:rsidRPr="00DF0D90">
        <w:rPr>
          <w:color w:val="auto"/>
        </w:rPr>
        <w:t>5</w:t>
      </w:r>
      <w:r w:rsidRPr="00DF0D90">
        <w:t>).</w:t>
      </w:r>
    </w:p>
    <w:p w14:paraId="542F8651" w14:textId="77777777" w:rsidR="00BD1DDF" w:rsidRPr="00DF0D90" w:rsidRDefault="00BD1DDF" w:rsidP="00BD1DDF">
      <w:pPr>
        <w:pStyle w:val="2"/>
        <w:spacing w:before="0" w:after="120" w:line="360" w:lineRule="auto"/>
        <w:ind w:firstLine="567"/>
        <w:jc w:val="both"/>
      </w:pPr>
      <w:bookmarkStart w:id="87" w:name="_Toc98349284"/>
      <w:bookmarkStart w:id="88" w:name="_Toc83293982"/>
      <w:r w:rsidRPr="00DF0D90">
        <w:t>3.4 </w:t>
      </w:r>
      <w:proofErr w:type="spellStart"/>
      <w:r w:rsidRPr="00DF0D90">
        <w:t>Трансартериальная</w:t>
      </w:r>
      <w:proofErr w:type="spellEnd"/>
      <w:r w:rsidRPr="00DF0D90">
        <w:t xml:space="preserve"> </w:t>
      </w:r>
      <w:proofErr w:type="spellStart"/>
      <w:r w:rsidRPr="00DF0D90">
        <w:t>радиоэмболизация</w:t>
      </w:r>
      <w:proofErr w:type="spellEnd"/>
    </w:p>
    <w:p w14:paraId="3E40AD5D" w14:textId="4EF95D4D" w:rsidR="00BD1DDF" w:rsidRPr="00DF0D90" w:rsidRDefault="00BD1DDF" w:rsidP="00BD1DDF">
      <w:pPr>
        <w:pStyle w:val="a"/>
        <w:spacing w:before="0" w:after="120" w:line="360" w:lineRule="auto"/>
        <w:ind w:firstLine="567"/>
        <w:jc w:val="both"/>
      </w:pPr>
      <w:r w:rsidRPr="00DF0D90">
        <w:t xml:space="preserve">Эндоваскулярная эмболизация сосудов при новообразованиях печени и желчевыводящих путей </w:t>
      </w:r>
      <w:r w:rsidRPr="00DF0D90">
        <w:rPr>
          <w:lang w:val="en-US"/>
        </w:rPr>
        <w:t>c</w:t>
      </w:r>
      <w:r w:rsidRPr="00DF0D90">
        <w:t xml:space="preserve"> применением иттрия-90 (</w:t>
      </w:r>
      <w:r w:rsidRPr="00DF0D90">
        <w:rPr>
          <w:lang w:val="en-US"/>
        </w:rPr>
        <w:t>Y</w:t>
      </w:r>
      <w:r w:rsidRPr="00DF0D90">
        <w:rPr>
          <w:vertAlign w:val="superscript"/>
        </w:rPr>
        <w:t>90</w:t>
      </w:r>
      <w:r w:rsidRPr="00DF0D90">
        <w:t>)</w:t>
      </w:r>
      <w:r w:rsidRPr="00DF0D90">
        <w:rPr>
          <w:lang w:val="ru-RU"/>
        </w:rPr>
        <w:t xml:space="preserve"> – </w:t>
      </w:r>
      <w:proofErr w:type="spellStart"/>
      <w:r w:rsidRPr="00DF0D90">
        <w:t>трансартериальная</w:t>
      </w:r>
      <w:proofErr w:type="spellEnd"/>
      <w:r w:rsidRPr="00DF0D90">
        <w:t xml:space="preserve"> </w:t>
      </w:r>
      <w:proofErr w:type="spellStart"/>
      <w:r w:rsidRPr="00DF0D90">
        <w:t>радиоэмболизация</w:t>
      </w:r>
      <w:proofErr w:type="spellEnd"/>
      <w:r w:rsidRPr="00DF0D90">
        <w:rPr>
          <w:lang w:val="ru-RU"/>
        </w:rPr>
        <w:t xml:space="preserve"> – </w:t>
      </w:r>
      <w:r w:rsidRPr="00DF0D90">
        <w:rPr>
          <w:b/>
        </w:rPr>
        <w:t>рекомендуется</w:t>
      </w:r>
      <w:r w:rsidR="00B3494E" w:rsidRPr="00DF0D90">
        <w:rPr>
          <w:b/>
        </w:rPr>
        <w:t xml:space="preserve"> </w:t>
      </w:r>
      <w:r w:rsidR="00B3494E" w:rsidRPr="00DF0D90">
        <w:rPr>
          <w:b/>
          <w:lang w:val="ru-RU"/>
        </w:rPr>
        <w:t>в качестве одной из опций</w:t>
      </w:r>
      <w:r w:rsidRPr="00DF0D90">
        <w:rPr>
          <w:b/>
          <w:lang w:val="ru-RU"/>
        </w:rPr>
        <w:t xml:space="preserve"> </w:t>
      </w:r>
      <w:r w:rsidRPr="00DF0D90">
        <w:t xml:space="preserve">пациентам с ГЦР при стадии </w:t>
      </w:r>
      <w:r w:rsidRPr="00DF0D90">
        <w:rPr>
          <w:lang w:val="en-US"/>
        </w:rPr>
        <w:t>BCLC</w:t>
      </w:r>
      <w:r w:rsidRPr="00DF0D90">
        <w:t> </w:t>
      </w:r>
      <w:r w:rsidRPr="00DF0D90">
        <w:rPr>
          <w:lang w:val="en-US"/>
        </w:rPr>
        <w:t>A</w:t>
      </w:r>
      <w:r w:rsidRPr="00DF0D90">
        <w:t xml:space="preserve"> в качестве </w:t>
      </w:r>
      <w:r w:rsidRPr="00DF0D90">
        <w:rPr>
          <w:lang w:val="en-US"/>
        </w:rPr>
        <w:t>bridge</w:t>
      </w:r>
      <w:r w:rsidRPr="00DF0D90">
        <w:t>-терапии, при стади</w:t>
      </w:r>
      <w:r w:rsidRPr="00DF0D90">
        <w:rPr>
          <w:lang w:val="ru-RU"/>
        </w:rPr>
        <w:t>и</w:t>
      </w:r>
      <w:r w:rsidRPr="00DF0D90">
        <w:t xml:space="preserve"> </w:t>
      </w:r>
      <w:r w:rsidRPr="00DF0D90">
        <w:rPr>
          <w:lang w:val="en-US"/>
        </w:rPr>
        <w:t>BCLC</w:t>
      </w:r>
      <w:r w:rsidRPr="00DF0D90">
        <w:t> </w:t>
      </w:r>
      <w:r w:rsidRPr="00DF0D90">
        <w:rPr>
          <w:lang w:val="en-US"/>
        </w:rPr>
        <w:t>C</w:t>
      </w:r>
      <w:r w:rsidRPr="00DF0D90">
        <w:t xml:space="preserve"> с тромбозом магистральных вен</w:t>
      </w:r>
      <w:r w:rsidRPr="00DF0D90">
        <w:rPr>
          <w:lang w:val="ru-RU"/>
        </w:rPr>
        <w:t>, не подходящих для системной терапии,</w:t>
      </w:r>
      <w:r w:rsidRPr="00DF0D90">
        <w:t xml:space="preserve"> для улучшения результатов лечения и выживаемости пациентов</w:t>
      </w:r>
      <w:r w:rsidRPr="00DF0D90">
        <w:rPr>
          <w:lang w:val="ru-RU"/>
        </w:rPr>
        <w:t xml:space="preserve"> </w:t>
      </w:r>
      <w:r w:rsidRPr="00DF0D90">
        <w:rPr>
          <w:lang w:val="ru-RU"/>
        </w:rPr>
        <w:fldChar w:fldCharType="begin" w:fldLock="1"/>
      </w:r>
      <w:r w:rsidRPr="00DF0D90">
        <w:rPr>
          <w:lang w:val="ru-RU"/>
        </w:rPr>
        <w:instrText>ADDIN CSL_CITATION {"citationItems":[{"id":"ITEM-1","itemData":{"DOI":"10.1093/annonc/mdy308","ISSN":"15698041","PMID":"30285213","author":[{"dropping-particle":"","family":"Vogel","given":"A.","non-dropping-particle":"","parse-names":false,"suffix":""},{"dropping-particle":"","family":"Cervantes","given":"A.","non-dropping-particle":"","parse-names":false,"suffix":""},{"dropping-particle":"","family":"Chau","given":"I.","non-dropping-particle":"","parse-names":false,"suffix":""},{"dropping-particle":"","family":"Daniele","given":"B.","non-dropping-particle":"","parse-names":false,"suffix":""},{"dropping-particle":"","family":"Llovet","given":"J.","non-dropping-particle":"","parse-names":false,"suffix":""},{"dropping-particle":"","family":"Meyer","given":"T.","non-dropping-particle":"","parse-names":false,"suffix":""},{"dropping-particle":"","family":"Nault","given":"J. C.","non-dropping-particle":"","parse-names":false,"suffix":""},{"dropping-particle":"","family":"Neumann","given":"U.","non-dropping-particle":"","parse-names":false,"suffix":""},{"dropping-particle":"","family":"Ricke","given":"J.","non-dropping-particle":"","parse-names":false,"suffix":""},{"dropping-particle":"","family":"Sangro","given":"B.","non-dropping-particle":"","parse-names":false,"suffix":""},{"dropping-particle":"","family":"Schirmacher","given":"P.","non-dropping-particle":"","parse-names":false,"suffix":""},{"dropping-particle":"","family":"Verslype","given":"C.","non-dropping-particle":"","parse-names":false,"suffix":""},{"dropping-particle":"","family":"Zech","given":"C. J.","non-dropping-particle":"","parse-names":false,"suffix":""},{"dropping-particle":"","family":"Arnold","given":"D.","non-dropping-particle":"","parse-names":false,"suffix":""},{"dropping-particle":"","family":"Martinelli","given":"E.","non-dropping-particle":"","parse-names":false,"suffix":""}],"container-title":"Annals of Oncology","id":"ITEM-1","issued":{"date-parts":[["2018","10","1"]]},"page":"iv238-iv255","publisher":"Oxford University Press","title":"Hepatocellular carcinoma: ESMO Clinical Practice Guidelines for diagnosis, treatment and follow-up","type":"article-journal","volume":"29"},"uris":["http://www.mendeley.com/documents/?uuid=21b70589-bd16-3bd9-b432-9f2042108c3b"]},{"id":"ITEM-2","itemData":{"DOI":"10.1002/hep.29913","ISSN":"15273350","PMID":"29624699","author":[{"dropping-particle":"","family":"Marrero","given":"Jorge A.","non-dropping-particle":"","parse-names":false,"suffix":""},{"dropping-particle":"","family":"Kulik","given":"Laura M.","non-dropping-particle":"","parse-names":false,"suffix":""},{"dropping-particle":"","family":"Sirlin","given":"Claude B.","non-dropping-particle":"","parse-names":false,"suffix":""},{"dropping-particle":"","family":"Zhu","given":"Andrew X.","non-dropping-particle":"","parse-names":false,"suffix":""},{"dropping-particle":"","family":"Finn","given":"Richard S.","non-dropping-particle":"","parse-names":false,"suffix":""},{"dropping-particle":"","family":"Abecassis","given":"Michael M.","non-dropping-particle":"","parse-names":false,"suffix":""},{"dropping-particle":"","family":"Roberts","given":"Lewis R.","non-dropping-particle":"","parse-names":false,"suffix":""},{"dropping-particle":"","family":"Heimbach","given":"Julie K.","non-dropping-particle":"","parse-names":false,"suffix":""}],"container-title":"Hepatology","id":"ITEM-2","issue":"2","issued":{"date-parts":[["2018","8","1"]]},"page":"723-750","publisher":"John Wiley and Sons Inc.","title":"Diagnosis, Staging, and Management of Hepatocellular Carcinoma: 2018 Practice Guidance by the American Association for the Study of Liver Diseases","type":"article-journal","volume":"68"},"uris":["http://www.mendeley.com/documents/?uuid=524b992f-ba18-31f8-aa7d-c271bdc57c09"]},{"id":"ITEM-3","itemData":{"DOI":"10.1016/j.jhep.2018.03.019","ISSN":"16000641","PMID":"29628281","author":[{"dropping-particle":"","family":"Galle","given":"Peter R.","non-dropping-particle":"","parse-names":false,"suffix":""},{"dropping-particle":"","family":"Forner","given":"Alejandro","non-dropping-particle":"","parse-names":false,"suffix":""},{"dropping-particle":"","family":"Llovet","given":"Josep M.","non-dropping-particle":"","parse-names":false,"suffix":""},{"dropping-particle":"","family":"Mazzaferro","given":"Vincenzo","non-dropping-particle":"","parse-names":false,"suffix":""},{"dropping-particle":"","family":"Piscaglia","given":"Fabio","non-dropping-particle":"","parse-names":false,"suffix":""},{"dropping-particle":"","family":"Raoul","given":"Jean Luc","non-dropping-particle":"","parse-names":false,"suffix":""},{"dropping-particle":"","family":"Schirmacher","given":"Peter","non-dropping-particle":"","parse-names":false,"suffix":""},{"dropping-particle":"","family":"Vilgrain","given":"Valérie","non-dropping-particle":"","parse-names":false,"suffix":""}],"container-title":"Journal of Hepatology","id":"ITEM-3","issue":"1","issued":{"date-parts":[["2018","7","1"]]},"page":"182-236","publisher":"Elsevier B.V.","title":"EASL Clinical Practice Guidelines: Management of hepatocellular carcinoma","type":"article-journal","volume":"69"},"uris":["http://www.mendeley.com/documents/?uuid=055ddbc3-5b48-34fb-b03b-bdc43880d69c"]},{"id":"ITEM-4","itemData":{"DOI":"10.1111/j.1478-3231.2011.02473.x","ISSN":"14783231","abstract":"Because of its increasing incidence of hepatocellular carcinoma, it is now recognized as a worldwide health problem affecting mostly patients with chronic liver disease. Liver transplantation is the optimal therapy and achieves its best results in patients with small tumour burden. In an effort to prevent tumour progression and patient dropout from the transplant wait list, the concept and utilization of neo-adjuvant locoregional therapies have gained relevance in the past few years. Moreover, good and maintained response to therapy is now considered a surrogate of favourable tumour biology, therefore aiding the patient transplant selection process. Herein, we review the current role of neo-adjuvant therapies and revise concepts of tumour 'downstaging' or 'bridging therapy' in the setting of liver transplantation. In addition, we explore the debate of implementing locoregional therapy for patients with small tumours and short waiting times to liver transplantation. © 2011 John Wiley &amp; Sons A/S.","author":[{"dropping-particle":"","family":"Fujiki","given":"Masato","non-dropping-particle":"","parse-names":false,"suffix":""},{"dropping-particle":"","family":"Aucejo","given":"Federico","non-dropping-particle":"","parse-names":false,"suffix":""},{"dropping-particle":"","family":"Kim","given":"Richard","non-dropping-particle":"","parse-names":false,"suffix":""}],"container-title":"Liver International","id":"ITEM-4","issue":"8","issued":{"date-parts":[["2011","9"]]},"page":"1081-1089","title":"General overview of neo-adjuvant therapy for hepatocellular carcinoma before liver transplantation: Necessity or option?","type":"article","volume":"31"},"uris":["http://www.mendeley.com/documents/?uuid=204e9550-16c3-32e3-ac21-cfa0df9ea1ee"]},{"id":"ITEM-5","itemData":{"DOI":"10.3748/wjg.v25.i31.4360","ISSN":"22192840","PMID":"31496618","abstract":"Hepatocellular carcinoma is one of the most frequent malignant tumors worldwide: Portal vein tumor thrombosis (PVTT) occurs in about 35%-50% of patients and represents a strong negative prognostic factor, due to the increased risk of tumor spread into the bloodstream, leading to a high recurrence risk. For this reason, it is a contraindication to liver transplantation and in several prognostic scores sorafenib represents its standard of care, due to its antiangiogenetic action, although it can grant only a poor prolongation of life expectancy. Recent scientific evidences lead to consider PVTT as a complex anatomical and clinical condition, including a wide range of patients with different prognosis and new treatment possibilities according to the degree of portal system involvement, tumor biological aggressiveness, complications caused by portal hypertension, patient's clinical features and tolerance to antineoplastic treatments. The median survival has been reported to range between 2.7 and 4 mo in absence of therapy, but it can vary from 5 mo to 5 years, thus depicting an extremely variable scenario. For this reason, it is extremely important to focus on the most adequate strategy to be applied to each group of PVTT patients.","author":[{"dropping-particle":"","family":"Cerrito","given":"Lucia","non-dropping-particle":"","parse-names":false,"suffix":""},{"dropping-particle":"","family":"Annicchiarico","given":"Brigida Eleonora","non-dropping-particle":"","parse-names":false,"suffix":""},{"dropping-particle":"","family":"Iezzi","given":"Roberto","non-dropping-particle":"","parse-names":false,"suffix":""},{"dropping-particle":"","family":"Gasbarrini","given":"Antonio","non-dropping-particle":"","parse-names":false,"suffix":""},{"dropping-particle":"","family":"Pompili","given":"Maurizio","non-dropping-particle":"","parse-names":false,"suffix":""},{"dropping-particle":"","family":"Ponziani","given":"Francesca Romana","non-dropping-particle":"","parse-names":false,"suffix":""}],"container-title":"World Journal of Gastroenterology","id":"ITEM-5","issue":"31","issued":{"date-parts":[["2019","8","21"]]},"page":"4360-4382","title":"Treatment of hepatocellular carcinoma in patients with portal vein tumor thrombosis: Beyond the known frontiers","type":"article","volume":"25"},"uris":["http://www.mendeley.com/documents/?uuid=60999e4f-e846-362b-a2b7-d51aadeb6592"]}],"mendeley":{"formattedCitation":"[6,8,9,50,85]","plainTextFormattedCitation":"[6,8,9,50,85]","previouslyFormattedCitation":"[6,8,9,50,85]"},"properties":{"noteIndex":0},"schema":"https://github.com/citation-style-language/schema/raw/master/csl-citation.json"}</w:instrText>
      </w:r>
      <w:r w:rsidRPr="00DF0D90">
        <w:rPr>
          <w:lang w:val="ru-RU"/>
        </w:rPr>
        <w:fldChar w:fldCharType="separate"/>
      </w:r>
      <w:r w:rsidRPr="00DF0D90">
        <w:rPr>
          <w:noProof/>
          <w:lang w:val="ru-RU"/>
        </w:rPr>
        <w:t>[6,8,9,50,85]</w:t>
      </w:r>
      <w:r w:rsidRPr="00DF0D90">
        <w:rPr>
          <w:lang w:val="ru-RU"/>
        </w:rPr>
        <w:fldChar w:fldCharType="end"/>
      </w:r>
      <w:r w:rsidRPr="00DF0D90">
        <w:t>.</w:t>
      </w:r>
    </w:p>
    <w:p w14:paraId="52479DC1" w14:textId="77777777" w:rsidR="00BD1DDF" w:rsidRPr="00DF0D90" w:rsidRDefault="00BD1DDF" w:rsidP="00BD1DDF">
      <w:pPr>
        <w:pStyle w:val="afa"/>
        <w:spacing w:after="120" w:line="360" w:lineRule="auto"/>
        <w:jc w:val="both"/>
      </w:pPr>
      <w:r w:rsidRPr="00DF0D90">
        <w:t xml:space="preserve">Уровень убедительности рекомендаций – C (уровень достоверности доказательств – </w:t>
      </w:r>
      <w:r w:rsidRPr="00DF0D90">
        <w:rPr>
          <w:color w:val="auto"/>
        </w:rPr>
        <w:t>5</w:t>
      </w:r>
      <w:r w:rsidRPr="00DF0D90">
        <w:t>).</w:t>
      </w:r>
    </w:p>
    <w:p w14:paraId="207BCE35" w14:textId="77777777" w:rsidR="00BD1DDF" w:rsidRPr="00DF0D90" w:rsidRDefault="00BD1DDF" w:rsidP="00BD1DDF">
      <w:pPr>
        <w:spacing w:after="120" w:line="360" w:lineRule="auto"/>
        <w:jc w:val="both"/>
        <w:rPr>
          <w:i/>
        </w:rPr>
      </w:pPr>
      <w:r w:rsidRPr="00DF0D90">
        <w:rPr>
          <w:b/>
          <w:i/>
        </w:rPr>
        <w:t>Комментарии:</w:t>
      </w:r>
      <w:r w:rsidRPr="00DF0D90">
        <w:rPr>
          <w:b/>
        </w:rPr>
        <w:t xml:space="preserve"> </w:t>
      </w:r>
      <w:r w:rsidRPr="00DF0D90">
        <w:rPr>
          <w:i/>
        </w:rPr>
        <w:t xml:space="preserve">основные противопоказания к </w:t>
      </w:r>
      <w:proofErr w:type="spellStart"/>
      <w:r w:rsidRPr="00DF0D90">
        <w:rPr>
          <w:i/>
        </w:rPr>
        <w:t>трансартериальной</w:t>
      </w:r>
      <w:proofErr w:type="spellEnd"/>
      <w:r w:rsidRPr="00DF0D90">
        <w:rPr>
          <w:i/>
        </w:rPr>
        <w:t xml:space="preserve"> </w:t>
      </w:r>
      <w:proofErr w:type="spellStart"/>
      <w:r w:rsidRPr="00DF0D90">
        <w:rPr>
          <w:i/>
        </w:rPr>
        <w:t>радиоэмболизации</w:t>
      </w:r>
      <w:proofErr w:type="spellEnd"/>
      <w:r w:rsidRPr="00DF0D90">
        <w:rPr>
          <w:i/>
        </w:rPr>
        <w:t xml:space="preserve"> – поражение &gt;70 % объема печени, наличие артериовенозного шунта.</w:t>
      </w:r>
    </w:p>
    <w:p w14:paraId="6189DB08" w14:textId="77777777" w:rsidR="00630BAC" w:rsidRPr="00DF0D90" w:rsidRDefault="00630BAC" w:rsidP="006D217F">
      <w:pPr>
        <w:pStyle w:val="2"/>
        <w:spacing w:before="0" w:after="120" w:line="360" w:lineRule="auto"/>
        <w:ind w:firstLine="567"/>
        <w:jc w:val="both"/>
        <w:rPr>
          <w:shd w:val="clear" w:color="auto" w:fill="FFFFFF"/>
        </w:rPr>
      </w:pPr>
      <w:bookmarkStart w:id="89" w:name="_Toc98349285"/>
      <w:bookmarkStart w:id="90" w:name="_Toc83293983"/>
      <w:bookmarkEnd w:id="87"/>
      <w:bookmarkEnd w:id="88"/>
      <w:r w:rsidRPr="00DF0D90">
        <w:t>3.5 Лучевая терапия</w:t>
      </w:r>
      <w:bookmarkEnd w:id="89"/>
      <w:bookmarkEnd w:id="90"/>
    </w:p>
    <w:p w14:paraId="00A49AB3" w14:textId="77777777" w:rsidR="00563B70" w:rsidRPr="00DF0D90" w:rsidRDefault="00563B70" w:rsidP="00563B70">
      <w:pPr>
        <w:pStyle w:val="a"/>
        <w:spacing w:before="0" w:after="120" w:line="360" w:lineRule="auto"/>
        <w:ind w:firstLine="567"/>
        <w:jc w:val="both"/>
      </w:pPr>
      <w:r w:rsidRPr="00DF0D90">
        <w:rPr>
          <w:b/>
        </w:rPr>
        <w:t>Рекомендуется</w:t>
      </w:r>
      <w:r w:rsidRPr="00DF0D90">
        <w:rPr>
          <w:b/>
          <w:lang w:val="ru-RU"/>
        </w:rPr>
        <w:t xml:space="preserve"> </w:t>
      </w:r>
      <w:r w:rsidRPr="00DF0D90">
        <w:t xml:space="preserve">пациентам с ГЦР в случаях, когда другие варианты локо-регионарного лечения и/или резекции не могут быть проведены для улучшения контроля роста опухоли и выживаемости пациентов </w:t>
      </w:r>
      <w:r w:rsidRPr="00DF0D90">
        <w:fldChar w:fldCharType="begin" w:fldLock="1"/>
      </w:r>
      <w:r w:rsidRPr="00DF0D90">
        <w:instrText>ADDIN CSL_CITATION {"citationItems":[{"id":"ITEM-1","itemData":{"DOI":"10.1002/cncr.31334","ISSN":"10970142","PMID":"29645076","abstract":"Hepatocellular carcinoma (HCC) is increasing in incidence and mortality. Although the prognosis remains poor, long-term survival has improved from 3% in 1970 to an 18% 5-year survival rate today. This is likely because of the introduction of well tolerated, oral antiviral therapies for hepatitis C. Curative options for patients with HCC are often limited by underlying liver dysfunction/cirrhosis and medical comorbidities. Less than one-third of patients are candidates for surgery, which is the current gold standard for cure. Nonsurgical treatments include embolotherapies, percutaneous ablation, and ablative radiation. Technological advances in radiation delivery in the past several decades now allow for safe and effective ablative doses to the liver. Conformal techniques allow for both dose escalation to target volumes and normal tissue sparing. Multiple retrospective and prospective studies have demonstrated that hypofractionated image-guided radiation therapy, used as monotherapy or in combination with other liver-directed therapies, can provide excellent local control that is cost effective. Therefore, as the HCC treatment paradigm continues to evolve, ablative radiation treatment has moved from a palliative treatment to both a “bridge to transplant” and a definitive treatment.","author":[{"dropping-particle":"","family":"Chino","given":"Fumiko","non-dropping-particle":"","parse-names":false,"suffix":""},{"dropping-particle":"","family":"Stephens","given":"Sarah Jo","non-dropping-particle":"","parse-names":false,"suffix":""},{"dropping-particle":"","family":"Choi","given":"Steve S.","non-dropping-particle":"","parse-names":false,"suffix":""},{"dropping-particle":"","family":"Marin","given":"Daniele","non-dropping-particle":"","parse-names":false,"suffix":""},{"dropping-particle":"","family":"Kim","given":"Charles Y.","non-dropping-particle":"","parse-names":false,"suffix":""},{"dropping-particle":"","family":"Morse","given":"Michael A.","non-dropping-particle":"","parse-names":false,"suffix":""},{"dropping-particle":"","family":"Godfrey","given":"Devon J.","non-dropping-particle":"","parse-names":false,"suffix":""},{"dropping-particle":"","family":"Czito","given":"Brian G.","non-dropping-particle":"","parse-names":false,"suffix":""},{"dropping-particle":"","family":"Willett","given":"Christopher G.","non-dropping-particle":"","parse-names":false,"suffix":""},{"dropping-particle":"","family":"Palta","given":"Manisha","non-dropping-particle":"","parse-names":false,"suffix":""}],"container-title":"Cancer","id":"ITEM-1","issue":"17","issued":{"date-parts":[["2018","9","1"]]},"page":"3476-3489","title":"The role of external beam radiotherapy in the treatment of hepatocellular cancer","type":"article","volume":"124"},"uris":["http://www.mendeley.com/documents/?uuid=9b350c0b-ed05-3073-87de-293d7b639775"]}],"mendeley":{"formattedCitation":"[86]","plainTextFormattedCitation":"[86]","previouslyFormattedCitation":"[86]"},"properties":{"noteIndex":0},"schema":"https://github.com/citation-style-language/schema/raw/master/csl-citation.json"}</w:instrText>
      </w:r>
      <w:r w:rsidRPr="00DF0D90">
        <w:fldChar w:fldCharType="separate"/>
      </w:r>
      <w:r w:rsidRPr="00DF0D90">
        <w:rPr>
          <w:noProof/>
        </w:rPr>
        <w:t>[86]</w:t>
      </w:r>
      <w:r w:rsidRPr="00DF0D90">
        <w:fldChar w:fldCharType="end"/>
      </w:r>
      <w:r w:rsidRPr="00DF0D90">
        <w:t>.</w:t>
      </w:r>
    </w:p>
    <w:p w14:paraId="45CF81DE" w14:textId="77777777" w:rsidR="00563B70" w:rsidRPr="00DF0D90" w:rsidRDefault="00563B70" w:rsidP="00563B70">
      <w:pPr>
        <w:pStyle w:val="afa"/>
        <w:spacing w:after="120" w:line="360" w:lineRule="auto"/>
        <w:jc w:val="both"/>
        <w:rPr>
          <w:shd w:val="clear" w:color="auto" w:fill="FFFFFF"/>
        </w:rPr>
      </w:pPr>
      <w:r w:rsidRPr="00DF0D90">
        <w:rPr>
          <w:shd w:val="clear" w:color="auto" w:fill="FFFFFF"/>
        </w:rPr>
        <w:t>Уровень убедительности рекомендаций –</w:t>
      </w:r>
      <w:r w:rsidRPr="00DF0D90">
        <w:rPr>
          <w:shd w:val="clear" w:color="auto" w:fill="FFFFFF"/>
          <w:lang w:val="ru-RU"/>
        </w:rPr>
        <w:t xml:space="preserve"> </w:t>
      </w:r>
      <w:r w:rsidRPr="00DF0D90">
        <w:rPr>
          <w:shd w:val="clear" w:color="auto" w:fill="FFFFFF"/>
        </w:rPr>
        <w:t xml:space="preserve">С (уровень достоверности доказательств – </w:t>
      </w:r>
      <w:r w:rsidRPr="00DF0D90">
        <w:t>5</w:t>
      </w:r>
      <w:r w:rsidRPr="00DF0D90">
        <w:rPr>
          <w:shd w:val="clear" w:color="auto" w:fill="FFFFFF"/>
        </w:rPr>
        <w:t>).</w:t>
      </w:r>
    </w:p>
    <w:p w14:paraId="44B60E5F" w14:textId="3BAF291A" w:rsidR="00563B70" w:rsidRPr="00DF0D90" w:rsidRDefault="00563B70" w:rsidP="00563B70">
      <w:pPr>
        <w:pStyle w:val="afa"/>
        <w:spacing w:after="120" w:line="360" w:lineRule="auto"/>
        <w:jc w:val="both"/>
        <w:rPr>
          <w:b w:val="0"/>
          <w:i/>
        </w:rPr>
      </w:pPr>
      <w:r w:rsidRPr="00DF0D90">
        <w:rPr>
          <w:b w:val="0"/>
          <w:i/>
          <w:shd w:val="clear" w:color="auto" w:fill="FFFFFF"/>
        </w:rPr>
        <w:t xml:space="preserve">Комментарий: </w:t>
      </w:r>
      <w:r w:rsidRPr="00DF0D90">
        <w:rPr>
          <w:b w:val="0"/>
          <w:i/>
          <w:shd w:val="clear" w:color="auto" w:fill="FFFFFF"/>
          <w:lang w:val="ru-RU"/>
        </w:rPr>
        <w:t>лучевая терапия проводится в виде конформного облучения 3</w:t>
      </w:r>
      <w:r w:rsidRPr="00DF0D90">
        <w:rPr>
          <w:b w:val="0"/>
          <w:i/>
          <w:shd w:val="clear" w:color="auto" w:fill="FFFFFF"/>
          <w:lang w:val="en-US"/>
        </w:rPr>
        <w:t>D</w:t>
      </w:r>
      <w:r w:rsidRPr="00DF0D90">
        <w:rPr>
          <w:b w:val="0"/>
          <w:i/>
          <w:shd w:val="clear" w:color="auto" w:fill="FFFFFF"/>
          <w:lang w:val="ru-RU"/>
        </w:rPr>
        <w:t>-</w:t>
      </w:r>
      <w:r w:rsidRPr="00DF0D90">
        <w:rPr>
          <w:b w:val="0"/>
          <w:i/>
          <w:shd w:val="clear" w:color="auto" w:fill="FFFFFF"/>
          <w:lang w:val="en-US"/>
        </w:rPr>
        <w:t>CRT</w:t>
      </w:r>
      <w:r w:rsidRPr="00DF0D90">
        <w:rPr>
          <w:b w:val="0"/>
          <w:i/>
          <w:shd w:val="clear" w:color="auto" w:fill="FFFFFF"/>
          <w:lang w:val="ru-RU"/>
        </w:rPr>
        <w:t>, лучевой терапии с модуляцией интенсивности (</w:t>
      </w:r>
      <w:r w:rsidRPr="00DF0D90">
        <w:rPr>
          <w:b w:val="0"/>
          <w:i/>
          <w:shd w:val="clear" w:color="auto" w:fill="FFFFFF"/>
          <w:lang w:val="en-US"/>
        </w:rPr>
        <w:t>IMRT</w:t>
      </w:r>
      <w:r w:rsidRPr="00DF0D90">
        <w:rPr>
          <w:b w:val="0"/>
          <w:i/>
          <w:shd w:val="clear" w:color="auto" w:fill="FFFFFF"/>
          <w:lang w:val="ru-RU"/>
        </w:rPr>
        <w:t>) или стереотаксического облучения  (</w:t>
      </w:r>
      <w:r w:rsidRPr="00DF0D90">
        <w:rPr>
          <w:b w:val="0"/>
          <w:i/>
          <w:shd w:val="clear" w:color="auto" w:fill="FFFFFF"/>
          <w:lang w:val="en-US"/>
        </w:rPr>
        <w:t>SBRT</w:t>
      </w:r>
      <w:r w:rsidRPr="00DF0D90">
        <w:rPr>
          <w:b w:val="0"/>
          <w:i/>
          <w:shd w:val="clear" w:color="auto" w:fill="FFFFFF"/>
          <w:lang w:val="ru-RU"/>
        </w:rPr>
        <w:t>) под контролем визуализации (</w:t>
      </w:r>
      <w:r w:rsidRPr="00DF0D90">
        <w:rPr>
          <w:b w:val="0"/>
          <w:i/>
          <w:shd w:val="clear" w:color="auto" w:fill="FFFFFF"/>
          <w:lang w:val="en-US"/>
        </w:rPr>
        <w:t>IGRT</w:t>
      </w:r>
      <w:r w:rsidRPr="00DF0D90">
        <w:rPr>
          <w:b w:val="0"/>
          <w:i/>
          <w:shd w:val="clear" w:color="auto" w:fill="FFFFFF"/>
          <w:lang w:val="ru-RU"/>
        </w:rPr>
        <w:t xml:space="preserve">).  </w:t>
      </w:r>
      <w:r w:rsidRPr="00DF0D90">
        <w:rPr>
          <w:b w:val="0"/>
          <w:i/>
          <w:color w:val="000000"/>
        </w:rPr>
        <w:t>Применение стереотаксической лучевой терапии представляется оптимальным. Рекомендуется использовать трех или пятидневный режим фракционирования дозы излучения до СОД 30-50</w:t>
      </w:r>
      <w:r w:rsidR="00992015" w:rsidRPr="00DF0D90">
        <w:rPr>
          <w:b w:val="0"/>
          <w:i/>
          <w:color w:val="000000"/>
          <w:lang w:val="ru-RU"/>
        </w:rPr>
        <w:t xml:space="preserve"> </w:t>
      </w:r>
      <w:r w:rsidRPr="00DF0D90">
        <w:rPr>
          <w:b w:val="0"/>
          <w:i/>
          <w:color w:val="000000"/>
        </w:rPr>
        <w:t xml:space="preserve">Гр у пациентов с </w:t>
      </w:r>
      <w:r w:rsidRPr="00DF0D90">
        <w:rPr>
          <w:b w:val="0"/>
          <w:i/>
        </w:rPr>
        <w:t>сохранной функции печени (класс А</w:t>
      </w:r>
      <w:r w:rsidR="005C69CA" w:rsidRPr="00DF0D90">
        <w:rPr>
          <w:b w:val="0"/>
          <w:i/>
          <w:lang w:val="ru-RU"/>
        </w:rPr>
        <w:t xml:space="preserve"> </w:t>
      </w:r>
      <w:r w:rsidRPr="00DF0D90">
        <w:rPr>
          <w:b w:val="0"/>
          <w:i/>
        </w:rPr>
        <w:t xml:space="preserve"> или  В по Child – </w:t>
      </w:r>
      <w:proofErr w:type="spellStart"/>
      <w:r w:rsidRPr="00DF0D90">
        <w:rPr>
          <w:b w:val="0"/>
          <w:i/>
        </w:rPr>
        <w:t>Pugh</w:t>
      </w:r>
      <w:proofErr w:type="spellEnd"/>
      <w:r w:rsidRPr="00DF0D90">
        <w:rPr>
          <w:b w:val="0"/>
          <w:i/>
        </w:rPr>
        <w:t xml:space="preserve">). SBRT можно рассматривать как альтернативу методам </w:t>
      </w:r>
      <w:proofErr w:type="spellStart"/>
      <w:r w:rsidRPr="00DF0D90">
        <w:rPr>
          <w:b w:val="0"/>
          <w:i/>
        </w:rPr>
        <w:t>абл</w:t>
      </w:r>
      <w:r w:rsidR="00992015" w:rsidRPr="00DF0D90">
        <w:rPr>
          <w:b w:val="0"/>
          <w:i/>
          <w:lang w:val="ru-RU"/>
        </w:rPr>
        <w:t>а</w:t>
      </w:r>
      <w:r w:rsidRPr="00DF0D90">
        <w:rPr>
          <w:b w:val="0"/>
          <w:i/>
        </w:rPr>
        <w:t>ции</w:t>
      </w:r>
      <w:proofErr w:type="spellEnd"/>
      <w:r w:rsidRPr="00DF0D90">
        <w:rPr>
          <w:b w:val="0"/>
          <w:i/>
        </w:rPr>
        <w:t>/эмболизации когда эти методы лечения оказались безуспешными или противопоказаны</w:t>
      </w:r>
      <w:r w:rsidRPr="00DF0D90">
        <w:rPr>
          <w:b w:val="0"/>
          <w:i/>
          <w:lang w:val="ru-RU"/>
        </w:rPr>
        <w:t>.</w:t>
      </w:r>
      <w:r w:rsidR="00992015" w:rsidRPr="00DF0D90">
        <w:rPr>
          <w:b w:val="0"/>
          <w:i/>
          <w:lang w:val="ru-RU"/>
        </w:rPr>
        <w:t xml:space="preserve"> </w:t>
      </w:r>
      <w:r w:rsidRPr="00DF0D90">
        <w:rPr>
          <w:b w:val="0"/>
          <w:i/>
          <w:color w:val="000000"/>
        </w:rPr>
        <w:t xml:space="preserve">При невозможности проведения стереотаксической лучевой терапии возможно проведение лучевой терапии с РОД 1,8 Гр до СОД 45 Гр и далее </w:t>
      </w:r>
      <w:r w:rsidR="00B3494E" w:rsidRPr="00DF0D90">
        <w:rPr>
          <w:b w:val="0"/>
          <w:i/>
          <w:color w:val="000000"/>
          <w:lang w:val="ru-RU"/>
        </w:rPr>
        <w:t>последовательным «</w:t>
      </w:r>
      <w:r w:rsidRPr="00DF0D90">
        <w:rPr>
          <w:b w:val="0"/>
          <w:i/>
          <w:color w:val="000000"/>
        </w:rPr>
        <w:t>бустом</w:t>
      </w:r>
      <w:r w:rsidR="00B3494E" w:rsidRPr="00DF0D90">
        <w:rPr>
          <w:b w:val="0"/>
          <w:i/>
          <w:color w:val="000000"/>
          <w:lang w:val="ru-RU"/>
        </w:rPr>
        <w:t>»</w:t>
      </w:r>
      <w:r w:rsidRPr="00DF0D90">
        <w:rPr>
          <w:b w:val="0"/>
          <w:i/>
          <w:color w:val="000000"/>
        </w:rPr>
        <w:t xml:space="preserve"> локально на опухоль до СОД 50-60Гр</w:t>
      </w:r>
      <w:r w:rsidR="004E3476">
        <w:rPr>
          <w:b w:val="0"/>
          <w:i/>
          <w:color w:val="000000"/>
          <w:lang w:val="ru-RU"/>
        </w:rPr>
        <w:t>.</w:t>
      </w:r>
    </w:p>
    <w:p w14:paraId="175226F5" w14:textId="6C01637C" w:rsidR="00630BAC" w:rsidRPr="00DF0D90" w:rsidRDefault="00630BAC" w:rsidP="00BD2E7C">
      <w:pPr>
        <w:pStyle w:val="2"/>
        <w:spacing w:before="0" w:after="120" w:line="360" w:lineRule="auto"/>
        <w:ind w:firstLine="567"/>
        <w:jc w:val="both"/>
      </w:pPr>
      <w:bookmarkStart w:id="91" w:name="_Toc98349286"/>
      <w:bookmarkStart w:id="92" w:name="_Toc83293984"/>
      <w:r w:rsidRPr="00DF0D90">
        <w:lastRenderedPageBreak/>
        <w:t>3.6 Лекарственное лечение</w:t>
      </w:r>
      <w:bookmarkEnd w:id="91"/>
      <w:bookmarkEnd w:id="92"/>
    </w:p>
    <w:p w14:paraId="45AD53AE" w14:textId="77777777" w:rsidR="00001DCA" w:rsidRPr="00DF0D90" w:rsidRDefault="00001DCA" w:rsidP="006D217F">
      <w:pPr>
        <w:spacing w:after="120" w:line="360" w:lineRule="auto"/>
        <w:ind w:firstLine="567"/>
        <w:jc w:val="both"/>
        <w:rPr>
          <w:lang w:eastAsia="ko-KR"/>
        </w:rPr>
      </w:pPr>
      <w:r w:rsidRPr="00DF0D90">
        <w:rPr>
          <w:i/>
        </w:rPr>
        <w:t>Значительное расширение арсенала эффективных опций лекарственного лечения распространенного ГЦР за последние годы, особенно во второй-третьей линии лечения, в отсутствие достоверных данных по сравнительной эффективности требует взвешенного подхода, основанного на учете множества индивидуальных параметров пациента и заболевания.</w:t>
      </w:r>
      <w:r w:rsidR="00B726C2" w:rsidRPr="00DF0D90">
        <w:rPr>
          <w:i/>
        </w:rPr>
        <w:t xml:space="preserve"> </w:t>
      </w:r>
      <w:r w:rsidR="005D49BB" w:rsidRPr="00DF0D90">
        <w:rPr>
          <w:i/>
        </w:rPr>
        <w:t>Для ГЦР не известно факторов прогноза эффективности иммунотерапии, ингибиторов протеинкиназ</w:t>
      </w:r>
      <w:r w:rsidR="00B726C2" w:rsidRPr="00DF0D90">
        <w:rPr>
          <w:i/>
        </w:rPr>
        <w:t xml:space="preserve"> </w:t>
      </w:r>
      <w:r w:rsidR="005D49BB" w:rsidRPr="00DF0D90">
        <w:rPr>
          <w:i/>
        </w:rPr>
        <w:t xml:space="preserve">и цитотоксической химиотерапии. </w:t>
      </w:r>
    </w:p>
    <w:p w14:paraId="25700969" w14:textId="112BC6EE" w:rsidR="00630BAC" w:rsidRPr="00DF0D90" w:rsidRDefault="00001DCA" w:rsidP="006D217F">
      <w:pPr>
        <w:pStyle w:val="a"/>
        <w:spacing w:before="0" w:after="120" w:line="360" w:lineRule="auto"/>
        <w:ind w:firstLine="567"/>
        <w:jc w:val="both"/>
      </w:pPr>
      <w:r w:rsidRPr="00DF0D90">
        <w:t>Системная терапия</w:t>
      </w:r>
      <w:r w:rsidRPr="00DF0D90">
        <w:rPr>
          <w:b/>
        </w:rPr>
        <w:t xml:space="preserve"> р</w:t>
      </w:r>
      <w:r w:rsidR="00630BAC" w:rsidRPr="00DF0D90">
        <w:rPr>
          <w:b/>
        </w:rPr>
        <w:t>екомендуется</w:t>
      </w:r>
      <w:r w:rsidR="00B726C2" w:rsidRPr="00DF0D90">
        <w:rPr>
          <w:b/>
          <w:lang w:val="ru-RU"/>
        </w:rPr>
        <w:t xml:space="preserve"> </w:t>
      </w:r>
      <w:r w:rsidR="00DD14EB" w:rsidRPr="00DF0D90">
        <w:t xml:space="preserve">врачом-онкологом </w:t>
      </w:r>
      <w:r w:rsidR="00D172E1" w:rsidRPr="00DF0D90">
        <w:t>пациентам</w:t>
      </w:r>
      <w:r w:rsidR="00AE12B7" w:rsidRPr="00DF0D90">
        <w:t xml:space="preserve"> с </w:t>
      </w:r>
      <w:r w:rsidR="00630BAC" w:rsidRPr="00DF0D90">
        <w:t xml:space="preserve">ГЦР </w:t>
      </w:r>
      <w:r w:rsidR="00AE12B7" w:rsidRPr="00DF0D90">
        <w:t xml:space="preserve">для улучшения выживаемости и контроля роста опухоли </w:t>
      </w:r>
      <w:r w:rsidR="00630BAC" w:rsidRPr="00DF0D90">
        <w:t>при</w:t>
      </w:r>
      <w:r w:rsidR="00CB49BC" w:rsidRPr="00DF0D90">
        <w:rPr>
          <w:lang w:val="ru-RU"/>
        </w:rPr>
        <w:t xml:space="preserve"> </w:t>
      </w:r>
      <w:r w:rsidR="00CB49BC" w:rsidRPr="00DF0D90">
        <w:rPr>
          <w:lang w:val="ru-RU"/>
        </w:rPr>
        <w:fldChar w:fldCharType="begin" w:fldLock="1"/>
      </w:r>
      <w:r w:rsidR="007335C5" w:rsidRPr="00DF0D90">
        <w:rPr>
          <w:lang w:val="ru-RU"/>
        </w:rPr>
        <w:instrText>ADDIN CSL_CITATION {"citationItems":[{"id":"ITEM-1","itemData":{"DOI":"10.1056/nejmoa0708857","ISSN":"0028-4793","PMID":"18650514","abstract":"BACKGROUND No effective systemic therapy exists for patients with advanced hepatocellular carcinoma. A preliminary study suggested that sorafenib, an oral multikinase inhibitor of the vascular endothelial growth factor receptor, the platelet-derived growth factor receptor, and Raf may be effective in hepatocellular carcinoma. METHODS In this multicenter, phase 3, double-blind, placebo-controlled trial, we randomly assigned 602 patients with advanced hepatocellular carcinoma who had not received previous systemic treatment to receive either sorafenib (at a dose of 400 mg twice daily) or placebo. Primary outcomes were overall survival and the time to symptomatic progression. Secondary outcomes included the time to radiologic progression and safety. RESULTS At the second planned interim analysis, 321 deaths had occurred, and the study was stopped. Median overall survival was 10.7 months in the sorafenib group and 7.9 months in the placebo group (hazard ratio in the sorafenib group, 0.69; 95% confidence interval, 0.55 to 0.87; P&lt;0.001). There was no significant difference between the two groups in the median time to symptomatic progression (4.1 months vs. 4.9 months, respectively, P=0.77). The median time to radiologic progression was 5.5 months in the sorafenib group and 2.8 months in the placebo group (P&lt;0.001). Seven patients in the sorafenib group (2%) and two patients in the placebo group (1%) had a partial response; no patients had a complete response. Diarrhea, weight loss, hand-foot skin reaction, and hypophosphatemia were more frequent in the sorafenib group. CONCLUSIONS In patients with advanced hepatocellular carcinoma, median survival and the time to radiologic progression were nearly 3 months longer for patients treated with sorafenib than for those given placebo. (ClinicalTrials.gov number, NCT00105443.)","author":[{"dropping-particle":"","family":"Llovet","given":"Josep M.","non-dropping-particle":"","parse-names":false,"suffix":""},{"dropping-particle":"","family":"Ricci","given":"Sergio","non-dropping-particle":"","parse-names":false,"suffix":""},{"dropping-particle":"","family":"Mazzaferro","given":"Vincenzo","non-dropping-particle":"","parse-names":false,"suffix":""},{"dropping-particle":"","family":"Hilgard","given":"Philip","non-dropping-particle":"","parse-names":false,"suffix":""},{"dropping-particle":"","family":"Gane","given":"Edward","non-dropping-particle":"","parse-names":false,"suffix":""},{"dropping-particle":"","family":"Blanc","given":"Jean-Frédéric","non-dropping-particle":"","parse-names":false,"suffix":""},{"dropping-particle":"","family":"Oliveira","given":"Andre Cosme","non-dropping-particle":"de","parse-names":false,"suffix":""},{"dropping-particle":"","family":"Santoro","given":"Armando","non-dropping-particle":"","parse-names":false,"suffix":""},{"dropping-particle":"","family":"Raoul","given":"Jean-Luc","non-dropping-particle":"","parse-names":false,"suffix":""},{"dropping-particle":"","family":"Forner","given":"Alejandro","non-dropping-particle":"","parse-names":false,"suffix":""},{"dropping-particle":"","family":"Schwartz","given":"Myron","non-dropping-particle":"","parse-names":false,"suffix":""},{"dropping-particle":"","family":"Porta","given":"Camillo","non-dropping-particle":"","parse-names":false,"suffix":""},{"dropping-particle":"","family":"Zeuzem","given":"Stefan","non-dropping-particle":"","parse-names":false,"suffix":""},{"dropping-particle":"","family":"Bolondi","given":"Luigi","non-dropping-particle":"","parse-names":false,"suffix":""},{"dropping-particle":"","family":"Greten","given":"Tim F.","non-dropping-particle":"","parse-names":false,"suffix":""},{"dropping-particle":"","family":"Galle","given":"Peter R.","non-dropping-particle":"","parse-names":false,"suffix":""},{"dropping-particle":"","family":"Seitz","given":"Jean-François","non-dropping-particle":"","parse-names":false,"suffix":""},{"dropping-particle":"","family":"Borbath","given":"Ivan","non-dropping-particle":"","parse-names":false,"suffix":""},{"dropping-particle":"","family":"Häussinger","given":"Dieter","non-dropping-particle":"","parse-names":false,"suffix":""},{"dropping-particle":"","family":"Giannaris","given":"Tom","non-dropping-particle":"","parse-names":false,"suffix":""},{"dropping-particle":"","family":"Shan","given":"Minghua","non-dropping-particle":"","parse-names":false,"suffix":""},{"dropping-particle":"","family":"Moscovici","given":"Marius","non-dropping-particle":"","parse-names":false,"suffix":""},{"dropping-particle":"","family":"Voliotis","given":"Dimitris","non-dropping-particle":"","parse-names":false,"suffix":""},{"dropping-particle":"","family":"Bruix","given":"Jordi","non-dropping-particle":"","parse-names":false,"suffix":""}],"container-title":"New England Journal of Medicine","id":"ITEM-1","issue":"4","issued":{"date-parts":[["2008","7","24"]]},"page":"378-390","title":"Sorafenib in Advanced Hepatocellular Carcinoma","type":"article-journal","volume":"359"},"uris":["http://www.mendeley.com/documents/?uuid=811c05bd-809b-31fb-a255-4d87fe0e98c3"]},{"id":"ITEM-2","itemData":{"DOI":"10.1016/S1470-2045(08)70285-7","ISSN":"14702045","PMID":"19095497","abstract":"Background: Most cases of hepatocellular carcinoma occur in the Asia-Pacific region, where chronic hepatitis B infection is an important aetiological factor. Assessing the efficacy and safety of new therapeutic options in an Asia-Pacific population is thus important. We did a multinational phase III, randomised, double-blind, placebo-controlled trial to assess the efficacy and safety of sorafenib in patients from the Asia-Pacific region with advanced (unresectable or metastatic) hepatocellular carcinoma. Methods: Between Sept 20, 2005, and Jan 31, 2007, patients with hepatocellular carcinoma who had not received previous systemic therapy and had Child-Pugh liver function class A, were randomly assigned to receive either oral sorafenib (400 mg) or placebo twice daily in 6-week cycles, with efficacy measured at the end of each 6-week period. Eligible patients were stratified by the presence or absence of macroscopic vascular invasion or extrahepatic spread (or both), Eastern Cooperative Oncology Group performance status, and geographical region. Randomisation was done centrally and in a 2:1 ratio by means of an interactive voice-response system. There was no predefined primary endpoint; overall survival, time to progression (TTP), time to symptomatic progression (TTSP), disease control rate (DCR), and safety were assessed. Efficacy analyses were done by intention to treat. This trial is registered with ClinicalTrials.gov, number NCT00492752. Findings: 271 patients from 23 centres in China, South Korea, and Taiwan were enrolled in the study. Of these, 226 patients were randomly assigned to the experimental group (n=150) or to the placebo group (n=76). Median overall survival was 6·5 months (95% CI 5·56-7·56) in patients treated with sorafenib, compared with 4·2 months (3·75-5·46) in those who received placebo (hazard ratio [HR] 0·68 [95% CI 0·50-0·93]; p=0·014). Median TTP was 2·8 months (2·63-3·58) in the sorafenib group compared with 1·4 months (1·35-1·55) in the placebo group (HR 0·57 [0·42-0·79]; p=0·0005). The most frequently reported grade 3/4 drug-related adverse events in the 149 assessable patients treated with sorafenib were hand-foot skin reaction (HFSR; 16 patients [10·7%]), diarrhoea (nine patients [6·0%]), and fatigue (five patients [3·4%]). The most common adverse events resulting in dose reductions were HFSR (17 patients [11·4%]) and diarrhoea (11 patients [7·4%]); these adverse events rarely led to discontinuation. Interpretation: Sorafeni…","author":[{"dropping-particle":"","family":"Cheng","given":"Ann Lii","non-dropping-particle":"","parse-names":false,"suffix":""},{"dropping-particle":"","family":"Kang","given":"Yoon Koo","non-dropping-particle":"","parse-names":false,"suffix":""},{"dropping-particle":"","family":"Chen","given":"Zhendong","non-dropping-particle":"","parse-names":false,"suffix":""},{"dropping-particle":"","family":"Tsao","given":"Chao Jung","non-dropping-particle":"","parse-names":false,"suffix":""},{"dropping-particle":"","family":"Qin","given":"Shukui","non-dropping-particle":"","parse-names":false,"suffix":""},{"dropping-particle":"","family":"Kim","given":"Jun Suk","non-dropping-particle":"","parse-names":false,"suffix":""},{"dropping-particle":"","family":"Luo","given":"Rongcheng","non-dropping-particle":"","parse-names":false,"suffix":""},{"dropping-particle":"","family":"Feng","given":"Jifeng","non-dropping-particle":"","parse-names":false,"suffix":""},{"dropping-particle":"","family":"Ye","given":"Shenglong","non-dropping-particle":"","parse-names":false,"suffix":""},{"dropping-particle":"","family":"Yang","given":"Tsai Sheng","non-dropping-particle":"","parse-names":false,"suffix":""},{"dropping-particle":"","family":"Xu","given":"Jianming","non-dropping-particle":"","parse-names":false,"suffix":""},{"dropping-particle":"","family":"Sun","given":"Yan","non-dropping-particle":"","parse-names":false,"suffix":""},{"dropping-particle":"","family":"Liang","given":"Houjie","non-dropping-particle":"","parse-names":false,"suffix":""},{"dropping-particle":"","family":"Liu","given":"Jiwei","non-dropping-particle":"","parse-names":false,"suffix":""},{"dropping-particle":"","family":"Wang","given":"Jiejun","non-dropping-particle":"","parse-names":false,"suffix":""},{"dropping-particle":"","family":"Tak","given":"Won Young","non-dropping-particle":"","parse-names":false,"suffix":""},{"dropping-particle":"","family":"Pan","given":"Hongming","non-dropping-particle":"","parse-names":false,"suffix":""},{"dropping-particle":"","family":"Burock","given":"Karin","non-dropping-particle":"","parse-names":false,"suffix":""},{"dropping-particle":"","family":"Zou","given":"Jessie","non-dropping-particle":"","parse-names":false,"suffix":""},{"dropping-particle":"","family":"Voliotis","given":"Dimitris","non-dropping-particle":"","parse-names":false,"suffix":""},{"dropping-particle":"","family":"Guan","given":"Zhongzhen","non-dropping-particle":"","parse-names":false,"suffix":""}],"container-title":"The Lancet Oncology","id":"ITEM-2","issue":"1","issued":{"date-parts":[["2009","1"]]},"page":"25-34","title":"Efficacy and safety of sorafenib in patients in the Asia-Pacific region with advanced hepatocellular carcinoma: a phase III randomised, double-blind, placebo-controlled trial","type":"article-journal","volume":"10"},"uris":["http://www.mendeley.com/documents/?uuid=a793b411-aef3-3985-8e16-bf312fa0d2c4"]},{"id":"ITEM-3","itemData":{"DOI":"10.1016/j.jhep.2012.06.014","ISSN":"01688278","PMID":"22727733","abstract":"Background &amp; Aims: The Sorafenib Hepatocellular Carcinoma (HCC) Assessment Randomized Protocol (SHARP) trial demonstrated that sorafenib improves overall survival and is safe for patients with advanced HCC. In this trial, 602 patients with well-preserved liver function (&gt;95% Child-Pugh A) were randomized to receive either sorafenib 400 mg or matching placebo orally b.i.d. on a continuous basis. Because HCC is a heterogeneous disease, baseline patient characteristics may affect individual responses to treatment. In a comprehensive series of exploratory subgroup analyses, data from the SHARP trial were analyzed to discern if baseline patient characteristics influenced the efficacy and safety of sorafenib. Methods: Five subgroup domains were assessed: disease etiology, tumor burden, performance status, tumor stage, and prior therapy. Overall survival (OS), time to progression (TTP), disease control rate (DCR), and safety were assessed for subgroups within each domain. Results: Subgroup analyses showed that sorafenib consistently improved median OS compared with placebo, as reflected by hazard ratios (HRs) of 0.50-0.85, similar to the complete cohort (HR = 0.69). Sorafenib also consistently improved median TTP (HR, 0.40-0.64), except in HBV-positive patients (HR, 1.03), and DCR. Results are limited by small patient numbers in some subsets. The most common grade 3/4 adverse events included diarrhea, hand-foot skin reaction, and fatigue; the incidence of which did not differ appreciably among subgroups. Conclusions: These exploratory subgroup analyses showed that sorafenib consistently improved median OS and DCR compared with placebo in patients with advanced HCC, irrespective of disease etiology, baseline tumor burden, performance status, tumor stage, and prior therapy. © 2012 European Association for the Study of the Liver. Published by Elsevier B.V. All rights reserved.","author":[{"dropping-particle":"","family":"Bruix","given":"Jordi","non-dropping-particle":"","parse-names":false,"suffix":""},{"dropping-particle":"","family":"Raoul","given":"Jean Luc","non-dropping-particle":"","parse-names":false,"suffix":""},{"dropping-particle":"","family":"Sherman","given":"Morris","non-dropping-particle":"","parse-names":false,"suffix":""},{"dropping-particle":"","family":"Mazzaferro","given":"Vincenzo","non-dropping-particle":"","parse-names":false,"suffix":""},{"dropping-particle":"","family":"Bolondi","given":"Luigi","non-dropping-particle":"","parse-names":false,"suffix":""},{"dropping-particle":"","family":"Craxi","given":"Antonio","non-dropping-particle":"","parse-names":false,"suffix":""},{"dropping-particle":"","family":"Galle","given":"Peter R.","non-dropping-particle":"","parse-names":false,"suffix":""},{"dropping-particle":"","family":"Santoro","given":"Armando","non-dropping-particle":"","parse-names":false,"suffix":""},{"dropping-particle":"","family":"Beaugrand","given":"Michel","non-dropping-particle":"","parse-names":false,"suffix":""},{"dropping-particle":"","family":"Sangiovanni","given":"Angelo","non-dropping-particle":"","parse-names":false,"suffix":""},{"dropping-particle":"","family":"Porta","given":"Camillo","non-dropping-particle":"","parse-names":false,"suffix":""},{"dropping-particle":"","family":"Gerken","given":"Guido","non-dropping-particle":"","parse-names":false,"suffix":""},{"dropping-particle":"","family":"Marrero","given":"Jorge A.","non-dropping-particle":"","parse-names":false,"suffix":""},{"dropping-particle":"","family":"Nadel","given":"Andrea","non-dropping-particle":"","parse-names":false,"suffix":""},{"dropping-particle":"","family":"Shan","given":"Michael","non-dropping-particle":"","parse-names":false,"suffix":""},{"dropping-particle":"","family":"Moscovici","given":"Marius","non-dropping-particle":"","parse-names":false,"suffix":""},{"dropping-particle":"","family":"Voliotis","given":"Dimitris","non-dropping-particle":"","parse-names":false,"suffix":""},{"dropping-particle":"","family":"Llovet","given":"Josep M.","non-dropping-particle":"","parse-names":false,"suffix":""}],"container-title":"Journal of Hepatology","id":"ITEM-3","issue":"4","issued":{"date-parts":[["2012","10"]]},"page":"821-829","title":"Efficacy and safety of sorafenib in patients with advanced hepatocellular carcinoma: Subanalyses of a phase III trial","type":"article-journal","volume":"57"},"uris":["http://www.mendeley.com/documents/?uuid=ff06944e-1c8c-3a4c-9201-85371f490529"]},{"id":"ITEM-4","itemData":{"DOI":"10.1016/S0140-6736(18)30207-1","ISSN":"1474547X","PMID":"29433850","abstract":"Background: In a phase 2 trial, lenvatinib, an inhibitor of VEGF receptors 1–3, FGF receptors 1–4, PDGF receptor α RET, and KIT, showed activity in hepatocellular carcinoma. We aimed to compare overall survival in patients treated with lenvatinib versus sorafenib as a first-line treatment for unresectable hepatocellular carcinoma. Methods: This was an open-label, phase 3, multicentre, non-inferiority trial that recruited patients with unresectable hepatocellular carcinoma, who had not received treatment for advanced disease, at 154 sites in 20 countries throughout the Asia-Pacific, European, and North American regions. Patients were randomly assigned (1:1) via an interactive voice–web response system—with region; macroscopic portal vein invasion, extrahepatic spread, or both; Eastern Cooperative Oncology Group performance status; and bodyweight as stratification factors—to receive oral lenvatinib (12 mg/day for bodyweight ≥60 kg or 8 mg/day for bodyweight &lt;60 kg) or sorafenib 400 mg twice-daily in 28-day cycles. The primary endpoint was overall survival, measured from the date of randomisation until the date of death from any cause. The efficacy analysis followed the intention-to-treat principle, and only patients who received treatment were included in the safety analysis. The non-inferiority margin was set at 1·08. The trial is registered with ClinicalTrials.gov, number NCT01761266. Findings: Between March 1, 2013 and July 30, 2015, 1492 patients were recruited. 954 eligible patients were randomly assigned to lenvatinib (n=478) or sorafenib (n=476). Median survival time for lenvatinib of 13·6 months (95% CI 12·1–14·9) was non-inferior to sorafenib (12·3 months, 10·4–13·9; hazard ratio 0·92, 95% CI 0·79–1·06), meeting criteria for non-inferiority. The most common any-grade adverse events were hypertension (201 [42%]), diarrhoea (184 [39%]), decreased appetite (162 [34%]), and decreased weight (147 [31%]) for lenvatinib, and palmar-plantar erythrodysaesthesia (249 [52%]), diarrhoea (220 [46%]), hypertension (144 [30%]), and decreased appetite (127 [27%]) for sorafenib. Interpretation: Lenvatinib was non-inferior to sorafenib in overall survival in untreated advanced hepatocellular carcinoma. The safety and tolerability profiles of lenvatinib were consistent with those previously observed. Funding: Eisai Inc.","author":[{"dropping-particle":"","family":"Kudo","given":"Masatoshi","non-dropping-particle":"","parse-names":false,"suffix":""},{"dropping-particle":"","family":"Finn","given":"Richard S","non-dropping-particle":"","parse-names":false,"suffix":""},{"dropping-particle":"","family":"Qin","given":"Shukui","non-dropping-particle":"","parse-names":false,"suffix":""},{"dropping-particle":"","family":"Han","given":"Kwang Hyub","non-dropping-particle":"","parse-names":false,"suffix":""},{"dropping-particle":"","family":"Ikeda","given":"Kenji","non-dropping-particle":"","parse-names":false,"suffix":""},{"dropping-particle":"","family":"Piscaglia","given":"Fabio","non-dropping-particle":"","parse-names":false,"suffix":""},{"dropping-particle":"","family":"Baron","given":"Ari","non-dropping-particle":"","parse-names":false,"suffix":""},{"dropping-particle":"","family":"Park","given":"Joong Won","non-dropping-particle":"","parse-names":false,"suffix":""},{"dropping-particle":"","family":"Han","given":"Guohong","non-dropping-particle":"","parse-names":false,"suffix":""},{"dropping-particle":"","family":"Jassem","given":"Jacek","non-dropping-particle":"","parse-names":false,"suffix":""},{"dropping-particle":"","family":"Blanc","given":"Jean Frederic","non-dropping-particle":"","parse-names":false,"suffix":""},{"dropping-particle":"","family":"Vogel","given":"Arndt","non-dropping-particle":"","parse-names":false,"suffix":""},{"dropping-particle":"","family":"Komov","given":"Dmitry","non-dropping-particle":"","parse-names":false,"suffix":""},{"dropping-particle":"","family":"Evans","given":"T. R.Jeffry","non-dropping-particle":"","parse-names":false,"suffix":""},{"dropping-particle":"","family":"Lopez","given":"Carlos","non-dropping-particle":"","parse-names":false,"suffix":""},{"dropping-particle":"","family":"Dutcus","given":"Corina","non-dropping-particle":"","parse-names":false,"suffix":""},{"dropping-particle":"","family":"Guo","given":"Matthew","non-dropping-particle":"","parse-names":false,"suffix":""},{"dropping-particle":"","family":"Saito","given":"Kenichi","non-dropping-particle":"","parse-names":false,"suffix":""},{"dropping-particle":"","family":"Kraljevic","given":"Silvija","non-dropping-particle":"","parse-names":false,"suffix":""},{"dropping-particle":"","family":"Tamai","given":"Toshiyuki","non-dropping-particle":"","parse-names":false,"suffix":""},{"dropping-particle":"","family":"Ren","given":"Min","non-dropping-particle":"","parse-names":false,"suffix":""},{"dropping-particle":"","family":"Cheng","given":"Ann Lii","non-dropping-particle":"","parse-names":false,"suffix":""}],"container-title":"The Lancet","id":"ITEM-4","issue":"10126","issued":{"date-parts":[["2018","3"]]},"page":"1163-1173","title":"Lenvatinib versus sorafenib in first-line treatment of patients with unresectable hepatocellular carcinoma: a randomised phase 3 non-inferiority trial","type":"article-journal","volume":"391"},"uris":["http://www.mendeley.com/documents/?uuid=cd09b9ac-55b0-3c51-8db3-e1f39b050af7"]},{"id":"ITEM-5","itemData":{"DOI":"10.1016/S0140-6736(16)32453-9","ISSN":"1474547X","PMID":"27932229","abstract":"Background There are no systemic treatments for patients with hepatocellular carcinoma (HCC) whose disease progresses during sorafenib treatment. We aimed to assess the efficacy and safety of regorafenib in patients with HCC who have progressed during sorafenib treatment. Methods In this randomised, double-blind, parallel-group, phase 3 trial done at 152 sites in 21 countries, adults with HCC who tolerated sorafenib (≥400 mg/day for ≥20 of last 28 days of treatment), progressed on sorafenib, and had Child-Pugh A liver function were enrolled. Participants were randomly assigned (2:1) by a computer-generated randomisation list and interactive voice response system and stratified by geographical region, Eastern Cooperative Oncology Group performance status, macrovascular invasion, extrahepatic disease, and α-fetoprotein level to best supportive care plus oral regorafenib 160 mg or placebo once daily during weeks 1–3 of each 4-week cycle. Investigators, patients, and the funder were masked to treatment assignment. The primary endpoint was overall survival (defined as time from randomisation to death due to any cause) and analysed by intention to treat. This trial is registered with ClinicalTrials.gov, number NCT01774344. Findings Between May 14, 2013, and Dec 31, 2015, 843 patients were screened, of whom 573 were enrolled and randomised (379 to regorafenib and 194 to placebo; population for efficacy analyses), and 567 initiated treatment (374 received regorafenib and 193 received placebo; population for safety analyses). Regorafenib improved overall survival with a hazard ratio of 0·63 (95% CI 0·50–0·79; one-sided p&lt;0·0001); median survival was 10·6 months (95% CI 9·1–12·1) for regorafenib versus 7·8 months (6·3–8·8) for placebo. Adverse events were reported in all regorafenib recipients (374 [100%] of 374) and 179 (93%) of 193 placebo recipients. The most common clinically relevant grade 3 or 4 treatment-emergent events were hypertension (57 patients [15%] in the regorafenib group vs nine patients [5%] in the placebo group), hand–foot skin reaction (47 patients [13%] vs one [1%]), fatigue (34 patients [9%] vs nine patients [5%]), and diarrhoea (12 patients [3%] vs no patients). Of the 88 deaths (grade 5 adverse events) reported during the study (50 patients [13%] assigned to regorafenib and 38 [20%] assigned to placebo), seven (2%) were considered by the investigator to be related to study drug in the regorafenib group and two (1%) in the placebo group, in…","author":[{"dropping-particle":"","family":"Bruix","given":"Jordi","non-dropping-particle":"","parse-names":false,"suffix":""},{"dropping-particle":"","family":"Qin","given":"Shukui","non-dropping-particle":"","parse-names":false,"suffix":""},{"dropping-particle":"","family":"Merle","given":"Philippe","non-dropping-particle":"","parse-names":false,"suffix":""},{"dropping-particle":"","family":"Granito","given":"Alessandro","non-dropping-particle":"","parse-names":false,"suffix":""},{"dropping-particle":"","family":"Huang","given":"Yi Hsiang","non-dropping-particle":"","parse-names":false,"suffix":""},{"dropping-particle":"","family":"Bodoky","given":"György","non-dropping-particle":"","parse-names":false,"suffix":""},{"dropping-particle":"","family":"Pracht","given":"Marc","non-dropping-particle":"","parse-names":false,"suffix":""},{"dropping-particle":"","family":"Yokosuka","given":"Osamu","non-dropping-particle":"","parse-names":false,"suffix":""},{"dropping-particle":"","family":"Rosmorduc","given":"Olivier","non-dropping-particle":"","parse-names":false,"suffix":""},{"dropping-particle":"","family":"Breder","given":"Valeriy","non-dropping-particle":"","parse-names":false,"suffix":""},{"dropping-particle":"","family":"Gerolami","given":"René","non-dropping-particle":"","parse-names":false,"suffix":""},{"dropping-particle":"","family":"Masi","given":"Gianluca","non-dropping-particle":"","parse-names":false,"suffix":""},{"dropping-particle":"","family":"Ross","given":"Paul J.","non-dropping-particle":"","parse-names":false,"suffix":""},{"dropping-particle":"","family":"Song","given":"Tianqiang","non-dropping-particle":"","parse-names":false,"suffix":""},{"dropping-particle":"","family":"Bronowicki","given":"Jean Pierre","non-dropping-particle":"","parse-names":false,"suffix":""},{"dropping-particle":"","family":"Ollivier-Hourmand","given":"Isabelle","non-dropping-particle":"","parse-names":false,"suffix":""},{"dropping-particle":"","family":"Kudo","given":"Masatoshi","non-dropping-particle":"","parse-names":false,"suffix":""},{"dropping-particle":"","family":"Cheng","given":"Ann Lii","non-dropping-particle":"","parse-names":false,"suffix":""},{"dropping-particle":"","family":"Llovet","given":"Josep M.","non-dropping-particle":"","parse-names":false,"suffix":""},{"dropping-particle":"","family":"Finn","given":"Richard S.","non-dropping-particle":"","parse-names":false,"suffix":""},{"dropping-particle":"","family":"LeBerre","given":"Marie Aude","non-dropping-particle":"","parse-names":false,"suffix":""},{"dropping-particle":"","family":"Baumhauer","given":"Annette","non-dropping-particle":"","parse-names":false,"suffix":""},{"dropping-particle":"","family":"Meinhardt","given":"Gerold","non-dropping-particle":"","parse-names":false,"suffix":""},{"dropping-particle":"","family":"Han","given":"Guohong","non-dropping-particle":"","parse-names":false,"suffix":""}],"container-title":"The Lancet","id":"ITEM-5","issue":"10064","issued":{"date-parts":[["2017","1","7"]]},"page":"56-66","publisher":"Lancet Publishing Group","title":"Regorafenib for patients with hepatocellular carcinoma who progressed on sorafenib treatment (RESORCE): a randomised, double-blind, placebo-controlled, phase 3 trial","type":"article-journal","volume":"389"},"uris":["http://www.mendeley.com/documents/?uuid=8ecc2c01-730a-3813-afa5-bcb25e2cc891"]},{"id":"ITEM-6","itemData":{"DOI":"10.1056/nejmoa1717002","ISSN":"0028-4793","PMID":"29972759","abstract":"BACKGROUND Cabozantinib inhibits tyrosine kinases, including vascular endothelial growth factor receptors 1, 2, and 3, MET, and AXL, which are implicated in the progression of hepatocellular carcinoma and the development of resistance to sorafenib, the standard initial treatment for advanced disease. This randomized, double-blind, phase 3 trial evaluated cabozantinib as compared with placebo in previously treated patients with advanced hepatocellular carcinoma. METHODS A total of 707 patients were randomly assigned in a 2:1 ratio to receive cabozantinib (60 mg once daily) or matching placebo. Eligible patients had received previous treatment with sorafenib, had disease progression after at least one systemic treatment for hepatocellular carcinoma, and may have received up to two previous systemic regimens for advanced hepatocellular carcinoma. The primary end point was overall survival. Secondary end points were progression-free survival and the objective response rate. RESULTS At the second planned interim analysis, the trial showed significantly longer overall survival with cabozantinib than with placebo. Median overall survival was 10.2 months with cabozantinib and 8.0 months with placebo (hazard ratio for death, 0.76; 95% confidence interval [CI], 0.63 to 0.92; P=0.005). Median progression-free survival was 5.2 months with cabozantinib and 1.9 months with placebo (hazard ratio for disease progression or death, 0.44; 95% CI, 0.36 to 0.52; P&lt;0.001), and the objective response rates were 4% and less than 1%, respectively (P=0.009). Grade 3 or 4 adverse events occurred in 68% of patients in the cabozantinib group and in 36% in the placebo group. The most common high-grade events were palmar-plantar erythrodysesthesia (17% with cabozantinib vs. 0% with placebo), hypertension (16% vs. 2%), increased aspartate aminotransferase level (12% vs. 7%), fatigue (10% vs. 4%), and diarrhea (10% vs. 2%). CONCLUSIONS Among patients with previously treated advanced hepatocellular carcinoma, treatment with cabozantinib resulted in longer overall survival and progression-free survival than placebo. The rate of high-grade adverse events in the cabozantinib group was approximately twice that observed in the placebo group. (Funded by Exelixis; CELESTIAL ClinicalTrials.gov number, NCT01908426 .).","author":[{"dropping-particle":"","family":"Abou-Alfa","given":"Ghassan K.","non-dropping-particle":"","parse-names":false,"suffix":""},{"dropping-particle":"","family":"Meyer","given":"Tim","non-dropping-particle":"","parse-names":false,"suffix":""},{"dropping-particle":"","family":"Cheng","given":"Ann-Lii","non-dropping-particle":"","parse-names":false,"suffix":""},{"dropping-particle":"","family":"El-Khoueiry","given":"Anthony B.","non-dropping-particle":"","parse-names":false,"suffix":""},{"dropping-particle":"","family":"Rimassa","given":"Lorenza","non-dropping-particle":"","parse-names":false,"suffix":""},{"dropping-particle":"","family":"Ryoo","given":"Baek-Yeol","non-dropping-particle":"","parse-names":false,"suffix":""},{"dropping-particle":"","family":"Cicin","given":"Irfan","non-dropping-particle":"","parse-names":false,"suffix":""},{"dropping-particle":"","family":"Merle","given":"Philippe","non-dropping-particle":"","parse-names":false,"suffix":""},{"dropping-particle":"","family":"Chen","given":"YenHsun","non-dropping-particle":"","parse-names":false,"suffix":""},{"dropping-particle":"","family":"Park","given":"Joong-Won","non-dropping-particle":"","parse-names":false,"suffix":""},{"dropping-particle":"","family":"Blanc","given":"Jean-Frederic","non-dropping-particle":"","parse-names":false,"suffix":""},{"dropping-particle":"","family":"Bolondi","given":"Luigi","non-dropping-particle":"","parse-names":false,"suffix":""},{"dropping-particle":"","family":"Klümpen","given":"Heinz-Josef","non-dropping-particle":"","parse-names":false,"suffix":""},{"dropping-particle":"","family":"Chan","given":"Stephen L.","non-dropping-particle":"","parse-names":false,"suffix":""},{"dropping-particle":"","family":"Zagonel","given":"Vittorina","non-dropping-particle":"","parse-names":false,"suffix":""},{"dropping-particle":"","family":"Pressiani","given":"Tiziana","non-dropping-particle":"","parse-names":false,"suffix":""},{"dropping-particle":"","family":"Ryu","given":"Min-Hee","non-dropping-particle":"","parse-names":false,"suffix":""},{"dropping-particle":"","family":"Venook","given":"Alan P.","non-dropping-particle":"","parse-names":false,"suffix":""},{"dropping-particle":"","family":"Hessel","given":"Colin","non-dropping-particle":"","parse-names":false,"suffix":""},{"dropping-particle":"","family":"Borgman-Hagey","given":"Anne E.","non-dropping-particle":"","parse-names":false,"suffix":""},{"dropping-particle":"","family":"Schwab","given":"Gisela","non-dropping-particle":"","parse-names":false,"suffix":""},{"dropping-particle":"","family":"Kelley","given":"Robin K.","non-dropping-particle":"","parse-names":false,"suffix":""}],"container-title":"New England Journal of Medicine","id":"ITEM-6","issue":"1","issued":{"date-parts":[["2018","7","5"]]},"page":"54-63","publisher":"New England Journal of Medicine (NEJM/MMS)","title":"Cabozantinib in Patients with Advanced and Progressing Hepatocellular Carcinoma","type":"article-journal","volume":"379"},"uris":["http://www.mendeley.com/documents/?uuid=82c19829-8797-34aa-bbe1-377e65ddcedb"]},{"id":"ITEM-7","itemData":{"DOI":"10.1056/nejmoa1915745","ISSN":"0028-4793","PMID":"32402160","abstract":"BACKGROUND: The combination of atezolizumab and bevacizumab showed encouraging antitumor activity and safety in a phase 1b trial involving patients with unresectable hepatocellular carcinoma. METHODS: In a global, open-label, phase 3 trial, patients with unresectable hepatocellular carcinoma who had not previously received systemic treatment were randomly assigned in a 2:1 ratio to receive either atezolizumab plus bevacizumab or sorafenib until unacceptable toxic effects occurred or there was a loss of clinical benefit. The coprimary end points were overall survival and progression-free survival in the intention-to-treat population, as assessed at an independent review facility according to Response Evaluation Criteria in Solid Tumors, version 1.1 (RECIST 1.1). RESULTS: The intention-to-treat population included 336 patients in the atezolizumab-bevacizumab group and 165 patients in the sorafenib group. At the time of the primary analysis (August 29, 2019), the hazard ratio for death with atezolizumab-bevacizumab as compared with sorafenib was 0.58 (95% confidence interval [CI], 0.42 to 0.79; P&lt;0.001). Overall survival at 12 months was 67.2% (95% CI, 61.3 to 73.1) with atezolizumab-bevacizumab and 54.6% (95% CI, 45.2 to 64.0) with sorafenib. Median progression-free survival was 6.8 months (95% CI, 5.7 to 8.3) and 4.3 months (95% CI, 4.0 to 5.6) in the respective groups (hazard ratio for disease progression or death, 0.59; 95% CI, 0.47 to 0.76; P&lt;0.001). Grade 3 or 4 adverse events occurred in 56.5% of 329 patients who received at least one dose of atezolizumab-bevacizumab and in 55.1% of 156 patients who received at least one dose of sorafenib. Grade 3 or 4 hypertension occurred in 15.2% of patients in the atezolizumab-bevacizumab group; however, other high-grade toxic effects were infrequent. CONCLUSIONS: In patients with unresectable hepatocellular carcinoma, atezolizumab combined with bevacizumab resulted in better overall and progression-free survival outcomes than sorafenib. (Funded by F. Hoffmann-La Roche/Genentech; ClinicalTrials.gov number, NCT03434379.).","author":[{"dropping-particle":"","family":"Finn","given":"Richard S.","non-dropping-particle":"","parse-names":false,"suffix":""},{"dropping-particle":"","family":"Qin","given":"Shukui","non-dropping-particle":"","parse-names":false,"suffix":""},{"dropping-particle":"","family":"Ikeda","given":"Masafumi","non-dropping-particle":"","parse-names":false,"suffix":""},{"dropping-particle":"","family":"Galle","given":"Peter R.","non-dropping-particle":"","parse-names":false,"suffix":""},{"dropping-particle":"","family":"Ducreux","given":"Michel","non-dropping-particle":"","parse-names":false,"suffix":""},{"dropping-particle":"","family":"Kim","given":"Tae-You","non-dropping-particle":"","parse-names":false,"suffix":""},{"dropping-particle":"","family":"Kudo","given":"Masatoshi","non-dropping-particle":"","parse-names":false,"suffix":""},{"dropping-particle":"","family":"Breder","given":"Valeriy","non-dropping-particle":"","parse-names":false,"suffix":""},{"dropping-particle":"","family":"Merle","given":"Philippe","non-dropping-particle":"","parse-names":false,"suffix":""},{"dropping-particle":"","family":"Kaseb","given":"Ahmed O.","non-dropping-particle":"","parse-names":false,"suffix":""},{"dropping-particle":"","family":"Li","given":"Daneng","non-dropping-particle":"","parse-names":false,"suffix":""},{"dropping-particle":"","family":"Verret","given":"Wendy","non-dropping-particle":"","parse-names":false,"suffix":""},{"dropping-particle":"","family":"Xu","given":"Derek-Zhen","non-dropping-particle":"","parse-names":false,"suffix":""},{"dropping-particle":"","family":"Hernandez","given":"Sairy","non-dropping-particle":"","parse-names":false,"suffix":""},{"dropping-particle":"","family":"Liu","given":"Juan","non-dropping-particle":"","parse-names":false,"suffix":""},{"dropping-particle":"","family":"Huang","given":"Chen","non-dropping-particle":"","parse-names":false,"suffix":""},{"dropping-particle":"","family":"Mulla","given":"Sohail","non-dropping-particle":"","parse-names":false,"suffix":""},{"dropping-particle":"","family":"Wang","given":"Yulei","non-dropping-particle":"","parse-names":false,"suffix":""},{"dropping-particle":"","family":"Lim","given":"Ho Yeong","non-dropping-particle":"","parse-names":false,"suffix":""},{"dropping-particle":"","family":"Zhu","given":"Andrew X.","non-dropping-particle":"","parse-names":false,"suffix":""},{"dropping-particle":"","family":"Cheng","given":"Ann-Lii","non-dropping-particle":"","parse-names":false,"suffix":""}],"container-title":"New England Journal of Medicine","id":"ITEM-7","issue":"20","issued":{"date-parts":[["2020","5","14"]]},"page":"1894-1905","title":"Atezolizumab plus Bevacizumab in Unresectable Hepatocellular Carcinoma","type":"article-journal","volume":"382"},"uris":["http://www.mendeley.com/documents/?uuid=1485fc70-cf30-3239-a545-3b0ef8d9f02c"]}],"mendeley":{"formattedCitation":"[87–93]","plainTextFormattedCitation":"[87–93]","previouslyFormattedCitation":"[87–93]"},"properties":{"noteIndex":0},"schema":"https://github.com/citation-style-language/schema/raw/master/csl-citation.json"}</w:instrText>
      </w:r>
      <w:r w:rsidR="00CB49BC" w:rsidRPr="00DF0D90">
        <w:rPr>
          <w:lang w:val="ru-RU"/>
        </w:rPr>
        <w:fldChar w:fldCharType="separate"/>
      </w:r>
      <w:r w:rsidR="007335C5" w:rsidRPr="00DF0D90">
        <w:rPr>
          <w:noProof/>
          <w:lang w:val="ru-RU"/>
        </w:rPr>
        <w:t>[87–93]</w:t>
      </w:r>
      <w:r w:rsidR="00CB49BC" w:rsidRPr="00DF0D90">
        <w:rPr>
          <w:lang w:val="ru-RU"/>
        </w:rPr>
        <w:fldChar w:fldCharType="end"/>
      </w:r>
      <w:r w:rsidR="00630BAC" w:rsidRPr="00DF0D90">
        <w:t>:</w:t>
      </w:r>
    </w:p>
    <w:p w14:paraId="5625DAC2" w14:textId="77777777" w:rsidR="00630BAC" w:rsidRPr="00DF0D90" w:rsidRDefault="00630BAC" w:rsidP="00BD2E7C">
      <w:pPr>
        <w:pStyle w:val="12"/>
        <w:numPr>
          <w:ilvl w:val="0"/>
          <w:numId w:val="12"/>
        </w:numPr>
        <w:tabs>
          <w:tab w:val="left" w:pos="284"/>
          <w:tab w:val="left" w:pos="567"/>
          <w:tab w:val="left" w:pos="709"/>
        </w:tabs>
        <w:autoSpaceDE w:val="0"/>
        <w:autoSpaceDN w:val="0"/>
        <w:adjustRightInd w:val="0"/>
        <w:spacing w:before="0" w:beforeAutospacing="0" w:after="0" w:afterAutospacing="0" w:line="360" w:lineRule="auto"/>
        <w:ind w:left="0" w:firstLine="0"/>
        <w:jc w:val="both"/>
      </w:pPr>
      <w:r w:rsidRPr="00DF0D90">
        <w:t>наличии объективных признаков опухолевого процесса и удовлетворительном общем состоянии (0–1 балл по шкале ECOG</w:t>
      </w:r>
      <w:r w:rsidR="001F2D20" w:rsidRPr="00DF0D90">
        <w:t xml:space="preserve"> (Приложение Г2)</w:t>
      </w:r>
      <w:r w:rsidRPr="00DF0D90">
        <w:t xml:space="preserve">); </w:t>
      </w:r>
    </w:p>
    <w:p w14:paraId="0546279C" w14:textId="03C6C4CC" w:rsidR="00630BAC" w:rsidRPr="00DF0D90" w:rsidRDefault="00630BAC" w:rsidP="00BD2E7C">
      <w:pPr>
        <w:pStyle w:val="12"/>
        <w:numPr>
          <w:ilvl w:val="0"/>
          <w:numId w:val="12"/>
        </w:numPr>
        <w:tabs>
          <w:tab w:val="left" w:pos="284"/>
          <w:tab w:val="left" w:pos="567"/>
          <w:tab w:val="left" w:pos="709"/>
        </w:tabs>
        <w:autoSpaceDE w:val="0"/>
        <w:autoSpaceDN w:val="0"/>
        <w:adjustRightInd w:val="0"/>
        <w:spacing w:before="0" w:beforeAutospacing="0" w:after="0" w:afterAutospacing="0" w:line="360" w:lineRule="auto"/>
        <w:ind w:left="0" w:firstLine="0"/>
        <w:jc w:val="both"/>
      </w:pPr>
      <w:r w:rsidRPr="00DF0D90">
        <w:t xml:space="preserve">сохранной функции печени (класс А или  В по Child – </w:t>
      </w:r>
      <w:proofErr w:type="spellStart"/>
      <w:r w:rsidRPr="00DF0D90">
        <w:t>Pugh</w:t>
      </w:r>
      <w:proofErr w:type="spellEnd"/>
      <w:r w:rsidRPr="00DF0D90">
        <w:t>, 5–</w:t>
      </w:r>
      <w:r w:rsidR="000B32B8" w:rsidRPr="00DF0D90">
        <w:t>8</w:t>
      </w:r>
      <w:r w:rsidRPr="00DF0D90">
        <w:t xml:space="preserve"> баллов); </w:t>
      </w:r>
    </w:p>
    <w:p w14:paraId="6F6A4B0F" w14:textId="77777777" w:rsidR="00630BAC" w:rsidRPr="00DF0D90" w:rsidRDefault="00630BAC" w:rsidP="00BD2E7C">
      <w:pPr>
        <w:pStyle w:val="12"/>
        <w:numPr>
          <w:ilvl w:val="0"/>
          <w:numId w:val="12"/>
        </w:numPr>
        <w:tabs>
          <w:tab w:val="left" w:pos="284"/>
          <w:tab w:val="left" w:pos="567"/>
          <w:tab w:val="left" w:pos="709"/>
        </w:tabs>
        <w:autoSpaceDE w:val="0"/>
        <w:autoSpaceDN w:val="0"/>
        <w:adjustRightInd w:val="0"/>
        <w:spacing w:before="0" w:beforeAutospacing="0" w:after="0" w:afterAutospacing="0" w:line="360" w:lineRule="auto"/>
        <w:ind w:left="0" w:firstLine="0"/>
        <w:jc w:val="both"/>
      </w:pPr>
      <w:r w:rsidRPr="00DF0D90">
        <w:t>невозможности применения локальных методов лечения (резекции, трансплан</w:t>
      </w:r>
      <w:r w:rsidRPr="00DF0D90">
        <w:softHyphen/>
        <w:t>тации печени, (химио-)эмболизации опухолевых узлов);</w:t>
      </w:r>
    </w:p>
    <w:p w14:paraId="5BCE71EA" w14:textId="0216AA52" w:rsidR="00630BAC" w:rsidRPr="00DF0D90" w:rsidRDefault="00630BAC" w:rsidP="00BD2E7C">
      <w:pPr>
        <w:pStyle w:val="12"/>
        <w:numPr>
          <w:ilvl w:val="0"/>
          <w:numId w:val="12"/>
        </w:numPr>
        <w:tabs>
          <w:tab w:val="left" w:pos="284"/>
          <w:tab w:val="left" w:pos="567"/>
          <w:tab w:val="left" w:pos="709"/>
        </w:tabs>
        <w:autoSpaceDE w:val="0"/>
        <w:autoSpaceDN w:val="0"/>
        <w:adjustRightInd w:val="0"/>
        <w:spacing w:before="0" w:beforeAutospacing="0" w:after="0" w:afterAutospacing="0" w:line="360" w:lineRule="auto"/>
        <w:ind w:left="0" w:firstLine="0"/>
        <w:jc w:val="both"/>
      </w:pPr>
      <w:r w:rsidRPr="00DF0D90">
        <w:t>внутрипеченочном локализованном ГЦР (как терапия ожидания трансплан</w:t>
      </w:r>
      <w:r w:rsidRPr="00DF0D90">
        <w:softHyphen/>
        <w:t>тации</w:t>
      </w:r>
      <w:r w:rsidR="00587622" w:rsidRPr="00DF0D90">
        <w:rPr>
          <w:lang w:val="ru-RU"/>
        </w:rPr>
        <w:t xml:space="preserve">, в сочетании с ТАХЭ или после </w:t>
      </w:r>
      <w:proofErr w:type="spellStart"/>
      <w:r w:rsidR="00587622" w:rsidRPr="00DF0D90">
        <w:rPr>
          <w:lang w:val="ru-RU"/>
        </w:rPr>
        <w:t>химиоэмболизации</w:t>
      </w:r>
      <w:proofErr w:type="spellEnd"/>
      <w:r w:rsidRPr="00DF0D90">
        <w:t>)</w:t>
      </w:r>
      <w:r w:rsidR="002C5CBB" w:rsidRPr="00DF0D90">
        <w:t>;</w:t>
      </w:r>
    </w:p>
    <w:p w14:paraId="19F4F467" w14:textId="77777777" w:rsidR="002C5CBB" w:rsidRPr="00DF0D90" w:rsidRDefault="002C5CBB" w:rsidP="00BD2E7C">
      <w:pPr>
        <w:pStyle w:val="12"/>
        <w:numPr>
          <w:ilvl w:val="0"/>
          <w:numId w:val="12"/>
        </w:numPr>
        <w:tabs>
          <w:tab w:val="left" w:pos="284"/>
          <w:tab w:val="left" w:pos="567"/>
          <w:tab w:val="left" w:pos="709"/>
        </w:tabs>
        <w:autoSpaceDE w:val="0"/>
        <w:autoSpaceDN w:val="0"/>
        <w:adjustRightInd w:val="0"/>
        <w:spacing w:before="0" w:beforeAutospacing="0" w:after="0" w:afterAutospacing="0" w:line="360" w:lineRule="auto"/>
        <w:ind w:left="0" w:firstLine="0"/>
        <w:jc w:val="both"/>
      </w:pPr>
      <w:r w:rsidRPr="00DF0D90">
        <w:t>внепеченочно</w:t>
      </w:r>
      <w:r w:rsidR="000308F4" w:rsidRPr="00DF0D90">
        <w:t>м</w:t>
      </w:r>
      <w:r w:rsidRPr="00DF0D90">
        <w:t xml:space="preserve"> метастазировани</w:t>
      </w:r>
      <w:r w:rsidR="000308F4" w:rsidRPr="00DF0D90">
        <w:t>и</w:t>
      </w:r>
      <w:r w:rsidRPr="00DF0D90">
        <w:t xml:space="preserve"> и/или прогрессировани</w:t>
      </w:r>
      <w:r w:rsidR="000308F4" w:rsidRPr="00DF0D90">
        <w:t>и</w:t>
      </w:r>
      <w:r w:rsidRPr="00DF0D90">
        <w:t xml:space="preserve"> процесса в печени после применения локальных методов лечения.</w:t>
      </w:r>
    </w:p>
    <w:p w14:paraId="6550D773" w14:textId="577B6483" w:rsidR="00630BAC" w:rsidRPr="00DF0D90" w:rsidRDefault="00630BAC" w:rsidP="00BD2E7C">
      <w:pPr>
        <w:pStyle w:val="afa"/>
        <w:spacing w:after="120" w:line="360" w:lineRule="auto"/>
        <w:jc w:val="both"/>
        <w:rPr>
          <w:shd w:val="clear" w:color="auto" w:fill="FFFFFF"/>
        </w:rPr>
      </w:pPr>
      <w:r w:rsidRPr="00DF0D90">
        <w:rPr>
          <w:shd w:val="clear" w:color="auto" w:fill="FFFFFF"/>
        </w:rPr>
        <w:t>Уровень убедительности рекомендаций –</w:t>
      </w:r>
      <w:r w:rsidR="00B726C2" w:rsidRPr="00DF0D90">
        <w:rPr>
          <w:shd w:val="clear" w:color="auto" w:fill="FFFFFF"/>
          <w:lang w:val="ru-RU"/>
        </w:rPr>
        <w:t xml:space="preserve"> </w:t>
      </w:r>
      <w:r w:rsidRPr="00DF0D90">
        <w:rPr>
          <w:shd w:val="clear" w:color="auto" w:fill="FFFFFF"/>
          <w:lang w:val="en-US"/>
        </w:rPr>
        <w:t>A</w:t>
      </w:r>
      <w:r w:rsidR="00641949" w:rsidRPr="00DF0D90">
        <w:rPr>
          <w:shd w:val="clear" w:color="auto" w:fill="FFFFFF"/>
          <w:lang w:val="ru-RU"/>
        </w:rPr>
        <w:t xml:space="preserve"> </w:t>
      </w:r>
      <w:r w:rsidRPr="00DF0D90">
        <w:rPr>
          <w:shd w:val="clear" w:color="auto" w:fill="FFFFFF"/>
        </w:rPr>
        <w:t xml:space="preserve">(уровень достоверности доказательств – </w:t>
      </w:r>
      <w:r w:rsidR="000308F4" w:rsidRPr="00DF0D90">
        <w:rPr>
          <w:shd w:val="clear" w:color="auto" w:fill="FFFFFF"/>
        </w:rPr>
        <w:t>1</w:t>
      </w:r>
      <w:r w:rsidRPr="00DF0D90">
        <w:rPr>
          <w:shd w:val="clear" w:color="auto" w:fill="FFFFFF"/>
        </w:rPr>
        <w:t>).</w:t>
      </w:r>
    </w:p>
    <w:p w14:paraId="2C3F900A" w14:textId="49C89141" w:rsidR="00A55011" w:rsidRPr="004E3476" w:rsidRDefault="00A55011" w:rsidP="00BD2E7C">
      <w:pPr>
        <w:autoSpaceDE w:val="0"/>
        <w:autoSpaceDN w:val="0"/>
        <w:adjustRightInd w:val="0"/>
        <w:spacing w:after="120" w:line="360" w:lineRule="auto"/>
        <w:jc w:val="both"/>
        <w:rPr>
          <w:b/>
          <w:bCs/>
          <w:iCs/>
          <w:u w:val="single"/>
        </w:rPr>
      </w:pPr>
      <w:r w:rsidRPr="00DF0D90">
        <w:rPr>
          <w:b/>
          <w:bCs/>
          <w:iCs/>
          <w:u w:val="single"/>
        </w:rPr>
        <w:t xml:space="preserve">Общий алгоритм лекарственного лечения представлен в Приложении </w:t>
      </w:r>
      <w:r w:rsidR="00C47CD1">
        <w:rPr>
          <w:b/>
          <w:bCs/>
          <w:iCs/>
          <w:u w:val="single"/>
        </w:rPr>
        <w:t>А3</w:t>
      </w:r>
      <w:r w:rsidR="004E3476">
        <w:rPr>
          <w:b/>
          <w:bCs/>
          <w:iCs/>
          <w:u w:val="single"/>
        </w:rPr>
        <w:t>.</w:t>
      </w:r>
    </w:p>
    <w:p w14:paraId="69665448" w14:textId="1ECA7470" w:rsidR="00630BAC" w:rsidRPr="00DF0D90" w:rsidRDefault="00630BAC" w:rsidP="00BD2E7C">
      <w:pPr>
        <w:autoSpaceDE w:val="0"/>
        <w:autoSpaceDN w:val="0"/>
        <w:adjustRightInd w:val="0"/>
        <w:spacing w:after="120" w:line="360" w:lineRule="auto"/>
        <w:jc w:val="both"/>
        <w:rPr>
          <w:b/>
          <w:bCs/>
        </w:rPr>
      </w:pPr>
      <w:r w:rsidRPr="00DF0D90">
        <w:rPr>
          <w:b/>
          <w:bCs/>
          <w:i/>
        </w:rPr>
        <w:t>Комментарии:</w:t>
      </w:r>
      <w:r w:rsidRPr="00DF0D90">
        <w:rPr>
          <w:b/>
          <w:bCs/>
        </w:rPr>
        <w:t xml:space="preserve"> </w:t>
      </w:r>
      <w:r w:rsidRPr="00DF0D90">
        <w:rPr>
          <w:i/>
        </w:rPr>
        <w:t>для проведения лекарственной терапии необходима морфологическая (цитологическая</w:t>
      </w:r>
      <w:r w:rsidR="000B32B8" w:rsidRPr="00DF0D90">
        <w:rPr>
          <w:i/>
        </w:rPr>
        <w:t xml:space="preserve"> или </w:t>
      </w:r>
      <w:r w:rsidRPr="00DF0D90">
        <w:rPr>
          <w:i/>
        </w:rPr>
        <w:t>гистологическая</w:t>
      </w:r>
      <w:r w:rsidR="000B32B8" w:rsidRPr="00DF0D90">
        <w:rPr>
          <w:i/>
        </w:rPr>
        <w:t>, что предпочтительно</w:t>
      </w:r>
      <w:r w:rsidRPr="00DF0D90">
        <w:rPr>
          <w:i/>
        </w:rPr>
        <w:t>) верификация опухолевого процесса,</w:t>
      </w:r>
      <w:r w:rsidR="004F7795" w:rsidRPr="00DF0D90">
        <w:rPr>
          <w:i/>
        </w:rPr>
        <w:t xml:space="preserve"> поскольку от 1% до 10% случаев первичных опухолей печени представляют случаи, где в опухоли встречаются сочетания гепатоцеллюлярного </w:t>
      </w:r>
      <w:r w:rsidR="00587622" w:rsidRPr="00DF0D90">
        <w:rPr>
          <w:i/>
        </w:rPr>
        <w:t>рака</w:t>
      </w:r>
      <w:r w:rsidR="004F7795" w:rsidRPr="00DF0D90">
        <w:rPr>
          <w:i/>
        </w:rPr>
        <w:t xml:space="preserve"> и холангиокарциномы. </w:t>
      </w:r>
      <w:r w:rsidRPr="00DF0D90">
        <w:rPr>
          <w:i/>
        </w:rPr>
        <w:t xml:space="preserve"> </w:t>
      </w:r>
      <w:r w:rsidR="004F7795" w:rsidRPr="00DF0D90">
        <w:rPr>
          <w:i/>
        </w:rPr>
        <w:t>Верификация</w:t>
      </w:r>
      <w:r w:rsidRPr="00DF0D90">
        <w:rPr>
          <w:i/>
        </w:rPr>
        <w:t xml:space="preserve"> не требуется, если на фоне </w:t>
      </w:r>
      <w:r w:rsidR="009500A8" w:rsidRPr="00DF0D90">
        <w:rPr>
          <w:i/>
        </w:rPr>
        <w:t>установленного диагноза</w:t>
      </w:r>
      <w:r w:rsidR="00B726C2" w:rsidRPr="00DF0D90">
        <w:rPr>
          <w:i/>
        </w:rPr>
        <w:t xml:space="preserve"> </w:t>
      </w:r>
      <w:r w:rsidRPr="00DF0D90">
        <w:rPr>
          <w:i/>
        </w:rPr>
        <w:t>цирроза печени</w:t>
      </w:r>
      <w:r w:rsidR="009500A8" w:rsidRPr="00DF0D90">
        <w:rPr>
          <w:i/>
        </w:rPr>
        <w:t xml:space="preserve"> на </w:t>
      </w:r>
      <w:proofErr w:type="spellStart"/>
      <w:r w:rsidR="009500A8" w:rsidRPr="00DF0D90">
        <w:rPr>
          <w:i/>
        </w:rPr>
        <w:t>мультифазной</w:t>
      </w:r>
      <w:proofErr w:type="spellEnd"/>
      <w:r w:rsidR="009500A8" w:rsidRPr="00DF0D90">
        <w:rPr>
          <w:i/>
        </w:rPr>
        <w:t xml:space="preserve"> КТ или</w:t>
      </w:r>
      <w:r w:rsidR="00DA7B5A" w:rsidRPr="00DF0D90">
        <w:rPr>
          <w:i/>
        </w:rPr>
        <w:t xml:space="preserve"> </w:t>
      </w:r>
      <w:r w:rsidR="009500A8" w:rsidRPr="00DF0D90">
        <w:rPr>
          <w:i/>
        </w:rPr>
        <w:t xml:space="preserve">динамической контрастной МРТ опытным рентгенологом </w:t>
      </w:r>
      <w:r w:rsidRPr="00DF0D90">
        <w:rPr>
          <w:i/>
        </w:rPr>
        <w:t xml:space="preserve">выявляется типичная для ГЦР рентгенологическая картина </w:t>
      </w:r>
      <w:proofErr w:type="spellStart"/>
      <w:r w:rsidRPr="00DF0D90">
        <w:rPr>
          <w:i/>
        </w:rPr>
        <w:t>гиперваскулярной</w:t>
      </w:r>
      <w:proofErr w:type="spellEnd"/>
      <w:r w:rsidRPr="00DF0D90">
        <w:rPr>
          <w:i/>
        </w:rPr>
        <w:t xml:space="preserve"> опухоли печени (с «вымыванием» конт</w:t>
      </w:r>
      <w:r w:rsidRPr="00DF0D90">
        <w:rPr>
          <w:i/>
        </w:rPr>
        <w:softHyphen/>
        <w:t>раста в венозной фазе)</w:t>
      </w:r>
      <w:r w:rsidR="009500A8" w:rsidRPr="00DF0D90">
        <w:rPr>
          <w:i/>
        </w:rPr>
        <w:t>.</w:t>
      </w:r>
    </w:p>
    <w:p w14:paraId="15BC3184" w14:textId="1713CCBC" w:rsidR="00502B6C" w:rsidRPr="00DF0D90" w:rsidRDefault="00630BAC" w:rsidP="006D217F">
      <w:pPr>
        <w:autoSpaceDE w:val="0"/>
        <w:autoSpaceDN w:val="0"/>
        <w:adjustRightInd w:val="0"/>
        <w:spacing w:after="120" w:line="360" w:lineRule="auto"/>
        <w:ind w:firstLine="567"/>
        <w:jc w:val="both"/>
        <w:rPr>
          <w:i/>
        </w:rPr>
      </w:pPr>
      <w:r w:rsidRPr="00DF0D90">
        <w:rPr>
          <w:i/>
        </w:rPr>
        <w:t xml:space="preserve">Декомпенсация цирроза печени конкурентно влияет на </w:t>
      </w:r>
      <w:r w:rsidR="009500A8" w:rsidRPr="00DF0D90">
        <w:rPr>
          <w:i/>
        </w:rPr>
        <w:t xml:space="preserve">общую </w:t>
      </w:r>
      <w:r w:rsidRPr="00DF0D90">
        <w:rPr>
          <w:i/>
        </w:rPr>
        <w:t>выживаемость</w:t>
      </w:r>
      <w:r w:rsidR="00587622" w:rsidRPr="00DF0D90">
        <w:rPr>
          <w:i/>
        </w:rPr>
        <w:t>, но не является противопоказанием к противоопухолевой терапии</w:t>
      </w:r>
      <w:r w:rsidRPr="00DF0D90">
        <w:rPr>
          <w:i/>
        </w:rPr>
        <w:t xml:space="preserve">. Необходим </w:t>
      </w:r>
      <w:r w:rsidR="004F7795" w:rsidRPr="00DF0D90">
        <w:rPr>
          <w:i/>
        </w:rPr>
        <w:t xml:space="preserve">регулярный клинический и лабораторный </w:t>
      </w:r>
      <w:r w:rsidRPr="00DF0D90">
        <w:rPr>
          <w:i/>
        </w:rPr>
        <w:t>мониторинг функции печени, проведение активной профилактики осложнений цирроза печени и их лечение</w:t>
      </w:r>
      <w:r w:rsidR="009500A8" w:rsidRPr="00DF0D90">
        <w:rPr>
          <w:i/>
        </w:rPr>
        <w:t xml:space="preserve"> под наблюдением гастроэнтеролога</w:t>
      </w:r>
      <w:r w:rsidRPr="00DF0D90">
        <w:rPr>
          <w:i/>
        </w:rPr>
        <w:t>.</w:t>
      </w:r>
      <w:r w:rsidR="009500A8" w:rsidRPr="00DF0D90">
        <w:rPr>
          <w:i/>
        </w:rPr>
        <w:t xml:space="preserve"> У пациентов с ГЦР на фоне впервые выявленного декомпенсированного </w:t>
      </w:r>
      <w:r w:rsidR="009500A8" w:rsidRPr="00DF0D90">
        <w:rPr>
          <w:i/>
        </w:rPr>
        <w:lastRenderedPageBreak/>
        <w:t xml:space="preserve">цирроза печени следует провести консультацию гастроэнтеролога для подбора и проведения терапии осложнений цирроза; при улучшении функции печени и удовлетворительном состоянии пациента оправдано повторное обсуждение перспектив противоопухолевого лечения на мультидисциплинарном консилиуме. </w:t>
      </w:r>
      <w:r w:rsidR="00502B6C" w:rsidRPr="00DF0D90">
        <w:rPr>
          <w:i/>
        </w:rPr>
        <w:t>У пациентов с недавно (давностью до 3 мес</w:t>
      </w:r>
      <w:r w:rsidR="0082371E" w:rsidRPr="00DF0D90">
        <w:rPr>
          <w:i/>
        </w:rPr>
        <w:t>.</w:t>
      </w:r>
      <w:r w:rsidR="00502B6C" w:rsidRPr="00DF0D90">
        <w:rPr>
          <w:i/>
        </w:rPr>
        <w:t xml:space="preserve">) состоявшимся кровотечением, артериальным или венозным тромбозом, клинически выраженной и плохо компенсируемой </w:t>
      </w:r>
      <w:r w:rsidR="00F95811" w:rsidRPr="00DF0D90">
        <w:rPr>
          <w:i/>
        </w:rPr>
        <w:t>сердечно</w:t>
      </w:r>
      <w:r w:rsidR="00C34DF0" w:rsidRPr="00DF0D90">
        <w:rPr>
          <w:i/>
        </w:rPr>
        <w:t>-</w:t>
      </w:r>
      <w:r w:rsidR="00F95811" w:rsidRPr="00DF0D90">
        <w:rPr>
          <w:i/>
        </w:rPr>
        <w:t>сосудистой</w:t>
      </w:r>
      <w:r w:rsidR="00502B6C" w:rsidRPr="00DF0D90">
        <w:rPr>
          <w:i/>
        </w:rPr>
        <w:t xml:space="preserve"> патологией лечение ингибиторами протеинкиназ или прямых ингибиторов неоангиогенеза сопряжено с высоким </w:t>
      </w:r>
      <w:r w:rsidR="0017591B" w:rsidRPr="00DF0D90">
        <w:rPr>
          <w:i/>
        </w:rPr>
        <w:t xml:space="preserve">риском </w:t>
      </w:r>
      <w:r w:rsidR="00502B6C" w:rsidRPr="00DF0D90">
        <w:rPr>
          <w:i/>
        </w:rPr>
        <w:t xml:space="preserve">осложнений. </w:t>
      </w:r>
    </w:p>
    <w:p w14:paraId="6FC442E2" w14:textId="7503B87F" w:rsidR="00630BAC" w:rsidRPr="00DF0D90" w:rsidRDefault="00630BAC" w:rsidP="006D217F">
      <w:pPr>
        <w:autoSpaceDE w:val="0"/>
        <w:autoSpaceDN w:val="0"/>
        <w:adjustRightInd w:val="0"/>
        <w:spacing w:after="120" w:line="360" w:lineRule="auto"/>
        <w:ind w:firstLine="567"/>
        <w:jc w:val="both"/>
        <w:rPr>
          <w:i/>
        </w:rPr>
      </w:pPr>
      <w:r w:rsidRPr="00DF0D90">
        <w:rPr>
          <w:i/>
        </w:rPr>
        <w:t>При декомпенсированном циррозе (</w:t>
      </w:r>
      <w:r w:rsidR="00DA7B5A" w:rsidRPr="00DF0D90">
        <w:rPr>
          <w:i/>
        </w:rPr>
        <w:t>более 8 баллов</w:t>
      </w:r>
      <w:r w:rsidRPr="00DF0D90">
        <w:rPr>
          <w:i/>
        </w:rPr>
        <w:t xml:space="preserve"> по Child – </w:t>
      </w:r>
      <w:proofErr w:type="spellStart"/>
      <w:r w:rsidRPr="00DF0D90">
        <w:rPr>
          <w:i/>
        </w:rPr>
        <w:t>Pugh</w:t>
      </w:r>
      <w:proofErr w:type="spellEnd"/>
      <w:r w:rsidRPr="00DF0D90">
        <w:rPr>
          <w:i/>
        </w:rPr>
        <w:t xml:space="preserve">) цитотоксическое лечение не </w:t>
      </w:r>
      <w:r w:rsidR="004F7795" w:rsidRPr="00DF0D90">
        <w:rPr>
          <w:i/>
        </w:rPr>
        <w:t>рекомендуется, поскольку сопряжено с высоким риском осложнений химиотерапии и усугублением печеночной недостаточности</w:t>
      </w:r>
      <w:r w:rsidRPr="00DF0D90">
        <w:rPr>
          <w:i/>
        </w:rPr>
        <w:t>.</w:t>
      </w:r>
    </w:p>
    <w:p w14:paraId="5746BF34" w14:textId="77777777" w:rsidR="003730A6" w:rsidRPr="00DF0D90" w:rsidRDefault="003730A6" w:rsidP="006D217F">
      <w:pPr>
        <w:autoSpaceDE w:val="0"/>
        <w:autoSpaceDN w:val="0"/>
        <w:adjustRightInd w:val="0"/>
        <w:spacing w:after="120" w:line="360" w:lineRule="auto"/>
        <w:ind w:firstLine="567"/>
        <w:jc w:val="both"/>
        <w:rPr>
          <w:i/>
        </w:rPr>
      </w:pPr>
      <w:r w:rsidRPr="00DF0D90">
        <w:rPr>
          <w:i/>
        </w:rPr>
        <w:t xml:space="preserve">Вероятность реактивации вирусных гепатитов на фоне системной противоопухолевой терапии низкая, хотя в случаях </w:t>
      </w:r>
      <w:r w:rsidRPr="00DF0D90">
        <w:rPr>
          <w:i/>
          <w:lang w:val="en-US"/>
        </w:rPr>
        <w:t>H</w:t>
      </w:r>
      <w:r w:rsidRPr="00DF0D90">
        <w:rPr>
          <w:i/>
        </w:rPr>
        <w:t>В</w:t>
      </w:r>
      <w:r w:rsidRPr="00DF0D90">
        <w:rPr>
          <w:i/>
          <w:lang w:val="en-US"/>
        </w:rPr>
        <w:t>s</w:t>
      </w:r>
      <w:r w:rsidRPr="00DF0D90">
        <w:rPr>
          <w:i/>
        </w:rPr>
        <w:t>-положительного хронического вирусного гепатита В необходима одновременная противовирусная терапия аналогами нуклеозидов в течение всего противоопухолевого лечения.</w:t>
      </w:r>
    </w:p>
    <w:p w14:paraId="50220555" w14:textId="5C6BDEBA" w:rsidR="00FF19CB" w:rsidRPr="00DF0D90" w:rsidRDefault="00FE4F7D" w:rsidP="00FE4F7D">
      <w:pPr>
        <w:pStyle w:val="a8"/>
        <w:outlineLvl w:val="2"/>
      </w:pPr>
      <w:bookmarkStart w:id="93" w:name="_Toc98349287"/>
      <w:bookmarkStart w:id="94" w:name="_Toc83293985"/>
      <w:r w:rsidRPr="00DF0D90">
        <w:rPr>
          <w:lang w:val="ru-RU"/>
        </w:rPr>
        <w:t xml:space="preserve">3.6.1. </w:t>
      </w:r>
      <w:r w:rsidR="00FF19CB" w:rsidRPr="00DF0D90">
        <w:t xml:space="preserve">Системная терапия ГЦР </w:t>
      </w:r>
      <w:r w:rsidR="00BD2E7C" w:rsidRPr="00DF0D90">
        <w:rPr>
          <w:lang w:val="ru-RU"/>
        </w:rPr>
        <w:t>первой</w:t>
      </w:r>
      <w:r w:rsidR="00FF19CB" w:rsidRPr="00DF0D90">
        <w:t xml:space="preserve"> линии</w:t>
      </w:r>
      <w:bookmarkEnd w:id="93"/>
      <w:bookmarkEnd w:id="94"/>
    </w:p>
    <w:p w14:paraId="443366BE" w14:textId="1B9ECEAB" w:rsidR="00043442" w:rsidRPr="00DF0D90" w:rsidRDefault="002C5CBB" w:rsidP="00BD2E7C">
      <w:pPr>
        <w:pStyle w:val="a"/>
        <w:numPr>
          <w:ilvl w:val="0"/>
          <w:numId w:val="34"/>
        </w:numPr>
        <w:spacing w:before="0" w:after="120" w:line="360" w:lineRule="auto"/>
        <w:ind w:left="0" w:firstLine="567"/>
        <w:jc w:val="both"/>
        <w:rPr>
          <w:b/>
          <w:bCs/>
          <w:spacing w:val="-4"/>
        </w:rPr>
      </w:pPr>
      <w:bookmarkStart w:id="95" w:name="_Hlk71729922"/>
      <w:r w:rsidRPr="00DF0D90">
        <w:rPr>
          <w:b/>
          <w:bCs/>
          <w:spacing w:val="-4"/>
        </w:rPr>
        <w:t>Рекомендуется</w:t>
      </w:r>
      <w:r w:rsidRPr="00DF0D90">
        <w:rPr>
          <w:spacing w:val="-4"/>
        </w:rPr>
        <w:t xml:space="preserve"> в </w:t>
      </w:r>
      <w:r w:rsidR="003E7B9A" w:rsidRPr="00DF0D90">
        <w:rPr>
          <w:spacing w:val="-4"/>
        </w:rPr>
        <w:t>качестве предпочтительной первой</w:t>
      </w:r>
      <w:r w:rsidRPr="00DF0D90">
        <w:rPr>
          <w:spacing w:val="-4"/>
        </w:rPr>
        <w:t xml:space="preserve"> линии системной терапии ГЦР</w:t>
      </w:r>
      <w:r w:rsidR="00BD2E7C" w:rsidRPr="00DF0D90">
        <w:rPr>
          <w:b/>
          <w:bCs/>
          <w:spacing w:val="-4"/>
          <w:lang w:val="ru-RU"/>
        </w:rPr>
        <w:t xml:space="preserve"> </w:t>
      </w:r>
      <w:r w:rsidRPr="00DF0D90">
        <w:rPr>
          <w:spacing w:val="-4"/>
        </w:rPr>
        <w:t>комбинация PD-L1-ингибитора атезолизумаб</w:t>
      </w:r>
      <w:r w:rsidR="00526AB5" w:rsidRPr="00DF0D90">
        <w:rPr>
          <w:spacing w:val="-4"/>
        </w:rPr>
        <w:t>а</w:t>
      </w:r>
      <w:r w:rsidR="00FF19CB" w:rsidRPr="00DF0D90">
        <w:rPr>
          <w:spacing w:val="-4"/>
        </w:rPr>
        <w:t>**</w:t>
      </w:r>
      <w:r w:rsidRPr="00DF0D90">
        <w:rPr>
          <w:spacing w:val="-4"/>
        </w:rPr>
        <w:t xml:space="preserve"> в дозе 1200 мг и </w:t>
      </w:r>
      <w:r w:rsidR="00A70AA9" w:rsidRPr="00DF0D90">
        <w:rPr>
          <w:spacing w:val="-4"/>
        </w:rPr>
        <w:t>моноклонального анти</w:t>
      </w:r>
      <w:r w:rsidR="00F95811" w:rsidRPr="00DF0D90">
        <w:rPr>
          <w:spacing w:val="-4"/>
          <w:lang w:val="ru-RU"/>
        </w:rPr>
        <w:t>-</w:t>
      </w:r>
      <w:r w:rsidR="00A70AA9" w:rsidRPr="00DF0D90">
        <w:rPr>
          <w:spacing w:val="-4"/>
          <w:lang w:val="en-US"/>
        </w:rPr>
        <w:t>VEGF</w:t>
      </w:r>
      <w:r w:rsidR="00641949" w:rsidRPr="00DF0D90">
        <w:rPr>
          <w:spacing w:val="-4"/>
          <w:lang w:val="ru-RU"/>
        </w:rPr>
        <w:t xml:space="preserve"> </w:t>
      </w:r>
      <w:r w:rsidR="00A70AA9" w:rsidRPr="00DF0D90">
        <w:rPr>
          <w:spacing w:val="-4"/>
        </w:rPr>
        <w:t xml:space="preserve">антитела </w:t>
      </w:r>
      <w:r w:rsidRPr="00DF0D90">
        <w:rPr>
          <w:spacing w:val="-4"/>
        </w:rPr>
        <w:t>бевацизумаба</w:t>
      </w:r>
      <w:r w:rsidR="00FF19CB" w:rsidRPr="00DF0D90">
        <w:rPr>
          <w:spacing w:val="-4"/>
        </w:rPr>
        <w:t>**</w:t>
      </w:r>
      <w:r w:rsidRPr="00DF0D90">
        <w:rPr>
          <w:spacing w:val="-4"/>
        </w:rPr>
        <w:t xml:space="preserve"> в дозе 15 мг/кг внутривенно 1 раз в 21 день </w:t>
      </w:r>
      <w:r w:rsidR="00226035" w:rsidRPr="00DF0D90">
        <w:t>для улучшения контроля роста опухоли и выживаемости пациентов</w:t>
      </w:r>
      <w:r w:rsidR="00CB49BC" w:rsidRPr="00DF0D90">
        <w:rPr>
          <w:lang w:val="ru-RU"/>
        </w:rPr>
        <w:t xml:space="preserve"> </w:t>
      </w:r>
      <w:r w:rsidR="00CB49BC" w:rsidRPr="00DF0D90">
        <w:rPr>
          <w:lang w:val="ru-RU"/>
        </w:rPr>
        <w:fldChar w:fldCharType="begin" w:fldLock="1"/>
      </w:r>
      <w:r w:rsidR="007335C5" w:rsidRPr="00DF0D90">
        <w:rPr>
          <w:lang w:val="ru-RU"/>
        </w:rPr>
        <w:instrText>ADDIN CSL_CITATION {"citationItems":[{"id":"ITEM-1","itemData":{"DOI":"10.1056/nejmoa1915745","ISSN":"0028-4793","PMID":"32402160","abstract":"BACKGROUND: The combination of atezolizumab and bevacizumab showed encouraging antitumor activity and safety in a phase 1b trial involving patients with unresectable hepatocellular carcinoma. METHODS: In a global, open-label, phase 3 trial, patients with unresectable hepatocellular carcinoma who had not previously received systemic treatment were randomly assigned in a 2:1 ratio to receive either atezolizumab plus bevacizumab or sorafenib until unacceptable toxic effects occurred or there was a loss of clinical benefit. The coprimary end points were overall survival and progression-free survival in the intention-to-treat population, as assessed at an independent review facility according to Response Evaluation Criteria in Solid Tumors, version 1.1 (RECIST 1.1). RESULTS: The intention-to-treat population included 336 patients in the atezolizumab-bevacizumab group and 165 patients in the sorafenib group. At the time of the primary analysis (August 29, 2019), the hazard ratio for death with atezolizumab-bevacizumab as compared with sorafenib was 0.58 (95% confidence interval [CI], 0.42 to 0.79; P&lt;0.001). Overall survival at 12 months was 67.2% (95% CI, 61.3 to 73.1) with atezolizumab-bevacizumab and 54.6% (95% CI, 45.2 to 64.0) with sorafenib. Median progression-free survival was 6.8 months (95% CI, 5.7 to 8.3) and 4.3 months (95% CI, 4.0 to 5.6) in the respective groups (hazard ratio for disease progression or death, 0.59; 95% CI, 0.47 to 0.76; P&lt;0.001). Grade 3 or 4 adverse events occurred in 56.5% of 329 patients who received at least one dose of atezolizumab-bevacizumab and in 55.1% of 156 patients who received at least one dose of sorafenib. Grade 3 or 4 hypertension occurred in 15.2% of patients in the atezolizumab-bevacizumab group; however, other high-grade toxic effects were infrequent. CONCLUSIONS: In patients with unresectable hepatocellular carcinoma, atezolizumab combined with bevacizumab resulted in better overall and progression-free survival outcomes than sorafenib. (Funded by F. Hoffmann-La Roche/Genentech; ClinicalTrials.gov number, NCT03434379.).","author":[{"dropping-particle":"","family":"Finn","given":"Richard S.","non-dropping-particle":"","parse-names":false,"suffix":""},{"dropping-particle":"","family":"Qin","given":"Shukui","non-dropping-particle":"","parse-names":false,"suffix":""},{"dropping-particle":"","family":"Ikeda","given":"Masafumi","non-dropping-particle":"","parse-names":false,"suffix":""},{"dropping-particle":"","family":"Galle","given":"Peter R.","non-dropping-particle":"","parse-names":false,"suffix":""},{"dropping-particle":"","family":"Ducreux","given":"Michel","non-dropping-particle":"","parse-names":false,"suffix":""},{"dropping-particle":"","family":"Kim","given":"Tae-You","non-dropping-particle":"","parse-names":false,"suffix":""},{"dropping-particle":"","family":"Kudo","given":"Masatoshi","non-dropping-particle":"","parse-names":false,"suffix":""},{"dropping-particle":"","family":"Breder","given":"Valeriy","non-dropping-particle":"","parse-names":false,"suffix":""},{"dropping-particle":"","family":"Merle","given":"Philippe","non-dropping-particle":"","parse-names":false,"suffix":""},{"dropping-particle":"","family":"Kaseb","given":"Ahmed O.","non-dropping-particle":"","parse-names":false,"suffix":""},{"dropping-particle":"","family":"Li","given":"Daneng","non-dropping-particle":"","parse-names":false,"suffix":""},{"dropping-particle":"","family":"Verret","given":"Wendy","non-dropping-particle":"","parse-names":false,"suffix":""},{"dropping-particle":"","family":"Xu","given":"Derek-Zhen","non-dropping-particle":"","parse-names":false,"suffix":""},{"dropping-particle":"","family":"Hernandez","given":"Sairy","non-dropping-particle":"","parse-names":false,"suffix":""},{"dropping-particle":"","family":"Liu","given":"Juan","non-dropping-particle":"","parse-names":false,"suffix":""},{"dropping-particle":"","family":"Huang","given":"Chen","non-dropping-particle":"","parse-names":false,"suffix":""},{"dropping-particle":"","family":"Mulla","given":"Sohail","non-dropping-particle":"","parse-names":false,"suffix":""},{"dropping-particle":"","family":"Wang","given":"Yulei","non-dropping-particle":"","parse-names":false,"suffix":""},{"dropping-particle":"","family":"Lim","given":"Ho Yeong","non-dropping-particle":"","parse-names":false,"suffix":""},{"dropping-particle":"","family":"Zhu","given":"Andrew X.","non-dropping-particle":"","parse-names":false,"suffix":""},{"dropping-particle":"","family":"Cheng","given":"Ann-Lii","non-dropping-particle":"","parse-names":false,"suffix":""}],"container-title":"New England Journal of Medicine","id":"ITEM-1","issue":"20","issued":{"date-parts":[["2020","5","14"]]},"page":"1894-1905","title":"Atezolizumab plus Bevacizumab in Unresectable Hepatocellular Carcinoma","type":"article-journal","volume":"382"},"uris":["http://www.mendeley.com/documents/?uuid=1485fc70-cf30-3239-a545-3b0ef8d9f02c"]}],"mendeley":{"formattedCitation":"[93]","plainTextFormattedCitation":"[93]","previouslyFormattedCitation":"[93]"},"properties":{"noteIndex":0},"schema":"https://github.com/citation-style-language/schema/raw/master/csl-citation.json"}</w:instrText>
      </w:r>
      <w:r w:rsidR="00CB49BC" w:rsidRPr="00DF0D90">
        <w:rPr>
          <w:lang w:val="ru-RU"/>
        </w:rPr>
        <w:fldChar w:fldCharType="separate"/>
      </w:r>
      <w:r w:rsidR="007335C5" w:rsidRPr="00DF0D90">
        <w:rPr>
          <w:noProof/>
          <w:lang w:val="ru-RU"/>
        </w:rPr>
        <w:t>[93]</w:t>
      </w:r>
      <w:r w:rsidR="00CB49BC" w:rsidRPr="00DF0D90">
        <w:rPr>
          <w:lang w:val="ru-RU"/>
        </w:rPr>
        <w:fldChar w:fldCharType="end"/>
      </w:r>
      <w:r w:rsidRPr="00DF0D90">
        <w:rPr>
          <w:spacing w:val="-4"/>
        </w:rPr>
        <w:t xml:space="preserve">. </w:t>
      </w:r>
    </w:p>
    <w:p w14:paraId="02F97133" w14:textId="77777777" w:rsidR="00043442" w:rsidRPr="00DF0D90" w:rsidRDefault="002C5CBB" w:rsidP="00BD2E7C">
      <w:pPr>
        <w:pStyle w:val="a"/>
        <w:numPr>
          <w:ilvl w:val="0"/>
          <w:numId w:val="0"/>
        </w:numPr>
        <w:spacing w:before="0" w:after="120" w:line="360" w:lineRule="auto"/>
        <w:jc w:val="both"/>
        <w:rPr>
          <w:b/>
          <w:bCs/>
          <w:spacing w:val="-4"/>
        </w:rPr>
      </w:pPr>
      <w:r w:rsidRPr="00DF0D90">
        <w:rPr>
          <w:b/>
          <w:bCs/>
          <w:spacing w:val="-4"/>
        </w:rPr>
        <w:t>Уровень убедительности рекомендаций – А (уровень достоверности доказательств – 2).</w:t>
      </w:r>
    </w:p>
    <w:p w14:paraId="367873C4" w14:textId="296792AF" w:rsidR="002C5CBB" w:rsidRPr="00DF0D90" w:rsidRDefault="002C5CBB" w:rsidP="00BD2E7C">
      <w:pPr>
        <w:pStyle w:val="a"/>
        <w:numPr>
          <w:ilvl w:val="0"/>
          <w:numId w:val="0"/>
        </w:numPr>
        <w:spacing w:before="0" w:after="120" w:line="360" w:lineRule="auto"/>
        <w:jc w:val="both"/>
        <w:rPr>
          <w:b/>
          <w:bCs/>
          <w:i/>
          <w:iCs/>
          <w:spacing w:val="-4"/>
        </w:rPr>
      </w:pPr>
      <w:r w:rsidRPr="00DF0D90">
        <w:rPr>
          <w:b/>
          <w:bCs/>
          <w:i/>
          <w:spacing w:val="-4"/>
        </w:rPr>
        <w:t>Комментарии:</w:t>
      </w:r>
      <w:r w:rsidRPr="00DF0D90">
        <w:rPr>
          <w:spacing w:val="-4"/>
        </w:rPr>
        <w:t xml:space="preserve"> </w:t>
      </w:r>
      <w:r w:rsidRPr="00DF0D90">
        <w:rPr>
          <w:i/>
          <w:iCs/>
          <w:spacing w:val="-4"/>
        </w:rPr>
        <w:t xml:space="preserve">лечение проводится под наблюдением врача-онколога непрерывно до появления объективных (подтвержденных КТ/МРТ) признаков прогрессирования заболевания, явлений непереносимой токсичности или декомпенсации сопутствующих заболеваний. </w:t>
      </w:r>
      <w:r w:rsidR="00526AB5" w:rsidRPr="00DF0D90">
        <w:rPr>
          <w:i/>
          <w:iCs/>
          <w:spacing w:val="-4"/>
        </w:rPr>
        <w:t>Комбинация</w:t>
      </w:r>
      <w:r w:rsidR="00043442" w:rsidRPr="00DF0D90">
        <w:rPr>
          <w:i/>
          <w:iCs/>
          <w:spacing w:val="-4"/>
          <w:lang w:val="ru-RU"/>
        </w:rPr>
        <w:t xml:space="preserve"> </w:t>
      </w:r>
      <w:r w:rsidR="003E7B9A" w:rsidRPr="00DF0D90">
        <w:rPr>
          <w:i/>
          <w:iCs/>
          <w:spacing w:val="-4"/>
        </w:rPr>
        <w:t>атезолизумаба</w:t>
      </w:r>
      <w:r w:rsidR="00FF19CB" w:rsidRPr="00DF0D90">
        <w:rPr>
          <w:i/>
          <w:iCs/>
          <w:spacing w:val="-4"/>
        </w:rPr>
        <w:t>**</w:t>
      </w:r>
      <w:r w:rsidR="003E7B9A" w:rsidRPr="00DF0D90">
        <w:rPr>
          <w:i/>
          <w:iCs/>
          <w:spacing w:val="-4"/>
        </w:rPr>
        <w:t xml:space="preserve"> и бевацизумаба</w:t>
      </w:r>
      <w:r w:rsidR="00FF19CB" w:rsidRPr="00DF0D90">
        <w:rPr>
          <w:i/>
          <w:iCs/>
          <w:spacing w:val="-4"/>
        </w:rPr>
        <w:t>**</w:t>
      </w:r>
      <w:r w:rsidR="00526AB5" w:rsidRPr="00DF0D90">
        <w:rPr>
          <w:i/>
          <w:iCs/>
          <w:spacing w:val="-4"/>
        </w:rPr>
        <w:t xml:space="preserve"> по данным рандомизированного клинического исследования 3 фазы (ImBrave150) продемонстрировала достоверное преимущество перед </w:t>
      </w:r>
      <w:proofErr w:type="spellStart"/>
      <w:r w:rsidR="00526AB5" w:rsidRPr="00DF0D90">
        <w:rPr>
          <w:i/>
          <w:iCs/>
          <w:spacing w:val="-4"/>
        </w:rPr>
        <w:t>сорафенибом</w:t>
      </w:r>
      <w:proofErr w:type="spellEnd"/>
      <w:r w:rsidR="006259B8" w:rsidRPr="00DF0D90">
        <w:rPr>
          <w:i/>
          <w:iCs/>
          <w:spacing w:val="-4"/>
        </w:rPr>
        <w:t>**</w:t>
      </w:r>
      <w:r w:rsidR="00526AB5" w:rsidRPr="00DF0D90">
        <w:rPr>
          <w:i/>
          <w:iCs/>
          <w:spacing w:val="-4"/>
        </w:rPr>
        <w:t xml:space="preserve"> по общей выживаемости</w:t>
      </w:r>
      <w:r w:rsidR="003E7B9A" w:rsidRPr="00DF0D90">
        <w:rPr>
          <w:i/>
          <w:iCs/>
          <w:spacing w:val="-4"/>
        </w:rPr>
        <w:t xml:space="preserve"> (медиана ОВ - 19,2 мес</w:t>
      </w:r>
      <w:r w:rsidR="001D7B82">
        <w:rPr>
          <w:i/>
          <w:iCs/>
          <w:spacing w:val="-4"/>
          <w:lang w:val="ru-RU"/>
        </w:rPr>
        <w:t>.</w:t>
      </w:r>
      <w:r w:rsidR="003E7B9A" w:rsidRPr="00DF0D90">
        <w:rPr>
          <w:i/>
          <w:iCs/>
          <w:spacing w:val="-4"/>
        </w:rPr>
        <w:t xml:space="preserve"> </w:t>
      </w:r>
      <w:r w:rsidR="003E7B9A" w:rsidRPr="00DF0D90">
        <w:rPr>
          <w:i/>
          <w:iCs/>
          <w:spacing w:val="-4"/>
          <w:lang w:val="en-US"/>
        </w:rPr>
        <w:t>vs</w:t>
      </w:r>
      <w:r w:rsidR="003E7B9A" w:rsidRPr="00DF0D90">
        <w:rPr>
          <w:i/>
          <w:iCs/>
          <w:spacing w:val="-4"/>
        </w:rPr>
        <w:t>. 13,4 мес</w:t>
      </w:r>
      <w:r w:rsidR="001D7B82">
        <w:rPr>
          <w:i/>
          <w:iCs/>
          <w:spacing w:val="-4"/>
          <w:lang w:val="ru-RU"/>
        </w:rPr>
        <w:t>.</w:t>
      </w:r>
      <w:r w:rsidR="003E7B9A" w:rsidRPr="00DF0D90">
        <w:rPr>
          <w:i/>
          <w:iCs/>
          <w:spacing w:val="-4"/>
        </w:rPr>
        <w:t>)</w:t>
      </w:r>
      <w:r w:rsidR="00AB190F" w:rsidRPr="00DF0D90">
        <w:rPr>
          <w:i/>
          <w:iCs/>
          <w:spacing w:val="-4"/>
          <w:lang w:val="ru-RU"/>
        </w:rPr>
        <w:t xml:space="preserve"> </w:t>
      </w:r>
      <w:r w:rsidR="00526AB5" w:rsidRPr="00DF0D90">
        <w:rPr>
          <w:i/>
          <w:iCs/>
          <w:spacing w:val="-4"/>
        </w:rPr>
        <w:t>и выживаемости без прогрессирования</w:t>
      </w:r>
      <w:r w:rsidR="003E7B9A" w:rsidRPr="00DF0D90">
        <w:rPr>
          <w:i/>
          <w:iCs/>
          <w:spacing w:val="-4"/>
        </w:rPr>
        <w:t xml:space="preserve"> (медиана 6,9 мес</w:t>
      </w:r>
      <w:r w:rsidR="001D7B82">
        <w:rPr>
          <w:i/>
          <w:iCs/>
          <w:spacing w:val="-4"/>
          <w:lang w:val="ru-RU"/>
        </w:rPr>
        <w:t>.</w:t>
      </w:r>
      <w:r w:rsidR="003E7B9A" w:rsidRPr="00DF0D90">
        <w:rPr>
          <w:i/>
          <w:iCs/>
          <w:spacing w:val="-4"/>
        </w:rPr>
        <w:t xml:space="preserve"> </w:t>
      </w:r>
      <w:r w:rsidR="003E7B9A" w:rsidRPr="00DF0D90">
        <w:rPr>
          <w:i/>
          <w:iCs/>
          <w:spacing w:val="-4"/>
          <w:lang w:val="en-US"/>
        </w:rPr>
        <w:t>vs</w:t>
      </w:r>
      <w:r w:rsidR="003E7B9A" w:rsidRPr="00DF0D90">
        <w:rPr>
          <w:i/>
          <w:iCs/>
          <w:spacing w:val="-4"/>
        </w:rPr>
        <w:t>. 4,3 мес</w:t>
      </w:r>
      <w:r w:rsidR="001D7B82">
        <w:rPr>
          <w:i/>
          <w:iCs/>
          <w:spacing w:val="-4"/>
          <w:lang w:val="ru-RU"/>
        </w:rPr>
        <w:t>.</w:t>
      </w:r>
      <w:r w:rsidR="003E7B9A" w:rsidRPr="00DF0D90">
        <w:rPr>
          <w:i/>
          <w:iCs/>
          <w:spacing w:val="-4"/>
        </w:rPr>
        <w:t>)</w:t>
      </w:r>
      <w:r w:rsidR="00526AB5" w:rsidRPr="00DF0D90">
        <w:rPr>
          <w:i/>
          <w:iCs/>
          <w:spacing w:val="-4"/>
        </w:rPr>
        <w:t>.</w:t>
      </w:r>
      <w:r w:rsidR="00BD2E7C" w:rsidRPr="00DF0D90">
        <w:rPr>
          <w:i/>
          <w:iCs/>
          <w:spacing w:val="-4"/>
          <w:lang w:val="ru-RU"/>
        </w:rPr>
        <w:t xml:space="preserve"> </w:t>
      </w:r>
      <w:r w:rsidR="00FF19CB" w:rsidRPr="00DF0D90">
        <w:rPr>
          <w:i/>
          <w:iCs/>
          <w:spacing w:val="-4"/>
        </w:rPr>
        <w:t xml:space="preserve">Относительными противопоказанием </w:t>
      </w:r>
      <w:r w:rsidR="00526AB5" w:rsidRPr="00DF0D90">
        <w:rPr>
          <w:i/>
          <w:iCs/>
          <w:spacing w:val="-4"/>
        </w:rPr>
        <w:t>к терапии явля</w:t>
      </w:r>
      <w:r w:rsidR="00A70AA9" w:rsidRPr="00DF0D90">
        <w:rPr>
          <w:i/>
          <w:iCs/>
          <w:spacing w:val="-4"/>
        </w:rPr>
        <w:t>ю</w:t>
      </w:r>
      <w:r w:rsidR="00526AB5" w:rsidRPr="00DF0D90">
        <w:rPr>
          <w:i/>
          <w:iCs/>
          <w:spacing w:val="-4"/>
        </w:rPr>
        <w:t xml:space="preserve">тся аутоиммунные заболевания, </w:t>
      </w:r>
      <w:r w:rsidR="00FF19CB" w:rsidRPr="00DF0D90">
        <w:rPr>
          <w:i/>
          <w:iCs/>
          <w:spacing w:val="-4"/>
        </w:rPr>
        <w:t xml:space="preserve">активная </w:t>
      </w:r>
      <w:r w:rsidR="00526AB5" w:rsidRPr="00DF0D90">
        <w:rPr>
          <w:i/>
          <w:iCs/>
          <w:spacing w:val="-4"/>
        </w:rPr>
        <w:t>ко</w:t>
      </w:r>
      <w:r w:rsidR="00FF19CB" w:rsidRPr="00DF0D90">
        <w:rPr>
          <w:i/>
          <w:iCs/>
          <w:spacing w:val="-4"/>
        </w:rPr>
        <w:t>-</w:t>
      </w:r>
      <w:r w:rsidR="00526AB5" w:rsidRPr="00DF0D90">
        <w:rPr>
          <w:i/>
          <w:iCs/>
          <w:spacing w:val="-4"/>
        </w:rPr>
        <w:t>инфекция вирус</w:t>
      </w:r>
      <w:r w:rsidR="00A70AA9" w:rsidRPr="00DF0D90">
        <w:rPr>
          <w:i/>
          <w:iCs/>
          <w:spacing w:val="-4"/>
        </w:rPr>
        <w:t>ами</w:t>
      </w:r>
      <w:r w:rsidR="00526AB5" w:rsidRPr="00DF0D90">
        <w:rPr>
          <w:i/>
          <w:iCs/>
          <w:spacing w:val="-4"/>
        </w:rPr>
        <w:t xml:space="preserve"> гепатит</w:t>
      </w:r>
      <w:r w:rsidR="00A70AA9" w:rsidRPr="00DF0D90">
        <w:rPr>
          <w:i/>
          <w:iCs/>
          <w:spacing w:val="-4"/>
        </w:rPr>
        <w:t>а</w:t>
      </w:r>
      <w:r w:rsidR="00526AB5" w:rsidRPr="00DF0D90">
        <w:rPr>
          <w:i/>
          <w:iCs/>
          <w:spacing w:val="-4"/>
        </w:rPr>
        <w:t xml:space="preserve"> В и С, </w:t>
      </w:r>
      <w:r w:rsidR="00FF19CB" w:rsidRPr="00DF0D90">
        <w:rPr>
          <w:i/>
          <w:iCs/>
          <w:spacing w:val="-4"/>
        </w:rPr>
        <w:t>состоявшееся</w:t>
      </w:r>
      <w:r w:rsidR="00587622" w:rsidRPr="00DF0D90">
        <w:rPr>
          <w:i/>
          <w:iCs/>
          <w:spacing w:val="-4"/>
          <w:lang w:val="ru-RU"/>
        </w:rPr>
        <w:t xml:space="preserve"> ранее в течение 6 месяцев желудочное </w:t>
      </w:r>
      <w:r w:rsidR="00FF19CB" w:rsidRPr="00DF0D90">
        <w:rPr>
          <w:i/>
          <w:iCs/>
          <w:spacing w:val="-4"/>
        </w:rPr>
        <w:t xml:space="preserve"> </w:t>
      </w:r>
      <w:r w:rsidR="00526AB5" w:rsidRPr="00DF0D90">
        <w:rPr>
          <w:i/>
          <w:iCs/>
          <w:spacing w:val="-4"/>
        </w:rPr>
        <w:t>кровотечение или высокий риск кровотечения из варикозно-расширенных вен пищевода и желудка</w:t>
      </w:r>
      <w:r w:rsidR="00801298" w:rsidRPr="00DF0D90">
        <w:rPr>
          <w:i/>
          <w:iCs/>
          <w:spacing w:val="-4"/>
          <w:lang w:val="ru-RU"/>
        </w:rPr>
        <w:t xml:space="preserve"> (</w:t>
      </w:r>
      <w:r w:rsidR="00801298" w:rsidRPr="00DF0D90">
        <w:rPr>
          <w:rFonts w:eastAsia="BlissPro-Light"/>
          <w:i/>
          <w:iCs/>
        </w:rPr>
        <w:t xml:space="preserve">расширение вен пищевода </w:t>
      </w:r>
      <w:r w:rsidR="005C704F">
        <w:rPr>
          <w:rFonts w:eastAsia="BlissPro-Light"/>
          <w:i/>
          <w:iCs/>
          <w:lang w:val="ru-RU"/>
        </w:rPr>
        <w:t>3</w:t>
      </w:r>
      <w:r w:rsidR="00801298" w:rsidRPr="00DF0D90">
        <w:rPr>
          <w:rFonts w:eastAsia="BlissPro-Light"/>
          <w:i/>
          <w:iCs/>
        </w:rPr>
        <w:t xml:space="preserve"> степени на эффективной профилактике неселективными β-</w:t>
      </w:r>
      <w:r w:rsidR="00801298" w:rsidRPr="00DF0D90">
        <w:rPr>
          <w:rFonts w:eastAsia="BlissPro-Light"/>
          <w:i/>
          <w:iCs/>
        </w:rPr>
        <w:lastRenderedPageBreak/>
        <w:t xml:space="preserve">блокаторами, </w:t>
      </w:r>
      <w:r w:rsidR="005C704F" w:rsidRPr="00762FDE">
        <w:rPr>
          <w:rFonts w:eastAsia="BlissPro-Light"/>
          <w:i/>
          <w:iCs/>
          <w:lang w:val="ru-RU"/>
        </w:rPr>
        <w:t>&lt;</w:t>
      </w:r>
      <w:r w:rsidR="00801298" w:rsidRPr="00DF0D90">
        <w:rPr>
          <w:rFonts w:eastAsia="BlissPro-Light"/>
          <w:i/>
          <w:iCs/>
        </w:rPr>
        <w:t xml:space="preserve"> 2 недель после лигирования </w:t>
      </w:r>
      <w:proofErr w:type="spellStart"/>
      <w:r w:rsidR="00801298" w:rsidRPr="00DF0D90">
        <w:rPr>
          <w:rFonts w:eastAsia="BlissPro-Light"/>
          <w:i/>
          <w:iCs/>
        </w:rPr>
        <w:t>варикозно</w:t>
      </w:r>
      <w:proofErr w:type="spellEnd"/>
      <w:r w:rsidR="00801298" w:rsidRPr="00DF0D90">
        <w:rPr>
          <w:rFonts w:eastAsia="BlissPro-Light"/>
          <w:i/>
          <w:iCs/>
        </w:rPr>
        <w:t xml:space="preserve"> расширенных вен пищевода 3 степени</w:t>
      </w:r>
      <w:r w:rsidR="00801298" w:rsidRPr="00DF0D90">
        <w:rPr>
          <w:rFonts w:eastAsia="BlissPro-Light"/>
          <w:i/>
          <w:iCs/>
          <w:lang w:val="ru-RU"/>
        </w:rPr>
        <w:t>)</w:t>
      </w:r>
      <w:r w:rsidR="00526AB5" w:rsidRPr="00DF0D90">
        <w:rPr>
          <w:i/>
          <w:iCs/>
          <w:spacing w:val="-4"/>
        </w:rPr>
        <w:t xml:space="preserve">. </w:t>
      </w:r>
    </w:p>
    <w:p w14:paraId="4240CF02" w14:textId="2E79370B" w:rsidR="00845609" w:rsidRPr="00DF0D90" w:rsidRDefault="00B4170D" w:rsidP="00BD2E7C">
      <w:pPr>
        <w:pStyle w:val="af2"/>
        <w:numPr>
          <w:ilvl w:val="0"/>
          <w:numId w:val="34"/>
        </w:numPr>
        <w:spacing w:after="120" w:line="360" w:lineRule="auto"/>
        <w:ind w:left="0" w:firstLine="567"/>
        <w:jc w:val="both"/>
      </w:pPr>
      <w:r w:rsidRPr="00DF0D90">
        <w:rPr>
          <w:rFonts w:eastAsia="BlissPro-Light"/>
          <w:b/>
          <w:bCs/>
        </w:rPr>
        <w:t>Предпочтительным м</w:t>
      </w:r>
      <w:r w:rsidR="00845609" w:rsidRPr="00DF0D90">
        <w:rPr>
          <w:rFonts w:eastAsia="BlissPro-Light"/>
          <w:b/>
          <w:bCs/>
        </w:rPr>
        <w:t>етодом</w:t>
      </w:r>
      <w:r w:rsidR="00845609" w:rsidRPr="00DF0D90">
        <w:rPr>
          <w:rFonts w:eastAsia="BlissPro-Light"/>
        </w:rPr>
        <w:t xml:space="preserve"> выбора терапии первой линии также может быть комбинация анти-</w:t>
      </w:r>
      <w:r w:rsidR="00845609" w:rsidRPr="00DF0D90">
        <w:rPr>
          <w:rFonts w:eastAsia="BlissPro-Light"/>
          <w:lang w:val="en-US"/>
        </w:rPr>
        <w:t>CTLA</w:t>
      </w:r>
      <w:r w:rsidR="00845609" w:rsidRPr="00DF0D90">
        <w:rPr>
          <w:rFonts w:eastAsia="BlissPro-Light"/>
        </w:rPr>
        <w:t xml:space="preserve">4 препарата тремелимумаба** в дозе 300 мг в виде однократной начальной дозы с </w:t>
      </w:r>
      <w:r w:rsidR="00845609" w:rsidRPr="00DF0D90">
        <w:rPr>
          <w:rFonts w:eastAsia="BlissPro-Light"/>
          <w:lang w:val="en-US"/>
        </w:rPr>
        <w:t>PD</w:t>
      </w:r>
      <w:r w:rsidR="00845609" w:rsidRPr="00DF0D90">
        <w:rPr>
          <w:rFonts w:eastAsia="BlissPro-Light"/>
        </w:rPr>
        <w:t>-</w:t>
      </w:r>
      <w:r w:rsidR="00845609" w:rsidRPr="00DF0D90">
        <w:rPr>
          <w:rFonts w:eastAsia="BlissPro-Light"/>
          <w:lang w:val="en-US"/>
        </w:rPr>
        <w:t>L</w:t>
      </w:r>
      <w:r w:rsidR="00845609" w:rsidRPr="00DF0D90">
        <w:rPr>
          <w:rFonts w:eastAsia="BlissPro-Light"/>
        </w:rPr>
        <w:t xml:space="preserve">1 ингибитором дурвалумабом** в дозе 1500 мг в первый день первого цикла, с последующей монотерапией дурвалумабом (режим </w:t>
      </w:r>
      <w:r w:rsidR="00845609" w:rsidRPr="00DF0D90">
        <w:rPr>
          <w:rFonts w:eastAsia="BlissPro-Light"/>
          <w:lang w:val="en-US"/>
        </w:rPr>
        <w:t>STRIDE</w:t>
      </w:r>
      <w:r w:rsidR="00845609" w:rsidRPr="00DF0D90">
        <w:rPr>
          <w:rFonts w:eastAsia="BlissPro-Light"/>
        </w:rPr>
        <w:t>) один раз в 4 недели [12</w:t>
      </w:r>
      <w:r w:rsidR="00B2634C" w:rsidRPr="00DF0D90">
        <w:rPr>
          <w:rFonts w:eastAsia="BlissPro-Light"/>
        </w:rPr>
        <w:t>9</w:t>
      </w:r>
      <w:r w:rsidR="00845609" w:rsidRPr="00DF0D90">
        <w:rPr>
          <w:rFonts w:eastAsia="BlissPro-Light"/>
        </w:rPr>
        <w:t>]</w:t>
      </w:r>
      <w:r w:rsidR="0076601C">
        <w:rPr>
          <w:rFonts w:eastAsia="BlissPro-Light"/>
        </w:rPr>
        <w:t>.</w:t>
      </w:r>
    </w:p>
    <w:p w14:paraId="5436F9A6" w14:textId="77777777" w:rsidR="00845609" w:rsidRPr="00DF0D90" w:rsidRDefault="00845609" w:rsidP="000B32B8">
      <w:pPr>
        <w:pStyle w:val="a"/>
        <w:numPr>
          <w:ilvl w:val="0"/>
          <w:numId w:val="0"/>
        </w:numPr>
        <w:spacing w:before="0" w:after="120" w:line="360" w:lineRule="auto"/>
        <w:jc w:val="both"/>
        <w:rPr>
          <w:b/>
          <w:bCs/>
          <w:spacing w:val="-4"/>
        </w:rPr>
      </w:pPr>
      <w:r w:rsidRPr="00DF0D90">
        <w:rPr>
          <w:b/>
          <w:bCs/>
          <w:spacing w:val="-4"/>
        </w:rPr>
        <w:t>Уровень убедительности рекомендаций – А (уровень достоверности доказательств – 2).</w:t>
      </w:r>
    </w:p>
    <w:p w14:paraId="1906814B" w14:textId="27B5D14D" w:rsidR="00845609" w:rsidRPr="00DF0D90" w:rsidRDefault="00845609" w:rsidP="000B32B8">
      <w:pPr>
        <w:autoSpaceDE w:val="0"/>
        <w:autoSpaceDN w:val="0"/>
        <w:adjustRightInd w:val="0"/>
        <w:spacing w:line="360" w:lineRule="auto"/>
        <w:ind w:firstLine="567"/>
        <w:jc w:val="both"/>
        <w:rPr>
          <w:rFonts w:eastAsia="BlissPro-Light"/>
          <w:i/>
        </w:rPr>
      </w:pPr>
      <w:r w:rsidRPr="00DF0D90">
        <w:rPr>
          <w:b/>
          <w:bCs/>
          <w:i/>
          <w:spacing w:val="-4"/>
        </w:rPr>
        <w:t>Комментарии:</w:t>
      </w:r>
      <w:r w:rsidRPr="00DF0D90">
        <w:rPr>
          <w:spacing w:val="-4"/>
        </w:rPr>
        <w:t xml:space="preserve"> </w:t>
      </w:r>
      <w:r w:rsidRPr="00DF0D90">
        <w:rPr>
          <w:i/>
          <w:iCs/>
          <w:spacing w:val="-4"/>
        </w:rPr>
        <w:t>лечение проводится под наблюдением врача-онколога непрерывно до появления объективных (подтвержденных КТ/МРТ) признаков прогрессирования заболевания, явлений непереносимой токсичности или декомпенсации сопутствующих заболеваний.</w:t>
      </w:r>
      <w:r w:rsidR="00505D3F" w:rsidRPr="00DF0D90">
        <w:rPr>
          <w:i/>
          <w:iCs/>
          <w:spacing w:val="-4"/>
        </w:rPr>
        <w:t xml:space="preserve"> Комбинация </w:t>
      </w:r>
      <w:proofErr w:type="spellStart"/>
      <w:r w:rsidR="00505D3F" w:rsidRPr="00DF0D90">
        <w:rPr>
          <w:i/>
          <w:iCs/>
          <w:spacing w:val="-4"/>
        </w:rPr>
        <w:t>дурвалумаба</w:t>
      </w:r>
      <w:proofErr w:type="spellEnd"/>
      <w:r w:rsidR="00505D3F" w:rsidRPr="00DF0D90">
        <w:rPr>
          <w:i/>
          <w:iCs/>
          <w:spacing w:val="-4"/>
        </w:rPr>
        <w:t>** и тремелимумаба** по данным рандомизированного клинического исследования 3 фазы (</w:t>
      </w:r>
      <w:r w:rsidR="00505D3F" w:rsidRPr="00DF0D90">
        <w:rPr>
          <w:i/>
          <w:iCs/>
          <w:spacing w:val="-4"/>
          <w:lang w:val="en-US"/>
        </w:rPr>
        <w:t>Himalaya</w:t>
      </w:r>
      <w:r w:rsidR="00505D3F" w:rsidRPr="00DF0D90">
        <w:rPr>
          <w:i/>
          <w:iCs/>
          <w:spacing w:val="-4"/>
        </w:rPr>
        <w:t xml:space="preserve">) продемонстрировала преимущество перед </w:t>
      </w:r>
      <w:proofErr w:type="spellStart"/>
      <w:r w:rsidR="00505D3F" w:rsidRPr="00DF0D90">
        <w:rPr>
          <w:i/>
          <w:iCs/>
          <w:spacing w:val="-4"/>
        </w:rPr>
        <w:t>сорафенибом</w:t>
      </w:r>
      <w:proofErr w:type="spellEnd"/>
      <w:r w:rsidR="00505D3F" w:rsidRPr="00DF0D90">
        <w:rPr>
          <w:i/>
          <w:iCs/>
          <w:spacing w:val="-4"/>
        </w:rPr>
        <w:t xml:space="preserve">** по общей выживаемости (медиана ОВ – 16,4 мес. </w:t>
      </w:r>
      <w:r w:rsidR="00505D3F" w:rsidRPr="00DF0D90">
        <w:rPr>
          <w:i/>
          <w:iCs/>
          <w:spacing w:val="-4"/>
          <w:lang w:val="en-US"/>
        </w:rPr>
        <w:t>vs</w:t>
      </w:r>
      <w:r w:rsidR="00505D3F" w:rsidRPr="00DF0D90">
        <w:rPr>
          <w:i/>
          <w:iCs/>
          <w:spacing w:val="-4"/>
        </w:rPr>
        <w:t>. 13,8 мес</w:t>
      </w:r>
      <w:r w:rsidR="001D7B82">
        <w:rPr>
          <w:i/>
          <w:iCs/>
          <w:spacing w:val="-4"/>
        </w:rPr>
        <w:t>.</w:t>
      </w:r>
      <w:r w:rsidR="00505D3F" w:rsidRPr="00DF0D90">
        <w:rPr>
          <w:i/>
          <w:iCs/>
          <w:spacing w:val="-4"/>
        </w:rPr>
        <w:t xml:space="preserve">). Кроме того, дурвалумаб** </w:t>
      </w:r>
      <w:r w:rsidR="000B32B8" w:rsidRPr="00DF0D90">
        <w:rPr>
          <w:i/>
          <w:iCs/>
          <w:spacing w:val="-4"/>
        </w:rPr>
        <w:t xml:space="preserve">в монотерапии </w:t>
      </w:r>
      <w:r w:rsidR="00505D3F" w:rsidRPr="00DF0D90">
        <w:rPr>
          <w:i/>
          <w:iCs/>
          <w:spacing w:val="-4"/>
        </w:rPr>
        <w:t xml:space="preserve">продемонстрировал не худшую общую выживаемость по сравнению с </w:t>
      </w:r>
      <w:proofErr w:type="spellStart"/>
      <w:r w:rsidR="00505D3F" w:rsidRPr="00DF0D90">
        <w:rPr>
          <w:i/>
          <w:iCs/>
          <w:spacing w:val="-4"/>
        </w:rPr>
        <w:t>сорафенибом</w:t>
      </w:r>
      <w:proofErr w:type="spellEnd"/>
      <w:r w:rsidR="00505D3F" w:rsidRPr="00DF0D90">
        <w:rPr>
          <w:i/>
          <w:iCs/>
          <w:spacing w:val="-4"/>
        </w:rPr>
        <w:t xml:space="preserve"> (медиана ОВ – 16,6 мес. </w:t>
      </w:r>
      <w:r w:rsidR="00505D3F" w:rsidRPr="00DF0D90">
        <w:rPr>
          <w:i/>
          <w:iCs/>
          <w:spacing w:val="-4"/>
          <w:lang w:val="en-US"/>
        </w:rPr>
        <w:t>vs</w:t>
      </w:r>
      <w:r w:rsidR="00505D3F" w:rsidRPr="00DF0D90">
        <w:rPr>
          <w:i/>
          <w:iCs/>
          <w:spacing w:val="-4"/>
        </w:rPr>
        <w:t>. 13,8 мес</w:t>
      </w:r>
      <w:r w:rsidR="001D7B82">
        <w:rPr>
          <w:i/>
          <w:iCs/>
          <w:spacing w:val="-4"/>
        </w:rPr>
        <w:t>.</w:t>
      </w:r>
      <w:r w:rsidR="0089476E" w:rsidRPr="00DF0D90">
        <w:rPr>
          <w:i/>
          <w:iCs/>
          <w:spacing w:val="-4"/>
        </w:rPr>
        <w:t>)</w:t>
      </w:r>
      <w:r w:rsidR="00DA7B5A" w:rsidRPr="00DF0D90">
        <w:rPr>
          <w:i/>
          <w:iCs/>
          <w:spacing w:val="-4"/>
        </w:rPr>
        <w:t xml:space="preserve">. </w:t>
      </w:r>
      <w:r w:rsidR="00DA7B5A" w:rsidRPr="00DF0D90">
        <w:rPr>
          <w:rFonts w:eastAsia="BlissPro-Light"/>
          <w:i/>
        </w:rPr>
        <w:t xml:space="preserve">Следует отметить, что в регистрационном исследовании </w:t>
      </w:r>
      <w:r w:rsidR="00DA7B5A" w:rsidRPr="00DF0D90">
        <w:rPr>
          <w:rFonts w:eastAsia="BlissPro-Light"/>
          <w:i/>
          <w:lang w:val="en-US"/>
        </w:rPr>
        <w:t>Himalay</w:t>
      </w:r>
      <w:r w:rsidR="00D02BE7" w:rsidRPr="00DF0D90">
        <w:rPr>
          <w:rFonts w:eastAsia="BlissPro-Light"/>
          <w:i/>
          <w:lang w:val="en-US"/>
        </w:rPr>
        <w:t>a</w:t>
      </w:r>
      <w:r w:rsidR="00DA7B5A" w:rsidRPr="00DF0D90">
        <w:rPr>
          <w:rFonts w:eastAsia="BlissPro-Light"/>
          <w:i/>
        </w:rPr>
        <w:t xml:space="preserve"> не включались пациенты с распространенным тромбозом (тип 4</w:t>
      </w:r>
      <w:r w:rsidR="00B4170D" w:rsidRPr="00DF0D90">
        <w:rPr>
          <w:rFonts w:eastAsia="BlissPro-Light"/>
          <w:i/>
        </w:rPr>
        <w:t>-5</w:t>
      </w:r>
      <w:r w:rsidR="000B32B8" w:rsidRPr="00DF0D90">
        <w:rPr>
          <w:rFonts w:eastAsia="BlissPro-Light"/>
          <w:i/>
        </w:rPr>
        <w:t xml:space="preserve"> </w:t>
      </w:r>
      <w:r w:rsidR="00B4170D" w:rsidRPr="00DF0D90">
        <w:rPr>
          <w:rFonts w:eastAsia="BlissPro-Light"/>
          <w:i/>
        </w:rPr>
        <w:t>-</w:t>
      </w:r>
      <w:r w:rsidR="00DA7B5A" w:rsidRPr="00DF0D90">
        <w:rPr>
          <w:rFonts w:eastAsia="BlissPro-Light"/>
          <w:i/>
        </w:rPr>
        <w:t xml:space="preserve"> ствол воротной вены</w:t>
      </w:r>
      <w:r w:rsidR="00B4170D" w:rsidRPr="00DF0D90">
        <w:rPr>
          <w:rFonts w:eastAsia="BlissPro-Light"/>
          <w:i/>
        </w:rPr>
        <w:t>)</w:t>
      </w:r>
      <w:r w:rsidR="00DA7B5A" w:rsidRPr="00DF0D90">
        <w:rPr>
          <w:rFonts w:eastAsia="BlissPro-Light"/>
          <w:i/>
        </w:rPr>
        <w:t>.</w:t>
      </w:r>
    </w:p>
    <w:p w14:paraId="5C797A6F" w14:textId="65A35CF4" w:rsidR="000B32B8" w:rsidRPr="00DF0D90" w:rsidRDefault="00C47CD1" w:rsidP="00BD2E7C">
      <w:pPr>
        <w:pStyle w:val="af2"/>
        <w:numPr>
          <w:ilvl w:val="0"/>
          <w:numId w:val="34"/>
        </w:numPr>
        <w:spacing w:after="120" w:line="360" w:lineRule="auto"/>
        <w:ind w:left="0" w:firstLine="567"/>
        <w:jc w:val="both"/>
      </w:pPr>
      <w:r w:rsidRPr="0043377B">
        <w:rPr>
          <w:b/>
          <w:bCs/>
        </w:rPr>
        <w:t>Рекомендуется</w:t>
      </w:r>
      <w:r>
        <w:t xml:space="preserve"> в</w:t>
      </w:r>
      <w:r w:rsidR="000B32B8" w:rsidRPr="00DF0D90">
        <w:t xml:space="preserve">ариантом лечения 1 </w:t>
      </w:r>
      <w:r w:rsidR="001D7B82" w:rsidRPr="00DF0D90">
        <w:t>линии моно</w:t>
      </w:r>
      <w:r w:rsidR="000B32B8" w:rsidRPr="00DF0D90">
        <w:t>-иммунотерапия дурвалумабом** в дозе 1500 мг в/в 1 раз в 4 недели [129].</w:t>
      </w:r>
    </w:p>
    <w:p w14:paraId="44A27DAB" w14:textId="44B3AA30" w:rsidR="000B32B8" w:rsidRPr="00DF0D90" w:rsidRDefault="000B32B8" w:rsidP="004F7795">
      <w:pPr>
        <w:pStyle w:val="a"/>
        <w:numPr>
          <w:ilvl w:val="0"/>
          <w:numId w:val="0"/>
        </w:numPr>
        <w:spacing w:before="0" w:after="120" w:line="360" w:lineRule="auto"/>
        <w:jc w:val="both"/>
        <w:rPr>
          <w:b/>
          <w:bCs/>
          <w:spacing w:val="-4"/>
        </w:rPr>
      </w:pPr>
      <w:r w:rsidRPr="00DF0D90">
        <w:rPr>
          <w:b/>
          <w:bCs/>
          <w:spacing w:val="-4"/>
        </w:rPr>
        <w:t>Уровень убедительности рекомендаций – А (уровень достоверности доказательств – 2).</w:t>
      </w:r>
    </w:p>
    <w:p w14:paraId="45FDEF8F" w14:textId="7C657D01" w:rsidR="00630BAC" w:rsidRPr="00DF0D90" w:rsidRDefault="005D49BB" w:rsidP="00BD2E7C">
      <w:pPr>
        <w:pStyle w:val="af2"/>
        <w:numPr>
          <w:ilvl w:val="0"/>
          <w:numId w:val="34"/>
        </w:numPr>
        <w:spacing w:after="120" w:line="360" w:lineRule="auto"/>
        <w:ind w:left="0" w:firstLine="567"/>
        <w:jc w:val="both"/>
      </w:pPr>
      <w:r w:rsidRPr="00DF0D90">
        <w:t>В качестве альтернативных опций</w:t>
      </w:r>
      <w:r w:rsidR="00630BAC" w:rsidRPr="00DF0D90">
        <w:t xml:space="preserve"> 1 линии системной терапии ГЦР </w:t>
      </w:r>
      <w:r w:rsidRPr="00DF0D90">
        <w:rPr>
          <w:b/>
        </w:rPr>
        <w:t>рекомендуются</w:t>
      </w:r>
      <w:r w:rsidR="00043442" w:rsidRPr="00DF0D90">
        <w:rPr>
          <w:b/>
        </w:rPr>
        <w:t xml:space="preserve"> </w:t>
      </w:r>
      <w:r w:rsidRPr="00DF0D90">
        <w:t xml:space="preserve">ингибиторы протеинкиназ </w:t>
      </w:r>
      <w:r w:rsidR="00630BAC" w:rsidRPr="00DF0D90">
        <w:t xml:space="preserve">сорафениб** или ленватиниб** </w:t>
      </w:r>
      <w:r w:rsidR="00CB49BC" w:rsidRPr="00DF0D90">
        <w:t xml:space="preserve">  </w:t>
      </w:r>
      <w:r w:rsidR="006E62FD" w:rsidRPr="00DF0D90">
        <w:fldChar w:fldCharType="begin" w:fldLock="1"/>
      </w:r>
      <w:r w:rsidR="007335C5" w:rsidRPr="00DF0D90">
        <w:instrText>ADDIN CSL_CITATION {"citationItems":[{"id":"ITEM-1","itemData":{"DOI":"10.1056/nejmoa0708857","ISSN":"0028-4793","PMID":"18650514","abstract":"BACKGROUND No effective systemic therapy exists for patients with advanced hepatocellular carcinoma. A preliminary study suggested that sorafenib, an oral multikinase inhibitor of the vascular endothelial growth factor receptor, the platelet-derived growth factor receptor, and Raf may be effective in hepatocellular carcinoma. METHODS In this multicenter, phase 3, double-blind, placebo-controlled trial, we randomly assigned 602 patients with advanced hepatocellular carcinoma who had not received previous systemic treatment to receive either sorafenib (at a dose of 400 mg twice daily) or placebo. Primary outcomes were overall survival and the time to symptomatic progression. Secondary outcomes included the time to radiologic progression and safety. RESULTS At the second planned interim analysis, 321 deaths had occurred, and the study was stopped. Median overall survival was 10.7 months in the sorafenib group and 7.9 months in the placebo group (hazard ratio in the sorafenib group, 0.69; 95% confidence interval, 0.55 to 0.87; P&lt;0.001). There was no significant difference between the two groups in the median time to symptomatic progression (4.1 months vs. 4.9 months, respectively, P=0.77). The median time to radiologic progression was 5.5 months in the sorafenib group and 2.8 months in the placebo group (P&lt;0.001). Seven patients in the sorafenib group (2%) and two patients in the placebo group (1%) had a partial response; no patients had a complete response. Diarrhea, weight loss, hand-foot skin reaction, and hypophosphatemia were more frequent in the sorafenib group. CONCLUSIONS In patients with advanced hepatocellular carcinoma, median survival and the time to radiologic progression were nearly 3 months longer for patients treated with sorafenib than for those given placebo. (ClinicalTrials.gov number, NCT00105443.)","author":[{"dropping-particle":"","family":"Llovet","given":"Josep M.","non-dropping-particle":"","parse-names":false,"suffix":""},{"dropping-particle":"","family":"Ricci","given":"Sergio","non-dropping-particle":"","parse-names":false,"suffix":""},{"dropping-particle":"","family":"Mazzaferro","given":"Vincenzo","non-dropping-particle":"","parse-names":false,"suffix":""},{"dropping-particle":"","family":"Hilgard","given":"Philip","non-dropping-particle":"","parse-names":false,"suffix":""},{"dropping-particle":"","family":"Gane","given":"Edward","non-dropping-particle":"","parse-names":false,"suffix":""},{"dropping-particle":"","family":"Blanc","given":"Jean-Frédéric","non-dropping-particle":"","parse-names":false,"suffix":""},{"dropping-particle":"","family":"Oliveira","given":"Andre Cosme","non-dropping-particle":"de","parse-names":false,"suffix":""},{"dropping-particle":"","family":"Santoro","given":"Armando","non-dropping-particle":"","parse-names":false,"suffix":""},{"dropping-particle":"","family":"Raoul","given":"Jean-Luc","non-dropping-particle":"","parse-names":false,"suffix":""},{"dropping-particle":"","family":"Forner","given":"Alejandro","non-dropping-particle":"","parse-names":false,"suffix":""},{"dropping-particle":"","family":"Schwartz","given":"Myron","non-dropping-particle":"","parse-names":false,"suffix":""},{"dropping-particle":"","family":"Porta","given":"Camillo","non-dropping-particle":"","parse-names":false,"suffix":""},{"dropping-particle":"","family":"Zeuzem","given":"Stefan","non-dropping-particle":"","parse-names":false,"suffix":""},{"dropping-particle":"","family":"Bolondi","given":"Luigi","non-dropping-particle":"","parse-names":false,"suffix":""},{"dropping-particle":"","family":"Greten","given":"Tim F.","non-dropping-particle":"","parse-names":false,"suffix":""},{"dropping-particle":"","family":"Galle","given":"Peter R.","non-dropping-particle":"","parse-names":false,"suffix":""},{"dropping-particle":"","family":"Seitz","given":"Jean-François","non-dropping-particle":"","parse-names":false,"suffix":""},{"dropping-particle":"","family":"Borbath","given":"Ivan","non-dropping-particle":"","parse-names":false,"suffix":""},{"dropping-particle":"","family":"Häussinger","given":"Dieter","non-dropping-particle":"","parse-names":false,"suffix":""},{"dropping-particle":"","family":"Giannaris","given":"Tom","non-dropping-particle":"","parse-names":false,"suffix":""},{"dropping-particle":"","family":"Shan","given":"Minghua","non-dropping-particle":"","parse-names":false,"suffix":""},{"dropping-particle":"","family":"Moscovici","given":"Marius","non-dropping-particle":"","parse-names":false,"suffix":""},{"dropping-particle":"","family":"Voliotis","given":"Dimitris","non-dropping-particle":"","parse-names":false,"suffix":""},{"dropping-particle":"","family":"Bruix","given":"Jordi","non-dropping-particle":"","parse-names":false,"suffix":""}],"container-title":"New England Journal of Medicine","id":"ITEM-1","issue":"4","issued":{"date-parts":[["2008","7","24"]]},"page":"378-390","title":"Sorafenib in Advanced Hepatocellular Carcinoma","type":"article-journal","volume":"359"},"uris":["http://www.mendeley.com/documents/?uuid=811c05bd-809b-31fb-a255-4d87fe0e98c3"]},{"id":"ITEM-2","itemData":{"DOI":"10.1016/S1470-2045(08)70285-7","ISSN":"14702045","PMID":"19095497","abstract":"Background: Most cases of hepatocellular carcinoma occur in the Asia-Pacific region, where chronic hepatitis B infection is an important aetiological factor. Assessing the efficacy and safety of new therapeutic options in an Asia-Pacific population is thus important. We did a multinational phase III, randomised, double-blind, placebo-controlled trial to assess the efficacy and safety of sorafenib in patients from the Asia-Pacific region with advanced (unresectable or metastatic) hepatocellular carcinoma. Methods: Between Sept 20, 2005, and Jan 31, 2007, patients with hepatocellular carcinoma who had not received previous systemic therapy and had Child-Pugh liver function class A, were randomly assigned to receive either oral sorafenib (400 mg) or placebo twice daily in 6-week cycles, with efficacy measured at the end of each 6-week period. Eligible patients were stratified by the presence or absence of macroscopic vascular invasion or extrahepatic spread (or both), Eastern Cooperative Oncology Group performance status, and geographical region. Randomisation was done centrally and in a 2:1 ratio by means of an interactive voice-response system. There was no predefined primary endpoint; overall survival, time to progression (TTP), time to symptomatic progression (TTSP), disease control rate (DCR), and safety were assessed. Efficacy analyses were done by intention to treat. This trial is registered with ClinicalTrials.gov, number NCT00492752. Findings: 271 patients from 23 centres in China, South Korea, and Taiwan were enrolled in the study. Of these, 226 patients were randomly assigned to the experimental group (n=150) or to the placebo group (n=76). Median overall survival was 6·5 months (95% CI 5·56-7·56) in patients treated with sorafenib, compared with 4·2 months (3·75-5·46) in those who received placebo (hazard ratio [HR] 0·68 [95% CI 0·50-0·93]; p=0·014). Median TTP was 2·8 months (2·63-3·58) in the sorafenib group compared with 1·4 months (1·35-1·55) in the placebo group (HR 0·57 [0·42-0·79]; p=0·0005). The most frequently reported grade 3/4 drug-related adverse events in the 149 assessable patients treated with sorafenib were hand-foot skin reaction (HFSR; 16 patients [10·7%]), diarrhoea (nine patients [6·0%]), and fatigue (five patients [3·4%]). The most common adverse events resulting in dose reductions were HFSR (17 patients [11·4%]) and diarrhoea (11 patients [7·4%]); these adverse events rarely led to discontinuation. Interpretation: Sorafeni…","author":[{"dropping-particle":"","family":"Cheng","given":"Ann Lii","non-dropping-particle":"","parse-names":false,"suffix":""},{"dropping-particle":"","family":"Kang","given":"Yoon Koo","non-dropping-particle":"","parse-names":false,"suffix":""},{"dropping-particle":"","family":"Chen","given":"Zhendong","non-dropping-particle":"","parse-names":false,"suffix":""},{"dropping-particle":"","family":"Tsao","given":"Chao Jung","non-dropping-particle":"","parse-names":false,"suffix":""},{"dropping-particle":"","family":"Qin","given":"Shukui","non-dropping-particle":"","parse-names":false,"suffix":""},{"dropping-particle":"","family":"Kim","given":"Jun Suk","non-dropping-particle":"","parse-names":false,"suffix":""},{"dropping-particle":"","family":"Luo","given":"Rongcheng","non-dropping-particle":"","parse-names":false,"suffix":""},{"dropping-particle":"","family":"Feng","given":"Jifeng","non-dropping-particle":"","parse-names":false,"suffix":""},{"dropping-particle":"","family":"Ye","given":"Shenglong","non-dropping-particle":"","parse-names":false,"suffix":""},{"dropping-particle":"","family":"Yang","given":"Tsai Sheng","non-dropping-particle":"","parse-names":false,"suffix":""},{"dropping-particle":"","family":"Xu","given":"Jianming","non-dropping-particle":"","parse-names":false,"suffix":""},{"dropping-particle":"","family":"Sun","given":"Yan","non-dropping-particle":"","parse-names":false,"suffix":""},{"dropping-particle":"","family":"Liang","given":"Houjie","non-dropping-particle":"","parse-names":false,"suffix":""},{"dropping-particle":"","family":"Liu","given":"Jiwei","non-dropping-particle":"","parse-names":false,"suffix":""},{"dropping-particle":"","family":"Wang","given":"Jiejun","non-dropping-particle":"","parse-names":false,"suffix":""},{"dropping-particle":"","family":"Tak","given":"Won Young","non-dropping-particle":"","parse-names":false,"suffix":""},{"dropping-particle":"","family":"Pan","given":"Hongming","non-dropping-particle":"","parse-names":false,"suffix":""},{"dropping-particle":"","family":"Burock","given":"Karin","non-dropping-particle":"","parse-names":false,"suffix":""},{"dropping-particle":"","family":"Zou","given":"Jessie","non-dropping-particle":"","parse-names":false,"suffix":""},{"dropping-particle":"","family":"Voliotis","given":"Dimitris","non-dropping-particle":"","parse-names":false,"suffix":""},{"dropping-particle":"","family":"Guan","given":"Zhongzhen","non-dropping-particle":"","parse-names":false,"suffix":""}],"container-title":"The Lancet Oncology","id":"ITEM-2","issue":"1","issued":{"date-parts":[["2009","1"]]},"page":"25-34","title":"Efficacy and safety of sorafenib in patients in the Asia-Pacific region with advanced hepatocellular carcinoma: a phase III randomised, double-blind, placebo-controlled trial","type":"article-journal","volume":"10"},"uris":["http://www.mendeley.com/documents/?uuid=a793b411-aef3-3985-8e16-bf312fa0d2c4"]},{"id":"ITEM-3","itemData":{"DOI":"10.1016/j.jhep.2012.06.014","ISSN":"01688278","PMID":"22727733","abstract":"Background &amp; Aims: The Sorafenib Hepatocellular Carcinoma (HCC) Assessment Randomized Protocol (SHARP) trial demonstrated that sorafenib improves overall survival and is safe for patients with advanced HCC. In this trial, 602 patients with well-preserved liver function (&gt;95% Child-Pugh A) were randomized to receive either sorafenib 400 mg or matching placebo orally b.i.d. on a continuous basis. Because HCC is a heterogeneous disease, baseline patient characteristics may affect individual responses to treatment. In a comprehensive series of exploratory subgroup analyses, data from the SHARP trial were analyzed to discern if baseline patient characteristics influenced the efficacy and safety of sorafenib. Methods: Five subgroup domains were assessed: disease etiology, tumor burden, performance status, tumor stage, and prior therapy. Overall survival (OS), time to progression (TTP), disease control rate (DCR), and safety were assessed for subgroups within each domain. Results: Subgroup analyses showed that sorafenib consistently improved median OS compared with placebo, as reflected by hazard ratios (HRs) of 0.50-0.85, similar to the complete cohort (HR = 0.69). Sorafenib also consistently improved median TTP (HR, 0.40-0.64), except in HBV-positive patients (HR, 1.03), and DCR. Results are limited by small patient numbers in some subsets. The most common grade 3/4 adverse events included diarrhea, hand-foot skin reaction, and fatigue; the incidence of which did not differ appreciably among subgroups. Conclusions: These exploratory subgroup analyses showed that sorafenib consistently improved median OS and DCR compared with placebo in patients with advanced HCC, irrespective of disease etiology, baseline tumor burden, performance status, tumor stage, and prior therapy. © 2012 European Association for the Study of the Liver. Published by Elsevier B.V. All rights reserved.","author":[{"dropping-particle":"","family":"Bruix","given":"Jordi","non-dropping-particle":"","parse-names":false,"suffix":""},{"dropping-particle":"","family":"Raoul","given":"Jean Luc","non-dropping-particle":"","parse-names":false,"suffix":""},{"dropping-particle":"","family":"Sherman","given":"Morris","non-dropping-particle":"","parse-names":false,"suffix":""},{"dropping-particle":"","family":"Mazzaferro","given":"Vincenzo","non-dropping-particle":"","parse-names":false,"suffix":""},{"dropping-particle":"","family":"Bolondi","given":"Luigi","non-dropping-particle":"","parse-names":false,"suffix":""},{"dropping-particle":"","family":"Craxi","given":"Antonio","non-dropping-particle":"","parse-names":false,"suffix":""},{"dropping-particle":"","family":"Galle","given":"Peter R.","non-dropping-particle":"","parse-names":false,"suffix":""},{"dropping-particle":"","family":"Santoro","given":"Armando","non-dropping-particle":"","parse-names":false,"suffix":""},{"dropping-particle":"","family":"Beaugrand","given":"Michel","non-dropping-particle":"","parse-names":false,"suffix":""},{"dropping-particle":"","family":"Sangiovanni","given":"Angelo","non-dropping-particle":"","parse-names":false,"suffix":""},{"dropping-particle":"","family":"Porta","given":"Camillo","non-dropping-particle":"","parse-names":false,"suffix":""},{"dropping-particle":"","family":"Gerken","given":"Guido","non-dropping-particle":"","parse-names":false,"suffix":""},{"dropping-particle":"","family":"Marrero","given":"Jorge A.","non-dropping-particle":"","parse-names":false,"suffix":""},{"dropping-particle":"","family":"Nadel","given":"Andrea","non-dropping-particle":"","parse-names":false,"suffix":""},{"dropping-particle":"","family":"Shan","given":"Michael","non-dropping-particle":"","parse-names":false,"suffix":""},{"dropping-particle":"","family":"Moscovici","given":"Marius","non-dropping-particle":"","parse-names":false,"suffix":""},{"dropping-particle":"","family":"Voliotis","given":"Dimitris","non-dropping-particle":"","parse-names":false,"suffix":""},{"dropping-particle":"","family":"Llovet","given":"Josep M.","non-dropping-particle":"","parse-names":false,"suffix":""}],"container-title":"Journal of Hepatology","id":"ITEM-3","issue":"4","issued":{"date-parts":[["2012","10"]]},"page":"821-829","title":"Efficacy and safety of sorafenib in patients with advanced hepatocellular carcinoma: Subanalyses of a phase III trial","type":"article-journal","volume":"57"},"uris":["http://www.mendeley.com/documents/?uuid=ff06944e-1c8c-3a4c-9201-85371f490529"]},{"id":"ITEM-4","itemData":{"DOI":"10.1016/S0140-6736(18)30207-1","ISSN":"1474547X","PMID":"29433850","abstract":"Background: In a phase 2 trial, lenvatinib, an inhibitor of VEGF receptors 1–3, FGF receptors 1–4, PDGF receptor α RET, and KIT, showed activity in hepatocellular carcinoma. We aimed to compare overall survival in patients treated with lenvatinib versus sorafenib as a first-line treatment for unresectable hepatocellular carcinoma. Methods: This was an open-label, phase 3, multicentre, non-inferiority trial that recruited patients with unresectable hepatocellular carcinoma, who had not received treatment for advanced disease, at 154 sites in 20 countries throughout the Asia-Pacific, European, and North American regions. Patients were randomly assigned (1:1) via an interactive voice–web response system—with region; macroscopic portal vein invasion, extrahepatic spread, or both; Eastern Cooperative Oncology Group performance status; and bodyweight as stratification factors—to receive oral lenvatinib (12 mg/day for bodyweight ≥60 kg or 8 mg/day for bodyweight &lt;60 kg) or sorafenib 400 mg twice-daily in 28-day cycles. The primary endpoint was overall survival, measured from the date of randomisation until the date of death from any cause. The efficacy analysis followed the intention-to-treat principle, and only patients who received treatment were included in the safety analysis. The non-inferiority margin was set at 1·08. The trial is registered with ClinicalTrials.gov, number NCT01761266. Findings: Between March 1, 2013 and July 30, 2015, 1492 patients were recruited. 954 eligible patients were randomly assigned to lenvatinib (n=478) or sorafenib (n=476). Median survival time for lenvatinib of 13·6 months (95% CI 12·1–14·9) was non-inferior to sorafenib (12·3 months, 10·4–13·9; hazard ratio 0·92, 95% CI 0·79–1·06), meeting criteria for non-inferiority. The most common any-grade adverse events were hypertension (201 [42%]), diarrhoea (184 [39%]), decreased appetite (162 [34%]), and decreased weight (147 [31%]) for lenvatinib, and palmar-plantar erythrodysaesthesia (249 [52%]), diarrhoea (220 [46%]), hypertension (144 [30%]), and decreased appetite (127 [27%]) for sorafenib. Interpretation: Lenvatinib was non-inferior to sorafenib in overall survival in untreated advanced hepatocellular carcinoma. The safety and tolerability profiles of lenvatinib were consistent with those previously observed. Funding: Eisai Inc.","author":[{"dropping-particle":"","family":"Kudo","given":"Masatoshi","non-dropping-particle":"","parse-names":false,"suffix":""},{"dropping-particle":"","family":"Finn","given":"Richard S","non-dropping-particle":"","parse-names":false,"suffix":""},{"dropping-particle":"","family":"Qin","given":"Shukui","non-dropping-particle":"","parse-names":false,"suffix":""},{"dropping-particle":"","family":"Han","given":"Kwang Hyub","non-dropping-particle":"","parse-names":false,"suffix":""},{"dropping-particle":"","family":"Ikeda","given":"Kenji","non-dropping-particle":"","parse-names":false,"suffix":""},{"dropping-particle":"","family":"Piscaglia","given":"Fabio","non-dropping-particle":"","parse-names":false,"suffix":""},{"dropping-particle":"","family":"Baron","given":"Ari","non-dropping-particle":"","parse-names":false,"suffix":""},{"dropping-particle":"","family":"Park","given":"Joong Won","non-dropping-particle":"","parse-names":false,"suffix":""},{"dropping-particle":"","family":"Han","given":"Guohong","non-dropping-particle":"","parse-names":false,"suffix":""},{"dropping-particle":"","family":"Jassem","given":"Jacek","non-dropping-particle":"","parse-names":false,"suffix":""},{"dropping-particle":"","family":"Blanc","given":"Jean Frederic","non-dropping-particle":"","parse-names":false,"suffix":""},{"dropping-particle":"","family":"Vogel","given":"Arndt","non-dropping-particle":"","parse-names":false,"suffix":""},{"dropping-particle":"","family":"Komov","given":"Dmitry","non-dropping-particle":"","parse-names":false,"suffix":""},{"dropping-particle":"","family":"Evans","given":"T. R.Jeffry","non-dropping-particle":"","parse-names":false,"suffix":""},{"dropping-particle":"","family":"Lopez","given":"Carlos","non-dropping-particle":"","parse-names":false,"suffix":""},{"dropping-particle":"","family":"Dutcus","given":"Corina","non-dropping-particle":"","parse-names":false,"suffix":""},{"dropping-particle":"","family":"Guo","given":"Matthew","non-dropping-particle":"","parse-names":false,"suffix":""},{"dropping-particle":"","family":"Saito","given":"Kenichi","non-dropping-particle":"","parse-names":false,"suffix":""},{"dropping-particle":"","family":"Kraljevic","given":"Silvija","non-dropping-particle":"","parse-names":false,"suffix":""},{"dropping-particle":"","family":"Tamai","given":"Toshiyuki","non-dropping-particle":"","parse-names":false,"suffix":""},{"dropping-particle":"","family":"Ren","given":"Min","non-dropping-particle":"","parse-names":false,"suffix":""},{"dropping-particle":"","family":"Cheng","given":"Ann Lii","non-dropping-particle":"","parse-names":false,"suffix":""}],"container-title":"The Lancet","id":"ITEM-4","issue":"10126","issued":{"date-parts":[["2018","3"]]},"page":"1163-1173","title":"Lenvatinib versus sorafenib in first-line treatment of patients with unresectable hepatocellular carcinoma: a randomised phase 3 non-inferiority trial","type":"article-journal","volume":"391"},"uris":["http://www.mendeley.com/documents/?uuid=cd09b9ac-55b0-3c51-8db3-e1f39b050af7"]}],"mendeley":{"formattedCitation":"[87–90]","plainTextFormattedCitation":"[87–90]","previouslyFormattedCitation":"[87–90]"},"properties":{"noteIndex":0},"schema":"https://github.com/citation-style-language/schema/raw/master/csl-citation.json"}</w:instrText>
      </w:r>
      <w:r w:rsidR="006E62FD" w:rsidRPr="00DF0D90">
        <w:fldChar w:fldCharType="separate"/>
      </w:r>
      <w:r w:rsidR="007335C5" w:rsidRPr="00DF0D90">
        <w:rPr>
          <w:noProof/>
        </w:rPr>
        <w:t>[87–90]</w:t>
      </w:r>
      <w:r w:rsidR="006E62FD" w:rsidRPr="00DF0D90">
        <w:fldChar w:fldCharType="end"/>
      </w:r>
      <w:r w:rsidR="00630BAC" w:rsidRPr="00DF0D90">
        <w:t xml:space="preserve">. </w:t>
      </w:r>
    </w:p>
    <w:p w14:paraId="39DC2B20" w14:textId="77777777" w:rsidR="00630BAC" w:rsidRPr="00DF0D90" w:rsidRDefault="00630BAC" w:rsidP="00BD2E7C">
      <w:pPr>
        <w:pStyle w:val="afa"/>
        <w:spacing w:after="120" w:line="360" w:lineRule="auto"/>
        <w:jc w:val="both"/>
      </w:pPr>
      <w:r w:rsidRPr="00DF0D90">
        <w:rPr>
          <w:shd w:val="clear" w:color="auto" w:fill="FFFFFF"/>
        </w:rPr>
        <w:t>Уровень убедительности рекомендаций – А</w:t>
      </w:r>
      <w:r w:rsidR="00043442" w:rsidRPr="00DF0D90">
        <w:rPr>
          <w:shd w:val="clear" w:color="auto" w:fill="FFFFFF"/>
          <w:lang w:val="ru-RU"/>
        </w:rPr>
        <w:t xml:space="preserve"> </w:t>
      </w:r>
      <w:r w:rsidRPr="00DF0D90">
        <w:rPr>
          <w:shd w:val="clear" w:color="auto" w:fill="FFFFFF"/>
        </w:rPr>
        <w:t xml:space="preserve">(уровень достоверности доказательств – </w:t>
      </w:r>
      <w:r w:rsidR="004F3DD2" w:rsidRPr="00DF0D90">
        <w:t>2</w:t>
      </w:r>
      <w:r w:rsidRPr="00DF0D90">
        <w:rPr>
          <w:shd w:val="clear" w:color="auto" w:fill="FFFFFF"/>
        </w:rPr>
        <w:t>).</w:t>
      </w:r>
    </w:p>
    <w:p w14:paraId="4E6F2CDC" w14:textId="1457ABE4" w:rsidR="00630BAC" w:rsidRPr="00DF0D90" w:rsidRDefault="00630BAC" w:rsidP="00BD2E7C">
      <w:pPr>
        <w:spacing w:after="120" w:line="360" w:lineRule="auto"/>
        <w:jc w:val="both"/>
        <w:rPr>
          <w:i/>
          <w:spacing w:val="-2"/>
        </w:rPr>
      </w:pPr>
      <w:r w:rsidRPr="00DF0D90">
        <w:rPr>
          <w:b/>
          <w:i/>
          <w:spacing w:val="-2"/>
        </w:rPr>
        <w:t>Комментарии:</w:t>
      </w:r>
      <w:r w:rsidRPr="00DF0D90">
        <w:rPr>
          <w:b/>
          <w:spacing w:val="-2"/>
        </w:rPr>
        <w:t xml:space="preserve"> </w:t>
      </w:r>
      <w:r w:rsidRPr="00DF0D90">
        <w:rPr>
          <w:i/>
          <w:spacing w:val="-2"/>
        </w:rPr>
        <w:t>лечение проводится</w:t>
      </w:r>
      <w:r w:rsidR="00DD14EB" w:rsidRPr="00DF0D90">
        <w:rPr>
          <w:i/>
          <w:spacing w:val="-2"/>
        </w:rPr>
        <w:t xml:space="preserve"> под наблюдением врача-онколога</w:t>
      </w:r>
      <w:r w:rsidRPr="00DF0D90">
        <w:rPr>
          <w:i/>
          <w:spacing w:val="-2"/>
        </w:rPr>
        <w:t xml:space="preserve"> непрерывно до появления объективных (подтверж</w:t>
      </w:r>
      <w:r w:rsidRPr="00DF0D90">
        <w:rPr>
          <w:i/>
          <w:spacing w:val="-2"/>
        </w:rPr>
        <w:softHyphen/>
        <w:t>денных КТ/МРТ) признаков прогрессирования заболевания, явлений непереносимой токсичности или декомпенсации сопутствующих заболеваний.</w:t>
      </w:r>
      <w:bookmarkEnd w:id="95"/>
      <w:r w:rsidRPr="00DF0D90">
        <w:rPr>
          <w:i/>
          <w:spacing w:val="-2"/>
        </w:rPr>
        <w:t xml:space="preserve"> Терапия ГЦР, прогрессирующего после трансплантации печени (на фоне </w:t>
      </w:r>
      <w:proofErr w:type="spellStart"/>
      <w:r w:rsidRPr="00DF0D90">
        <w:rPr>
          <w:i/>
          <w:spacing w:val="-2"/>
        </w:rPr>
        <w:t>иммуносупрессивной</w:t>
      </w:r>
      <w:proofErr w:type="spellEnd"/>
      <w:r w:rsidRPr="00DF0D90">
        <w:rPr>
          <w:i/>
          <w:spacing w:val="-2"/>
        </w:rPr>
        <w:t xml:space="preserve"> терапии), сопровождается более выраженной токсичностью. Переносимость </w:t>
      </w:r>
      <w:proofErr w:type="spellStart"/>
      <w:r w:rsidRPr="00DF0D90">
        <w:rPr>
          <w:i/>
          <w:spacing w:val="-2"/>
        </w:rPr>
        <w:t>ленватиниба</w:t>
      </w:r>
      <w:proofErr w:type="spellEnd"/>
      <w:r w:rsidRPr="00DF0D90">
        <w:rPr>
          <w:b/>
          <w:i/>
          <w:spacing w:val="-2"/>
        </w:rPr>
        <w:t>**</w:t>
      </w:r>
      <w:r w:rsidRPr="00DF0D90">
        <w:rPr>
          <w:i/>
          <w:spacing w:val="-2"/>
        </w:rPr>
        <w:t xml:space="preserve"> в этой группе </w:t>
      </w:r>
      <w:r w:rsidR="00716ADB" w:rsidRPr="00DF0D90">
        <w:rPr>
          <w:i/>
          <w:spacing w:val="-2"/>
        </w:rPr>
        <w:t>пациентов</w:t>
      </w:r>
      <w:r w:rsidR="0017591B" w:rsidRPr="00DF0D90">
        <w:rPr>
          <w:i/>
          <w:spacing w:val="-2"/>
        </w:rPr>
        <w:t xml:space="preserve"> </w:t>
      </w:r>
      <w:r w:rsidRPr="00DF0D90">
        <w:rPr>
          <w:i/>
          <w:spacing w:val="-2"/>
        </w:rPr>
        <w:t>изучена недостаточно; рекомендуется начинать с 8 мг/сут, при хорошей переносимости в течение 10–14 дней доза может быть увеличена до 12 мг/сут.</w:t>
      </w:r>
    </w:p>
    <w:p w14:paraId="1A18E3A5" w14:textId="77777777" w:rsidR="00630BAC" w:rsidRPr="00DF0D90" w:rsidRDefault="00630BAC" w:rsidP="006D217F">
      <w:pPr>
        <w:autoSpaceDE w:val="0"/>
        <w:autoSpaceDN w:val="0"/>
        <w:adjustRightInd w:val="0"/>
        <w:spacing w:after="120" w:line="360" w:lineRule="auto"/>
        <w:ind w:firstLine="567"/>
        <w:jc w:val="both"/>
        <w:rPr>
          <w:i/>
        </w:rPr>
      </w:pPr>
      <w:r w:rsidRPr="00DF0D90">
        <w:rPr>
          <w:i/>
        </w:rPr>
        <w:lastRenderedPageBreak/>
        <w:t xml:space="preserve">Режим применения </w:t>
      </w:r>
      <w:proofErr w:type="spellStart"/>
      <w:r w:rsidRPr="00DF0D90">
        <w:rPr>
          <w:i/>
        </w:rPr>
        <w:t>ленватиниба</w:t>
      </w:r>
      <w:proofErr w:type="spellEnd"/>
      <w:r w:rsidRPr="00DF0D90">
        <w:rPr>
          <w:i/>
        </w:rPr>
        <w:t xml:space="preserve">** зависит от исходного веса пациента: для </w:t>
      </w:r>
      <w:r w:rsidR="0017591B" w:rsidRPr="00DF0D90">
        <w:rPr>
          <w:i/>
        </w:rPr>
        <w:t xml:space="preserve">больных </w:t>
      </w:r>
      <w:r w:rsidRPr="00DF0D90">
        <w:rPr>
          <w:i/>
        </w:rPr>
        <w:t xml:space="preserve">с массой тела ≥60 кг лечение начинается с дозы 12 мг/сут однократно, для пациентов с массой &lt;60 кг – с разовой суточной дозы 8 мг. </w:t>
      </w:r>
    </w:p>
    <w:p w14:paraId="47E1DDC0" w14:textId="77777777" w:rsidR="00630BAC" w:rsidRPr="00DF0D90" w:rsidRDefault="00630BAC" w:rsidP="006D217F">
      <w:pPr>
        <w:autoSpaceDE w:val="0"/>
        <w:autoSpaceDN w:val="0"/>
        <w:adjustRightInd w:val="0"/>
        <w:spacing w:after="120" w:line="360" w:lineRule="auto"/>
        <w:ind w:firstLine="567"/>
        <w:jc w:val="both"/>
        <w:rPr>
          <w:i/>
        </w:rPr>
      </w:pPr>
      <w:r w:rsidRPr="00DF0D90">
        <w:rPr>
          <w:i/>
        </w:rPr>
        <w:t xml:space="preserve">Токсические эффекты, ассоциированные с применением </w:t>
      </w:r>
      <w:proofErr w:type="spellStart"/>
      <w:r w:rsidRPr="00DF0D90">
        <w:rPr>
          <w:i/>
        </w:rPr>
        <w:t>сорафениба</w:t>
      </w:r>
      <w:proofErr w:type="spellEnd"/>
      <w:r w:rsidRPr="00DF0D90">
        <w:rPr>
          <w:i/>
        </w:rPr>
        <w:t xml:space="preserve">** и </w:t>
      </w:r>
      <w:proofErr w:type="spellStart"/>
      <w:r w:rsidRPr="00DF0D90">
        <w:rPr>
          <w:i/>
        </w:rPr>
        <w:t>ленватиниба</w:t>
      </w:r>
      <w:proofErr w:type="spellEnd"/>
      <w:r w:rsidRPr="00DF0D90">
        <w:rPr>
          <w:i/>
        </w:rPr>
        <w:t xml:space="preserve">** (диарея, артериальная гипертония, ладонно-подошвенный синдром), являются биологическим предиктором лучшей выживаемости при условии продолжения терапии, целесообразно предпринять все меры по коррекции токсических эффектов, в первую очередь своевременно снизить суточную дозу препарата. </w:t>
      </w:r>
    </w:p>
    <w:p w14:paraId="3F04DA0E" w14:textId="132B1BD5" w:rsidR="00001DCA" w:rsidRPr="00DF0D90" w:rsidRDefault="00001DCA" w:rsidP="00BD2E7C">
      <w:pPr>
        <w:pStyle w:val="af2"/>
        <w:numPr>
          <w:ilvl w:val="0"/>
          <w:numId w:val="34"/>
        </w:numPr>
        <w:spacing w:after="120" w:line="360" w:lineRule="auto"/>
        <w:ind w:left="0" w:firstLine="567"/>
        <w:jc w:val="both"/>
      </w:pPr>
      <w:r w:rsidRPr="00DF0D90">
        <w:t>У пациентов с начальными признаками декомпенсации цирроза печени</w:t>
      </w:r>
      <w:r w:rsidR="003F2338" w:rsidRPr="00DF0D90">
        <w:t xml:space="preserve"> или при противопоказаниях к использованию ингибиторов протеинкиназ</w:t>
      </w:r>
      <w:r w:rsidR="000F0B53" w:rsidRPr="00DF0D90">
        <w:t xml:space="preserve"> </w:t>
      </w:r>
      <w:r w:rsidR="005D49BB" w:rsidRPr="00DF0D90">
        <w:t xml:space="preserve">в качестве альтернативы </w:t>
      </w:r>
      <w:r w:rsidRPr="00DF0D90">
        <w:t>(</w:t>
      </w:r>
      <w:r w:rsidRPr="00DF0D90">
        <w:rPr>
          <w:lang w:val="en-US"/>
        </w:rPr>
        <w:t>Child</w:t>
      </w:r>
      <w:r w:rsidRPr="00DF0D90">
        <w:t>-</w:t>
      </w:r>
      <w:r w:rsidRPr="00DF0D90">
        <w:rPr>
          <w:lang w:val="en-US"/>
        </w:rPr>
        <w:t>Pugh</w:t>
      </w:r>
      <w:r w:rsidR="00043442" w:rsidRPr="00DF0D90">
        <w:t xml:space="preserve"> </w:t>
      </w:r>
      <w:r w:rsidRPr="00DF0D90">
        <w:rPr>
          <w:lang w:val="en-US"/>
        </w:rPr>
        <w:t>B</w:t>
      </w:r>
      <w:r w:rsidR="003F2338" w:rsidRPr="00DF0D90">
        <w:t>,</w:t>
      </w:r>
      <w:r w:rsidRPr="00DF0D90">
        <w:t xml:space="preserve"> 7</w:t>
      </w:r>
      <w:r w:rsidR="000B32B8" w:rsidRPr="00DF0D90">
        <w:t>-8</w:t>
      </w:r>
      <w:r w:rsidRPr="00DF0D90">
        <w:t xml:space="preserve"> баллов)</w:t>
      </w:r>
      <w:r w:rsidR="00043442" w:rsidRPr="00DF0D90">
        <w:t xml:space="preserve"> </w:t>
      </w:r>
      <w:r w:rsidR="005D49BB" w:rsidRPr="00DF0D90">
        <w:rPr>
          <w:b/>
        </w:rPr>
        <w:t xml:space="preserve">рекомендуется </w:t>
      </w:r>
      <w:r w:rsidRPr="00DF0D90">
        <w:t xml:space="preserve">иммунотерапия </w:t>
      </w:r>
      <w:proofErr w:type="spellStart"/>
      <w:r w:rsidR="005D49BB" w:rsidRPr="00DF0D90">
        <w:t>ниволумабом</w:t>
      </w:r>
      <w:proofErr w:type="spellEnd"/>
      <w:r w:rsidR="005D49BB" w:rsidRPr="00DF0D90">
        <w:t>**</w:t>
      </w:r>
      <w:r w:rsidR="00226035" w:rsidRPr="00DF0D90">
        <w:t xml:space="preserve"> для улучшения контроля роста опухоли и выживаемости пациентов</w:t>
      </w:r>
      <w:r w:rsidR="003F2338" w:rsidRPr="00DF0D90">
        <w:t xml:space="preserve"> в одном из рекомендованных режимов лечения</w:t>
      </w:r>
      <w:r w:rsidR="006E62FD" w:rsidRPr="00DF0D90">
        <w:t xml:space="preserve"> </w:t>
      </w:r>
      <w:r w:rsidR="006E62FD" w:rsidRPr="00DF0D90">
        <w:fldChar w:fldCharType="begin" w:fldLock="1"/>
      </w:r>
      <w:r w:rsidR="007335C5" w:rsidRPr="00DF0D90">
        <w:instrText>ADDIN CSL_CITATION {"citationItems":[{"id":"ITEM-1","itemData":{"DOI":"10.1016/S0140-6736(17)31046-2","ISSN":"1474547X","PMID":"28434648","abstract":"Background For patients with advanced hepatocellular carcinoma, sorafenib is the only approved drug worldwide, and outcomes remain poor. We aimed to assess the safety and efficacy of nivolumab, a programmed cell death protein-1 (PD-1) immune checkpoint inhibitor, in patients with advanced hepatocellular carcinoma with or without chronic viral hepatitis. Methods We did a phase 1/2, open-label, non-comparative, dose escalation and expansion trial (CheckMate 040) of nivolumab in adults (≥18 years) with histologically confirmed advanced hepatocellular carcinoma with or without hepatitis C or B (HCV or HBV) infection. Previous sorafenib treatment was allowed. A dose-escalation phase was conducted at seven hospitals or academic centres in four countries or territories (USA, Spain, Hong Kong, and Singapore) and a dose-expansion phase was conducted at an additional 39 sites in 11 countries (Canada, UK, Germany, Italy, Japan, South Korea, Taiwan). At screening, eligible patients had Child-Pugh scores of 7 or less (Child-Pugh A or B7) for the dose-escalation phase and 6 or less (Child-Pugh A) for the dose-expansion phase, and an Eastern Cooperative Oncology Group performance status of 1 or less. Patients with HBV infection had to be receiving effective antiviral therapy (viral load &lt;100 IU/mL); antiviral therapy was not required for patients with HCV infection. We excluded patients previously treated with an agent targeting T-cell costimulation or checkpoint pathways. Patients received intravenous nivolumab 0·1–10 mg/kg every 2 weeks in the dose-escalation phase (3+3 design). Nivolumab 3 mg/kg was given every 2 weeks in the dose-expansion phase to patients in four cohorts: sorafenib untreated or intolerant without viral hepatitis, sorafenib progressor without viral hepatitis, HCV infected, and HBV infected. Primary endpoints were safety and tolerability for the escalation phase and objective response rate (Response Evaluation Criteria In Solid Tumors version 1.1) for the expansion phase. This study is registered with ClinicalTrials.gov, number NCT01658878. Findings Between Nov 26, 2012, and Aug 8, 2016, 262 eligible patients were treated (48 patients in the dose-escalation phase and 214 in the dose-expansion phase). 202 (77%) of 262 patients have completed treatment and follow-up is ongoing. During dose escalation, nivolumab showed a manageable safety profile, including acceptable tolerability. In this phase, 46 (96%) of 48 patients discontinued treatment, 42 (88…","author":[{"dropping-particle":"","family":"El-Khoueiry","given":"Anthony B","non-dropping-particle":"","parse-names":false,"suffix":""},{"dropping-particle":"","family":"Sangro","given":"Bruno","non-dropping-particle":"","parse-names":false,"suffix":""},{"dropping-particle":"","family":"Yau","given":"Thomas","non-dropping-particle":"","parse-names":false,"suffix":""},{"dropping-particle":"","family":"Crocenzi","given":"Todd S","non-dropping-particle":"","parse-names":false,"suffix":""},{"dropping-particle":"","family":"Kudo","given":"Masatoshi","non-dropping-particle":"","parse-names":false,"suffix":""},{"dropping-particle":"","family":"Hsu","given":"Chiun","non-dropping-particle":"","parse-names":false,"suffix":""},{"dropping-particle":"","family":"Kim","given":"Tae You","non-dropping-particle":"","parse-names":false,"suffix":""},{"dropping-particle":"","family":"Choo","given":"Su Pin","non-dropping-particle":"","parse-names":false,"suffix":""},{"dropping-particle":"","family":"Trojan","given":"Jörg","non-dropping-particle":"","parse-names":false,"suffix":""},{"dropping-particle":"","family":"Welling","given":"Theodore H","non-dropping-particle":"","parse-names":false,"suffix":""},{"dropping-particle":"","family":"Meyer","given":"Tim","non-dropping-particle":"","parse-names":false,"suffix":""},{"dropping-particle":"","family":"Kang","given":"Yoon Koo","non-dropping-particle":"","parse-names":false,"suffix":""},{"dropping-particle":"","family":"Yeo","given":"Winnie","non-dropping-particle":"","parse-names":false,"suffix":""},{"dropping-particle":"","family":"Chopra","given":"Akhil","non-dropping-particle":"","parse-names":false,"suffix":""},{"dropping-particle":"","family":"Anderson","given":"Jeffrey","non-dropping-particle":"","parse-names":false,"suffix":""},{"dropping-particle":"","family":"Cruz","given":"Christine","non-dropping-particle":"dela","parse-names":false,"suffix":""},{"dropping-particle":"","family":"Lang","given":"Lixin","non-dropping-particle":"","parse-names":false,"suffix":""},{"dropping-particle":"","family":"Neely","given":"Jaclyn","non-dropping-particle":"","parse-names":false,"suffix":""},{"dropping-particle":"","family":"Tang","given":"Hao","non-dropping-particle":"","parse-names":false,"suffix":""},{"dropping-particle":"","family":"Dastani","given":"Homa B","non-dropping-particle":"","parse-names":false,"suffix":""},{"dropping-particle":"","family":"Melero","given":"Ignacio","non-dropping-particle":"","parse-names":false,"suffix":""}],"container-title":"The Lancet","id":"ITEM-1","issue":"10088","issued":{"date-parts":[["2017","6"]]},"page":"2492-2502","title":"Nivolumab in patients with advanced hepatocellular carcinoma (CheckMate 040): an open-label, non-comparative, phase 1/2 dose escalation and expansion trial","type":"article-journal","volume":"389"},"uris":["http://www.mendeley.com/documents/?uuid=50acbc45-26e7-3f55-8158-6cf74698d466"]}],"mendeley":{"formattedCitation":"[94]","plainTextFormattedCitation":"[94]","previouslyFormattedCitation":"[94]"},"properties":{"noteIndex":0},"schema":"https://github.com/citation-style-language/schema/raw/master/csl-citation.json"}</w:instrText>
      </w:r>
      <w:r w:rsidR="006E62FD" w:rsidRPr="00DF0D90">
        <w:fldChar w:fldCharType="separate"/>
      </w:r>
      <w:r w:rsidR="007335C5" w:rsidRPr="00DF0D90">
        <w:rPr>
          <w:noProof/>
        </w:rPr>
        <w:t>[94]</w:t>
      </w:r>
      <w:r w:rsidR="006E62FD" w:rsidRPr="00DF0D90">
        <w:fldChar w:fldCharType="end"/>
      </w:r>
      <w:r w:rsidR="00502B6C" w:rsidRPr="00DF0D90">
        <w:t>.</w:t>
      </w:r>
    </w:p>
    <w:p w14:paraId="382E139E" w14:textId="2AA1C129" w:rsidR="009101B0" w:rsidRPr="00DF0D90" w:rsidRDefault="009101B0" w:rsidP="00BD2E7C">
      <w:pPr>
        <w:pStyle w:val="afa"/>
        <w:spacing w:after="120" w:line="360" w:lineRule="auto"/>
        <w:jc w:val="both"/>
      </w:pPr>
      <w:r w:rsidRPr="00DF0D90">
        <w:rPr>
          <w:shd w:val="clear" w:color="auto" w:fill="FFFFFF"/>
        </w:rPr>
        <w:t xml:space="preserve">Уровень убедительности рекомендаций – B (уровень достоверности доказательств – </w:t>
      </w:r>
      <w:r w:rsidR="00D84135" w:rsidRPr="00DF0D90">
        <w:rPr>
          <w:shd w:val="clear" w:color="auto" w:fill="FFFFFF"/>
          <w:lang w:val="ru-RU"/>
        </w:rPr>
        <w:t>3</w:t>
      </w:r>
      <w:r w:rsidRPr="00DF0D90">
        <w:rPr>
          <w:shd w:val="clear" w:color="auto" w:fill="FFFFFF"/>
        </w:rPr>
        <w:t>).</w:t>
      </w:r>
    </w:p>
    <w:p w14:paraId="5AB367A4" w14:textId="6212C766" w:rsidR="003F2338" w:rsidRPr="00DF0D90" w:rsidRDefault="00FE4F7D" w:rsidP="00FE4F7D">
      <w:pPr>
        <w:pStyle w:val="a8"/>
        <w:outlineLvl w:val="2"/>
      </w:pPr>
      <w:bookmarkStart w:id="96" w:name="_Toc98349288"/>
      <w:bookmarkStart w:id="97" w:name="_Toc83293986"/>
      <w:r w:rsidRPr="00DF0D90">
        <w:rPr>
          <w:lang w:val="ru-RU"/>
        </w:rPr>
        <w:t xml:space="preserve">3.6.2. </w:t>
      </w:r>
      <w:r w:rsidR="003F2338" w:rsidRPr="00DF0D90">
        <w:t>Системная терапия ГЦР второй и третьей линии</w:t>
      </w:r>
      <w:bookmarkEnd w:id="96"/>
      <w:bookmarkEnd w:id="97"/>
    </w:p>
    <w:p w14:paraId="2F9BF737" w14:textId="77777777" w:rsidR="003730A6" w:rsidRPr="00DF0D90" w:rsidRDefault="009101B0" w:rsidP="006D217F">
      <w:pPr>
        <w:pStyle w:val="a"/>
        <w:numPr>
          <w:ilvl w:val="0"/>
          <w:numId w:val="0"/>
        </w:numPr>
        <w:spacing w:before="0" w:after="120" w:line="360" w:lineRule="auto"/>
        <w:ind w:firstLine="567"/>
        <w:jc w:val="both"/>
        <w:rPr>
          <w:i/>
          <w:color w:val="auto"/>
        </w:rPr>
      </w:pPr>
      <w:r w:rsidRPr="00DF0D90">
        <w:rPr>
          <w:i/>
        </w:rPr>
        <w:tab/>
      </w:r>
      <w:r w:rsidR="003F2338" w:rsidRPr="00DF0D90">
        <w:rPr>
          <w:i/>
          <w:color w:val="auto"/>
        </w:rPr>
        <w:t xml:space="preserve">Все </w:t>
      </w:r>
      <w:r w:rsidR="007F62F0" w:rsidRPr="00DF0D90">
        <w:rPr>
          <w:i/>
          <w:color w:val="auto"/>
        </w:rPr>
        <w:t xml:space="preserve">известные </w:t>
      </w:r>
      <w:r w:rsidR="003F2338" w:rsidRPr="00DF0D90">
        <w:rPr>
          <w:i/>
          <w:color w:val="auto"/>
        </w:rPr>
        <w:t xml:space="preserve">рандомизированные плацебо-контролируемые исследования </w:t>
      </w:r>
      <w:r w:rsidR="007F62F0" w:rsidRPr="00DF0D90">
        <w:rPr>
          <w:i/>
          <w:color w:val="auto"/>
        </w:rPr>
        <w:t xml:space="preserve">2 линии лечения распространенного ГЦР </w:t>
      </w:r>
      <w:r w:rsidR="003F2338" w:rsidRPr="00DF0D90">
        <w:rPr>
          <w:i/>
          <w:color w:val="auto"/>
        </w:rPr>
        <w:t>выполнены в популяции больных, получавших в качестве 1 линии сорафениб</w:t>
      </w:r>
      <w:r w:rsidR="00AB190F" w:rsidRPr="00DF0D90">
        <w:rPr>
          <w:i/>
          <w:color w:val="auto"/>
        </w:rPr>
        <w:t>**</w:t>
      </w:r>
      <w:r w:rsidR="003F2338" w:rsidRPr="00DF0D90">
        <w:rPr>
          <w:i/>
          <w:color w:val="auto"/>
        </w:rPr>
        <w:t xml:space="preserve">. На сегодня нет данных об эффективности </w:t>
      </w:r>
      <w:r w:rsidR="007F62F0" w:rsidRPr="00DF0D90">
        <w:rPr>
          <w:i/>
          <w:color w:val="auto"/>
        </w:rPr>
        <w:t xml:space="preserve">других опций после иммунотерапии или </w:t>
      </w:r>
      <w:proofErr w:type="spellStart"/>
      <w:r w:rsidR="007F62F0" w:rsidRPr="00DF0D90">
        <w:rPr>
          <w:i/>
          <w:color w:val="auto"/>
        </w:rPr>
        <w:t>ленватиниба</w:t>
      </w:r>
      <w:proofErr w:type="spellEnd"/>
      <w:r w:rsidR="00AB190F" w:rsidRPr="00DF0D90">
        <w:rPr>
          <w:i/>
          <w:color w:val="auto"/>
        </w:rPr>
        <w:t>**</w:t>
      </w:r>
      <w:r w:rsidR="007F62F0" w:rsidRPr="00DF0D90">
        <w:rPr>
          <w:i/>
          <w:color w:val="auto"/>
        </w:rPr>
        <w:t xml:space="preserve">. Поэтому </w:t>
      </w:r>
      <w:r w:rsidR="003F2338" w:rsidRPr="00DF0D90">
        <w:rPr>
          <w:i/>
          <w:color w:val="auto"/>
        </w:rPr>
        <w:t xml:space="preserve">выбор 2 линии терапии </w:t>
      </w:r>
      <w:r w:rsidR="007F62F0" w:rsidRPr="00DF0D90">
        <w:rPr>
          <w:i/>
          <w:color w:val="auto"/>
        </w:rPr>
        <w:t>определяется</w:t>
      </w:r>
      <w:r w:rsidR="003F2338" w:rsidRPr="00DF0D90">
        <w:rPr>
          <w:i/>
          <w:color w:val="auto"/>
        </w:rPr>
        <w:t xml:space="preserve"> ранее использованн</w:t>
      </w:r>
      <w:r w:rsidR="007F62F0" w:rsidRPr="00DF0D90">
        <w:rPr>
          <w:i/>
          <w:color w:val="auto"/>
        </w:rPr>
        <w:t>ым</w:t>
      </w:r>
      <w:r w:rsidR="003F2338" w:rsidRPr="00DF0D90">
        <w:rPr>
          <w:i/>
          <w:color w:val="auto"/>
        </w:rPr>
        <w:t xml:space="preserve"> вариант</w:t>
      </w:r>
      <w:r w:rsidR="007F62F0" w:rsidRPr="00DF0D90">
        <w:rPr>
          <w:i/>
          <w:color w:val="auto"/>
        </w:rPr>
        <w:t>ом</w:t>
      </w:r>
      <w:r w:rsidR="003F2338" w:rsidRPr="00DF0D90">
        <w:rPr>
          <w:i/>
          <w:color w:val="auto"/>
        </w:rPr>
        <w:t xml:space="preserve"> лечения: </w:t>
      </w:r>
    </w:p>
    <w:p w14:paraId="0D67BD65" w14:textId="77777777" w:rsidR="00043442" w:rsidRPr="00DF0D90" w:rsidRDefault="003730A6" w:rsidP="006D217F">
      <w:pPr>
        <w:pStyle w:val="a"/>
        <w:numPr>
          <w:ilvl w:val="0"/>
          <w:numId w:val="0"/>
        </w:numPr>
        <w:spacing w:before="0" w:after="120" w:line="360" w:lineRule="auto"/>
        <w:ind w:firstLine="567"/>
        <w:jc w:val="both"/>
        <w:rPr>
          <w:i/>
          <w:color w:val="auto"/>
        </w:rPr>
      </w:pPr>
      <w:r w:rsidRPr="00DF0D90">
        <w:rPr>
          <w:i/>
          <w:color w:val="auto"/>
        </w:rPr>
        <w:t xml:space="preserve">А) </w:t>
      </w:r>
      <w:r w:rsidR="007F62F0" w:rsidRPr="00DF0D90">
        <w:rPr>
          <w:i/>
          <w:color w:val="auto"/>
        </w:rPr>
        <w:t>после иммунотерапии рассматриваются ингибиторы протеинкиназ сорафениб</w:t>
      </w:r>
      <w:r w:rsidR="00226035" w:rsidRPr="00DF0D90">
        <w:rPr>
          <w:i/>
          <w:color w:val="auto"/>
        </w:rPr>
        <w:t>**</w:t>
      </w:r>
      <w:r w:rsidR="007F62F0" w:rsidRPr="00DF0D90">
        <w:rPr>
          <w:i/>
          <w:color w:val="auto"/>
        </w:rPr>
        <w:t xml:space="preserve"> или ленватиниб</w:t>
      </w:r>
      <w:r w:rsidR="00226035" w:rsidRPr="00DF0D90">
        <w:rPr>
          <w:i/>
          <w:color w:val="auto"/>
        </w:rPr>
        <w:t>**</w:t>
      </w:r>
      <w:r w:rsidR="007F62F0" w:rsidRPr="00DF0D90">
        <w:rPr>
          <w:i/>
          <w:color w:val="auto"/>
        </w:rPr>
        <w:t xml:space="preserve">, </w:t>
      </w:r>
      <w:proofErr w:type="spellStart"/>
      <w:r w:rsidR="007F62F0" w:rsidRPr="00DF0D90">
        <w:rPr>
          <w:i/>
          <w:color w:val="auto"/>
        </w:rPr>
        <w:t>регорафениб</w:t>
      </w:r>
      <w:proofErr w:type="spellEnd"/>
      <w:r w:rsidR="00226035" w:rsidRPr="00DF0D90">
        <w:rPr>
          <w:i/>
          <w:color w:val="auto"/>
        </w:rPr>
        <w:t>**</w:t>
      </w:r>
      <w:r w:rsidR="007F62F0" w:rsidRPr="00DF0D90">
        <w:rPr>
          <w:i/>
          <w:color w:val="auto"/>
        </w:rPr>
        <w:t xml:space="preserve"> или </w:t>
      </w:r>
      <w:proofErr w:type="spellStart"/>
      <w:r w:rsidR="007F62F0" w:rsidRPr="00DF0D90">
        <w:rPr>
          <w:i/>
          <w:color w:val="auto"/>
        </w:rPr>
        <w:t>кабозантиниб</w:t>
      </w:r>
      <w:proofErr w:type="spellEnd"/>
      <w:r w:rsidR="00226035" w:rsidRPr="00DF0D90">
        <w:rPr>
          <w:i/>
          <w:color w:val="auto"/>
        </w:rPr>
        <w:t>**</w:t>
      </w:r>
      <w:r w:rsidR="007F62F0" w:rsidRPr="00DF0D90">
        <w:rPr>
          <w:i/>
          <w:color w:val="auto"/>
        </w:rPr>
        <w:t xml:space="preserve"> или </w:t>
      </w:r>
      <w:proofErr w:type="spellStart"/>
      <w:r w:rsidR="007F62F0" w:rsidRPr="00DF0D90">
        <w:rPr>
          <w:i/>
          <w:color w:val="auto"/>
        </w:rPr>
        <w:t>рамуцирумаб</w:t>
      </w:r>
      <w:proofErr w:type="spellEnd"/>
      <w:r w:rsidR="00226035" w:rsidRPr="00DF0D90">
        <w:rPr>
          <w:i/>
          <w:color w:val="auto"/>
        </w:rPr>
        <w:t>**</w:t>
      </w:r>
      <w:r w:rsidR="007F62F0" w:rsidRPr="00DF0D90">
        <w:rPr>
          <w:i/>
          <w:color w:val="auto"/>
        </w:rPr>
        <w:t xml:space="preserve"> (при уровне АФП&gt;400 </w:t>
      </w:r>
      <w:proofErr w:type="spellStart"/>
      <w:r w:rsidR="007F62F0" w:rsidRPr="00DF0D90">
        <w:rPr>
          <w:i/>
          <w:color w:val="auto"/>
        </w:rPr>
        <w:t>нг</w:t>
      </w:r>
      <w:proofErr w:type="spellEnd"/>
      <w:r w:rsidR="007F62F0" w:rsidRPr="00DF0D90">
        <w:rPr>
          <w:i/>
          <w:color w:val="auto"/>
        </w:rPr>
        <w:t xml:space="preserve">/мл), эффективность комбинированной иммунотерапии неизвестна. </w:t>
      </w:r>
    </w:p>
    <w:p w14:paraId="420CFA56" w14:textId="77777777" w:rsidR="00DA7B5A" w:rsidRPr="00DF0D90" w:rsidRDefault="003730A6" w:rsidP="006D217F">
      <w:pPr>
        <w:pStyle w:val="a"/>
        <w:numPr>
          <w:ilvl w:val="0"/>
          <w:numId w:val="0"/>
        </w:numPr>
        <w:spacing w:before="0" w:after="120" w:line="360" w:lineRule="auto"/>
        <w:ind w:firstLine="567"/>
        <w:jc w:val="both"/>
        <w:rPr>
          <w:i/>
          <w:color w:val="auto"/>
          <w:lang w:val="ru-RU"/>
        </w:rPr>
      </w:pPr>
      <w:r w:rsidRPr="00DF0D90">
        <w:rPr>
          <w:i/>
          <w:color w:val="auto"/>
        </w:rPr>
        <w:t xml:space="preserve">В) после ингибиторов протеинкиназ могут использоваться </w:t>
      </w:r>
      <w:proofErr w:type="spellStart"/>
      <w:r w:rsidRPr="00DF0D90">
        <w:rPr>
          <w:i/>
          <w:color w:val="auto"/>
        </w:rPr>
        <w:t>регорафениб</w:t>
      </w:r>
      <w:proofErr w:type="spellEnd"/>
      <w:r w:rsidR="00226035" w:rsidRPr="00DF0D90">
        <w:rPr>
          <w:i/>
          <w:color w:val="auto"/>
        </w:rPr>
        <w:t>**</w:t>
      </w:r>
      <w:r w:rsidRPr="00DF0D90">
        <w:rPr>
          <w:i/>
          <w:color w:val="auto"/>
        </w:rPr>
        <w:t xml:space="preserve">, </w:t>
      </w:r>
      <w:proofErr w:type="spellStart"/>
      <w:r w:rsidRPr="00DF0D90">
        <w:rPr>
          <w:i/>
          <w:color w:val="auto"/>
        </w:rPr>
        <w:t>кабозантиниб</w:t>
      </w:r>
      <w:proofErr w:type="spellEnd"/>
      <w:r w:rsidR="00226035" w:rsidRPr="00DF0D90">
        <w:rPr>
          <w:i/>
          <w:color w:val="auto"/>
        </w:rPr>
        <w:t xml:space="preserve">**, </w:t>
      </w:r>
      <w:proofErr w:type="spellStart"/>
      <w:r w:rsidRPr="00DF0D90">
        <w:rPr>
          <w:i/>
          <w:color w:val="auto"/>
        </w:rPr>
        <w:t>рамуцирумаб</w:t>
      </w:r>
      <w:proofErr w:type="spellEnd"/>
      <w:r w:rsidR="00226035" w:rsidRPr="00DF0D90">
        <w:rPr>
          <w:i/>
          <w:color w:val="auto"/>
        </w:rPr>
        <w:t>**</w:t>
      </w:r>
      <w:r w:rsidRPr="00DF0D90">
        <w:rPr>
          <w:i/>
          <w:color w:val="auto"/>
        </w:rPr>
        <w:t xml:space="preserve"> или иммунотерапия.</w:t>
      </w:r>
    </w:p>
    <w:p w14:paraId="5FD978F2" w14:textId="1474FF2B" w:rsidR="003730A6" w:rsidRPr="000668B4" w:rsidRDefault="00DA7B5A" w:rsidP="006D217F">
      <w:pPr>
        <w:pStyle w:val="a"/>
        <w:numPr>
          <w:ilvl w:val="0"/>
          <w:numId w:val="0"/>
        </w:numPr>
        <w:spacing w:before="0" w:after="120" w:line="360" w:lineRule="auto"/>
        <w:ind w:firstLine="567"/>
        <w:jc w:val="both"/>
        <w:rPr>
          <w:i/>
          <w:color w:val="auto"/>
          <w:lang w:val="ru-RU"/>
        </w:rPr>
      </w:pPr>
      <w:r w:rsidRPr="00DF0D90">
        <w:rPr>
          <w:i/>
          <w:color w:val="auto"/>
          <w:lang w:val="ru-RU"/>
        </w:rPr>
        <w:t>С) после ингибиторов протеинкиназ может использоваться комбинация атезолизумаб** + бевацизумаб**</w:t>
      </w:r>
      <w:r w:rsidR="003730A6" w:rsidRPr="00DF0D90">
        <w:rPr>
          <w:i/>
          <w:color w:val="auto"/>
        </w:rPr>
        <w:t xml:space="preserve"> </w:t>
      </w:r>
      <w:r w:rsidR="000B32B8" w:rsidRPr="00DF0D90">
        <w:rPr>
          <w:i/>
          <w:color w:val="auto"/>
          <w:lang w:val="ru-RU"/>
        </w:rPr>
        <w:t>или один из вариантов иммунотерапии 1 линии</w:t>
      </w:r>
      <w:r w:rsidR="000668B4" w:rsidRPr="0043377B">
        <w:rPr>
          <w:i/>
          <w:color w:val="auto"/>
          <w:lang w:val="ru-RU"/>
        </w:rPr>
        <w:t>.</w:t>
      </w:r>
    </w:p>
    <w:p w14:paraId="3501D107" w14:textId="77777777" w:rsidR="00630BAC" w:rsidRPr="00DF0D90" w:rsidRDefault="00630BAC" w:rsidP="00BD2E7C">
      <w:pPr>
        <w:pStyle w:val="af2"/>
        <w:numPr>
          <w:ilvl w:val="0"/>
          <w:numId w:val="34"/>
        </w:numPr>
        <w:spacing w:after="120" w:line="360" w:lineRule="auto"/>
        <w:ind w:left="0" w:firstLine="567"/>
        <w:jc w:val="both"/>
      </w:pPr>
      <w:r w:rsidRPr="00DF0D90">
        <w:rPr>
          <w:b/>
        </w:rPr>
        <w:t xml:space="preserve">Рекомендуется </w:t>
      </w:r>
      <w:proofErr w:type="spellStart"/>
      <w:r w:rsidR="000C011A" w:rsidRPr="00DF0D90">
        <w:t>регорафениб</w:t>
      </w:r>
      <w:proofErr w:type="spellEnd"/>
      <w:r w:rsidR="000C011A" w:rsidRPr="00DF0D90">
        <w:t>** в качестве 2</w:t>
      </w:r>
      <w:r w:rsidRPr="00DF0D90">
        <w:t xml:space="preserve"> лини</w:t>
      </w:r>
      <w:r w:rsidR="000C011A" w:rsidRPr="00DF0D90">
        <w:t>и</w:t>
      </w:r>
      <w:r w:rsidRPr="00DF0D90">
        <w:t xml:space="preserve"> терапии ГЦР при его прогрессировании на фоне</w:t>
      </w:r>
      <w:r w:rsidR="00BD2E7C" w:rsidRPr="00DF0D90">
        <w:t xml:space="preserve"> </w:t>
      </w:r>
      <w:r w:rsidRPr="00DF0D90">
        <w:t>1-й линии</w:t>
      </w:r>
      <w:r w:rsidR="00043442" w:rsidRPr="00DF0D90">
        <w:t xml:space="preserve"> </w:t>
      </w:r>
      <w:r w:rsidR="00F22744" w:rsidRPr="00DF0D90">
        <w:t>препаратами из группы ингибиторов протеинкиназы (</w:t>
      </w:r>
      <w:proofErr w:type="spellStart"/>
      <w:r w:rsidR="000C011A" w:rsidRPr="00DF0D90">
        <w:t>мультикиназными</w:t>
      </w:r>
      <w:proofErr w:type="spellEnd"/>
      <w:r w:rsidR="000C011A" w:rsidRPr="00DF0D90">
        <w:t xml:space="preserve"> ингибиторами</w:t>
      </w:r>
      <w:r w:rsidR="00F22744" w:rsidRPr="00DF0D90">
        <w:t>)</w:t>
      </w:r>
      <w:r w:rsidRPr="00DF0D90">
        <w:t xml:space="preserve"> (</w:t>
      </w:r>
      <w:r w:rsidR="0062034D" w:rsidRPr="00DF0D90">
        <w:t>т</w:t>
      </w:r>
      <w:r w:rsidRPr="00DF0D90">
        <w:t>абл</w:t>
      </w:r>
      <w:r w:rsidR="00F22744" w:rsidRPr="00DF0D90">
        <w:t>ица</w:t>
      </w:r>
      <w:r w:rsidR="000F0B53" w:rsidRPr="00DF0D90">
        <w:t xml:space="preserve"> </w:t>
      </w:r>
      <w:r w:rsidR="00C352A4" w:rsidRPr="00DF0D90">
        <w:t>2</w:t>
      </w:r>
      <w:r w:rsidRPr="00DF0D90">
        <w:t>)</w:t>
      </w:r>
      <w:r w:rsidR="00043442" w:rsidRPr="00DF0D90">
        <w:t xml:space="preserve"> </w:t>
      </w:r>
      <w:r w:rsidR="00F22744" w:rsidRPr="00DF0D90">
        <w:t>для улучшения контроля роста опухоли и выживаемости пациентов</w:t>
      </w:r>
      <w:r w:rsidR="006E62FD" w:rsidRPr="00DF0D90">
        <w:t xml:space="preserve"> </w:t>
      </w:r>
      <w:r w:rsidR="006E62FD" w:rsidRPr="00DF0D90">
        <w:fldChar w:fldCharType="begin" w:fldLock="1"/>
      </w:r>
      <w:r w:rsidR="007335C5" w:rsidRPr="00DF0D90">
        <w:instrText>ADDIN CSL_CITATION {"citationItems":[{"id":"ITEM-1","itemData":{"DOI":"10.1016/S0140-6736(16)32453-9","ISSN":"1474547X","PMID":"27932229","abstract":"Background There are no systemic treatments for patients with hepatocellular carcinoma (HCC) whose disease progresses during sorafenib treatment. We aimed to assess the efficacy and safety of regorafenib in patients with HCC who have progressed during sorafenib treatment. Methods In this randomised, double-blind, parallel-group, phase 3 trial done at 152 sites in 21 countries, adults with HCC who tolerated sorafenib (≥400 mg/day for ≥20 of last 28 days of treatment), progressed on sorafenib, and had Child-Pugh A liver function were enrolled. Participants were randomly assigned (2:1) by a computer-generated randomisation list and interactive voice response system and stratified by geographical region, Eastern Cooperative Oncology Group performance status, macrovascular invasion, extrahepatic disease, and α-fetoprotein level to best supportive care plus oral regorafenib 160 mg or placebo once daily during weeks 1–3 of each 4-week cycle. Investigators, patients, and the funder were masked to treatment assignment. The primary endpoint was overall survival (defined as time from randomisation to death due to any cause) and analysed by intention to treat. This trial is registered with ClinicalTrials.gov, number NCT01774344. Findings Between May 14, 2013, and Dec 31, 2015, 843 patients were screened, of whom 573 were enrolled and randomised (379 to regorafenib and 194 to placebo; population for efficacy analyses), and 567 initiated treatment (374 received regorafenib and 193 received placebo; population for safety analyses). Regorafenib improved overall survival with a hazard ratio of 0·63 (95% CI 0·50–0·79; one-sided p&lt;0·0001); median survival was 10·6 months (95% CI 9·1–12·1) for regorafenib versus 7·8 months (6·3–8·8) for placebo. Adverse events were reported in all regorafenib recipients (374 [100%] of 374) and 179 (93%) of 193 placebo recipients. The most common clinically relevant grade 3 or 4 treatment-emergent events were hypertension (57 patients [15%] in the regorafenib group vs nine patients [5%] in the placebo group), hand–foot skin reaction (47 patients [13%] vs one [1%]), fatigue (34 patients [9%] vs nine patients [5%]), and diarrhoea (12 patients [3%] vs no patients). Of the 88 deaths (grade 5 adverse events) reported during the study (50 patients [13%] assigned to regorafenib and 38 [20%] assigned to placebo), seven (2%) were considered by the investigator to be related to study drug in the regorafenib group and two (1%) in the placebo group, in…","author":[{"dropping-particle":"","family":"Bruix","given":"Jordi","non-dropping-particle":"","parse-names":false,"suffix":""},{"dropping-particle":"","family":"Qin","given":"Shukui","non-dropping-particle":"","parse-names":false,"suffix":""},{"dropping-particle":"","family":"Merle","given":"Philippe","non-dropping-particle":"","parse-names":false,"suffix":""},{"dropping-particle":"","family":"Granito","given":"Alessandro","non-dropping-particle":"","parse-names":false,"suffix":""},{"dropping-particle":"","family":"Huang","given":"Yi Hsiang","non-dropping-particle":"","parse-names":false,"suffix":""},{"dropping-particle":"","family":"Bodoky","given":"György","non-dropping-particle":"","parse-names":false,"suffix":""},{"dropping-particle":"","family":"Pracht","given":"Marc","non-dropping-particle":"","parse-names":false,"suffix":""},{"dropping-particle":"","family":"Yokosuka","given":"Osamu","non-dropping-particle":"","parse-names":false,"suffix":""},{"dropping-particle":"","family":"Rosmorduc","given":"Olivier","non-dropping-particle":"","parse-names":false,"suffix":""},{"dropping-particle":"","family":"Breder","given":"Valeriy","non-dropping-particle":"","parse-names":false,"suffix":""},{"dropping-particle":"","family":"Gerolami","given":"René","non-dropping-particle":"","parse-names":false,"suffix":""},{"dropping-particle":"","family":"Masi","given":"Gianluca","non-dropping-particle":"","parse-names":false,"suffix":""},{"dropping-particle":"","family":"Ross","given":"Paul J.","non-dropping-particle":"","parse-names":false,"suffix":""},{"dropping-particle":"","family":"Song","given":"Tianqiang","non-dropping-particle":"","parse-names":false,"suffix":""},{"dropping-particle":"","family":"Bronowicki","given":"Jean Pierre","non-dropping-particle":"","parse-names":false,"suffix":""},{"dropping-particle":"","family":"Ollivier-Hourmand","given":"Isabelle","non-dropping-particle":"","parse-names":false,"suffix":""},{"dropping-particle":"","family":"Kudo","given":"Masatoshi","non-dropping-particle":"","parse-names":false,"suffix":""},{"dropping-particle":"","family":"Cheng","given":"Ann Lii","non-dropping-particle":"","parse-names":false,"suffix":""},{"dropping-particle":"","family":"Llovet","given":"Josep M.","non-dropping-particle":"","parse-names":false,"suffix":""},{"dropping-particle":"","family":"Finn","given":"Richard S.","non-dropping-particle":"","parse-names":false,"suffix":""},{"dropping-particle":"","family":"LeBerre","given":"Marie Aude","non-dropping-particle":"","parse-names":false,"suffix":""},{"dropping-particle":"","family":"Baumhauer","given":"Annette","non-dropping-particle":"","parse-names":false,"suffix":""},{"dropping-particle":"","family":"Meinhardt","given":"Gerold","non-dropping-particle":"","parse-names":false,"suffix":""},{"dropping-particle":"","family":"Han","given":"Guohong","non-dropping-particle":"","parse-names":false,"suffix":""}],"container-title":"The Lancet","id":"ITEM-1","issue":"10064","issued":{"date-parts":[["2017","1","7"]]},"page":"56-66","publisher":"Lancet Publishing Group","title":"Regorafenib for patients with hepatocellular carcinoma who progressed on sorafenib treatment (RESORCE): a randomised, double-blind, placebo-controlled, phase 3 trial","type":"article-journal","volume":"389"},"uris":["http://www.mendeley.com/documents/?uuid=8ecc2c01-730a-3813-afa5-bcb25e2cc891"]}],"mendeley":{"formattedCitation":"[91]","plainTextFormattedCitation":"[91]","previouslyFormattedCitation":"[91]"},"properties":{"noteIndex":0},"schema":"https://github.com/citation-style-language/schema/raw/master/csl-citation.json"}</w:instrText>
      </w:r>
      <w:r w:rsidR="006E62FD" w:rsidRPr="00DF0D90">
        <w:fldChar w:fldCharType="separate"/>
      </w:r>
      <w:r w:rsidR="007335C5" w:rsidRPr="00DF0D90">
        <w:rPr>
          <w:noProof/>
        </w:rPr>
        <w:t>[91]</w:t>
      </w:r>
      <w:r w:rsidR="006E62FD" w:rsidRPr="00DF0D90">
        <w:fldChar w:fldCharType="end"/>
      </w:r>
      <w:r w:rsidRPr="00DF0D90">
        <w:t>.</w:t>
      </w:r>
    </w:p>
    <w:p w14:paraId="21BCCFB6" w14:textId="77777777" w:rsidR="00043442" w:rsidRPr="00DF0D90" w:rsidRDefault="00630BAC" w:rsidP="00BD2E7C">
      <w:pPr>
        <w:pStyle w:val="afa"/>
        <w:spacing w:after="120" w:line="360" w:lineRule="auto"/>
        <w:jc w:val="both"/>
        <w:rPr>
          <w:shd w:val="clear" w:color="auto" w:fill="FFFFFF"/>
        </w:rPr>
      </w:pPr>
      <w:r w:rsidRPr="00DF0D90">
        <w:rPr>
          <w:shd w:val="clear" w:color="auto" w:fill="FFFFFF"/>
        </w:rPr>
        <w:t>Уровень убедительности рекомендаций – А</w:t>
      </w:r>
      <w:r w:rsidR="00043442" w:rsidRPr="00DF0D90">
        <w:rPr>
          <w:shd w:val="clear" w:color="auto" w:fill="FFFFFF"/>
          <w:lang w:val="ru-RU"/>
        </w:rPr>
        <w:t xml:space="preserve"> </w:t>
      </w:r>
      <w:r w:rsidRPr="00DF0D90">
        <w:rPr>
          <w:shd w:val="clear" w:color="auto" w:fill="FFFFFF"/>
        </w:rPr>
        <w:t xml:space="preserve">(уровень достоверности доказательств – </w:t>
      </w:r>
      <w:r w:rsidR="004F3DD2" w:rsidRPr="00DF0D90">
        <w:t>2</w:t>
      </w:r>
      <w:r w:rsidRPr="00DF0D90">
        <w:rPr>
          <w:shd w:val="clear" w:color="auto" w:fill="FFFFFF"/>
        </w:rPr>
        <w:t>).</w:t>
      </w:r>
    </w:p>
    <w:p w14:paraId="63794E9C" w14:textId="4A50BF93" w:rsidR="000F0B53" w:rsidRPr="00DF0D90" w:rsidRDefault="00630BAC" w:rsidP="00BD2E7C">
      <w:pPr>
        <w:pStyle w:val="afa"/>
        <w:spacing w:after="120" w:line="360" w:lineRule="auto"/>
        <w:ind w:right="6"/>
        <w:jc w:val="both"/>
        <w:rPr>
          <w:b w:val="0"/>
          <w:bCs/>
          <w:i/>
          <w:color w:val="auto"/>
        </w:rPr>
      </w:pPr>
      <w:r w:rsidRPr="00DF0D90">
        <w:rPr>
          <w:bCs/>
          <w:i/>
        </w:rPr>
        <w:lastRenderedPageBreak/>
        <w:t>Комментарии:</w:t>
      </w:r>
      <w:r w:rsidR="00043442" w:rsidRPr="00DF0D90">
        <w:rPr>
          <w:lang w:val="ru-RU"/>
        </w:rPr>
        <w:t xml:space="preserve"> </w:t>
      </w:r>
      <w:proofErr w:type="spellStart"/>
      <w:r w:rsidRPr="00DF0D90">
        <w:rPr>
          <w:b w:val="0"/>
          <w:bCs/>
          <w:i/>
          <w:color w:val="auto"/>
        </w:rPr>
        <w:t>регорафениб</w:t>
      </w:r>
      <w:proofErr w:type="spellEnd"/>
      <w:r w:rsidRPr="00DF0D90">
        <w:rPr>
          <w:b w:val="0"/>
          <w:bCs/>
          <w:i/>
          <w:color w:val="auto"/>
        </w:rPr>
        <w:t>**</w:t>
      </w:r>
      <w:r w:rsidR="00043442" w:rsidRPr="00DF0D90">
        <w:rPr>
          <w:b w:val="0"/>
          <w:bCs/>
          <w:i/>
          <w:color w:val="auto"/>
          <w:lang w:val="ru-RU"/>
        </w:rPr>
        <w:t xml:space="preserve"> </w:t>
      </w:r>
      <w:r w:rsidRPr="00DF0D90">
        <w:rPr>
          <w:b w:val="0"/>
          <w:bCs/>
          <w:i/>
          <w:color w:val="auto"/>
        </w:rPr>
        <w:t>назначается, если в</w:t>
      </w:r>
      <w:r w:rsidR="00AB190F" w:rsidRPr="00DF0D90">
        <w:rPr>
          <w:b w:val="0"/>
          <w:bCs/>
          <w:i/>
          <w:color w:val="auto"/>
          <w:lang w:val="ru-RU"/>
        </w:rPr>
        <w:t xml:space="preserve"> </w:t>
      </w:r>
      <w:r w:rsidRPr="00DF0D90">
        <w:rPr>
          <w:b w:val="0"/>
          <w:bCs/>
          <w:i/>
          <w:color w:val="auto"/>
        </w:rPr>
        <w:t xml:space="preserve">1-й линии терапии </w:t>
      </w:r>
      <w:proofErr w:type="spellStart"/>
      <w:r w:rsidRPr="00DF0D90">
        <w:rPr>
          <w:b w:val="0"/>
          <w:bCs/>
          <w:i/>
          <w:color w:val="auto"/>
        </w:rPr>
        <w:t>сорафенибом</w:t>
      </w:r>
      <w:proofErr w:type="spellEnd"/>
      <w:r w:rsidRPr="00DF0D90">
        <w:rPr>
          <w:b w:val="0"/>
          <w:bCs/>
          <w:i/>
          <w:color w:val="auto"/>
        </w:rPr>
        <w:t>** в дозе ≥400 мг/сут</w:t>
      </w:r>
      <w:r w:rsidR="00043442" w:rsidRPr="00DF0D90">
        <w:rPr>
          <w:b w:val="0"/>
          <w:bCs/>
          <w:i/>
          <w:color w:val="auto"/>
          <w:lang w:val="ru-RU"/>
        </w:rPr>
        <w:t xml:space="preserve"> </w:t>
      </w:r>
      <w:r w:rsidRPr="00DF0D90">
        <w:rPr>
          <w:b w:val="0"/>
          <w:bCs/>
          <w:i/>
          <w:color w:val="auto"/>
        </w:rPr>
        <w:t>была отмечена его переносимость,</w:t>
      </w:r>
      <w:r w:rsidR="00043442" w:rsidRPr="00DF0D90">
        <w:rPr>
          <w:b w:val="0"/>
          <w:bCs/>
          <w:i/>
          <w:color w:val="auto"/>
          <w:lang w:val="ru-RU"/>
        </w:rPr>
        <w:t xml:space="preserve"> </w:t>
      </w:r>
      <w:r w:rsidRPr="00DF0D90">
        <w:rPr>
          <w:b w:val="0"/>
          <w:bCs/>
          <w:i/>
          <w:color w:val="auto"/>
        </w:rPr>
        <w:t>при условии удовлетворительного состояния пациента (</w:t>
      </w:r>
      <w:r w:rsidRPr="00DF0D90">
        <w:rPr>
          <w:b w:val="0"/>
          <w:bCs/>
          <w:i/>
          <w:color w:val="auto"/>
          <w:lang w:val="en-US"/>
        </w:rPr>
        <w:t>ECOG</w:t>
      </w:r>
      <w:r w:rsidRPr="00DF0D90">
        <w:rPr>
          <w:b w:val="0"/>
          <w:bCs/>
          <w:i/>
          <w:color w:val="auto"/>
        </w:rPr>
        <w:t xml:space="preserve"> 0/1)</w:t>
      </w:r>
      <w:r w:rsidR="004F7795" w:rsidRPr="00DF0D90">
        <w:rPr>
          <w:b w:val="0"/>
          <w:bCs/>
          <w:i/>
          <w:color w:val="auto"/>
          <w:lang w:val="ru-RU"/>
        </w:rPr>
        <w:t xml:space="preserve"> </w:t>
      </w:r>
      <w:r w:rsidRPr="00DF0D90">
        <w:rPr>
          <w:b w:val="0"/>
          <w:bCs/>
          <w:i/>
          <w:color w:val="auto"/>
        </w:rPr>
        <w:t xml:space="preserve">и компенсированной функции печени (классе </w:t>
      </w:r>
      <w:r w:rsidRPr="00DF0D90">
        <w:rPr>
          <w:b w:val="0"/>
          <w:bCs/>
          <w:i/>
          <w:color w:val="auto"/>
          <w:lang w:val="en-US"/>
        </w:rPr>
        <w:t>A</w:t>
      </w:r>
      <w:r w:rsidRPr="00DF0D90">
        <w:rPr>
          <w:b w:val="0"/>
          <w:bCs/>
          <w:i/>
          <w:color w:val="auto"/>
        </w:rPr>
        <w:t xml:space="preserve"> по</w:t>
      </w:r>
      <w:r w:rsidR="00043442" w:rsidRPr="00DF0D90">
        <w:rPr>
          <w:b w:val="0"/>
          <w:bCs/>
          <w:i/>
          <w:color w:val="auto"/>
          <w:lang w:val="ru-RU"/>
        </w:rPr>
        <w:t xml:space="preserve"> </w:t>
      </w:r>
      <w:r w:rsidRPr="00DF0D90">
        <w:rPr>
          <w:b w:val="0"/>
          <w:bCs/>
          <w:i/>
          <w:color w:val="auto"/>
          <w:lang w:val="en-US"/>
        </w:rPr>
        <w:t>Child</w:t>
      </w:r>
      <w:r w:rsidRPr="00DF0D90">
        <w:rPr>
          <w:b w:val="0"/>
          <w:bCs/>
          <w:i/>
          <w:color w:val="auto"/>
        </w:rPr>
        <w:t> – </w:t>
      </w:r>
      <w:proofErr w:type="spellStart"/>
      <w:r w:rsidRPr="00DF0D90">
        <w:rPr>
          <w:b w:val="0"/>
          <w:bCs/>
          <w:i/>
          <w:color w:val="auto"/>
          <w:lang w:val="en-US"/>
        </w:rPr>
        <w:t>Pugh</w:t>
      </w:r>
      <w:proofErr w:type="spellEnd"/>
      <w:r w:rsidRPr="00DF0D90">
        <w:rPr>
          <w:b w:val="0"/>
          <w:bCs/>
          <w:i/>
          <w:color w:val="auto"/>
        </w:rPr>
        <w:t>) в стандартном</w:t>
      </w:r>
      <w:r w:rsidR="00043442" w:rsidRPr="00DF0D90">
        <w:rPr>
          <w:b w:val="0"/>
          <w:bCs/>
          <w:i/>
          <w:color w:val="auto"/>
          <w:lang w:val="ru-RU"/>
        </w:rPr>
        <w:t xml:space="preserve"> </w:t>
      </w:r>
      <w:r w:rsidRPr="00DF0D90">
        <w:rPr>
          <w:b w:val="0"/>
          <w:bCs/>
          <w:i/>
          <w:color w:val="auto"/>
        </w:rPr>
        <w:t xml:space="preserve">режиме – 160 мг/сут однократно в 1–21-й дни, курс 4 нед., а пациентам, имеющим факторы риска развития токсичности (на фоне приема </w:t>
      </w:r>
      <w:proofErr w:type="spellStart"/>
      <w:r w:rsidRPr="00DF0D90">
        <w:rPr>
          <w:b w:val="0"/>
          <w:bCs/>
          <w:i/>
          <w:color w:val="auto"/>
        </w:rPr>
        <w:t>сорафениба</w:t>
      </w:r>
      <w:proofErr w:type="spellEnd"/>
      <w:r w:rsidRPr="00DF0D90">
        <w:rPr>
          <w:b w:val="0"/>
          <w:bCs/>
          <w:i/>
          <w:color w:val="auto"/>
        </w:rPr>
        <w:t xml:space="preserve">** в дозе 400 мг/сут эпизоды декомпенсации цирроза печени, плохо контролируемая сопутствующая патология), – в начальной дозе 120 мг/сут в 1–21-й дни 4-недельного цикла. При начале лечения в сниженной дозе при отсутствии токсичности </w:t>
      </w:r>
      <w:r w:rsidRPr="00DF0D90">
        <w:rPr>
          <w:b w:val="0"/>
          <w:bCs/>
          <w:i/>
          <w:color w:val="auto"/>
          <w:lang w:val="en-US"/>
        </w:rPr>
        <w:t>II</w:t>
      </w:r>
      <w:r w:rsidR="00F95811" w:rsidRPr="00DF0D90">
        <w:rPr>
          <w:b w:val="0"/>
          <w:bCs/>
          <w:i/>
          <w:color w:val="auto"/>
          <w:lang w:val="ru-RU"/>
        </w:rPr>
        <w:t xml:space="preserve"> </w:t>
      </w:r>
      <w:r w:rsidRPr="00DF0D90">
        <w:rPr>
          <w:b w:val="0"/>
          <w:bCs/>
          <w:i/>
          <w:color w:val="auto"/>
        </w:rPr>
        <w:t>и последующих степеней через 10–12 дней от начала курса оправданно</w:t>
      </w:r>
      <w:r w:rsidR="00043442" w:rsidRPr="00DF0D90">
        <w:rPr>
          <w:b w:val="0"/>
          <w:bCs/>
          <w:i/>
          <w:color w:val="auto"/>
          <w:lang w:val="ru-RU"/>
        </w:rPr>
        <w:t xml:space="preserve"> </w:t>
      </w:r>
      <w:r w:rsidRPr="00DF0D90">
        <w:rPr>
          <w:b w:val="0"/>
          <w:bCs/>
          <w:i/>
          <w:color w:val="auto"/>
        </w:rPr>
        <w:t xml:space="preserve">увеличение суточной дозы до стандартной рекомендуемой (160 мг/сут). </w:t>
      </w:r>
    </w:p>
    <w:p w14:paraId="3FC99A2D" w14:textId="77777777" w:rsidR="000C011A" w:rsidRPr="00DF0D90" w:rsidRDefault="000C011A" w:rsidP="00BD2E7C">
      <w:pPr>
        <w:numPr>
          <w:ilvl w:val="0"/>
          <w:numId w:val="34"/>
        </w:numPr>
        <w:spacing w:after="120" w:line="360" w:lineRule="auto"/>
        <w:ind w:left="0" w:firstLine="567"/>
        <w:jc w:val="both"/>
        <w:rPr>
          <w:shd w:val="clear" w:color="auto" w:fill="FFFFFF"/>
        </w:rPr>
      </w:pPr>
      <w:r w:rsidRPr="00DF0D90">
        <w:rPr>
          <w:b/>
          <w:bCs/>
        </w:rPr>
        <w:t xml:space="preserve">Рекомендуется </w:t>
      </w:r>
      <w:proofErr w:type="spellStart"/>
      <w:r w:rsidRPr="00DF0D90">
        <w:t>кабозантиниб</w:t>
      </w:r>
      <w:proofErr w:type="spellEnd"/>
      <w:r w:rsidR="005440F8" w:rsidRPr="00DF0D90">
        <w:t>**</w:t>
      </w:r>
      <w:r w:rsidR="00C40186" w:rsidRPr="00DF0D90">
        <w:t xml:space="preserve"> 60 мг в день </w:t>
      </w:r>
      <w:r w:rsidRPr="00DF0D90">
        <w:t>в качестве 2-3 линии терапии ГЦР после прогрессирования</w:t>
      </w:r>
      <w:r w:rsidR="00043442" w:rsidRPr="00DF0D90">
        <w:t xml:space="preserve"> </w:t>
      </w:r>
      <w:r w:rsidRPr="00DF0D90">
        <w:t xml:space="preserve">на фоне терапии </w:t>
      </w:r>
      <w:proofErr w:type="spellStart"/>
      <w:r w:rsidRPr="00DF0D90">
        <w:t>сорафенибом</w:t>
      </w:r>
      <w:proofErr w:type="spellEnd"/>
      <w:r w:rsidR="00FA3D72" w:rsidRPr="00DF0D90">
        <w:t>**</w:t>
      </w:r>
      <w:r w:rsidR="00043442" w:rsidRPr="00DF0D90">
        <w:t xml:space="preserve"> </w:t>
      </w:r>
      <w:r w:rsidRPr="00DF0D90">
        <w:t>(табл</w:t>
      </w:r>
      <w:r w:rsidR="00307A3D" w:rsidRPr="00DF0D90">
        <w:t>ица</w:t>
      </w:r>
      <w:r w:rsidR="00C352A4" w:rsidRPr="00DF0D90">
        <w:t xml:space="preserve"> 2</w:t>
      </w:r>
      <w:r w:rsidRPr="00DF0D90">
        <w:t>)</w:t>
      </w:r>
      <w:r w:rsidR="006E62FD" w:rsidRPr="00DF0D90">
        <w:t xml:space="preserve"> </w:t>
      </w:r>
      <w:r w:rsidR="006E62FD" w:rsidRPr="00DF0D90">
        <w:fldChar w:fldCharType="begin" w:fldLock="1"/>
      </w:r>
      <w:r w:rsidR="007335C5" w:rsidRPr="00DF0D90">
        <w:instrText>ADDIN CSL_CITATION {"citationItems":[{"id":"ITEM-1","itemData":{"DOI":"10.1056/nejmoa1717002","ISSN":"0028-4793","PMID":"29972759","abstract":"BACKGROUND Cabozantinib inhibits tyrosine kinases, including vascular endothelial growth factor receptors 1, 2, and 3, MET, and AXL, which are implicated in the progression of hepatocellular carcinoma and the development of resistance to sorafenib, the standard initial treatment for advanced disease. This randomized, double-blind, phase 3 trial evaluated cabozantinib as compared with placebo in previously treated patients with advanced hepatocellular carcinoma. METHODS A total of 707 patients were randomly assigned in a 2:1 ratio to receive cabozantinib (60 mg once daily) or matching placebo. Eligible patients had received previous treatment with sorafenib, had disease progression after at least one systemic treatment for hepatocellular carcinoma, and may have received up to two previous systemic regimens for advanced hepatocellular carcinoma. The primary end point was overall survival. Secondary end points were progression-free survival and the objective response rate. RESULTS At the second planned interim analysis, the trial showed significantly longer overall survival with cabozantinib than with placebo. Median overall survival was 10.2 months with cabozantinib and 8.0 months with placebo (hazard ratio for death, 0.76; 95% confidence interval [CI], 0.63 to 0.92; P=0.005). Median progression-free survival was 5.2 months with cabozantinib and 1.9 months with placebo (hazard ratio for disease progression or death, 0.44; 95% CI, 0.36 to 0.52; P&lt;0.001), and the objective response rates were 4% and less than 1%, respectively (P=0.009). Grade 3 or 4 adverse events occurred in 68% of patients in the cabozantinib group and in 36% in the placebo group. The most common high-grade events were palmar-plantar erythrodysesthesia (17% with cabozantinib vs. 0% with placebo), hypertension (16% vs. 2%), increased aspartate aminotransferase level (12% vs. 7%), fatigue (10% vs. 4%), and diarrhea (10% vs. 2%). CONCLUSIONS Among patients with previously treated advanced hepatocellular carcinoma, treatment with cabozantinib resulted in longer overall survival and progression-free survival than placebo. The rate of high-grade adverse events in the cabozantinib group was approximately twice that observed in the placebo group. (Funded by Exelixis; CELESTIAL ClinicalTrials.gov number, NCT01908426 .).","author":[{"dropping-particle":"","family":"Abou-Alfa","given":"Ghassan K.","non-dropping-particle":"","parse-names":false,"suffix":""},{"dropping-particle":"","family":"Meyer","given":"Tim","non-dropping-particle":"","parse-names":false,"suffix":""},{"dropping-particle":"","family":"Cheng","given":"Ann-Lii","non-dropping-particle":"","parse-names":false,"suffix":""},{"dropping-particle":"","family":"El-Khoueiry","given":"Anthony B.","non-dropping-particle":"","parse-names":false,"suffix":""},{"dropping-particle":"","family":"Rimassa","given":"Lorenza","non-dropping-particle":"","parse-names":false,"suffix":""},{"dropping-particle":"","family":"Ryoo","given":"Baek-Yeol","non-dropping-particle":"","parse-names":false,"suffix":""},{"dropping-particle":"","family":"Cicin","given":"Irfan","non-dropping-particle":"","parse-names":false,"suffix":""},{"dropping-particle":"","family":"Merle","given":"Philippe","non-dropping-particle":"","parse-names":false,"suffix":""},{"dropping-particle":"","family":"Chen","given":"YenHsun","non-dropping-particle":"","parse-names":false,"suffix":""},{"dropping-particle":"","family":"Park","given":"Joong-Won","non-dropping-particle":"","parse-names":false,"suffix":""},{"dropping-particle":"","family":"Blanc","given":"Jean-Frederic","non-dropping-particle":"","parse-names":false,"suffix":""},{"dropping-particle":"","family":"Bolondi","given":"Luigi","non-dropping-particle":"","parse-names":false,"suffix":""},{"dropping-particle":"","family":"Klümpen","given":"Heinz-Josef","non-dropping-particle":"","parse-names":false,"suffix":""},{"dropping-particle":"","family":"Chan","given":"Stephen L.","non-dropping-particle":"","parse-names":false,"suffix":""},{"dropping-particle":"","family":"Zagonel","given":"Vittorina","non-dropping-particle":"","parse-names":false,"suffix":""},{"dropping-particle":"","family":"Pressiani","given":"Tiziana","non-dropping-particle":"","parse-names":false,"suffix":""},{"dropping-particle":"","family":"Ryu","given":"Min-Hee","non-dropping-particle":"","parse-names":false,"suffix":""},{"dropping-particle":"","family":"Venook","given":"Alan P.","non-dropping-particle":"","parse-names":false,"suffix":""},{"dropping-particle":"","family":"Hessel","given":"Colin","non-dropping-particle":"","parse-names":false,"suffix":""},{"dropping-particle":"","family":"Borgman-Hagey","given":"Anne E.","non-dropping-particle":"","parse-names":false,"suffix":""},{"dropping-particle":"","family":"Schwab","given":"Gisela","non-dropping-particle":"","parse-names":false,"suffix":""},{"dropping-particle":"","family":"Kelley","given":"Robin K.","non-dropping-particle":"","parse-names":false,"suffix":""}],"container-title":"New England Journal of Medicine","id":"ITEM-1","issue":"1","issued":{"date-parts":[["2018","7","5"]]},"page":"54-63","publisher":"New England Journal of Medicine (NEJM/MMS)","title":"Cabozantinib in Patients with Advanced and Progressing Hepatocellular Carcinoma","type":"article-journal","volume":"379"},"uris":["http://www.mendeley.com/documents/?uuid=82c19829-8797-34aa-bbe1-377e65ddcedb"]}],"mendeley":{"formattedCitation":"[92]","plainTextFormattedCitation":"[92]","previouslyFormattedCitation":"[92]"},"properties":{"noteIndex":0},"schema":"https://github.com/citation-style-language/schema/raw/master/csl-citation.json"}</w:instrText>
      </w:r>
      <w:r w:rsidR="006E62FD" w:rsidRPr="00DF0D90">
        <w:fldChar w:fldCharType="separate"/>
      </w:r>
      <w:r w:rsidR="007335C5" w:rsidRPr="00DF0D90">
        <w:rPr>
          <w:noProof/>
        </w:rPr>
        <w:t>[92]</w:t>
      </w:r>
      <w:r w:rsidR="006E62FD" w:rsidRPr="00DF0D90">
        <w:fldChar w:fldCharType="end"/>
      </w:r>
      <w:r w:rsidRPr="00DF0D90">
        <w:t>.</w:t>
      </w:r>
    </w:p>
    <w:p w14:paraId="342C9294" w14:textId="77777777" w:rsidR="00A70AA9" w:rsidRPr="00DF0D90" w:rsidRDefault="000C011A" w:rsidP="00BD2E7C">
      <w:pPr>
        <w:pStyle w:val="afa"/>
        <w:spacing w:after="120" w:line="360" w:lineRule="auto"/>
        <w:ind w:right="0"/>
        <w:jc w:val="both"/>
      </w:pPr>
      <w:r w:rsidRPr="00DF0D90">
        <w:rPr>
          <w:shd w:val="clear" w:color="auto" w:fill="FFFFFF"/>
        </w:rPr>
        <w:t>Уровень убедительности рекомендаций – А</w:t>
      </w:r>
      <w:r w:rsidR="00043442" w:rsidRPr="00DF0D90">
        <w:rPr>
          <w:shd w:val="clear" w:color="auto" w:fill="FFFFFF"/>
          <w:lang w:val="ru-RU"/>
        </w:rPr>
        <w:t xml:space="preserve"> </w:t>
      </w:r>
      <w:r w:rsidRPr="00DF0D90">
        <w:rPr>
          <w:shd w:val="clear" w:color="auto" w:fill="FFFFFF"/>
        </w:rPr>
        <w:t xml:space="preserve">(уровень достоверности доказательств – </w:t>
      </w:r>
      <w:r w:rsidR="00C40186" w:rsidRPr="00DF0D90">
        <w:t>2</w:t>
      </w:r>
      <w:r w:rsidR="000847FA" w:rsidRPr="00DF0D90">
        <w:t>)</w:t>
      </w:r>
    </w:p>
    <w:p w14:paraId="2D0016A0" w14:textId="77777777" w:rsidR="00A70AA9" w:rsidRPr="00DF0D90" w:rsidRDefault="00A70AA9" w:rsidP="00BD2E7C">
      <w:pPr>
        <w:pStyle w:val="af2"/>
        <w:numPr>
          <w:ilvl w:val="0"/>
          <w:numId w:val="34"/>
        </w:numPr>
        <w:spacing w:after="120" w:line="360" w:lineRule="auto"/>
        <w:ind w:left="0" w:firstLine="567"/>
        <w:jc w:val="both"/>
        <w:rPr>
          <w:shd w:val="clear" w:color="auto" w:fill="FFFFFF"/>
        </w:rPr>
      </w:pPr>
      <w:r w:rsidRPr="00DF0D90">
        <w:rPr>
          <w:b/>
          <w:shd w:val="clear" w:color="auto" w:fill="FFFFFF"/>
        </w:rPr>
        <w:t>Рекомендуется</w:t>
      </w:r>
      <w:r w:rsidRPr="00DF0D90">
        <w:rPr>
          <w:shd w:val="clear" w:color="auto" w:fill="FFFFFF"/>
        </w:rPr>
        <w:t xml:space="preserve"> в качестве 2 линии моноклональное антитело к VEGFR 2 типа </w:t>
      </w:r>
      <w:proofErr w:type="spellStart"/>
      <w:r w:rsidRPr="00DF0D90">
        <w:rPr>
          <w:shd w:val="clear" w:color="auto" w:fill="FFFFFF"/>
        </w:rPr>
        <w:t>рамуцирумаб</w:t>
      </w:r>
      <w:proofErr w:type="spellEnd"/>
      <w:r w:rsidR="006259B8" w:rsidRPr="00DF0D90">
        <w:rPr>
          <w:shd w:val="clear" w:color="auto" w:fill="FFFFFF"/>
        </w:rPr>
        <w:t>**</w:t>
      </w:r>
      <w:r w:rsidRPr="00DF0D90">
        <w:rPr>
          <w:shd w:val="clear" w:color="auto" w:fill="FFFFFF"/>
        </w:rPr>
        <w:t xml:space="preserve"> в дозе </w:t>
      </w:r>
      <w:r w:rsidR="00F95811" w:rsidRPr="00DF0D90">
        <w:rPr>
          <w:shd w:val="clear" w:color="auto" w:fill="FFFFFF"/>
        </w:rPr>
        <w:t>8</w:t>
      </w:r>
      <w:r w:rsidRPr="00DF0D90">
        <w:rPr>
          <w:shd w:val="clear" w:color="auto" w:fill="FFFFFF"/>
        </w:rPr>
        <w:t xml:space="preserve"> мг/кг внутривенно каждые 2 недели до прогрессирования или непереносимой токсичности больным в удовлетворительном состоянии (ECOG 0/1) и при компенсированной функции печени (Child</w:t>
      </w:r>
      <w:r w:rsidR="00043442" w:rsidRPr="00DF0D90">
        <w:rPr>
          <w:shd w:val="clear" w:color="auto" w:fill="FFFFFF"/>
        </w:rPr>
        <w:t xml:space="preserve"> – </w:t>
      </w:r>
      <w:proofErr w:type="spellStart"/>
      <w:r w:rsidRPr="00DF0D90">
        <w:rPr>
          <w:shd w:val="clear" w:color="auto" w:fill="FFFFFF"/>
        </w:rPr>
        <w:t>Pugh</w:t>
      </w:r>
      <w:proofErr w:type="spellEnd"/>
      <w:r w:rsidRPr="00DF0D90">
        <w:rPr>
          <w:shd w:val="clear" w:color="auto" w:fill="FFFFFF"/>
        </w:rPr>
        <w:t xml:space="preserve"> A)</w:t>
      </w:r>
      <w:r w:rsidR="006E62FD" w:rsidRPr="00DF0D90">
        <w:rPr>
          <w:shd w:val="clear" w:color="auto" w:fill="FFFFFF"/>
        </w:rPr>
        <w:t xml:space="preserve"> </w:t>
      </w:r>
      <w:r w:rsidR="006E62FD" w:rsidRPr="00DF0D90">
        <w:rPr>
          <w:shd w:val="clear" w:color="auto" w:fill="FFFFFF"/>
        </w:rPr>
        <w:fldChar w:fldCharType="begin" w:fldLock="1"/>
      </w:r>
      <w:r w:rsidR="007335C5" w:rsidRPr="00DF0D90">
        <w:rPr>
          <w:shd w:val="clear" w:color="auto" w:fill="FFFFFF"/>
        </w:rPr>
        <w:instrText>ADDIN CSL_CITATION {"citationItems":[{"id":"ITEM-1","itemData":{"DOI":"10.1016/S1470-2045(18)30937-9","ISSN":"14745488","PMID":"30665869","abstract":"Background: Patients with advanced hepatocellular carcinoma and increased α-fetoprotein concentrations have poor prognosis. We aimed to establish the efficacy of ramucirumab in patients with advanced hepatocellular carcinoma and α-fetoprotein concentrations of 400 ng/mL or higher. Methods: REACH-2 was a randomised, double-blind, placebo-controlled, phase 3 trial done at 92 hospitals, clinics, and medical centres in 20 countries. Eligible patients were aged 18 years or older and had histologically or cytologically confirmed hepatocellular carcinoma, or diagnosed cirrhosis and hepatocellular carcinoma, Barcelona Clinic Liver Cancer stage B or C disease, Child-Pugh class A liver disease, Eastern Cooperative Oncology Group (ECOG) performance statuses of 0 or 1, α-fetoprotein concentrations of 400 ng/mL or greater, and had previously received first-line sorafenib. Participants were randomly assigned (2:1) via an interactive web response system with a computer-generated random sequence to 8 mg/kg intravenous ramucirumab every 2 weeks or placebo. All patients received best supportive care. The primary endpoint was overall survival. Secondary endpoints were progression-free survival, proportion of patients achieving an objective response, time to radiographic progression, safety, time to deterioration in scores on the Functional Assessment of Cancer Therapy Hepatobiliary Symptom Index 8 (FHSI-8), and time to deterioration in ECOG performance status. We also pooled individual patient data from REACH-2 with data from REACH (NCT01140347) for patients with α-fetoprotein concentrations of 400 ng/mL or greater. Efficacy analyses were by intention to treat, whereas safety analyses were done in all patients who received at least one dose of study drug. This trial is registered with ClinicalTrials.gov, number NCT02435433. Findings: Between July 26, 2015, and Aug 30, 2017, 292 patients were randomly assigned, 197 to the ramucirumab group and 95 to the placebo group. At a median follow-up of 7·6 months (IQR 4·0–12·5), median overall survival (8·5 months [95% CI 7·0–10·6] vs 7·3 months [5·4–9·1]; hazard ratio [HR] 0·710 [95% CI 0·531–0·949]; p=0·0199) and progression-free survival (2·8 months [2·8–4·1] vs 1·6 months [1·5–2·7]; 0·452 [0·339–0·603]; p&lt;0·0001) were significantly improved in the ramucirumab group compared with the placebo group. The proportion of patients with an objective response did not differ significantly between groups (nine [5%] of 197 vs one [1%] of 95…","author":[{"dropping-particle":"","family":"Zhu","given":"Andrew X","non-dropping-particle":"","parse-names":false,"suffix":""},{"dropping-particle":"","family":"Kang","given":"Yoon Koo","non-dropping-particle":"","parse-names":false,"suffix":""},{"dropping-particle":"","family":"Yen","given":"Chia Jui","non-dropping-particle":"","parse-names":false,"suffix":""},{"dropping-particle":"","family":"Finn","given":"Richard S","non-dropping-particle":"","parse-names":false,"suffix":""},{"dropping-particle":"","family":"Galle","given":"Peter R","non-dropping-particle":"","parse-names":false,"suffix":""},{"dropping-particle":"","family":"Llovet","given":"Josep M","non-dropping-particle":"","parse-names":false,"suffix":""},{"dropping-particle":"","family":"Assenat","given":"Eric","non-dropping-particle":"","parse-names":false,"suffix":""},{"dropping-particle":"","family":"Brandi","given":"Giovanni","non-dropping-particle":"","parse-names":false,"suffix":""},{"dropping-particle":"","family":"Pracht","given":"Marc","non-dropping-particle":"","parse-names":false,"suffix":""},{"dropping-particle":"","family":"Lim","given":"Ho Yeong","non-dropping-particle":"","parse-names":false,"suffix":""},{"dropping-particle":"","family":"Rau","given":"Kun Ming","non-dropping-particle":"","parse-names":false,"suffix":""},{"dropping-particle":"","family":"Motomura","given":"Kenta","non-dropping-particle":"","parse-names":false,"suffix":""},{"dropping-particle":"","family":"Ohno","given":"Izumi","non-dropping-particle":"","parse-names":false,"suffix":""},{"dropping-particle":"","family":"Merle","given":"Philippe","non-dropping-particle":"","parse-names":false,"suffix":""},{"dropping-particle":"","family":"Daniele","given":"Bruno","non-dropping-particle":"","parse-names":false,"suffix":""},{"dropping-particle":"","family":"Shin","given":"Dong Bok","non-dropping-particle":"","parse-names":false,"suffix":""},{"dropping-particle":"","family":"Gerken","given":"Guido","non-dropping-particle":"","parse-names":false,"suffix":""},{"dropping-particle":"","family":"Borg","given":"Christophe","non-dropping-particle":"","parse-names":false,"suffix":""},{"dropping-particle":"","family":"Hiriart","given":"Jean Baptiste","non-dropping-particle":"","parse-names":false,"suffix":""},{"dropping-particle":"","family":"Okusaka","given":"Takuji","non-dropping-particle":"","parse-names":false,"suffix":""},{"dropping-particle":"","family":"Morimoto","given":"Manabu","non-dropping-particle":"","parse-names":false,"suffix":""},{"dropping-particle":"","family":"Hsu","given":"Yanzhi","non-dropping-particle":"","parse-names":false,"suffix":""},{"dropping-particle":"","family":"Abada","given":"Paolo B","non-dropping-particle":"","parse-names":false,"suffix":""},{"dropping-particle":"","family":"Kudo","given":"Masatoshi","non-dropping-particle":"","parse-names":false,"suffix":""}],"container-title":"The Lancet Oncology","id":"ITEM-1","issue":"2","issued":{"date-parts":[["2019","2"]]},"page":"282-296","title":"Ramucirumab after sorafenib in patients with advanced hepatocellular carcinoma and increased α-fetoprotein concentrations (REACH-2): a randomised, double-blind, placebo-controlled, phase 3 trial","type":"article-journal","volume":"20"},"uris":["http://www.mendeley.com/documents/?uuid=cd904b29-46af-308c-8583-2b353c9e0941"]}],"mendeley":{"formattedCitation":"[95]","plainTextFormattedCitation":"[95]","previouslyFormattedCitation":"[95]"},"properties":{"noteIndex":0},"schema":"https://github.com/citation-style-language/schema/raw/master/csl-citation.json"}</w:instrText>
      </w:r>
      <w:r w:rsidR="006E62FD" w:rsidRPr="00DF0D90">
        <w:rPr>
          <w:shd w:val="clear" w:color="auto" w:fill="FFFFFF"/>
        </w:rPr>
        <w:fldChar w:fldCharType="separate"/>
      </w:r>
      <w:r w:rsidR="007335C5" w:rsidRPr="00DF0D90">
        <w:rPr>
          <w:noProof/>
          <w:shd w:val="clear" w:color="auto" w:fill="FFFFFF"/>
        </w:rPr>
        <w:t>[95]</w:t>
      </w:r>
      <w:r w:rsidR="006E62FD" w:rsidRPr="00DF0D90">
        <w:rPr>
          <w:shd w:val="clear" w:color="auto" w:fill="FFFFFF"/>
        </w:rPr>
        <w:fldChar w:fldCharType="end"/>
      </w:r>
      <w:r w:rsidRPr="00DF0D90">
        <w:rPr>
          <w:shd w:val="clear" w:color="auto" w:fill="FFFFFF"/>
        </w:rPr>
        <w:t xml:space="preserve">. </w:t>
      </w:r>
    </w:p>
    <w:p w14:paraId="7770D050" w14:textId="1A7C0542" w:rsidR="00A70AA9" w:rsidRPr="00DF0D90" w:rsidRDefault="00A70AA9" w:rsidP="00BD2E7C">
      <w:pPr>
        <w:pStyle w:val="afa"/>
        <w:spacing w:after="120" w:line="360" w:lineRule="auto"/>
        <w:jc w:val="both"/>
      </w:pPr>
      <w:r w:rsidRPr="00DF0D90">
        <w:rPr>
          <w:shd w:val="clear" w:color="auto" w:fill="FFFFFF"/>
        </w:rPr>
        <w:t xml:space="preserve">Уровень убедительности рекомендаций – B (уровень достоверности доказательств – </w:t>
      </w:r>
      <w:r w:rsidRPr="00DF0D90">
        <w:t>2</w:t>
      </w:r>
      <w:r w:rsidRPr="00DF0D90">
        <w:rPr>
          <w:shd w:val="clear" w:color="auto" w:fill="FFFFFF"/>
        </w:rPr>
        <w:t>).</w:t>
      </w:r>
    </w:p>
    <w:p w14:paraId="3DF4853F" w14:textId="77777777" w:rsidR="00A70AA9" w:rsidRPr="00DF0D90" w:rsidRDefault="00A70AA9" w:rsidP="00BD2E7C">
      <w:pPr>
        <w:pStyle w:val="afa"/>
        <w:spacing w:after="120" w:line="360" w:lineRule="auto"/>
        <w:jc w:val="both"/>
        <w:rPr>
          <w:rFonts w:eastAsia="Calibri"/>
          <w:b w:val="0"/>
          <w:bCs/>
          <w:i/>
          <w:iCs/>
          <w:color w:val="auto"/>
          <w:spacing w:val="0"/>
        </w:rPr>
      </w:pPr>
      <w:r w:rsidRPr="00DF0D90">
        <w:rPr>
          <w:rFonts w:eastAsia="Calibri"/>
          <w:i/>
          <w:color w:val="auto"/>
          <w:spacing w:val="0"/>
        </w:rPr>
        <w:t>Комментарии:</w:t>
      </w:r>
      <w:r w:rsidR="00043442" w:rsidRPr="00DF0D90">
        <w:rPr>
          <w:rFonts w:eastAsia="Calibri"/>
          <w:color w:val="auto"/>
          <w:spacing w:val="0"/>
          <w:lang w:val="ru-RU"/>
        </w:rPr>
        <w:t xml:space="preserve"> </w:t>
      </w:r>
      <w:r w:rsidRPr="00DF0D90">
        <w:rPr>
          <w:rFonts w:eastAsia="Calibri"/>
          <w:b w:val="0"/>
          <w:bCs/>
          <w:i/>
          <w:iCs/>
          <w:color w:val="auto"/>
          <w:spacing w:val="0"/>
        </w:rPr>
        <w:t xml:space="preserve">назначается при прогрессировании ГЦР на терапии </w:t>
      </w:r>
      <w:proofErr w:type="spellStart"/>
      <w:r w:rsidRPr="00DF0D90">
        <w:rPr>
          <w:rFonts w:eastAsia="Calibri"/>
          <w:b w:val="0"/>
          <w:bCs/>
          <w:i/>
          <w:iCs/>
          <w:color w:val="auto"/>
          <w:spacing w:val="0"/>
        </w:rPr>
        <w:t>сорафенибом</w:t>
      </w:r>
      <w:proofErr w:type="spellEnd"/>
      <w:r w:rsidR="006259B8" w:rsidRPr="00DF0D90">
        <w:rPr>
          <w:rFonts w:eastAsia="Calibri"/>
          <w:b w:val="0"/>
          <w:bCs/>
          <w:i/>
          <w:iCs/>
          <w:color w:val="auto"/>
          <w:spacing w:val="0"/>
        </w:rPr>
        <w:t>**</w:t>
      </w:r>
      <w:r w:rsidRPr="00DF0D90">
        <w:rPr>
          <w:rFonts w:eastAsia="Calibri"/>
          <w:b w:val="0"/>
          <w:bCs/>
          <w:i/>
          <w:iCs/>
          <w:color w:val="auto"/>
          <w:spacing w:val="0"/>
        </w:rPr>
        <w:t xml:space="preserve"> у пациентов с уровнем АФП≥400 </w:t>
      </w:r>
      <w:proofErr w:type="spellStart"/>
      <w:r w:rsidRPr="00DF0D90">
        <w:rPr>
          <w:rFonts w:eastAsia="Calibri"/>
          <w:b w:val="0"/>
          <w:bCs/>
          <w:i/>
          <w:iCs/>
          <w:color w:val="auto"/>
          <w:spacing w:val="0"/>
        </w:rPr>
        <w:t>нг</w:t>
      </w:r>
      <w:proofErr w:type="spellEnd"/>
      <w:r w:rsidRPr="00DF0D90">
        <w:rPr>
          <w:rFonts w:eastAsia="Calibri"/>
          <w:b w:val="0"/>
          <w:bCs/>
          <w:i/>
          <w:iCs/>
          <w:color w:val="auto"/>
          <w:spacing w:val="0"/>
        </w:rPr>
        <w:t xml:space="preserve">/мл. Препарат назначается пациентам, удовлетворительно переносившим терапию </w:t>
      </w:r>
      <w:proofErr w:type="spellStart"/>
      <w:r w:rsidRPr="00DF0D90">
        <w:rPr>
          <w:rFonts w:eastAsia="Calibri"/>
          <w:b w:val="0"/>
          <w:bCs/>
          <w:i/>
          <w:iCs/>
          <w:color w:val="auto"/>
          <w:spacing w:val="0"/>
        </w:rPr>
        <w:t>сорафенибом</w:t>
      </w:r>
      <w:proofErr w:type="spellEnd"/>
      <w:r w:rsidR="006259B8" w:rsidRPr="00DF0D90">
        <w:rPr>
          <w:rFonts w:eastAsia="Calibri"/>
          <w:b w:val="0"/>
          <w:bCs/>
          <w:i/>
          <w:iCs/>
          <w:color w:val="auto"/>
          <w:spacing w:val="0"/>
        </w:rPr>
        <w:t>**</w:t>
      </w:r>
      <w:r w:rsidRPr="00DF0D90">
        <w:rPr>
          <w:rFonts w:eastAsia="Calibri"/>
          <w:b w:val="0"/>
          <w:bCs/>
          <w:i/>
          <w:iCs/>
          <w:color w:val="auto"/>
          <w:spacing w:val="0"/>
        </w:rPr>
        <w:t xml:space="preserve"> (≥400 мг/день)</w:t>
      </w:r>
    </w:p>
    <w:p w14:paraId="68A8A936" w14:textId="77777777" w:rsidR="00630BAC" w:rsidRPr="00DF0D90" w:rsidRDefault="00630BAC" w:rsidP="00BD2E7C">
      <w:pPr>
        <w:pStyle w:val="af2"/>
        <w:numPr>
          <w:ilvl w:val="0"/>
          <w:numId w:val="34"/>
        </w:numPr>
        <w:spacing w:after="120" w:line="360" w:lineRule="auto"/>
        <w:ind w:left="0" w:firstLine="567"/>
        <w:jc w:val="both"/>
        <w:rPr>
          <w:color w:val="000000"/>
        </w:rPr>
      </w:pPr>
      <w:r w:rsidRPr="00DF0D90">
        <w:rPr>
          <w:b/>
        </w:rPr>
        <w:t>Рекомендуется</w:t>
      </w:r>
      <w:r w:rsidRPr="00DF0D90">
        <w:t xml:space="preserve"> терапия</w:t>
      </w:r>
      <w:r w:rsidR="000847FA" w:rsidRPr="00DF0D90">
        <w:t xml:space="preserve"> препаратами моноклональных антител -</w:t>
      </w:r>
      <w:r w:rsidRPr="00DF0D90">
        <w:t xml:space="preserve"> ингибиторами контрольных точек иммунного надзора </w:t>
      </w:r>
      <w:proofErr w:type="spellStart"/>
      <w:r w:rsidRPr="00DF0D90">
        <w:t>ниволумабом</w:t>
      </w:r>
      <w:proofErr w:type="spellEnd"/>
      <w:r w:rsidRPr="00DF0D90">
        <w:t xml:space="preserve">** или </w:t>
      </w:r>
      <w:proofErr w:type="spellStart"/>
      <w:r w:rsidRPr="00DF0D90">
        <w:t>пембролизумабом</w:t>
      </w:r>
      <w:proofErr w:type="spellEnd"/>
      <w:r w:rsidRPr="00DF0D90">
        <w:t>** в качестве 2-й и 3-й линий терапии прогрессирующего ГЦР, а также у пациентов, не переносящих</w:t>
      </w:r>
      <w:r w:rsidR="004D236A" w:rsidRPr="00DF0D90">
        <w:t xml:space="preserve"> препараты из группы ингибиторов протеинкиназ</w:t>
      </w:r>
      <w:r w:rsidR="00043442" w:rsidRPr="00DF0D90">
        <w:t xml:space="preserve"> </w:t>
      </w:r>
      <w:r w:rsidR="009F4ACF" w:rsidRPr="00DF0D90">
        <w:t>(</w:t>
      </w:r>
      <w:proofErr w:type="spellStart"/>
      <w:r w:rsidRPr="00DF0D90">
        <w:t>мультикиназные</w:t>
      </w:r>
      <w:proofErr w:type="spellEnd"/>
      <w:r w:rsidRPr="00DF0D90">
        <w:t xml:space="preserve"> ингибиторы</w:t>
      </w:r>
      <w:r w:rsidR="009F4ACF" w:rsidRPr="00DF0D90">
        <w:t>)</w:t>
      </w:r>
      <w:r w:rsidR="00043442" w:rsidRPr="00DF0D90">
        <w:t xml:space="preserve"> </w:t>
      </w:r>
      <w:r w:rsidRPr="00DF0D90">
        <w:t>сорафениб**/ленватиниб**/</w:t>
      </w:r>
      <w:proofErr w:type="spellStart"/>
      <w:r w:rsidRPr="00DF0D90">
        <w:t>регорафениб</w:t>
      </w:r>
      <w:proofErr w:type="spellEnd"/>
      <w:r w:rsidRPr="00DF0D90">
        <w:t>**</w:t>
      </w:r>
      <w:r w:rsidR="00094065" w:rsidRPr="00DF0D90">
        <w:t>/</w:t>
      </w:r>
      <w:proofErr w:type="spellStart"/>
      <w:r w:rsidR="00094065" w:rsidRPr="00DF0D90">
        <w:t>кабозантиниб</w:t>
      </w:r>
      <w:proofErr w:type="spellEnd"/>
      <w:r w:rsidR="00976E5C" w:rsidRPr="00DF0D90">
        <w:t>**</w:t>
      </w:r>
      <w:r w:rsidR="000E129D" w:rsidRPr="00DF0D90">
        <w:t xml:space="preserve"> </w:t>
      </w:r>
      <w:r w:rsidRPr="00DF0D90">
        <w:t>или имеющих противопоказания к терапии этими препаратами (табл</w:t>
      </w:r>
      <w:r w:rsidR="004D236A" w:rsidRPr="00DF0D90">
        <w:t>ица</w:t>
      </w:r>
      <w:r w:rsidR="007473C6" w:rsidRPr="00DF0D90">
        <w:t xml:space="preserve"> 2</w:t>
      </w:r>
      <w:r w:rsidRPr="00DF0D90">
        <w:t>)</w:t>
      </w:r>
      <w:r w:rsidR="000E129D" w:rsidRPr="00DF0D90">
        <w:t xml:space="preserve"> </w:t>
      </w:r>
      <w:r w:rsidR="00EC6E79" w:rsidRPr="00DF0D90">
        <w:t>для улучшения контроля роста опухоли и выживаемости пациентов</w:t>
      </w:r>
      <w:r w:rsidR="006E62FD" w:rsidRPr="00DF0D90">
        <w:t xml:space="preserve"> </w:t>
      </w:r>
      <w:r w:rsidR="00386548" w:rsidRPr="00DF0D90">
        <w:fldChar w:fldCharType="begin" w:fldLock="1"/>
      </w:r>
      <w:r w:rsidR="007335C5" w:rsidRPr="00DF0D90">
        <w:instrText>ADDIN CSL_CITATION {"citationItems":[{"id":"ITEM-1","itemData":{"author":[{"dropping-particle":"","family":"NCCN","given":"","non-dropping-particle":"","parse-names":false,"suffix":""}],"id":"ITEM-1","issued":{"date-parts":[["2021"]]},"title":"Clinical Practice Guidelines in Oncology. Hepatobiliary Cancers, version 4.2021","type":"article-journal"},"uris":["http://www.mendeley.com/documents/?uuid=db314d5f-b05a-4fec-a403-5589c18d9ebd"]},{"id":"ITEM-2","itemData":{"DOI":"10.1016/S0140-6736(17)31046-2","ISSN":"1474547X","PMID":"28434648","abstract":"Background For patients with advanced hepatocellular carcinoma, sorafenib is the only approved drug worldwide, and outcomes remain poor. We aimed to assess the safety and efficacy of nivolumab, a programmed cell death protein-1 (PD-1) immune checkpoint inhibitor, in patients with advanced hepatocellular carcinoma with or without chronic viral hepatitis. Methods We did a phase 1/2, open-label, non-comparative, dose escalation and expansion trial (CheckMate 040) of nivolumab in adults (≥18 years) with histologically confirmed advanced hepatocellular carcinoma with or without hepatitis C or B (HCV or HBV) infection. Previous sorafenib treatment was allowed. A dose-escalation phase was conducted at seven hospitals or academic centres in four countries or territories (USA, Spain, Hong Kong, and Singapore) and a dose-expansion phase was conducted at an additional 39 sites in 11 countries (Canada, UK, Germany, Italy, Japan, South Korea, Taiwan). At screening, eligible patients had Child-Pugh scores of 7 or less (Child-Pugh A or B7) for the dose-escalation phase and 6 or less (Child-Pugh A) for the dose-expansion phase, and an Eastern Cooperative Oncology Group performance status of 1 or less. Patients with HBV infection had to be receiving effective antiviral therapy (viral load &lt;100 IU/mL); antiviral therapy was not required for patients with HCV infection. We excluded patients previously treated with an agent targeting T-cell costimulation or checkpoint pathways. Patients received intravenous nivolumab 0·1–10 mg/kg every 2 weeks in the dose-escalation phase (3+3 design). Nivolumab 3 mg/kg was given every 2 weeks in the dose-expansion phase to patients in four cohorts: sorafenib untreated or intolerant without viral hepatitis, sorafenib progressor without viral hepatitis, HCV infected, and HBV infected. Primary endpoints were safety and tolerability for the escalation phase and objective response rate (Response Evaluation Criteria In Solid Tumors version 1.1) for the expansion phase. This study is registered with ClinicalTrials.gov, number NCT01658878. Findings Between Nov 26, 2012, and Aug 8, 2016, 262 eligible patients were treated (48 patients in the dose-escalation phase and 214 in the dose-expansion phase). 202 (77%) of 262 patients have completed treatment and follow-up is ongoing. During dose escalation, nivolumab showed a manageable safety profile, including acceptable tolerability. In this phase, 46 (96%) of 48 patients discontinued treatment, 42 (88…","author":[{"dropping-particle":"","family":"El-Khoueiry","given":"Anthony B","non-dropping-particle":"","parse-names":false,"suffix":""},{"dropping-particle":"","family":"Sangro","given":"Bruno","non-dropping-particle":"","parse-names":false,"suffix":""},{"dropping-particle":"","family":"Yau","given":"Thomas","non-dropping-particle":"","parse-names":false,"suffix":""},{"dropping-particle":"","family":"Crocenzi","given":"Todd S","non-dropping-particle":"","parse-names":false,"suffix":""},{"dropping-particle":"","family":"Kudo","given":"Masatoshi","non-dropping-particle":"","parse-names":false,"suffix":""},{"dropping-particle":"","family":"Hsu","given":"Chiun","non-dropping-particle":"","parse-names":false,"suffix":""},{"dropping-particle":"","family":"Kim","given":"Tae You","non-dropping-particle":"","parse-names":false,"suffix":""},{"dropping-particle":"","family":"Choo","given":"Su Pin","non-dropping-particle":"","parse-names":false,"suffix":""},{"dropping-particle":"","family":"Trojan","given":"Jörg","non-dropping-particle":"","parse-names":false,"suffix":""},{"dropping-particle":"","family":"Welling","given":"Theodore H","non-dropping-particle":"","parse-names":false,"suffix":""},{"dropping-particle":"","family":"Meyer","given":"Tim","non-dropping-particle":"","parse-names":false,"suffix":""},{"dropping-particle":"","family":"Kang","given":"Yoon Koo","non-dropping-particle":"","parse-names":false,"suffix":""},{"dropping-particle":"","family":"Yeo","given":"Winnie","non-dropping-particle":"","parse-names":false,"suffix":""},{"dropping-particle":"","family":"Chopra","given":"Akhil","non-dropping-particle":"","parse-names":false,"suffix":""},{"dropping-particle":"","family":"Anderson","given":"Jeffrey","non-dropping-particle":"","parse-names":false,"suffix":""},{"dropping-particle":"","family":"Cruz","given":"Christine","non-dropping-particle":"dela","parse-names":false,"suffix":""},{"dropping-particle":"","family":"Lang","given":"Lixin","non-dropping-particle":"","parse-names":false,"suffix":""},{"dropping-particle":"","family":"Neely","given":"Jaclyn","non-dropping-particle":"","parse-names":false,"suffix":""},{"dropping-particle":"","family":"Tang","given":"Hao","non-dropping-particle":"","parse-names":false,"suffix":""},{"dropping-particle":"","family":"Dastani","given":"Homa B","non-dropping-particle":"","parse-names":false,"suffix":""},{"dropping-particle":"","family":"Melero","given":"Ignacio","non-dropping-particle":"","parse-names":false,"suffix":""}],"container-title":"The Lancet","id":"ITEM-2","issue":"10088","issued":{"date-parts":[["2017","6"]]},"page":"2492-2502","title":"Nivolumab in patients with advanced hepatocellular carcinoma (CheckMate 040): an open-label, non-comparative, phase 1/2 dose escalation and expansion trial","type":"article-journal","volume":"389"},"uris":["http://www.mendeley.com/documents/?uuid=50acbc45-26e7-3f55-8158-6cf74698d466"]},{"id":"ITEM-3","itemData":{"DOI":"10.1200/jco.2019.37.15_suppl.4004","ISSN":"0732-183X","abstract":"4004 Background: Pembro received accelerated approval based on results of KEYNOTE-224, a phase 2 trial in pts with advanced HCC in the second line setting. KEYNOTE-240 (NCT02702401) was a randomized, placebo (Pbo) controlled, phase 3 study of Pembro vs BSC in pts with previously treated advanced HCC. Methods: Eligible pts had a radiographic or pathologic diagnosis of HCC, radiographic progression on/intolerance to sorafenib, Child-Pugh A disease and ECOG PS 0-1. Pts were randomized 2:1 to receive Pembro 200 mg + BSC or Pbo + BSC IV every 3 wk, stratified by geographic region, macrovascular invasion and ɑ-fetoprotein levels for ≤35 cycles or until confirmed PD/unacceptable toxicity. Response was assessed every 6 wk per RECIST v1.1 by central imaging review. Co-primary endpoints were OS and PFS. Secondary endpoints included ORR, DOR and safety. Data cutoff was Jan 2 2019 for OS; Mar 26 2018 for PFS and ORR. Results: 413 patients were randomized; 278 to Pembro and 135 to Pbo. After a median follow up of 13.8 mo, 10.1% of pts remained on Pembro and 3.0% on Pbo. Pembro improved OS (HR: 0.78; one sided p = 0.0238) and PFS (HR: 0.78; one sided p = 0.0209) vs Pbo; these differences did not meet significance per the prespecified statistical plan. ORR was 16.9% (95% CI 12.7-21.8%) for Pembro vs 2.2% (95% CI 0.5-6.4%) for Pbo (nominal one sided p = 0.00001); responses on Pembro were durable (median DOR: 13.8 mo [1.5-23.6+]). Off study, new therapy use was 42% for Pembro and 47% for Pbo. The safety profile including incidence of hepatitis and other immune mediated events was generally consistent with that previously reported in Pembro studies; no cases of HBV/HCV flare were identified. Conclusions: Pembro reduced the risk of death by 22% and improved PFS over Pbo in pts with advanced HCC, although significance was not reached per prespecified statistical criteria. ORR in the Pembro arm was consistent with that of KEYNOTE-224. Subsequent anticancer therapy in the Pbo arm likely impacted the OS results. The safety profile was comparable to that established for Pembro monotherapy. These results are overall consistent with those of KEYNOTE-224 further supporting second line therapy with Pembro in HCC pts. Clinical trial information: NCT02702401.","author":[{"dropping-particle":"","family":"Finn","given":"Richard S.","non-dropping-particle":"","parse-names":false,"suffix":""},{"dropping-particle":"","family":"Ryoo","given":"Baek-Yeol","non-dropping-particle":"","parse-names":false,"suffix":""},{"dropping-particle":"","family":"Merle","given":"Philippe","non-dropping-particle":"","parse-names":false,"suffix":""},{"dropping-particle":"","family":"Kudo","given":"Masatoshi","non-dropping-particle":"","parse-names":false,"suffix":""},{"dropping-particle":"","family":"Bouattour","given":"Mohamed","non-dropping-particle":"","parse-names":false,"suffix":""},{"dropping-particle":"","family":"Lim","given":"Ho-Yeong","non-dropping-particle":"","parse-names":false,"suffix":""},{"dropping-particle":"","family":"Breder","given":"Valeriy Vladimirovich","non-dropping-particle":"","parse-names":false,"suffix":""},{"dropping-particle":"","family":"Edeline","given":"Julien","non-dropping-particle":"","parse-names":false,"suffix":""},{"dropping-particle":"","family":"Chao","given":"Yee","non-dropping-particle":"","parse-names":false,"suffix":""},{"dropping-particle":"","family":"Ogasawara","given":"Sadahisa","non-dropping-particle":"","parse-names":false,"suffix":""},{"dropping-particle":"","family":"Yau","given":"Thomas","non-dropping-particle":"","parse-names":false,"suffix":""},{"dropping-particle":"","family":"Garrido","given":"Marcelo","non-dropping-particle":"","parse-names":false,"suffix":""},{"dropping-particle":"","family":"Chan","given":"Stephen Lam","non-dropping-particle":"","parse-names":false,"suffix":""},{"dropping-particle":"","family":"Knox","given":"Jennifer J.","non-dropping-particle":"","parse-names":false,"suffix":""},{"dropping-particle":"","family":"Daniele","given":"Bruno","non-dropping-particle":"","parse-names":false,"suffix":""},{"dropping-particle":"","family":"Ebbinghaus","given":"Scot","non-dropping-particle":"","parse-names":false,"suffix":""},{"dropping-particle":"","family":"Chen","given":"Erluo","non-dropping-particle":"","parse-names":false,"suffix":""},{"dropping-particle":"","family":"Siegel","given":"Abby B.","non-dropping-particle":"","parse-names":false,"suffix":""},{"dropping-particle":"","family":"Zhu","given":"Andrew X.","non-dropping-particle":"","parse-names":false,"suffix":""},{"dropping-particle":"","family":"Cheng","given":"Ann-Lii","non-dropping-particle":"","parse-names":false,"suffix":""}],"container-title":"Journal of Clinical Oncology","id":"ITEM-3","issue":"15_suppl","issued":{"date-parts":[["2019","5","20"]]},"page":"4004-4004","title":"Results of KEYNOTE-240: phase 3 study of pembrolizumab (Pembro) vs best supportive care (BSC) for second line therapy in advanced hepatocellular carcinoma (HCC).","type":"article-journal","volume":"37"},"uris":["http://www.mendeley.com/documents/?uuid=8a9d8021-71fa-3189-873c-5a107b48c15c"]}],"mendeley":{"formattedCitation":"[14,94,96]","plainTextFormattedCitation":"[14,94,96]","previouslyFormattedCitation":"[14,94,96]"},"properties":{"noteIndex":0},"schema":"https://github.com/citation-style-language/schema/raw/master/csl-citation.json"}</w:instrText>
      </w:r>
      <w:r w:rsidR="00386548" w:rsidRPr="00DF0D90">
        <w:fldChar w:fldCharType="separate"/>
      </w:r>
      <w:r w:rsidR="007335C5" w:rsidRPr="00DF0D90">
        <w:rPr>
          <w:noProof/>
        </w:rPr>
        <w:t>[14,94,96]</w:t>
      </w:r>
      <w:r w:rsidR="00386548" w:rsidRPr="00DF0D90">
        <w:fldChar w:fldCharType="end"/>
      </w:r>
      <w:r w:rsidRPr="00DF0D90">
        <w:t>.</w:t>
      </w:r>
    </w:p>
    <w:p w14:paraId="115D2088" w14:textId="69ECB1F7" w:rsidR="009D5396" w:rsidRPr="00DF0D90" w:rsidRDefault="009D5396" w:rsidP="00BD2E7C">
      <w:pPr>
        <w:spacing w:after="120" w:line="360" w:lineRule="auto"/>
        <w:jc w:val="both"/>
        <w:rPr>
          <w:b/>
          <w:shd w:val="clear" w:color="auto" w:fill="FFFFFF"/>
        </w:rPr>
      </w:pPr>
      <w:r w:rsidRPr="00DF0D90">
        <w:rPr>
          <w:b/>
          <w:shd w:val="clear" w:color="auto" w:fill="FFFFFF"/>
        </w:rPr>
        <w:t xml:space="preserve">Для </w:t>
      </w:r>
      <w:proofErr w:type="spellStart"/>
      <w:r w:rsidRPr="00DF0D90">
        <w:rPr>
          <w:b/>
          <w:shd w:val="clear" w:color="auto" w:fill="FFFFFF"/>
        </w:rPr>
        <w:t>пембролизумаба</w:t>
      </w:r>
      <w:proofErr w:type="spellEnd"/>
      <w:r w:rsidRPr="00DF0D90">
        <w:rPr>
          <w:b/>
          <w:shd w:val="clear" w:color="auto" w:fill="FFFFFF"/>
        </w:rPr>
        <w:t xml:space="preserve">: </w:t>
      </w:r>
      <w:r w:rsidR="00CA1F19" w:rsidRPr="00DF0D90">
        <w:rPr>
          <w:b/>
          <w:shd w:val="clear" w:color="auto" w:fill="FFFFFF"/>
        </w:rPr>
        <w:t xml:space="preserve">Уровень убедительности рекомендаций – </w:t>
      </w:r>
      <w:r w:rsidRPr="00DF0D90">
        <w:rPr>
          <w:b/>
          <w:shd w:val="clear" w:color="auto" w:fill="FFFFFF"/>
        </w:rPr>
        <w:t xml:space="preserve">В </w:t>
      </w:r>
      <w:r w:rsidR="00CA1F19" w:rsidRPr="00DF0D90">
        <w:rPr>
          <w:b/>
          <w:shd w:val="clear" w:color="auto" w:fill="FFFFFF"/>
        </w:rPr>
        <w:t>(уровен</w:t>
      </w:r>
      <w:r w:rsidR="00BD2E7C" w:rsidRPr="00DF0D90">
        <w:rPr>
          <w:b/>
          <w:shd w:val="clear" w:color="auto" w:fill="FFFFFF"/>
        </w:rPr>
        <w:t xml:space="preserve">ь достоверности доказательств </w:t>
      </w:r>
      <w:r w:rsidRPr="00DF0D90">
        <w:rPr>
          <w:b/>
        </w:rPr>
        <w:t>2</w:t>
      </w:r>
      <w:r w:rsidR="00CA1F19" w:rsidRPr="00DF0D90">
        <w:rPr>
          <w:b/>
          <w:shd w:val="clear" w:color="auto" w:fill="FFFFFF"/>
        </w:rPr>
        <w:t>)</w:t>
      </w:r>
    </w:p>
    <w:p w14:paraId="64BD45A4" w14:textId="4AA787E1" w:rsidR="009D5396" w:rsidRPr="00DF0D90" w:rsidRDefault="009D5396" w:rsidP="009D5396">
      <w:pPr>
        <w:spacing w:after="120" w:line="360" w:lineRule="auto"/>
        <w:jc w:val="both"/>
        <w:rPr>
          <w:shd w:val="clear" w:color="auto" w:fill="FFFFFF"/>
        </w:rPr>
      </w:pPr>
      <w:r w:rsidRPr="00DF0D90">
        <w:rPr>
          <w:b/>
          <w:shd w:val="clear" w:color="auto" w:fill="FFFFFF"/>
        </w:rPr>
        <w:t xml:space="preserve">Для </w:t>
      </w:r>
      <w:proofErr w:type="spellStart"/>
      <w:r w:rsidRPr="00DF0D90">
        <w:rPr>
          <w:b/>
          <w:shd w:val="clear" w:color="auto" w:fill="FFFFFF"/>
        </w:rPr>
        <w:t>ниволумаба</w:t>
      </w:r>
      <w:proofErr w:type="spellEnd"/>
      <w:r w:rsidRPr="00DF0D90">
        <w:rPr>
          <w:b/>
          <w:shd w:val="clear" w:color="auto" w:fill="FFFFFF"/>
        </w:rPr>
        <w:t xml:space="preserve">: Уровень убедительности рекомендаций – </w:t>
      </w:r>
      <w:r w:rsidRPr="00DF0D90">
        <w:rPr>
          <w:b/>
          <w:shd w:val="clear" w:color="auto" w:fill="FFFFFF"/>
          <w:lang w:val="en-US"/>
        </w:rPr>
        <w:t>C</w:t>
      </w:r>
      <w:r w:rsidRPr="00DF0D90">
        <w:rPr>
          <w:b/>
          <w:shd w:val="clear" w:color="auto" w:fill="FFFFFF"/>
        </w:rPr>
        <w:t xml:space="preserve"> (уровень достоверности доказательств </w:t>
      </w:r>
      <w:r w:rsidRPr="00DF0D90">
        <w:rPr>
          <w:b/>
        </w:rPr>
        <w:t>4</w:t>
      </w:r>
      <w:r w:rsidRPr="00DF0D90">
        <w:rPr>
          <w:b/>
          <w:shd w:val="clear" w:color="auto" w:fill="FFFFFF"/>
        </w:rPr>
        <w:t>)</w:t>
      </w:r>
    </w:p>
    <w:p w14:paraId="5877983B" w14:textId="1105F7EA" w:rsidR="00630BAC" w:rsidRPr="00DF0D90" w:rsidRDefault="00630BAC" w:rsidP="00BD2E7C">
      <w:pPr>
        <w:spacing w:after="120" w:line="360" w:lineRule="auto"/>
        <w:jc w:val="both"/>
        <w:rPr>
          <w:i/>
        </w:rPr>
      </w:pPr>
      <w:r w:rsidRPr="00DF0D90">
        <w:rPr>
          <w:b/>
          <w:i/>
        </w:rPr>
        <w:lastRenderedPageBreak/>
        <w:t>Комментарии:</w:t>
      </w:r>
      <w:r w:rsidRPr="00DF0D90">
        <w:rPr>
          <w:b/>
        </w:rPr>
        <w:t xml:space="preserve"> </w:t>
      </w:r>
      <w:r w:rsidR="00E01239" w:rsidRPr="00DF0D90">
        <w:rPr>
          <w:bCs/>
          <w:i/>
          <w:iCs/>
        </w:rPr>
        <w:t xml:space="preserve">пациентам </w:t>
      </w:r>
      <w:r w:rsidRPr="00DF0D90">
        <w:rPr>
          <w:i/>
        </w:rPr>
        <w:t xml:space="preserve">назначается </w:t>
      </w:r>
      <w:proofErr w:type="spellStart"/>
      <w:r w:rsidRPr="00DF0D90">
        <w:rPr>
          <w:i/>
        </w:rPr>
        <w:t>ниволумаб</w:t>
      </w:r>
      <w:proofErr w:type="spellEnd"/>
      <w:r w:rsidRPr="00DF0D90">
        <w:rPr>
          <w:i/>
        </w:rPr>
        <w:t xml:space="preserve">** в одном из дозовых режимов (выбор режима не влияет на клиническую эффективность) или </w:t>
      </w:r>
      <w:proofErr w:type="spellStart"/>
      <w:r w:rsidRPr="00DF0D90">
        <w:rPr>
          <w:i/>
        </w:rPr>
        <w:t>пембролизумаб</w:t>
      </w:r>
      <w:proofErr w:type="spellEnd"/>
      <w:r w:rsidRPr="00DF0D90">
        <w:rPr>
          <w:i/>
        </w:rPr>
        <w:t xml:space="preserve">** до клинически значимого прогрессирования опухоли. Оправдано применение </w:t>
      </w:r>
      <w:proofErr w:type="spellStart"/>
      <w:r w:rsidRPr="00DF0D90">
        <w:rPr>
          <w:i/>
        </w:rPr>
        <w:t>ниволумаба</w:t>
      </w:r>
      <w:proofErr w:type="spellEnd"/>
      <w:r w:rsidR="00EC6E79" w:rsidRPr="00DF0D90">
        <w:rPr>
          <w:i/>
        </w:rPr>
        <w:t>**</w:t>
      </w:r>
      <w:r w:rsidRPr="00DF0D90">
        <w:rPr>
          <w:i/>
        </w:rPr>
        <w:t xml:space="preserve"> у </w:t>
      </w:r>
      <w:r w:rsidR="00716ADB" w:rsidRPr="00DF0D90">
        <w:rPr>
          <w:i/>
        </w:rPr>
        <w:t>пациентов</w:t>
      </w:r>
      <w:r w:rsidR="00043442" w:rsidRPr="00DF0D90">
        <w:rPr>
          <w:i/>
        </w:rPr>
        <w:t xml:space="preserve"> </w:t>
      </w:r>
      <w:r w:rsidRPr="00DF0D90">
        <w:rPr>
          <w:i/>
        </w:rPr>
        <w:t>с классом В</w:t>
      </w:r>
      <w:r w:rsidR="00043442" w:rsidRPr="00DF0D90">
        <w:rPr>
          <w:i/>
        </w:rPr>
        <w:t xml:space="preserve"> </w:t>
      </w:r>
      <w:r w:rsidRPr="00DF0D90">
        <w:rPr>
          <w:i/>
        </w:rPr>
        <w:t xml:space="preserve">цирроза печени по </w:t>
      </w:r>
      <w:r w:rsidRPr="00DF0D90">
        <w:rPr>
          <w:i/>
          <w:lang w:val="en-US"/>
        </w:rPr>
        <w:t>Child</w:t>
      </w:r>
      <w:r w:rsidRPr="00DF0D90">
        <w:rPr>
          <w:i/>
        </w:rPr>
        <w:t> – </w:t>
      </w:r>
      <w:r w:rsidRPr="00DF0D90">
        <w:rPr>
          <w:i/>
          <w:lang w:val="en-US"/>
        </w:rPr>
        <w:t>Pugh</w:t>
      </w:r>
      <w:r w:rsidRPr="00DF0D90">
        <w:rPr>
          <w:i/>
        </w:rPr>
        <w:t xml:space="preserve"> (7–</w:t>
      </w:r>
      <w:r w:rsidR="00DA7B5A" w:rsidRPr="00DF0D90">
        <w:rPr>
          <w:i/>
        </w:rPr>
        <w:t xml:space="preserve">8 </w:t>
      </w:r>
      <w:r w:rsidRPr="00DF0D90">
        <w:rPr>
          <w:i/>
        </w:rPr>
        <w:t xml:space="preserve">баллов). Нет данных о негативном влиянии иммунотерапии на течение цирроза печени. </w:t>
      </w:r>
    </w:p>
    <w:p w14:paraId="7F17FABA" w14:textId="006B7CF1" w:rsidR="00630BAC" w:rsidRPr="00DF0D90" w:rsidRDefault="00630BAC" w:rsidP="006D217F">
      <w:pPr>
        <w:pStyle w:val="af2"/>
        <w:tabs>
          <w:tab w:val="left" w:pos="284"/>
          <w:tab w:val="left" w:pos="426"/>
          <w:tab w:val="left" w:pos="709"/>
          <w:tab w:val="left" w:pos="851"/>
        </w:tabs>
        <w:autoSpaceDE w:val="0"/>
        <w:autoSpaceDN w:val="0"/>
        <w:adjustRightInd w:val="0"/>
        <w:spacing w:after="120" w:line="360" w:lineRule="auto"/>
        <w:ind w:left="0" w:firstLine="567"/>
        <w:jc w:val="both"/>
        <w:rPr>
          <w:i/>
        </w:rPr>
      </w:pPr>
      <w:proofErr w:type="spellStart"/>
      <w:r w:rsidRPr="00DF0D90">
        <w:rPr>
          <w:i/>
        </w:rPr>
        <w:t>Фиброламеллярная</w:t>
      </w:r>
      <w:proofErr w:type="spellEnd"/>
      <w:r w:rsidRPr="00DF0D90">
        <w:rPr>
          <w:i/>
        </w:rPr>
        <w:t xml:space="preserve"> карцинома, как правило, </w:t>
      </w:r>
      <w:r w:rsidR="000F0B53" w:rsidRPr="00DF0D90">
        <w:rPr>
          <w:i/>
        </w:rPr>
        <w:t>не</w:t>
      </w:r>
      <w:r w:rsidRPr="00DF0D90">
        <w:rPr>
          <w:i/>
        </w:rPr>
        <w:t xml:space="preserve">чувствительна к терапии </w:t>
      </w:r>
      <w:r w:rsidR="00EC6E79" w:rsidRPr="00DF0D90">
        <w:rPr>
          <w:i/>
        </w:rPr>
        <w:t xml:space="preserve">препаратами из группы </w:t>
      </w:r>
      <w:r w:rsidRPr="00DF0D90">
        <w:rPr>
          <w:i/>
        </w:rPr>
        <w:t>моноклональны</w:t>
      </w:r>
      <w:r w:rsidR="00EC6E79" w:rsidRPr="00DF0D90">
        <w:rPr>
          <w:i/>
        </w:rPr>
        <w:t>х</w:t>
      </w:r>
      <w:r w:rsidRPr="00DF0D90">
        <w:rPr>
          <w:i/>
        </w:rPr>
        <w:t xml:space="preserve"> антител к </w:t>
      </w:r>
      <w:r w:rsidRPr="00DF0D90">
        <w:rPr>
          <w:i/>
          <w:lang w:val="en-US"/>
        </w:rPr>
        <w:t>PD</w:t>
      </w:r>
      <w:r w:rsidRPr="00DF0D90">
        <w:rPr>
          <w:i/>
        </w:rPr>
        <w:t>-1</w:t>
      </w:r>
      <w:r w:rsidR="00EC6E79" w:rsidRPr="00DF0D90">
        <w:t xml:space="preserve"> (</w:t>
      </w:r>
      <w:r w:rsidR="00EC6E79" w:rsidRPr="00DF0D90">
        <w:rPr>
          <w:i/>
        </w:rPr>
        <w:t>ингибиторам</w:t>
      </w:r>
      <w:r w:rsidR="00043442" w:rsidRPr="00DF0D90">
        <w:rPr>
          <w:i/>
        </w:rPr>
        <w:t xml:space="preserve"> </w:t>
      </w:r>
      <w:r w:rsidR="00EC6E79" w:rsidRPr="00DF0D90">
        <w:rPr>
          <w:i/>
        </w:rPr>
        <w:t>контрольных точек иммунного надзора).</w:t>
      </w:r>
      <w:r w:rsidR="00957CCD" w:rsidRPr="00DF0D90">
        <w:rPr>
          <w:i/>
        </w:rPr>
        <w:t xml:space="preserve"> При использовании в 1 и 2 линии ингибиторов </w:t>
      </w:r>
      <w:proofErr w:type="spellStart"/>
      <w:r w:rsidR="00957CCD" w:rsidRPr="00DF0D90">
        <w:rPr>
          <w:i/>
        </w:rPr>
        <w:t>тирозинкиназ</w:t>
      </w:r>
      <w:proofErr w:type="spellEnd"/>
      <w:r w:rsidR="00957CCD" w:rsidRPr="00DF0D90">
        <w:rPr>
          <w:i/>
        </w:rPr>
        <w:t xml:space="preserve"> (сорафениб</w:t>
      </w:r>
      <w:r w:rsidR="000668B4" w:rsidRPr="0043377B">
        <w:rPr>
          <w:i/>
        </w:rPr>
        <w:t>**</w:t>
      </w:r>
      <w:r w:rsidR="00957CCD" w:rsidRPr="00DF0D90">
        <w:rPr>
          <w:i/>
        </w:rPr>
        <w:t xml:space="preserve">) выживаемость без прогрессирования достоверно выше, чем у пациентов, которые получали в качестве химиотерапии </w:t>
      </w:r>
      <w:proofErr w:type="spellStart"/>
      <w:r w:rsidR="00957CCD" w:rsidRPr="00DF0D90">
        <w:rPr>
          <w:i/>
        </w:rPr>
        <w:t>гемцитабин</w:t>
      </w:r>
      <w:proofErr w:type="spellEnd"/>
      <w:r w:rsidR="000668B4" w:rsidRPr="0043377B">
        <w:rPr>
          <w:i/>
        </w:rPr>
        <w:t>**</w:t>
      </w:r>
      <w:r w:rsidR="00957CCD" w:rsidRPr="00DF0D90">
        <w:rPr>
          <w:i/>
        </w:rPr>
        <w:t xml:space="preserve"> с препаратами платины (</w:t>
      </w:r>
      <w:proofErr w:type="spellStart"/>
      <w:r w:rsidR="00957CCD" w:rsidRPr="00DF0D90">
        <w:rPr>
          <w:i/>
        </w:rPr>
        <w:t>цисплатин</w:t>
      </w:r>
      <w:proofErr w:type="spellEnd"/>
      <w:r w:rsidR="000668B4" w:rsidRPr="0043377B">
        <w:rPr>
          <w:i/>
        </w:rPr>
        <w:t>**</w:t>
      </w:r>
      <w:r w:rsidR="00957CCD" w:rsidRPr="00DF0D90">
        <w:rPr>
          <w:i/>
        </w:rPr>
        <w:t xml:space="preserve"> или </w:t>
      </w:r>
      <w:proofErr w:type="spellStart"/>
      <w:r w:rsidR="00957CCD" w:rsidRPr="00DF0D90">
        <w:rPr>
          <w:i/>
        </w:rPr>
        <w:t>оксалиплатин</w:t>
      </w:r>
      <w:proofErr w:type="spellEnd"/>
      <w:r w:rsidR="000668B4" w:rsidRPr="0043377B">
        <w:rPr>
          <w:i/>
        </w:rPr>
        <w:t>**</w:t>
      </w:r>
      <w:r w:rsidR="00957CCD" w:rsidRPr="00DF0D90">
        <w:rPr>
          <w:i/>
        </w:rPr>
        <w:t xml:space="preserve"> </w:t>
      </w:r>
      <w:r w:rsidR="00B2634C" w:rsidRPr="00DF0D90">
        <w:rPr>
          <w:i/>
        </w:rPr>
        <w:t>[130</w:t>
      </w:r>
      <w:r w:rsidR="00957CCD" w:rsidRPr="00DF0D90">
        <w:rPr>
          <w:i/>
        </w:rPr>
        <w:t xml:space="preserve">]). </w:t>
      </w:r>
    </w:p>
    <w:p w14:paraId="55FAB5F8" w14:textId="77777777" w:rsidR="00043442" w:rsidRPr="00DF0D90" w:rsidRDefault="00AF61F8" w:rsidP="00BD2E7C">
      <w:pPr>
        <w:pStyle w:val="af2"/>
        <w:numPr>
          <w:ilvl w:val="0"/>
          <w:numId w:val="34"/>
        </w:numPr>
        <w:spacing w:after="120" w:line="360" w:lineRule="auto"/>
        <w:ind w:left="0" w:firstLine="567"/>
        <w:jc w:val="both"/>
      </w:pPr>
      <w:r w:rsidRPr="00DF0D90">
        <w:rPr>
          <w:b/>
        </w:rPr>
        <w:t>Рекомендуется</w:t>
      </w:r>
      <w:r w:rsidRPr="00DF0D90">
        <w:t xml:space="preserve"> иммунотерапия ГЦР, прогрессирующего на лечении ингибиторами</w:t>
      </w:r>
      <w:r w:rsidR="00BD2E7C" w:rsidRPr="00DF0D90">
        <w:t xml:space="preserve"> </w:t>
      </w:r>
      <w:r w:rsidRPr="00DF0D90">
        <w:t xml:space="preserve">протеинкиназ с использованием комбинации </w:t>
      </w:r>
      <w:proofErr w:type="spellStart"/>
      <w:r w:rsidRPr="00DF0D90">
        <w:t>ниволумаб</w:t>
      </w:r>
      <w:proofErr w:type="spellEnd"/>
      <w:r w:rsidRPr="00DF0D90">
        <w:t>**</w:t>
      </w:r>
      <w:r w:rsidR="00043442" w:rsidRPr="00DF0D90">
        <w:t xml:space="preserve"> </w:t>
      </w:r>
      <w:r w:rsidRPr="00DF0D90">
        <w:t>+</w:t>
      </w:r>
      <w:r w:rsidR="00043442" w:rsidRPr="00DF0D90">
        <w:t xml:space="preserve"> </w:t>
      </w:r>
      <w:proofErr w:type="spellStart"/>
      <w:r w:rsidRPr="00DF0D90">
        <w:t>ипилимумаб</w:t>
      </w:r>
      <w:proofErr w:type="spellEnd"/>
      <w:r w:rsidRPr="00DF0D90">
        <w:t>** в качестве 2-й и 3-й линий терапии</w:t>
      </w:r>
      <w:r w:rsidR="00386548" w:rsidRPr="00DF0D90">
        <w:t xml:space="preserve"> </w:t>
      </w:r>
      <w:r w:rsidR="00386548" w:rsidRPr="00DF0D90">
        <w:fldChar w:fldCharType="begin" w:fldLock="1"/>
      </w:r>
      <w:r w:rsidR="007335C5" w:rsidRPr="00DF0D90">
        <w:instrText>ADDIN CSL_CITATION {"citationItems":[{"id":"ITEM-1","itemData":{"DOI":"10.1001/jamaoncol.2020.4564","ISSN":"23742445","PMID":"33001135","abstract":"Importance: Most patients with hepatocellular carcinoma (HCC) are diagnosed with advanced disease not eligible for potentially curative therapies; therefore, new treatment options are needed. Combining nivolumab with ipilimumab may improve clinical outcomes compared with nivolumab monotherapy. Objective: To assess efficacy and safety of nivolumab plus ipilimumab in patients with advanced HCC who were previously treated with sorafenib. Design, Setting, and Participants: CheckMate 040 is a multicenter, open-label, multicohort, phase 1/2 study. In the nivolumab plus ipilimumab cohort, patients were randomized between January 4 and September 26, 2016. Treatment group information was blinded after randomization. Median follow-up was 30.7 months. Data cutoff for this analysis was January 2019. Patients were recruited at 31 centers in 10 countries/territories in Asia, Europe, and North America. Eligible patients had advanced HCC (with/without hepatitis B or C) previously treated with sorafenib. A total of 148 patients were randomized (50 to arm A and 49 each to arms B and C). Interventions: Patients were randomized 1:1:1 to either nivolumab 1 mg/kg plus ipilimumab 3 mg/kg, administered every 3 weeks (4 doses), followed by nivolumab 240 mg every 2 weeks (arm A); nivolumab 3 mg/kg plus ipilimumab 1 mg/kg, administered every 3 weeks (4 doses), followed by nivolumab 240 mg every 2 weeks (arm B); or nivolumab 3 mg/kg every 2 weeks plus ipilimumab 1 mg/kg every 6 weeks (arm C). Main Outcomes and Measures: Coprimary end points were safety, tolerability, and objective response rate. Duration of response was also measured (investigator assessed with the Response Evaluation Criteria in Solid Tumors v1.1). Results: Of 148 total participants, 120 were male (81%). Median (IQR) age was 60 (52.5-66.5). At data cutoff (January 2019), the median follow-up was 30.7 months (IQR, 29.9-34.7). Investigator-assessed objective response rate was 32% (95% CI, 20%-47%) in arm A, 27% (95% CI, 15%-41%) in arm B, and 29% (95% CI, 17%-43%) in arm C. Median (range) duration of response was not reached (8.3-33.7+) in arm A and was 15.2 months (4.2-29.9+) in arm B and 21.7 months (2.8-32.7+) in arm C. Any-grade treatment-related adverse events were reported in 46 of 49 patients (94%) in arm A, 35 of 49 patients (71%) in arm B, and 38 of 48 patients (79%) in arm C; there was 1 treatment-related death (arm A; grade 5 pneumonitis). Conclusions and Relevance: In this randomized clinical trial, niv…","author":[{"dropping-particle":"","family":"Yau","given":"Thomas","non-dropping-particle":"","parse-names":false,"suffix":""},{"dropping-particle":"","family":"Kang","given":"Yoon Koo","non-dropping-particle":"","parse-names":false,"suffix":""},{"dropping-particle":"","family":"Kim","given":"Tae You","non-dropping-particle":"","parse-names":false,"suffix":""},{"dropping-particle":"","family":"El-Khoueiry","given":"Anthony B.","non-dropping-particle":"","parse-names":false,"suffix":""},{"dropping-particle":"","family":"Santoro","given":"Armando","non-dropping-particle":"","parse-names":false,"suffix":""},{"dropping-particle":"","family":"Sangro","given":"Bruno","non-dropping-particle":"","parse-names":false,"suffix":""},{"dropping-particle":"","family":"Melero","given":"Ignacio","non-dropping-particle":"","parse-names":false,"suffix":""},{"dropping-particle":"","family":"Kudo","given":"Masatoshi","non-dropping-particle":"","parse-names":false,"suffix":""},{"dropping-particle":"","family":"Hou","given":"Ming Mo","non-dropping-particle":"","parse-names":false,"suffix":""},{"dropping-particle":"","family":"Matilla","given":"Ana","non-dropping-particle":"","parse-names":false,"suffix":""},{"dropping-particle":"","family":"Tovoli","given":"Francesco","non-dropping-particle":"","parse-names":false,"suffix":""},{"dropping-particle":"","family":"Knox","given":"Jennifer J.","non-dropping-particle":"","parse-names":false,"suffix":""},{"dropping-particle":"","family":"Ruth He","given":"Aiwu","non-dropping-particle":"","parse-names":false,"suffix":""},{"dropping-particle":"","family":"El-Rayes","given":"Bassel F.","non-dropping-particle":"","parse-names":false,"suffix":""},{"dropping-particle":"","family":"Acosta-Rivera","given":"Mirelis","non-dropping-particle":"","parse-names":false,"suffix":""},{"dropping-particle":"","family":"Lim","given":"Ho Yeong","non-dropping-particle":"","parse-names":false,"suffix":""},{"dropping-particle":"","family":"Neely","given":"Jaclyn","non-dropping-particle":"","parse-names":false,"suffix":""},{"dropping-particle":"","family":"Shen","given":"Yun","non-dropping-particle":"","parse-names":false,"suffix":""},{"dropping-particle":"","family":"Wisniewski","given":"Tami","non-dropping-particle":"","parse-names":false,"suffix":""},{"dropping-particle":"","family":"Anderson","given":"Jeffrey","non-dropping-particle":"","parse-names":false,"suffix":""},{"dropping-particle":"","family":"Hsu","given":"Chiun","non-dropping-particle":"","parse-names":false,"suffix":""}],"container-title":"JAMA Oncology","id":"ITEM-1","issue":"11","issued":{"date-parts":[["2020","11","12"]]},"title":"Efficacy and Safety of Nivolumab plus Ipilimumab in Patients with Advanced Hepatocellular Carcinoma Previously Treated with Sorafenib: The CheckMate 040 Randomized Clinical Trial","type":"paper-conference","volume":"6"},"uris":["http://www.mendeley.com/documents/?uuid=005a706c-9611-39aa-aa75-9e245233a7d6"]}],"mendeley":{"formattedCitation":"[97]","plainTextFormattedCitation":"[97]","previouslyFormattedCitation":"[97]"},"properties":{"noteIndex":0},"schema":"https://github.com/citation-style-language/schema/raw/master/csl-citation.json"}</w:instrText>
      </w:r>
      <w:r w:rsidR="00386548" w:rsidRPr="00DF0D90">
        <w:fldChar w:fldCharType="separate"/>
      </w:r>
      <w:r w:rsidR="007335C5" w:rsidRPr="00DF0D90">
        <w:rPr>
          <w:noProof/>
        </w:rPr>
        <w:t>[97]</w:t>
      </w:r>
      <w:r w:rsidR="00386548" w:rsidRPr="00DF0D90">
        <w:fldChar w:fldCharType="end"/>
      </w:r>
      <w:r w:rsidR="00386548" w:rsidRPr="00DF0D90">
        <w:t>.</w:t>
      </w:r>
    </w:p>
    <w:p w14:paraId="0E23C370" w14:textId="28FD8A50" w:rsidR="00DA2C89" w:rsidRPr="00DF0D90" w:rsidRDefault="00AF61F8" w:rsidP="00BD2E7C">
      <w:pPr>
        <w:pStyle w:val="af2"/>
        <w:spacing w:after="120" w:line="360" w:lineRule="auto"/>
        <w:ind w:left="0"/>
        <w:jc w:val="both"/>
        <w:rPr>
          <w:b/>
          <w:bCs/>
          <w:shd w:val="clear" w:color="auto" w:fill="FFFFFF"/>
        </w:rPr>
      </w:pPr>
      <w:r w:rsidRPr="00DF0D90">
        <w:rPr>
          <w:b/>
          <w:bCs/>
          <w:shd w:val="clear" w:color="auto" w:fill="FFFFFF"/>
        </w:rPr>
        <w:t>Уровень убедительности рекомендаций</w:t>
      </w:r>
      <w:r w:rsidR="000E129D" w:rsidRPr="00DF0D90">
        <w:rPr>
          <w:b/>
          <w:bCs/>
          <w:shd w:val="clear" w:color="auto" w:fill="FFFFFF"/>
        </w:rPr>
        <w:t xml:space="preserve"> </w:t>
      </w:r>
      <w:r w:rsidRPr="00DF0D90">
        <w:rPr>
          <w:b/>
          <w:bCs/>
          <w:shd w:val="clear" w:color="auto" w:fill="FFFFFF"/>
        </w:rPr>
        <w:t>–</w:t>
      </w:r>
      <w:r w:rsidR="00043442" w:rsidRPr="00DF0D90">
        <w:rPr>
          <w:b/>
          <w:bCs/>
          <w:shd w:val="clear" w:color="auto" w:fill="FFFFFF"/>
        </w:rPr>
        <w:t xml:space="preserve"> </w:t>
      </w:r>
      <w:r w:rsidR="00D84135" w:rsidRPr="00DF0D90">
        <w:rPr>
          <w:b/>
          <w:bCs/>
          <w:shd w:val="clear" w:color="auto" w:fill="FFFFFF"/>
        </w:rPr>
        <w:t>В</w:t>
      </w:r>
      <w:r w:rsidR="000E129D" w:rsidRPr="00DF0D90">
        <w:rPr>
          <w:b/>
          <w:bCs/>
          <w:shd w:val="clear" w:color="auto" w:fill="FFFFFF"/>
        </w:rPr>
        <w:t xml:space="preserve"> </w:t>
      </w:r>
      <w:r w:rsidRPr="00DF0D90">
        <w:rPr>
          <w:b/>
          <w:bCs/>
          <w:shd w:val="clear" w:color="auto" w:fill="FFFFFF"/>
        </w:rPr>
        <w:t>(уровен</w:t>
      </w:r>
      <w:r w:rsidR="00BD2E7C" w:rsidRPr="00DF0D90">
        <w:rPr>
          <w:b/>
          <w:bCs/>
          <w:shd w:val="clear" w:color="auto" w:fill="FFFFFF"/>
        </w:rPr>
        <w:t xml:space="preserve">ь достоверности доказательств </w:t>
      </w:r>
      <w:r w:rsidR="00CA1F19" w:rsidRPr="00DF0D90">
        <w:rPr>
          <w:b/>
          <w:bCs/>
        </w:rPr>
        <w:t>3</w:t>
      </w:r>
      <w:r w:rsidRPr="00DF0D90">
        <w:rPr>
          <w:b/>
          <w:bCs/>
          <w:shd w:val="clear" w:color="auto" w:fill="FFFFFF"/>
        </w:rPr>
        <w:t>)</w:t>
      </w:r>
    </w:p>
    <w:p w14:paraId="0D0D5916" w14:textId="77777777" w:rsidR="00043442" w:rsidRPr="00DF0D90" w:rsidRDefault="00FF571F" w:rsidP="00BD2E7C">
      <w:pPr>
        <w:pStyle w:val="af2"/>
        <w:spacing w:after="120" w:line="360" w:lineRule="auto"/>
        <w:ind w:left="0"/>
        <w:jc w:val="both"/>
        <w:rPr>
          <w:i/>
        </w:rPr>
      </w:pPr>
      <w:r w:rsidRPr="00DF0D90">
        <w:rPr>
          <w:b/>
          <w:bCs/>
          <w:i/>
          <w:iCs/>
        </w:rPr>
        <w:t>Комментарии</w:t>
      </w:r>
      <w:r w:rsidRPr="00DF0D90">
        <w:rPr>
          <w:i/>
        </w:rPr>
        <w:t xml:space="preserve">: режим комбинированной иммунотерапии </w:t>
      </w:r>
      <w:proofErr w:type="spellStart"/>
      <w:r w:rsidRPr="00DF0D90">
        <w:rPr>
          <w:i/>
        </w:rPr>
        <w:t>ниволумаб</w:t>
      </w:r>
      <w:proofErr w:type="spellEnd"/>
      <w:r w:rsidR="006259B8" w:rsidRPr="00DF0D90">
        <w:rPr>
          <w:i/>
        </w:rPr>
        <w:t>**</w:t>
      </w:r>
      <w:r w:rsidRPr="00DF0D90">
        <w:rPr>
          <w:i/>
        </w:rPr>
        <w:t xml:space="preserve"> 1 мг/кг + </w:t>
      </w:r>
      <w:proofErr w:type="spellStart"/>
      <w:r w:rsidRPr="00DF0D90">
        <w:rPr>
          <w:i/>
        </w:rPr>
        <w:t>ипилимумаб</w:t>
      </w:r>
      <w:proofErr w:type="spellEnd"/>
      <w:r w:rsidR="006259B8" w:rsidRPr="00DF0D90">
        <w:rPr>
          <w:i/>
        </w:rPr>
        <w:t>**</w:t>
      </w:r>
      <w:r w:rsidRPr="00DF0D90">
        <w:rPr>
          <w:i/>
        </w:rPr>
        <w:t xml:space="preserve"> 3 мг/кг в/в 1 раз в 3 недели</w:t>
      </w:r>
      <w:r w:rsidR="0017591B" w:rsidRPr="00DF0D90">
        <w:rPr>
          <w:i/>
        </w:rPr>
        <w:t xml:space="preserve"> 4 курса</w:t>
      </w:r>
      <w:r w:rsidRPr="00DF0D90">
        <w:rPr>
          <w:i/>
        </w:rPr>
        <w:t xml:space="preserve">, далее </w:t>
      </w:r>
      <w:r w:rsidR="00453BF8" w:rsidRPr="00DF0D90">
        <w:rPr>
          <w:i/>
        </w:rPr>
        <w:t xml:space="preserve">поддерживающая терапия </w:t>
      </w:r>
      <w:proofErr w:type="spellStart"/>
      <w:r w:rsidRPr="00DF0D90">
        <w:rPr>
          <w:i/>
        </w:rPr>
        <w:t>ниволумаб</w:t>
      </w:r>
      <w:r w:rsidR="00453BF8" w:rsidRPr="00DF0D90">
        <w:rPr>
          <w:i/>
        </w:rPr>
        <w:t>ом</w:t>
      </w:r>
      <w:proofErr w:type="spellEnd"/>
      <w:r w:rsidR="006259B8" w:rsidRPr="00DF0D90">
        <w:rPr>
          <w:i/>
        </w:rPr>
        <w:t>**</w:t>
      </w:r>
      <w:r w:rsidR="00453BF8" w:rsidRPr="00DF0D90">
        <w:rPr>
          <w:i/>
        </w:rPr>
        <w:t xml:space="preserve"> в режиме 240 мг 1 раз в 2 недели или 480 мг 1 раз в 4 недели до прогрессирования или непереносимой токсичности; в исследовании 1-2</w:t>
      </w:r>
      <w:r w:rsidR="00453BF8" w:rsidRPr="00DF0D90">
        <w:rPr>
          <w:i/>
          <w:lang w:val="en-US"/>
        </w:rPr>
        <w:t>b</w:t>
      </w:r>
      <w:r w:rsidR="00453BF8" w:rsidRPr="00DF0D90">
        <w:rPr>
          <w:i/>
        </w:rPr>
        <w:t xml:space="preserve"> фазы зарегистрировано 32% объективных эффектов, медиана выживаемости в группе составила 22,8 мес.</w:t>
      </w:r>
      <w:r w:rsidR="00043442" w:rsidRPr="00DF0D90">
        <w:rPr>
          <w:i/>
        </w:rPr>
        <w:t xml:space="preserve"> </w:t>
      </w:r>
    </w:p>
    <w:p w14:paraId="541F59B6" w14:textId="77777777" w:rsidR="00DA2C89" w:rsidRPr="00DF0D90" w:rsidRDefault="002E2B29" w:rsidP="00BD2E7C">
      <w:pPr>
        <w:pStyle w:val="af2"/>
        <w:numPr>
          <w:ilvl w:val="0"/>
          <w:numId w:val="34"/>
        </w:numPr>
        <w:spacing w:after="120" w:line="360" w:lineRule="auto"/>
        <w:ind w:left="0" w:firstLine="567"/>
        <w:jc w:val="both"/>
      </w:pPr>
      <w:r w:rsidRPr="00DF0D90">
        <w:rPr>
          <w:b/>
          <w:bCs/>
        </w:rPr>
        <w:t>Рекомендуется</w:t>
      </w:r>
      <w:r w:rsidRPr="00DF0D90">
        <w:t xml:space="preserve"> </w:t>
      </w:r>
      <w:r w:rsidR="00630BAC" w:rsidRPr="00DF0D90">
        <w:t>терапия</w:t>
      </w:r>
      <w:r w:rsidR="00385B59" w:rsidRPr="00DF0D90">
        <w:t xml:space="preserve"> противоопухолевыми</w:t>
      </w:r>
      <w:r w:rsidR="00E07E10" w:rsidRPr="00DF0D90">
        <w:t xml:space="preserve"> цитостатическими</w:t>
      </w:r>
      <w:r w:rsidR="00385B59" w:rsidRPr="00DF0D90">
        <w:t xml:space="preserve"> препаратами</w:t>
      </w:r>
      <w:r w:rsidR="00DA2C89" w:rsidRPr="00DF0D90">
        <w:t xml:space="preserve"> </w:t>
      </w:r>
      <w:r w:rsidR="00630BAC" w:rsidRPr="00DF0D90">
        <w:t>(табл</w:t>
      </w:r>
      <w:r w:rsidR="00EC6E79" w:rsidRPr="00DF0D90">
        <w:t>ица</w:t>
      </w:r>
      <w:r w:rsidR="00E07E10" w:rsidRPr="00DF0D90">
        <w:t xml:space="preserve"> </w:t>
      </w:r>
      <w:r w:rsidR="00C352A4" w:rsidRPr="00DF0D90">
        <w:t>2</w:t>
      </w:r>
      <w:r w:rsidR="00630BAC" w:rsidRPr="00DF0D90">
        <w:t xml:space="preserve">) </w:t>
      </w:r>
      <w:r w:rsidR="004E542D" w:rsidRPr="00DF0D90">
        <w:t xml:space="preserve">в качестве лечебной опции у </w:t>
      </w:r>
      <w:r w:rsidR="00716ADB" w:rsidRPr="00DF0D90">
        <w:t xml:space="preserve">пациентов с </w:t>
      </w:r>
      <w:r w:rsidR="004E542D" w:rsidRPr="00DF0D90">
        <w:t xml:space="preserve">ГЦР </w:t>
      </w:r>
      <w:bookmarkStart w:id="98" w:name="_Hlk193540598"/>
      <w:r w:rsidR="004E542D" w:rsidRPr="00DF0D90">
        <w:t>без цирроза</w:t>
      </w:r>
      <w:bookmarkEnd w:id="98"/>
      <w:r w:rsidR="004E542D" w:rsidRPr="00DF0D90">
        <w:t xml:space="preserve">, например, при </w:t>
      </w:r>
      <w:proofErr w:type="spellStart"/>
      <w:r w:rsidR="004E542D" w:rsidRPr="00DF0D90">
        <w:t>фиброламеллярной</w:t>
      </w:r>
      <w:proofErr w:type="spellEnd"/>
      <w:r w:rsidR="004E542D" w:rsidRPr="00DF0D90">
        <w:t xml:space="preserve"> карциноме в качестве 2-й линии терапии</w:t>
      </w:r>
      <w:r w:rsidR="00A968D4" w:rsidRPr="00DF0D90">
        <w:t xml:space="preserve"> для улучшения контроля роста опухоли, улучшения качества жизни пациентов</w:t>
      </w:r>
      <w:r w:rsidR="00386548" w:rsidRPr="00DF0D90">
        <w:t xml:space="preserve"> </w:t>
      </w:r>
      <w:r w:rsidR="00386548" w:rsidRPr="00DF0D90">
        <w:fldChar w:fldCharType="begin" w:fldLock="1"/>
      </w:r>
      <w:r w:rsidR="007335C5" w:rsidRPr="00DF0D90">
        <w:instrText>ADDIN CSL_CITATION {"citationItems":[{"id":"ITEM-1","itemData":{"author":[{"dropping-particle":"","family":"NCCN","given":"","non-dropping-particle":"","parse-names":false,"suffix":""}],"id":"ITEM-1","issued":{"date-parts":[["2021"]]},"title":"Clinical Practice Guidelines in Oncology. Hepatobiliary Cancers, version 4.2021","type":"article-journal"},"uris":["http://www.mendeley.com/documents/?uuid=db314d5f-b05a-4fec-a403-5589c18d9ebd"]},{"id":"ITEM-2","itemData":{"DOI":"10.1016/S0140-6736(17)31046-2","ISSN":"1474547X","PMID":"28434648","abstract":"Background For patients with advanced hepatocellular carcinoma, sorafenib is the only approved drug worldwide, and outcomes remain poor. We aimed to assess the safety and efficacy of nivolumab, a programmed cell death protein-1 (PD-1) immune checkpoint inhibitor, in patients with advanced hepatocellular carcinoma with or without chronic viral hepatitis. Methods We did a phase 1/2, open-label, non-comparative, dose escalation and expansion trial (CheckMate 040) of nivolumab in adults (≥18 years) with histologically confirmed advanced hepatocellular carcinoma with or without hepatitis C or B (HCV or HBV) infection. Previous sorafenib treatment was allowed. A dose-escalation phase was conducted at seven hospitals or academic centres in four countries or territories (USA, Spain, Hong Kong, and Singapore) and a dose-expansion phase was conducted at an additional 39 sites in 11 countries (Canada, UK, Germany, Italy, Japan, South Korea, Taiwan). At screening, eligible patients had Child-Pugh scores of 7 or less (Child-Pugh A or B7) for the dose-escalation phase and 6 or less (Child-Pugh A) for the dose-expansion phase, and an Eastern Cooperative Oncology Group performance status of 1 or less. Patients with HBV infection had to be receiving effective antiviral therapy (viral load &lt;100 IU/mL); antiviral therapy was not required for patients with HCV infection. We excluded patients previously treated with an agent targeting T-cell costimulation or checkpoint pathways. Patients received intravenous nivolumab 0·1–10 mg/kg every 2 weeks in the dose-escalation phase (3+3 design). Nivolumab 3 mg/kg was given every 2 weeks in the dose-expansion phase to patients in four cohorts: sorafenib untreated or intolerant without viral hepatitis, sorafenib progressor without viral hepatitis, HCV infected, and HBV infected. Primary endpoints were safety and tolerability for the escalation phase and objective response rate (Response Evaluation Criteria In Solid Tumors version 1.1) for the expansion phase. This study is registered with ClinicalTrials.gov, number NCT01658878. Findings Between Nov 26, 2012, and Aug 8, 2016, 262 eligible patients were treated (48 patients in the dose-escalation phase and 214 in the dose-expansion phase). 202 (77%) of 262 patients have completed treatment and follow-up is ongoing. During dose escalation, nivolumab showed a manageable safety profile, including acceptable tolerability. In this phase, 46 (96%) of 48 patients discontinued treatment, 42 (88…","author":[{"dropping-particle":"","family":"El-Khoueiry","given":"Anthony B","non-dropping-particle":"","parse-names":false,"suffix":""},{"dropping-particle":"","family":"Sangro","given":"Bruno","non-dropping-particle":"","parse-names":false,"suffix":""},{"dropping-particle":"","family":"Yau","given":"Thomas","non-dropping-particle":"","parse-names":false,"suffix":""},{"dropping-particle":"","family":"Crocenzi","given":"Todd S","non-dropping-particle":"","parse-names":false,"suffix":""},{"dropping-particle":"","family":"Kudo","given":"Masatoshi","non-dropping-particle":"","parse-names":false,"suffix":""},{"dropping-particle":"","family":"Hsu","given":"Chiun","non-dropping-particle":"","parse-names":false,"suffix":""},{"dropping-particle":"","family":"Kim","given":"Tae You","non-dropping-particle":"","parse-names":false,"suffix":""},{"dropping-particle":"","family":"Choo","given":"Su Pin","non-dropping-particle":"","parse-names":false,"suffix":""},{"dropping-particle":"","family":"Trojan","given":"Jörg","non-dropping-particle":"","parse-names":false,"suffix":""},{"dropping-particle":"","family":"Welling","given":"Theodore H","non-dropping-particle":"","parse-names":false,"suffix":""},{"dropping-particle":"","family":"Meyer","given":"Tim","non-dropping-particle":"","parse-names":false,"suffix":""},{"dropping-particle":"","family":"Kang","given":"Yoon Koo","non-dropping-particle":"","parse-names":false,"suffix":""},{"dropping-particle":"","family":"Yeo","given":"Winnie","non-dropping-particle":"","parse-names":false,"suffix":""},{"dropping-particle":"","family":"Chopra","given":"Akhil","non-dropping-particle":"","parse-names":false,"suffix":""},{"dropping-particle":"","family":"Anderson","given":"Jeffrey","non-dropping-particle":"","parse-names":false,"suffix":""},{"dropping-particle":"","family":"Cruz","given":"Christine","non-dropping-particle":"dela","parse-names":false,"suffix":""},{"dropping-particle":"","family":"Lang","given":"Lixin","non-dropping-particle":"","parse-names":false,"suffix":""},{"dropping-particle":"","family":"Neely","given":"Jaclyn","non-dropping-particle":"","parse-names":false,"suffix":""},{"dropping-particle":"","family":"Tang","given":"Hao","non-dropping-particle":"","parse-names":false,"suffix":""},{"dropping-particle":"","family":"Dastani","given":"Homa B","non-dropping-particle":"","parse-names":false,"suffix":""},{"dropping-particle":"","family":"Melero","given":"Ignacio","non-dropping-particle":"","parse-names":false,"suffix":""}],"container-title":"The Lancet","id":"ITEM-2","issue":"10088","issued":{"date-parts":[["2017","6"]]},"page":"2492-2502","title":"Nivolumab in patients with advanced hepatocellular carcinoma (CheckMate 040): an open-label, non-comparative, phase 1/2 dose escalation and expansion trial","type":"article-journal","volume":"389"},"uris":["http://www.mendeley.com/documents/?uuid=50acbc45-26e7-3f55-8158-6cf74698d466"]},{"id":"ITEM-3","itemData":{"DOI":"10.1200/JCO.2012.44.5643","ISSN":"15277755","PMID":"23980077","abstract":"Purpose: To determine whether FOLFOX4 (infusional fluorouracil, leucovorin, and oxaliplatin) administered as palliative chemotherapy to patients with advanced hepatocellular carcinoma (HCC) provides a survival benefit and efficacy versus doxorubicin. Patients and Methods: This multicenter, open-label, randomized, phase III study in mainland China, Taiwan, Korea, and Thailand involved 371 patients age 18 to 75 years who had locally advanced or metastatic HCC and were ineligible for curative resection or local treatment. They were randomly assigned at a ratio of one to one to receive either FOLFOX4 (n = 184) or doxorubicin (n = 187). The primary end point was overall survival (OS); secondary end points included progression-free survival (PFS), response rate (RR) by RECIST (version 1.0), and safety. Results: At the prespecified final analysis, median OS was 6.40 months with FOLFOX4 (95% CI, 5.30 to 7.03) and 4.97 months with doxorubicin (95% CI, 4.23 to 6.03; P = .07; hazard ratio [HR], 0.80; 95% CI, 0.63 to 1.02). Median PFS was 2.93 months with FOLFOX4 (95% CI, 2.43 to 3.53), and 1.77 months with doxorubicin (95% CI, 1.63 to 2.30; P &lt; .001; HR, 0.62; 95% CI, 0.49 to 0.79). RR was 8.15% with FOLFOX4 and 2.67% with doxorubicin (P = .02). On continued follow-up, the trend toward increased OS with FOLFOX4 was maintained (P = .04; HR, 0.79; 95% CI, 0.63 to 0.99). Toxicity was consistent with previous experiences with FOLFOX4; proportions of grade 3 to 4 adverse events were similar between treatments. Conclusion: Although the study did not meet its primary end point, the trend toward improved OS with FOLFOX4, along with increased PFS and RR, suggests that this regimen may confer some benefit to Asian patients, but an OS benefit cannot be concluded from these data.","author":[{"dropping-particle":"","family":"Qin","given":"Shukui","non-dropping-particle":"","parse-names":false,"suffix":""},{"dropping-particle":"","family":"Bai","given":"Yuxian","non-dropping-particle":"","parse-names":false,"suffix":""},{"dropping-particle":"","family":"Lim","given":"Ho Yeong","non-dropping-particle":"","parse-names":false,"suffix":""},{"dropping-particle":"","family":"Thongprasert","given":"Sumitra","non-dropping-particle":"","parse-names":false,"suffix":""},{"dropping-particle":"","family":"Chao","given":"Yee","non-dropping-particle":"","parse-names":false,"suffix":""},{"dropping-particle":"","family":"Fan","given":"Jia","non-dropping-particle":"","parse-names":false,"suffix":""},{"dropping-particle":"","family":"Yang","given":"Tsai Shen","non-dropping-particle":"","parse-names":false,"suffix":""},{"dropping-particle":"","family":"Bhudhisawasdi","given":"Vajarabhongsa","non-dropping-particle":"","parse-names":false,"suffix":""},{"dropping-particle":"","family":"Kang","given":"Won Ki","non-dropping-particle":"","parse-names":false,"suffix":""},{"dropping-particle":"","family":"Zhou","given":"Yu","non-dropping-particle":"","parse-names":false,"suffix":""},{"dropping-particle":"","family":"Lee","given":"Jee Hyun","non-dropping-particle":"","parse-names":false,"suffix":""},{"dropping-particle":"","family":"Sun","given":"Yan","non-dropping-particle":"","parse-names":false,"suffix":""}],"container-title":"Journal of Clinical Oncology","id":"ITEM-3","issue":"28","issued":{"date-parts":[["2013","10","1"]]},"page":"3501-3508","title":"Randomized, multicenter, open-label study of oxaliplatin plus fluorouracil/leucovorin versus doxorubicin as palliative chemotherapy in patients with advanced hepatocellular carcinoma from Asia","type":"article-journal","volume":"31"},"uris":["http://www.mendeley.com/documents/?uuid=187fd52b-1139-3eaf-8715-ec79873f9c0e"]},{"id":"ITEM-4","itemData":{"DOI":"10.1016/j.jhep.2012.09.006","ISSN":"01688278","PMID":"22989572","abstract":"Background &amp; Aims: The current standard treatment for advanced hepatocellular carcinoma (HCC) is sorafenib. This drug is effective but generally does not induce tumor shrinkage and other treatment options are still needed. Methods: This retrospective multicenter study included all consecutive patients with advanced HCC treated with gemcitabine and oxaliplatin (GEMOX) between 2001 and 2010. Survival curves were drawn with the Kaplan-Meier method and compared with the log-rank test. Univariate and multivariate analyses were used to evaluate prognostic factors. Results: Two hundred four consecutive patients were treated with GEMOX (median age, 60 years; men, 86%; underlying cirrhosis, 76%). Grade 3-4 toxicity was observed in 44% of the patients (thrombocytopenia 24%, neutropenia 18%, diarrhea 14%, neurotoxicity 12%) leading to treatment discontinuation in 16% of the cases. The overall response and disease control rates were 22% (95% CI, 16-27) and 66% (95% CI, 59-72), respectively. No clinical or biological factors were associated with the treatment response, and 8.5% of the patients were subsequently eligible for curative-intent therapies after downstaging. Median PFS, TTP, and OS were 4.5 (95% CI, 4-6), 8 (95% CI, 6-11), and 11 months (95% CI, 9-14), respectively. In multivariate analysis, gender (p = 0.03), underlying cirrhosis (p = 0.01), CLIP score (p = 0.03), and response to GEMOX (p &lt;0.0001) were independently associated with OS. Conclusions: This large study confirms that GEMOX is effective with manageable toxicity in patients with advanced HCC. Tumor responses permitted potentially curative treatment that was not initially feasible in a significant proportion of patients. © 2012 European Association for the Study of the Liver. Published by Elsevier B.V. All rights reserved.","author":[{"dropping-particle":"","family":"Zaanan","given":"Aziz","non-dropping-particle":"","parse-names":false,"suffix":""},{"dropping-particle":"","family":"Williet","given":"Nicolas","non-dropping-particle":"","parse-names":false,"suffix":""},{"dropping-particle":"","family":"Hebbar","given":"Mohamed","non-dropping-particle":"","parse-names":false,"suffix":""},{"dropping-particle":"","family":"Dabakuyo","given":"Tienhan Sandrine","non-dropping-particle":"","parse-names":false,"suffix":""},{"dropping-particle":"","family":"Fartoux","given":"Laetitia","non-dropping-particle":"","parse-names":false,"suffix":""},{"dropping-particle":"","family":"Mansourbakht","given":"Touraj","non-dropping-particle":"","parse-names":false,"suffix":""},{"dropping-particle":"","family":"Dubreuil","given":"Olivier","non-dropping-particle":"","parse-names":false,"suffix":""},{"dropping-particle":"","family":"Rosmorduc","given":"Olivier","non-dropping-particle":"","parse-names":false,"suffix":""},{"dropping-particle":"","family":"Cattan","given":"Stéphane","non-dropping-particle":"","parse-names":false,"suffix":""},{"dropping-particle":"","family":"Bonnetain","given":"Franck","non-dropping-particle":"","parse-names":false,"suffix":""},{"dropping-particle":"","family":"Boige","given":"Valérie","non-dropping-particle":"","parse-names":false,"suffix":""},{"dropping-particle":"","family":"Taïeb","given":"Julien","non-dropping-particle":"","parse-names":false,"suffix":""}],"container-title":"Journal of Hepatology","id":"ITEM-4","issue":"1","issued":{"date-parts":[["2013","1"]]},"page":"81-88","title":"Gemcitabine plus oxaliplatin in advanced hepatocellular carcinoma: A large multicenter AGEO study","type":"article-journal","volume":"58"},"uris":["http://www.mendeley.com/documents/?uuid=9a54bf5c-15fb-3ac8-93b6-683be69854b2"]},{"id":"ITEM-5","itemData":{"DOI":"10.1200/jco.2019.37.4_suppl.393","ISSN":"0732-183X","abstract":"393Background: Clinicopathological features and the outcomes of patients with fibrolamellar hepatocellular carcinoma (FLHCC) are not clearly defined. Methods: Data were collected by retrospective chart review on 42 patients with FLHCC treated between 1990 and 2017 at the Mayo Clinic. Clinicopathological characteristics, response to treatment, recurrence pattern and survival were analyzed. Results: Of 42 patients (17 males and 25 females; median age at diagnosis 22 years, range 15 to 39), 10 patients (23%) had stage I disease and 32 patients (77%) had stage II to IVB disease. All 10 patients with stage I disease and 21 of 32 patients with stage II-IVB disease underwent resection at presentation. In stage I patient group, 6 patients experienced recurrence with a median time to recurrence of 30.5 months, resulting in a 5 year overall survival (OS) of 86%. Patients with stage II to IVB disease who underwent resection (n=21) at presentation had a median OS of 32.5 months and 5 year OS of 44%. In the upfront surgery group, 71% of the patients experienced recurrent disease. The median OS of patients with unresectable disease (n=11) was 10 months. Systemic therapy was given to 17 patients which included sorafenib, FOLFOX (5-fluorouracil/leucovorin and oxaliplatin), gemcitabine plus oxaliplatin, single agent adriamycin or gemcitabine, capecitabine plus interferon alfa, gemcitabine plus cisplatin, cisplatin plus adriamycin and nivolumab . Sorafenib was given to 9 patients and 4 patients achieved stable disease (SD) with duration ranging from 5 months to 5 years. One programmed cell death receptor positive-1 patient had a durable complete response after 2 months of therapy with nivolumab. Conclusions: In FLHCC, surgical resection was associated with prolonged OS. However, recurrences were common after the surgery. Limited benefit was derived from the systemic treatment. In rare cases, therapy with a checkpoint inhibitor may provide a viable treatment option.","author":[{"dropping-particle":"","family":"Chakrabarti","given":"Sakti","non-dropping-particle":"","parse-names":false,"suffix":""},{"dropping-particle":"","family":"Kommalapati","given":"Anuhya","non-dropping-particle":"","parse-names":false,"suffix":""},{"dropping-particle":"","family":"Tella","given":"Sri Harsha","non-dropping-particle":"","parse-names":false,"suffix":""},{"dropping-particle":"","family":"Huffman","given":"Brandon M.","non-dropping-particle":"","parse-names":false,"suffix":""},{"dropping-particle":"","family":"Yadav","given":"Siddhartha","non-dropping-particle":"","parse-names":false,"suffix":""},{"dropping-particle":"Bin","family":"Riaz","given":"Irbaz","non-dropping-particle":"","parse-names":false,"suffix":""},{"dropping-particle":"","family":"Goyal","given":"Gaurav","non-dropping-particle":"","parse-names":false,"suffix":""},{"dropping-particle":"","family":"Borad","given":"Mitesh J.","non-dropping-particle":"","parse-names":false,"suffix":""},{"dropping-particle":"","family":"Mahipal","given":"Amit","non-dropping-particle":"","parse-names":false,"suffix":""}],"container-title":"Journal of Clinical Oncology","id":"ITEM-5","issue":"4_suppl","issued":{"date-parts":[["2019","2","1"]]},"page":"393-393","title":"Clinicopathological features and outcomes of fibrolamellar hepatocellular carcinoma.","type":"article-journal","volume":"37"},"uris":["http://www.mendeley.com/documents/?uuid=64779e5f-7786-3a2f-b06f-0104bdc94aab"]}],"mendeley":{"formattedCitation":"[14,94,98–100]","plainTextFormattedCitation":"[14,94,98–100]","previouslyFormattedCitation":"[14,94,98–100]"},"properties":{"noteIndex":0},"schema":"https://github.com/citation-style-language/schema/raw/master/csl-citation.json"}</w:instrText>
      </w:r>
      <w:r w:rsidR="00386548" w:rsidRPr="00DF0D90">
        <w:fldChar w:fldCharType="separate"/>
      </w:r>
      <w:r w:rsidR="007335C5" w:rsidRPr="00DF0D90">
        <w:rPr>
          <w:noProof/>
        </w:rPr>
        <w:t>[14,94,98–100]</w:t>
      </w:r>
      <w:r w:rsidR="00386548" w:rsidRPr="00DF0D90">
        <w:fldChar w:fldCharType="end"/>
      </w:r>
      <w:r w:rsidR="00DA2C89" w:rsidRPr="00DF0D90">
        <w:t>.</w:t>
      </w:r>
    </w:p>
    <w:p w14:paraId="51C18836" w14:textId="77777777" w:rsidR="00630BAC" w:rsidRPr="00DF0D90" w:rsidRDefault="00630BAC" w:rsidP="00BD2E7C">
      <w:pPr>
        <w:pStyle w:val="af2"/>
        <w:spacing w:after="120" w:line="360" w:lineRule="auto"/>
        <w:ind w:left="0"/>
        <w:jc w:val="both"/>
        <w:rPr>
          <w:b/>
          <w:bCs/>
          <w:shd w:val="clear" w:color="auto" w:fill="FFFFFF"/>
        </w:rPr>
      </w:pPr>
      <w:r w:rsidRPr="00DF0D90">
        <w:rPr>
          <w:b/>
          <w:bCs/>
          <w:shd w:val="clear" w:color="auto" w:fill="FFFFFF"/>
        </w:rPr>
        <w:t>Уровень убедительности рекомендаций –</w:t>
      </w:r>
      <w:r w:rsidR="00DA2C89" w:rsidRPr="00DF0D90">
        <w:rPr>
          <w:b/>
          <w:bCs/>
          <w:shd w:val="clear" w:color="auto" w:fill="FFFFFF"/>
        </w:rPr>
        <w:t xml:space="preserve"> </w:t>
      </w:r>
      <w:r w:rsidR="000A1061" w:rsidRPr="00DF0D90">
        <w:rPr>
          <w:b/>
          <w:bCs/>
          <w:shd w:val="clear" w:color="auto" w:fill="FFFFFF"/>
        </w:rPr>
        <w:t>С</w:t>
      </w:r>
      <w:r w:rsidR="00DA2C89" w:rsidRPr="00DF0D90">
        <w:rPr>
          <w:b/>
          <w:bCs/>
          <w:shd w:val="clear" w:color="auto" w:fill="FFFFFF"/>
        </w:rPr>
        <w:t xml:space="preserve"> </w:t>
      </w:r>
      <w:r w:rsidRPr="00DF0D90">
        <w:rPr>
          <w:b/>
          <w:bCs/>
          <w:shd w:val="clear" w:color="auto" w:fill="FFFFFF"/>
        </w:rPr>
        <w:t>(урове</w:t>
      </w:r>
      <w:r w:rsidR="00BD2E7C" w:rsidRPr="00DF0D90">
        <w:rPr>
          <w:b/>
          <w:bCs/>
          <w:shd w:val="clear" w:color="auto" w:fill="FFFFFF"/>
        </w:rPr>
        <w:t xml:space="preserve">нь достоверности доказательств </w:t>
      </w:r>
      <w:r w:rsidR="000A1061" w:rsidRPr="00DF0D90">
        <w:rPr>
          <w:b/>
          <w:bCs/>
          <w:shd w:val="clear" w:color="auto" w:fill="FFFFFF"/>
        </w:rPr>
        <w:t>5</w:t>
      </w:r>
      <w:r w:rsidR="00BD2E7C" w:rsidRPr="00DF0D90">
        <w:rPr>
          <w:b/>
          <w:bCs/>
          <w:shd w:val="clear" w:color="auto" w:fill="FFFFFF"/>
        </w:rPr>
        <w:t>)</w:t>
      </w:r>
    </w:p>
    <w:p w14:paraId="08936B71" w14:textId="5DC0554E" w:rsidR="00630BAC" w:rsidRPr="00DF0D90" w:rsidRDefault="00630BAC" w:rsidP="00BD2E7C">
      <w:pPr>
        <w:spacing w:after="120" w:line="360" w:lineRule="auto"/>
        <w:jc w:val="both"/>
        <w:rPr>
          <w:i/>
        </w:rPr>
      </w:pPr>
      <w:r w:rsidRPr="00DF0D90">
        <w:rPr>
          <w:b/>
          <w:i/>
        </w:rPr>
        <w:t>Комментарии:</w:t>
      </w:r>
      <w:r w:rsidR="00DA2C89" w:rsidRPr="00DF0D90">
        <w:rPr>
          <w:b/>
        </w:rPr>
        <w:t xml:space="preserve"> </w:t>
      </w:r>
      <w:r w:rsidRPr="00DF0D90">
        <w:rPr>
          <w:i/>
        </w:rPr>
        <w:t xml:space="preserve">применяются платиносодержащие режимы в сочетании с </w:t>
      </w:r>
      <w:r w:rsidR="001C2A0B" w:rsidRPr="00DF0D90">
        <w:rPr>
          <w:i/>
        </w:rPr>
        <w:t>#</w:t>
      </w:r>
      <w:r w:rsidRPr="00DF0D90">
        <w:rPr>
          <w:i/>
        </w:rPr>
        <w:t>гемцитабином</w:t>
      </w:r>
      <w:r w:rsidR="000A1061" w:rsidRPr="00DF0D90">
        <w:rPr>
          <w:i/>
        </w:rPr>
        <w:t>**</w:t>
      </w:r>
      <w:r w:rsidR="00DA2C89" w:rsidRPr="00DF0D90">
        <w:rPr>
          <w:i/>
        </w:rPr>
        <w:t xml:space="preserve"> </w:t>
      </w:r>
      <w:r w:rsidR="001E1D85" w:rsidRPr="00DF0D90">
        <w:t>[99, 121</w:t>
      </w:r>
      <w:r w:rsidR="005A6A41" w:rsidRPr="00DF0D90">
        <w:t>, 124</w:t>
      </w:r>
      <w:r w:rsidR="001E1D85" w:rsidRPr="00DF0D90">
        <w:t>]</w:t>
      </w:r>
      <w:r w:rsidR="009D5396" w:rsidRPr="00DF0D90">
        <w:t xml:space="preserve"> </w:t>
      </w:r>
      <w:r w:rsidRPr="00DF0D90">
        <w:t>(</w:t>
      </w:r>
      <w:r w:rsidRPr="00DF0D90">
        <w:rPr>
          <w:i/>
        </w:rPr>
        <w:t>табл</w:t>
      </w:r>
      <w:r w:rsidR="000A1061" w:rsidRPr="00DF0D90">
        <w:rPr>
          <w:i/>
        </w:rPr>
        <w:t>ица</w:t>
      </w:r>
      <w:r w:rsidR="00C352A4" w:rsidRPr="00DF0D90">
        <w:rPr>
          <w:i/>
        </w:rPr>
        <w:t xml:space="preserve"> 2</w:t>
      </w:r>
      <w:r w:rsidRPr="00DF0D90">
        <w:rPr>
          <w:i/>
        </w:rPr>
        <w:t xml:space="preserve">). При смешанном гистологическом варианте – </w:t>
      </w:r>
      <w:proofErr w:type="spellStart"/>
      <w:r w:rsidRPr="00DF0D90">
        <w:rPr>
          <w:i/>
        </w:rPr>
        <w:t>гепатохолангиоцеллюлярном</w:t>
      </w:r>
      <w:proofErr w:type="spellEnd"/>
      <w:r w:rsidRPr="00DF0D90">
        <w:rPr>
          <w:i/>
        </w:rPr>
        <w:t xml:space="preserve"> раке в 1-й линии лечения предпочтение отдается цитостатической химиотерапии, поскольку считается, что прогноз жизни определяется </w:t>
      </w:r>
      <w:proofErr w:type="spellStart"/>
      <w:r w:rsidRPr="00DF0D90">
        <w:rPr>
          <w:i/>
        </w:rPr>
        <w:t>холангиоцеллюлярным</w:t>
      </w:r>
      <w:proofErr w:type="spellEnd"/>
      <w:r w:rsidRPr="00DF0D90">
        <w:rPr>
          <w:i/>
        </w:rPr>
        <w:t xml:space="preserve"> компонентом опухоли, как наиболее злокачественным. </w:t>
      </w:r>
      <w:r w:rsidR="00EC6E79" w:rsidRPr="00DF0D90">
        <w:rPr>
          <w:i/>
        </w:rPr>
        <w:t>Она не увеличивает продолжительность жизни</w:t>
      </w:r>
      <w:r w:rsidR="00A968D4" w:rsidRPr="00DF0D90">
        <w:rPr>
          <w:i/>
        </w:rPr>
        <w:t xml:space="preserve"> и</w:t>
      </w:r>
      <w:r w:rsidR="00EC6E79" w:rsidRPr="00DF0D90">
        <w:rPr>
          <w:i/>
        </w:rPr>
        <w:t xml:space="preserve"> эффективна в менее чем в 20 % случаев</w:t>
      </w:r>
      <w:r w:rsidR="00DA2C89" w:rsidRPr="00DF0D90">
        <w:rPr>
          <w:i/>
        </w:rPr>
        <w:t>.</w:t>
      </w:r>
    </w:p>
    <w:p w14:paraId="1A8D9024" w14:textId="77777777" w:rsidR="00630BAC" w:rsidRPr="00DF0D90" w:rsidRDefault="00630BAC" w:rsidP="006D217F">
      <w:pPr>
        <w:pStyle w:val="a"/>
        <w:spacing w:before="0" w:after="120" w:line="360" w:lineRule="auto"/>
        <w:ind w:firstLine="567"/>
        <w:jc w:val="both"/>
      </w:pPr>
      <w:r w:rsidRPr="00DF0D90">
        <w:rPr>
          <w:b/>
          <w:bCs/>
        </w:rPr>
        <w:lastRenderedPageBreak/>
        <w:t>Рекомендуется</w:t>
      </w:r>
      <w:r w:rsidRPr="00DF0D90">
        <w:rPr>
          <w:bCs/>
        </w:rPr>
        <w:t xml:space="preserve"> для оценки эффективности</w:t>
      </w:r>
      <w:r w:rsidRPr="00DF0D90">
        <w:t xml:space="preserve"> противоопухолевого лечения </w:t>
      </w:r>
      <w:r w:rsidR="00AF2D72" w:rsidRPr="00DF0D90">
        <w:t xml:space="preserve">у пациентов с ГЦР </w:t>
      </w:r>
      <w:r w:rsidRPr="00DF0D90">
        <w:t xml:space="preserve">проводить </w:t>
      </w:r>
      <w:proofErr w:type="spellStart"/>
      <w:r w:rsidRPr="00DF0D90">
        <w:t>мультифазную</w:t>
      </w:r>
      <w:proofErr w:type="spellEnd"/>
      <w:r w:rsidR="00DA2C89" w:rsidRPr="00DF0D90">
        <w:rPr>
          <w:lang w:val="ru-RU"/>
        </w:rPr>
        <w:t xml:space="preserve"> </w:t>
      </w:r>
      <w:r w:rsidRPr="00DF0D90">
        <w:t xml:space="preserve">КТ и/или МРТ (с контрастным усилением) каждые 2–3 мес. по критериям </w:t>
      </w:r>
      <w:r w:rsidRPr="00DF0D90">
        <w:rPr>
          <w:lang w:val="en-US"/>
        </w:rPr>
        <w:t>RECIST</w:t>
      </w:r>
      <w:r w:rsidRPr="00DF0D90">
        <w:t xml:space="preserve"> 1.1 </w:t>
      </w:r>
      <w:r w:rsidR="001F2D20" w:rsidRPr="00DF0D90">
        <w:t xml:space="preserve">(Приложение Г4) </w:t>
      </w:r>
      <w:r w:rsidRPr="00DF0D90">
        <w:t xml:space="preserve">и/или </w:t>
      </w:r>
      <w:proofErr w:type="spellStart"/>
      <w:r w:rsidRPr="00DF0D90">
        <w:rPr>
          <w:lang w:val="en-US"/>
        </w:rPr>
        <w:t>mRECIST</w:t>
      </w:r>
      <w:proofErr w:type="spellEnd"/>
      <w:r w:rsidRPr="00DF0D90">
        <w:t xml:space="preserve"> (для опухолевого поражения печени при циррозе) </w:t>
      </w:r>
      <w:r w:rsidR="00386548" w:rsidRPr="00DF0D90">
        <w:rPr>
          <w:lang w:val="ru-RU"/>
        </w:rPr>
        <w:t xml:space="preserve"> </w:t>
      </w:r>
      <w:r w:rsidR="00386548" w:rsidRPr="00DF0D90">
        <w:rPr>
          <w:lang w:val="ru-RU"/>
        </w:rPr>
        <w:fldChar w:fldCharType="begin" w:fldLock="1"/>
      </w:r>
      <w:r w:rsidR="007335C5" w:rsidRPr="00DF0D90">
        <w:rPr>
          <w:lang w:val="ru-RU"/>
        </w:rPr>
        <w:instrText>ADDIN CSL_CITATION {"citationItems":[{"id":"ITEM-1","itemData":{"DOI":"10.2217/hep-2017-0018","ISSN":"2045-0923","PMID":"30191059","abstract":"Sorafenib has been the only approved systemic therapy for hepatocellular carcinoma until very recently. However, the radiologic assessment of its biological activity is a disputed matter as at least five different criteria have been proposed. In this review, we describe the characteristic of the Response Evaluation Criteria In Solid Tumors (RECIST), European Association for the Study of The Liver (EASL), modified RECIST (mRECIST), Response Evaluation Criteria In the Cancer of the Liver (RECICL) and Choi criteria. The existing comparative studies are reported together with recent pieces of evidence, analyzing the reasons behind the split between recommendations of the scientific societies and regulatory agencies. Future perspectives in the wake of the impending results of the immunotherapy trials are also discussed.","author":[{"dropping-particle":"","family":"Tovoli","given":"Francesco","non-dropping-particle":"","parse-names":false,"suffix":""},{"dropping-particle":"","family":"Renzulli","given":"Matteo","non-dropping-particle":"","parse-names":false,"suffix":""},{"dropping-particle":"","family":"Granito","given":"Alessandro","non-dropping-particle":"","parse-names":false,"suffix":""},{"dropping-particle":"","family":"Golfieri","given":"Rita","non-dropping-particle":"","parse-names":false,"suffix":""},{"dropping-particle":"","family":"Bolondi","given":"Luigi","non-dropping-particle":"","parse-names":false,"suffix":""}],"container-title":"Hepatic Oncology","id":"ITEM-1","issue":"4","issued":{"date-parts":[["2017","10"]]},"page":"129-137","publisher":"Future Medicine Ltd","title":"Radiologic criteria of response to systemic treatments for hepatocellular carcinoma","type":"article-journal","volume":"4"},"uris":["http://www.mendeley.com/documents/?uuid=06e5fae0-f64a-3c58-aacd-294fd43ad0f4"]}],"mendeley":{"formattedCitation":"[101]","plainTextFormattedCitation":"[101]","previouslyFormattedCitation":"[101]"},"properties":{"noteIndex":0},"schema":"https://github.com/citation-style-language/schema/raw/master/csl-citation.json"}</w:instrText>
      </w:r>
      <w:r w:rsidR="00386548" w:rsidRPr="00DF0D90">
        <w:rPr>
          <w:lang w:val="ru-RU"/>
        </w:rPr>
        <w:fldChar w:fldCharType="separate"/>
      </w:r>
      <w:r w:rsidR="007335C5" w:rsidRPr="00DF0D90">
        <w:rPr>
          <w:noProof/>
          <w:lang w:val="ru-RU"/>
        </w:rPr>
        <w:t>[101]</w:t>
      </w:r>
      <w:r w:rsidR="00386548" w:rsidRPr="00DF0D90">
        <w:rPr>
          <w:lang w:val="ru-RU"/>
        </w:rPr>
        <w:fldChar w:fldCharType="end"/>
      </w:r>
      <w:r w:rsidRPr="00DF0D90">
        <w:t xml:space="preserve">. </w:t>
      </w:r>
    </w:p>
    <w:p w14:paraId="43DF707F" w14:textId="77777777" w:rsidR="00630BAC" w:rsidRPr="00DF0D90" w:rsidRDefault="00630BAC" w:rsidP="00BD2E7C">
      <w:pPr>
        <w:pStyle w:val="afa"/>
        <w:spacing w:after="120" w:line="360" w:lineRule="auto"/>
        <w:jc w:val="both"/>
        <w:rPr>
          <w:shd w:val="clear" w:color="auto" w:fill="FFFFFF"/>
        </w:rPr>
      </w:pPr>
      <w:r w:rsidRPr="00DF0D90">
        <w:rPr>
          <w:shd w:val="clear" w:color="auto" w:fill="FFFFFF"/>
        </w:rPr>
        <w:t xml:space="preserve">Уровень убедительности рекомендаций – </w:t>
      </w:r>
      <w:r w:rsidR="00AF2D72" w:rsidRPr="00DF0D90">
        <w:rPr>
          <w:shd w:val="clear" w:color="auto" w:fill="FFFFFF"/>
        </w:rPr>
        <w:t xml:space="preserve">С </w:t>
      </w:r>
      <w:r w:rsidRPr="00DF0D90">
        <w:rPr>
          <w:shd w:val="clear" w:color="auto" w:fill="FFFFFF"/>
        </w:rPr>
        <w:t xml:space="preserve">(уровень достоверности доказательств – </w:t>
      </w:r>
      <w:r w:rsidR="002D37C6" w:rsidRPr="00DF0D90">
        <w:rPr>
          <w:shd w:val="clear" w:color="auto" w:fill="FFFFFF"/>
        </w:rPr>
        <w:t>5</w:t>
      </w:r>
      <w:r w:rsidRPr="00DF0D90">
        <w:rPr>
          <w:shd w:val="clear" w:color="auto" w:fill="FFFFFF"/>
        </w:rPr>
        <w:t>).</w:t>
      </w:r>
    </w:p>
    <w:p w14:paraId="6DEB938C" w14:textId="64BACDFA" w:rsidR="00630BAC" w:rsidRPr="00DF0D90" w:rsidRDefault="00630BAC" w:rsidP="00BD2E7C">
      <w:pPr>
        <w:spacing w:after="120" w:line="360" w:lineRule="auto"/>
        <w:jc w:val="both"/>
        <w:rPr>
          <w:i/>
        </w:rPr>
      </w:pPr>
      <w:r w:rsidRPr="00DF0D90">
        <w:rPr>
          <w:b/>
          <w:i/>
        </w:rPr>
        <w:t>Комментарии:</w:t>
      </w:r>
      <w:r w:rsidRPr="00DF0D90">
        <w:rPr>
          <w:b/>
        </w:rPr>
        <w:t xml:space="preserve"> </w:t>
      </w:r>
      <w:r w:rsidRPr="00DF0D90">
        <w:rPr>
          <w:i/>
        </w:rPr>
        <w:t xml:space="preserve">определение уровня АФП </w:t>
      </w:r>
      <w:r w:rsidR="000F0B53" w:rsidRPr="00DF0D90">
        <w:rPr>
          <w:i/>
        </w:rPr>
        <w:t xml:space="preserve">в плазме </w:t>
      </w:r>
      <w:r w:rsidRPr="00DF0D90">
        <w:rPr>
          <w:i/>
        </w:rPr>
        <w:t>в динамике показано пациентам с исходно высоким его</w:t>
      </w:r>
      <w:r w:rsidR="00DA2C89" w:rsidRPr="00DF0D90">
        <w:rPr>
          <w:i/>
        </w:rPr>
        <w:t xml:space="preserve"> </w:t>
      </w:r>
      <w:r w:rsidRPr="00DF0D90">
        <w:rPr>
          <w:i/>
        </w:rPr>
        <w:t xml:space="preserve">значением; </w:t>
      </w:r>
      <w:r w:rsidR="000F0B53" w:rsidRPr="00DF0D90">
        <w:rPr>
          <w:i/>
        </w:rPr>
        <w:t>в ряде исследований отмечена прямая корреляция эффективности проводимого лечения и изменения концентрации АФП</w:t>
      </w:r>
      <w:r w:rsidRPr="00DF0D90">
        <w:rPr>
          <w:i/>
        </w:rPr>
        <w:t>.</w:t>
      </w:r>
    </w:p>
    <w:p w14:paraId="018852C8" w14:textId="77777777" w:rsidR="00630BAC" w:rsidRPr="00DF0D90" w:rsidRDefault="00630BAC" w:rsidP="006D217F">
      <w:pPr>
        <w:pStyle w:val="2"/>
        <w:spacing w:before="0" w:after="120" w:line="360" w:lineRule="auto"/>
        <w:ind w:firstLine="567"/>
        <w:jc w:val="both"/>
      </w:pPr>
      <w:bookmarkStart w:id="99" w:name="_Toc98349289"/>
      <w:bookmarkStart w:id="100" w:name="_Toc83293987"/>
      <w:r w:rsidRPr="00DF0D90">
        <w:t>3.7 Сопроводительная терапия и лечение фоновой патологии печени</w:t>
      </w:r>
      <w:bookmarkEnd w:id="99"/>
      <w:bookmarkEnd w:id="100"/>
    </w:p>
    <w:p w14:paraId="65DC6BF1" w14:textId="4FAA9F41" w:rsidR="0006017E" w:rsidRPr="00DF0D90" w:rsidRDefault="0006017E" w:rsidP="006D217F">
      <w:pPr>
        <w:pStyle w:val="a"/>
        <w:spacing w:before="0" w:after="120" w:line="360" w:lineRule="auto"/>
        <w:ind w:firstLine="567"/>
        <w:jc w:val="both"/>
      </w:pPr>
      <w:r w:rsidRPr="00DF0D90">
        <w:t>Пациентам с ГЦР</w:t>
      </w:r>
      <w:r w:rsidRPr="00DF0D90">
        <w:rPr>
          <w:b/>
        </w:rPr>
        <w:t xml:space="preserve"> рекомендуется</w:t>
      </w:r>
      <w:r w:rsidR="00DA2C89" w:rsidRPr="00DF0D90">
        <w:rPr>
          <w:b/>
          <w:lang w:val="ru-RU"/>
        </w:rPr>
        <w:t xml:space="preserve"> </w:t>
      </w:r>
      <w:r w:rsidRPr="00DF0D90">
        <w:t>противовирусная терапия сопутствующего</w:t>
      </w:r>
      <w:r w:rsidR="00DA2C89" w:rsidRPr="00DF0D90">
        <w:rPr>
          <w:lang w:val="ru-RU"/>
        </w:rPr>
        <w:t xml:space="preserve"> </w:t>
      </w:r>
      <w:r w:rsidRPr="00DF0D90">
        <w:t>хронического гепатита В (ДНК-ВГВ &gt;2 × 10</w:t>
      </w:r>
      <w:r w:rsidRPr="00DF0D90">
        <w:rPr>
          <w:vertAlign w:val="superscript"/>
        </w:rPr>
        <w:t>2</w:t>
      </w:r>
      <w:r w:rsidR="00DA2C89" w:rsidRPr="00DF0D90">
        <w:rPr>
          <w:vertAlign w:val="superscript"/>
          <w:lang w:val="ru-RU"/>
        </w:rPr>
        <w:t xml:space="preserve">  </w:t>
      </w:r>
      <w:r w:rsidRPr="00DF0D90">
        <w:t xml:space="preserve">МЕ/мл) аналогами </w:t>
      </w:r>
      <w:proofErr w:type="spellStart"/>
      <w:r w:rsidRPr="00DF0D90">
        <w:t>нуклеот</w:t>
      </w:r>
      <w:proofErr w:type="spellEnd"/>
      <w:r w:rsidRPr="00DF0D90">
        <w:t>(з)</w:t>
      </w:r>
      <w:proofErr w:type="spellStart"/>
      <w:r w:rsidRPr="00DF0D90">
        <w:t>идов</w:t>
      </w:r>
      <w:proofErr w:type="spellEnd"/>
      <w:r w:rsidRPr="00DF0D90">
        <w:t xml:space="preserve"> (</w:t>
      </w:r>
      <w:proofErr w:type="spellStart"/>
      <w:r w:rsidRPr="00DF0D90">
        <w:t>энтекавир</w:t>
      </w:r>
      <w:proofErr w:type="spellEnd"/>
      <w:r w:rsidR="00CF3253" w:rsidRPr="00DF0D90">
        <w:t>**</w:t>
      </w:r>
      <w:r w:rsidRPr="00DF0D90">
        <w:t xml:space="preserve"> или </w:t>
      </w:r>
      <w:proofErr w:type="spellStart"/>
      <w:r w:rsidRPr="00DF0D90">
        <w:t>тенофовир</w:t>
      </w:r>
      <w:proofErr w:type="spellEnd"/>
      <w:r w:rsidR="00CF3253" w:rsidRPr="00DF0D90">
        <w:t>**</w:t>
      </w:r>
      <w:r w:rsidR="0017591B" w:rsidRPr="00DF0D90">
        <w:rPr>
          <w:lang w:val="ru-RU"/>
        </w:rPr>
        <w:t>)</w:t>
      </w:r>
      <w:r w:rsidRPr="00DF0D90">
        <w:t xml:space="preserve"> и хронического гепатита С ингибиторами протеазы и полимеразы вируса (</w:t>
      </w:r>
      <w:proofErr w:type="spellStart"/>
      <w:r w:rsidRPr="00DF0D90">
        <w:t>глекапревир</w:t>
      </w:r>
      <w:proofErr w:type="spellEnd"/>
      <w:r w:rsidRPr="00DF0D90">
        <w:t>/</w:t>
      </w:r>
      <w:proofErr w:type="spellStart"/>
      <w:r w:rsidRPr="00DF0D90">
        <w:t>пибрентасвир</w:t>
      </w:r>
      <w:proofErr w:type="spellEnd"/>
      <w:r w:rsidR="00CF3253" w:rsidRPr="00DF0D90">
        <w:t>**</w:t>
      </w:r>
      <w:r w:rsidRPr="00DF0D90">
        <w:t xml:space="preserve"> или </w:t>
      </w:r>
      <w:proofErr w:type="spellStart"/>
      <w:r w:rsidRPr="00DF0D90">
        <w:t>софосбувир</w:t>
      </w:r>
      <w:proofErr w:type="spellEnd"/>
      <w:r w:rsidRPr="00DF0D90">
        <w:t>/</w:t>
      </w:r>
      <w:proofErr w:type="spellStart"/>
      <w:r w:rsidRPr="00DF0D90">
        <w:t>велпатасвир</w:t>
      </w:r>
      <w:proofErr w:type="spellEnd"/>
      <w:r w:rsidR="00CF3253" w:rsidRPr="00DF0D90">
        <w:t>**</w:t>
      </w:r>
      <w:r w:rsidRPr="00DF0D90">
        <w:t>) одновременно с</w:t>
      </w:r>
      <w:r w:rsidR="00DA2C89" w:rsidRPr="00DF0D90">
        <w:rPr>
          <w:lang w:val="ru-RU"/>
        </w:rPr>
        <w:t xml:space="preserve"> </w:t>
      </w:r>
      <w:r w:rsidRPr="00DF0D90">
        <w:t>лекарственным или</w:t>
      </w:r>
      <w:r w:rsidR="00DA2C89" w:rsidRPr="00DF0D90">
        <w:rPr>
          <w:lang w:val="ru-RU"/>
        </w:rPr>
        <w:t xml:space="preserve"> </w:t>
      </w:r>
      <w:proofErr w:type="spellStart"/>
      <w:r w:rsidRPr="00DF0D90">
        <w:t>интервенционно</w:t>
      </w:r>
      <w:proofErr w:type="spellEnd"/>
      <w:r w:rsidRPr="00DF0D90">
        <w:t xml:space="preserve">-радиологическим лечением независимо от выраженности </w:t>
      </w:r>
      <w:proofErr w:type="spellStart"/>
      <w:r w:rsidRPr="00DF0D90">
        <w:t>цитолитического</w:t>
      </w:r>
      <w:proofErr w:type="spellEnd"/>
      <w:r w:rsidRPr="00DF0D90">
        <w:t xml:space="preserve"> синдрома для улучшения выживаемости пациентов. Противовирусная терапия после хирургического лечения (резекции, трансплантации печени) может улучшить отдаленные результаты</w:t>
      </w:r>
      <w:r w:rsidR="00C311E5" w:rsidRPr="00DF0D90">
        <w:rPr>
          <w:lang w:val="ru-RU"/>
        </w:rPr>
        <w:t xml:space="preserve"> </w:t>
      </w:r>
      <w:r w:rsidR="009F4119" w:rsidRPr="00DF0D90">
        <w:rPr>
          <w:lang w:val="ru-RU"/>
        </w:rPr>
        <w:fldChar w:fldCharType="begin" w:fldLock="1"/>
      </w:r>
      <w:r w:rsidR="007335C5" w:rsidRPr="00DF0D90">
        <w:rPr>
          <w:lang w:val="ru-RU"/>
        </w:rPr>
        <w:instrText>ADDIN CSL_CITATION {"citationItems":[{"id":"ITEM-1","itemData":{"author":[{"dropping-particle":"","family":"NCCN","given":"","non-dropping-particle":"","parse-names":false,"suffix":""}],"id":"ITEM-1","issued":{"date-parts":[["2021"]]},"title":"Clinical Practice Guidelines in Oncology. Hepatobiliary Cancers, version 4.2021","type":"article-journal"},"uris":["http://www.mendeley.com/documents/?uuid=db314d5f-b05a-4fec-a403-5589c18d9ebd"]},{"id":"ITEM-2","itemData":{"DOI":"10.1200/JCO.2012.48.5896","ISSN":"15277755","PMID":"24002499","abstract":"Purpose: Postoperative prognosis of hepatitis B virus (HBV) -related hepatocellular carcinoma (HCC) is poor. The effect of nucleotide/nucleoside analog (NA) treatment on the prognosis has not been fully clarified. Patients and Methods: We carried out a two-stage longitudinal study that included a randomized clinical trial (RCT) to evaluate the effect of NA treatment on postoperative prognosis of HBV-HCC. Seven hundred eighty patients (163 in the RCT) were enrolled onto this study following radical hepatectomy. Lamivudine, adefovir dipivoxil, or entecavir were postoperatively administered to antiviral groups. Surgical specimens were examined immunohistochemically for carboxylic acid-terminal truncated HBV X protein (Ct-HBx). Results: In the nonrandomized cohort, high viral load (≥ 104 copies/mL) significantly predicted unfavorable overall survival and recurrence-free survival (RFS), whereas antiviral treatment significantly improved both types of survival. In the RCT, antiviral treatment significantly decreased HCC recurrence and HCC-related death, with hazard ratios (HRs) of 0.48 (95% CI, 0.32 to 0.70) and 0.26 (95% CI, 0.14 to 0.50), respectively, in multivariate Cox analyses. Patients who received antiviral treatment had significantly decreased early recurrence (HR, 0.41; 95% CI, 0.27 to 0.62) and improved liver function 6 months after surgery compared with the controls (P &gt; .001). Those with recovered liver function had a higher 2-year RFS rate than those without (P = .003). Ct-HBx expression in adjacent hepatic tissues significantly predicted an unfavorable RFS in the antiviral group (P &gt; .001). Conclusion: Although it might not affect the HCC-promoting potential of Ct-HBx, NA treatment is effective in normalizing liver function, decreasing HBV-HCC recurrence, and improving postoperative survival. This effect should be validated in a multicenter phase III RCT.","author":[{"dropping-particle":"","family":"Yin","given":"Jianhua","non-dropping-particle":"","parse-names":false,"suffix":""},{"dropping-particle":"","family":"Li","given":"Nan","non-dropping-particle":"","parse-names":false,"suffix":""},{"dropping-particle":"","family":"Han","given":"Yifang","non-dropping-particle":"","parse-names":false,"suffix":""},{"dropping-particle":"","family":"Xue","given":"Jie","non-dropping-particle":"","parse-names":false,"suffix":""},{"dropping-particle":"","family":"Deng","given":"Yang","non-dropping-particle":"","parse-names":false,"suffix":""},{"dropping-particle":"","family":"Shi","given":"Jie","non-dropping-particle":"","parse-names":false,"suffix":""},{"dropping-particle":"","family":"Guo","given":"Weixing","non-dropping-particle":"","parse-names":false,"suffix":""},{"dropping-particle":"","family":"Zhang","given":"Hongwei","non-dropping-particle":"","parse-names":false,"suffix":""},{"dropping-particle":"","family":"Wang","given":"Hongyang","non-dropping-particle":"","parse-names":false,"suffix":""},{"dropping-particle":"","family":"Cheng","given":"Shuqun","non-dropping-particle":"","parse-names":false,"suffix":""},{"dropping-particle":"","family":"Cao","given":"Guangwen","non-dropping-particle":"","parse-names":false,"suffix":""}],"container-title":"Journal of Clinical Oncology","id":"ITEM-2","issue":"29","issued":{"date-parts":[["2013","10","10"]]},"page":"3647-3655","title":"Effect of antiviral treatment with nucleotide/nucleoside analogs on postoperative prognosis of hepatitis B virus-related hepatocellular carcinoma: A two-stage longitudinal clinical study","type":"article-journal","volume":"31"},"uris":["http://www.mendeley.com/documents/?uuid=13337f67-740a-309c-bbb8-d0aa8e16ce39"]},{"id":"ITEM-3","itemData":{"DOI":"10.1097/SLA.0000000000000858","ISSN":"15281140","PMID":"25072444","abstract":"Objective: A randomized controlled trial was conducted to find out whether antiviral therapy in patients with hepatitis B-related hepatocellular carcinoma (HCC) improves long-term survival after hepatic resection. Background: Despite advances in surgery and in multidisciplinary treatment, there is still no effective adjuvant treatment to prevent HCC recurrence after R0 resection for HCC. Whether antiviral therapy is useful in reducing postoperative HCC recurrence is unclear. Methods: Between May 2007 and April 2008, patients who received R0 hepatic resection for HBV-related HCC were randomly assigned to receive no treatment (the control group, n = 100) or antiviral therapy (adefovir 10 mg/d, the antiviral group, n = 100). Results: The baseline clinical, laboratory, and tumor characteristics of the 2 groups were comparable. The 1-, 3-, and 5-year recurrence-free survival rates for the antiviral group and the control group were 85.0%, 50.3%, 46.1% and 84.0%, 37.9%, 27.1%, respectively. The corresponding overall survival rates for the 2 groups were 96.0%, 77.6%, 63.1% and 94.0%, 67.4%, 41.5%, respectively. The recurrence-free survival and overall survival for the antiviral group were significantly better than the control group (P = 0.026, P = 0.001). After adjusting for the confounding prognostic factors in a Cox model, the relative risks of recurrence and death for antiviral treatment were 0.651 [95% confidence interval (CI): 0.451-0.938; P = 0.021] and 0.420 (95% CI: 0.271-0.651; P &lt; 0.001). Antiviral therapy was an independent protective factor of late tumor recurrence (HR = 0.348, 95% CI: 0.177-0.687; P = 0.002) but not of early tumor recurrence [hazard ratio (HR) = 0.949, 95% CI: 0.617-1.459; P = 0.810]. Conclusions: In patients with hepatitis B-related HCC, adefovir antiviral therapy reduced late HCC recurrence and significantly improved overall survival after R0 hepatic resection.","author":[{"dropping-particle":"","family":"Huang","given":"Gang","non-dropping-particle":"","parse-names":false,"suffix":""},{"dropping-particle":"","family":"Lau","given":"Wan Yee","non-dropping-particle":"","parse-names":false,"suffix":""},{"dropping-particle":"","family":"Wang","given":"Zhen Guang","non-dropping-particle":"","parse-names":false,"suffix":""},{"dropping-particle":"","family":"Pan","given":"Ze Ya","non-dropping-particle":"","parse-names":false,"suffix":""},{"dropping-particle":"","family":"Yuan","given":"Sheng Xian","non-dropping-particle":"","parse-names":false,"suffix":""},{"dropping-particle":"","family":"Shen","given":"Feng","non-dropping-particle":"","parse-names":false,"suffix":""},{"dropping-particle":"","family":"Zhou","given":"Wei Ping","non-dropping-particle":"","parse-names":false,"suffix":""},{"dropping-particle":"","family":"Wu","given":"Meng Chao","non-dropping-particle":"","parse-names":false,"suffix":""}],"container-title":"Annals of Surgery","id":"ITEM-3","issue":"1","issued":{"date-parts":[["2015"]]},"page":"56-66","publisher":"Lippincott Williams and Wilkins","title":"Antiviral therapy improves postoperative survival in patients with hepatocellular carcinoma","type":"article-journal","volume":"261"},"uris":["http://www.mendeley.com/documents/?uuid=5a79fd0c-f168-3a40-873a-295a90c45984"]},{"id":"ITEM-4","itemData":{"DOI":"10.1002/hep.30988","ISSN":"15273350","PMID":"31610027","abstract":"Background and Aims: Survival data among patients with hepatitis C virus (HCV)-related hepatocellular carcinoma (HCC) after achieving sustained virologic response (SVR) with interferon-free direct-acting antivirals (DAAs) in both Asian and western countries are limited. Survival rates were compared between patients with HCV-related HCC who were untreated for HCV and those who achieved SVR. Approach and Results: Using data from two U.S. and six Asian centers from 2005 to 2017, we categorized 1,676 patients who were mono-infected with HCV-related HCC into patients untreated for HCV (untreated group) and DAA-treated patients with SVR (SVR group) and matched by propensity score matching (PSM); multivariable Cox regression with HCV treatment status as a time-varying covariate was used to determine mortality risk and landmark analysis to avoid immortal time bias. There were 1,239 untreated patients and 437 patients with SVR. After PSM, background risks of the 321 pairs of matched patients were balanced (all P &gt; 0.05). After time-varying adjustment for HCV treatment initiation compared with untreated patients, patients with SVR had significantly higher 5-year overall survival (87.78% vs. 66.05%, P &lt; 0.001). Multivariable Cox regression showed that SVR was independently associated with a 63% lower risk of 5-year all-cause mortality (hazard ratio [HR], 0.37; 95% confidence interval [CI], 0.16-0.83; P = 0.016) and 66% lower risk of 5-year liver-related mortality (HR, 0.34; 95% CI, 0.13-0.88; P = 0.026) with similar trends after removing patients with liver transplants. Landmark analysis at 90, 180, and 360 days showed consistent results (HRs ranged 0.22 to 0.44, all P &lt; 0.05). Conclusion: In this multinational consortium, patients with HCV-related HCC who obtained SVR achieved a 60%-70% improvement in 5-year survival (both all-cause and liver related) compared with patients untreated for HCV. Patients eligible for HCC therapy should also be considered for DAA therapy.","author":[{"dropping-particle":"","family":"Dang","given":"Hansen","non-dropping-particle":"","parse-names":false,"suffix":""},{"dropping-particle":"","family":"Yeo","given":"Yee Hui","non-dropping-particle":"","parse-names":false,"suffix":""},{"dropping-particle":"","family":"Yasuda","given":"Satoshi","non-dropping-particle":"","parse-names":false,"suffix":""},{"dropping-particle":"","family":"Huang","given":"Chung Feng","non-dropping-particle":"","parse-names":false,"suffix":""},{"dropping-particle":"","family":"Iio","given":"Etsuko","non-dropping-particle":"","parse-names":false,"suffix":""},{"dropping-particle":"","family":"Landis","given":"Charles","non-dropping-particle":"","parse-names":false,"suffix":""},{"dropping-particle":"","family":"Jun","given":"Dae Won","non-dropping-particle":"","parse-names":false,"suffix":""},{"dropping-particle":"","family":"Enomoto","given":"Masaru","non-dropping-particle":"","parse-names":false,"suffix":""},{"dropping-particle":"","family":"Ogawa","given":"Eiichi","non-dropping-particle":"","parse-names":false,"suffix":""},{"dropping-particle":"","family":"Tsai","given":"Pei Chien","non-dropping-particle":"","parse-names":false,"suffix":""},{"dropping-particle":"","family":"Le","given":"An","non-dropping-particle":"","parse-names":false,"suffix":""},{"dropping-particle":"","family":"Liu","given":"Matthew","non-dropping-particle":"","parse-names":false,"suffix":""},{"dropping-particle":"","family":"Maeda","given":"Mayumi","non-dropping-particle":"","parse-names":false,"suffix":""},{"dropping-particle":"","family":"Nguyen","given":"Brian","non-dropping-particle":"","parse-names":false,"suffix":""},{"dropping-particle":"","family":"Ramrakhiani","given":"Nathan","non-dropping-particle":"","parse-names":false,"suffix":""},{"dropping-particle":"","family":"Henry","given":"Linda","non-dropping-particle":"","parse-names":false,"suffix":""},{"dropping-particle":"","family":"Cheung","given":"Ramsey","non-dropping-particle":"","parse-names":false,"suffix":""},{"dropping-particle":"","family":"Tamori","given":"Akihiro","non-dropping-particle":"","parse-names":false,"suffix":""},{"dropping-particle":"","family":"Kumada","given":"Takashi","non-dropping-particle":"","parse-names":false,"suffix":""},{"dropping-particle":"","family":"Tanaka","given":"Yasuhito","non-dropping-particle":"","parse-names":false,"suffix":""},{"dropping-particle":"","family":"Yu","given":"Ming Lung","non-dropping-particle":"","parse-names":false,"suffix":""},{"dropping-particle":"","family":"Toyoda","given":"Hidenori","non-dropping-particle":"","parse-names":false,"suffix":""},{"dropping-particle":"","family":"Nguyen","given":"Mindie H.","non-dropping-particle":"","parse-names":false,"suffix":""}],"container-title":"Hepatology","id":"ITEM-4","issue":"6","issued":{"date-parts":[["2020","6","1"]]},"page":"1910-1922","publisher":"John Wiley and Sons Inc.","title":"Cure With Interferon-Free Direct-Acting Antiviral Is Associated With Increased Survival in Patients With Hepatitis C Virus-Related Hepatocellular Carcinoma From Both East and West","type":"article-journal","volume":"71"},"uris":["http://www.mendeley.com/documents/?uuid=a071236f-ba0c-30e9-b12e-ce6294588fe6"]},{"id":"ITEM-5","itemData":{"DOI":"10.1016/j.jhep.2019.03.027","ISSN":"16000641","PMID":"30959157","abstract":"Background &amp; Aims: The effectiveness of direct-acting antivirals (DAAs) against hepatitis C virus (HCV), following successful treatment of early hepatocellular carcinoma (HCC), has been studied extensively. However, the benefit in terms of overall survival (OS) remains to be conclusively demonstrated. The aim of this study was to assess the impact of DAAs on OS, HCC recurrence, and hepatic decompensation. Methods: We prospectively enrolled 163 consecutive patients with HCV-related cirrhosis and a first diagnosis of early Barcelona Clinic Liver Cancer stage 0/A HCC, who had achieved a complete radiologic response after curative resection or ablation and were subsequently treated with DAAs. DAA-untreated patients from the ITA.LI.CA. cohort (n = 328) served as controls. After propensity score matching, outcomes of 102 DAA-treated (DAA group) and 102 DAA-untreated patients (No DAA group) were compared. Results: In the DAA group, 7/102 patients (6.9%) died, HCC recurred in 28/102 patients (27.5%) and hepatic decompensation occurred in 6/102 patients (5.9%), after a mean follow-up of 21.4 months. OS was significantly higher in the DAA group compared to the No DAA group (hazard ratio [HR] 0.39; 95% CI 0.17–0.91; p = 0.03). HCC recurrence was not significantly different between the DAA and No DAA groups (HR 0.70; 95% CI 0.44–1.13; p = 0.15). A significant reduction in the rate of hepatic decompensation was observed in the DAA group compared with the No DAA group (HR 0.32; 95% CI 0.13–0.84; p = 0.02). In the DAA group, sustained virologic response was a significant predictor of OS (HR 0.02; 95% CI 0.00–0.19; p &lt;0.001), HCC recurrence (HR 0.25; 95% CI 0.11–0.57; p &lt;0.001) and hepatic decompensation (HR 0.12; 95% CI 0.02–0.38; p = 0.02). Conclusions: In patients with HCV-related cirrhosis who had been successfully treated for early HCC, DAAs significantly improved OS compared with No DAA treatment. Lay summary: We aimed to determine whether direct-acting antivirals (DAAs) significantly improve overall survival in patients with hepatitis C virus-related compensated cirrhosis and a first diagnosis of hepatocellular carcinoma (HCC) which has been successfully treated with curative resection or ablation. Using propensity-score matched patients, we found that DAAs improved overall survival and reduced the risk of hepatic decompensation. However, the risk of HCC recurrence was not significantly reduced.","author":[{"dropping-particle":"","family":"Cabibbo","given":"Giuseppe","non-dropping-particle":"","parse-names":false,"suffix":""},{"dropping-particle":"","family":"Celsa","given":"Ciro","non-dropping-particle":"","parse-names":false,"suffix":""},{"dropping-particle":"","family":"Calvaruso","given":"Vincenza","non-dropping-particle":"","parse-names":false,"suffix":""},{"dropping-particle":"","family":"Petta","given":"Salvatore","non-dropping-particle":"","parse-names":false,"suffix":""},{"dropping-particle":"","family":"Cacciola","given":"Irene","non-dropping-particle":"","parse-names":false,"suffix":""},{"dropping-particle":"","family":"Cannavò","given":"Maria Rita","non-dropping-particle":"","parse-names":false,"suffix":""},{"dropping-particle":"","family":"Madonia","given":"Salvatore","non-dropping-particle":"","parse-names":false,"suffix":""},{"dropping-particle":"","family":"Rossi","given":"Margherita","non-dropping-particle":"","parse-names":false,"suffix":""},{"dropping-particle":"","family":"Magro","given":"Bianca","non-dropping-particle":"","parse-names":false,"suffix":""},{"dropping-particle":"","family":"Rini","given":"Francesca","non-dropping-particle":"","parse-names":false,"suffix":""},{"dropping-particle":"","family":"Distefano","given":"Marco","non-dropping-particle":"","parse-names":false,"suffix":""},{"dropping-particle":"","family":"Larocca","given":"Licia","non-dropping-particle":"","parse-names":false,"suffix":""},{"dropping-particle":"","family":"Prestileo","given":"Tullio","non-dropping-particle":"","parse-names":false,"suffix":""},{"dropping-particle":"","family":"Malizia","given":"Giuseppe","non-dropping-particle":"","parse-names":false,"suffix":""},{"dropping-particle":"","family":"Bertino","given":"Gaetano","non-dropping-particle":"","parse-names":false,"suffix":""},{"dropping-particle":"","family":"Benanti","given":"Francesco","non-dropping-particle":"","parse-names":false,"suffix":""},{"dropping-particle":"","family":"Licata","given":"Anna","non-dropping-particle":"","parse-names":false,"suffix":""},{"dropping-particle":"","family":"Scalisi","given":"Ignazio","non-dropping-particle":"","parse-names":false,"suffix":""},{"dropping-particle":"","family":"Mazzola","given":"Giovanni","non-dropping-particle":"","parse-names":false,"suffix":""},{"dropping-particle":"","family":"Rosolini","given":"Maria Antonietta","non-dropping-particle":"Di","parse-names":false,"suffix":""},{"dropping-particle":"","family":"Alaimo","given":"Giuseppe","non-dropping-particle":"","parse-names":false,"suffix":""},{"dropping-particle":"","family":"Averna","given":"Alfonso","non-dropping-particle":"","parse-names":false,"suffix":""},{"dropping-particle":"","family":"Cartabellotta","given":"Fabio","non-dropping-particle":"","parse-names":false,"suffix":""},{"dropping-particle":"","family":"Alessi","given":"Nicola","non-dropping-particle":"","parse-names":false,"suffix":""},{"dropping-particle":"","family":"Guastella","given":"Salvatore","non-dropping-particle":"","parse-names":false,"suffix":""},{"dropping-particle":"","family":"Russello","given":"Maurizio","non-dropping-particle":"","parse-names":false,"suffix":""},{"dropping-particle":"","family":"Scifo","given":"Gaetano","non-dropping-particle":"","parse-names":false,"suffix":""},{"dropping-particle":"","family":"Squadrito","given":"Giovanni","non-dropping-particle":"","parse-names":false,"suffix":""},{"dropping-particle":"","family":"Raimondo","given":"Giovanni","non-dropping-particle":"","parse-names":false,"suffix":""},{"dropping-particle":"","family":"Trevisani","given":"Franco","non-dropping-particle":"","parse-names":false,"suffix":""},{"dropping-particle":"","family":"Craxì","given":"Antonio","non-dropping-particle":"","parse-names":false,"suffix":""},{"dropping-particle":"","family":"Marco","given":"Vito","non-dropping-particle":"Di","parse-names":false,"suffix":""},{"dropping-particle":"","family":"Cammà","given":"Calogero","non-dropping-particle":"","parse-names":false,"suffix":""}],"container-title":"Journal of Hepatology","id":"ITEM-5","issue":"2","issued":{"date-parts":[["2019","8"]]},"page":"265-273","title":"Direct-acting antivirals after successful treatment of early hepatocellular carcinoma improve survival in HCV-cirrhotic patients","type":"article-journal","volume":"71"},"uris":["http://www.mendeley.com/documents/?uuid=2999b991-2518-3f0a-9324-cdc37281d2e4"]},{"id":"ITEM-6","itemData":{"DOI":"10.1371/journal.pone.0233212","ISSN":"19326203","PMID":"32442193","abstract":"With the introduction of direct-acting antiviral (DAA) agents, hepatitis C virus (HCV) treatment has dramatically improved. However, there are insufficient data on the benefits of DAA therapy in hepatocellular carcinoma (HCC). The purpose of this study was to investigate the outcome of patients who received DAA therapy after HCC treatment. We retrospectively reviewed patients with HCV-related HCC in a single medical center, and the outcome of patients with or without DAA therapy was analyzed. In total, 107 HCC patients were enrolled, of whom 60 had received DAA therapy after treatment for HCC. There were no significant intergroup differences in age, sex, laboratory results, or tumor burden. A more advanced stage was noted in the no DAA group (P = 0.003). In the treatment modality, sorafenib was commonly prescribed in the no DAA group (P = 0.007). The DAA group had a longer overall survival (OS) time than the no DAA group (P&lt;0.001). When stratified by Barcelona Clinic Liver Cancer staging, the DAA group had better OS in the HCC stages 0-A and B-C (P = 0.034 and P = 0.006). There were 35 patients who received DAA therapy after curative HCC therapy. At a median follow-up of 20 months, 37.1% patients had HCC recurrence after DAA therapy. There was no statistical difference in recurrence-free survival between patients receiving and those not receiving DAA (P = 0.278). DAA therapy improved the survival outcome of HCC patients and did not increase recurrent HCC after curative therapy.","author":[{"dropping-particle":"","family":"Lin","given":"Wei Chen","non-dropping-particle":"","parse-names":false,"suffix":""},{"dropping-particle":"","family":"Lin","given":"Yang Sheng","non-dropping-particle":"","parse-names":false,"suffix":""},{"dropping-particle":"","family":"Chang","given":"Chen Wang","non-dropping-particle":"","parse-names":false,"suffix":""},{"dropping-particle":"","family":"Chang","given":"Ching Wei","non-dropping-particle":"","parse-names":false,"suffix":""},{"dropping-particle":"","family":"Wang","given":"Tsang En","non-dropping-particle":"","parse-names":false,"suffix":""},{"dropping-particle":"","family":"Wang","given":"Horng Yuan","non-dropping-particle":"","parse-names":false,"suffix":""},{"dropping-particle":"","family":"Chen","given":"Ming Jen","non-dropping-particle":"","parse-names":false,"suffix":""}],"container-title":"PLoS ONE","id":"ITEM-6","issue":"5","issued":{"date-parts":[["2020","5","22"]]},"title":"Impact of direct-acting antiviral therapy for hepatitis C–related hepatocellular carcinoma","type":"article-journal","volume":"15"},"uris":["http://www.mendeley.com/documents/?uuid=b8af2a66-2c7b-3e77-8276-b9c00a1c6113"]}],"mendeley":{"formattedCitation":"[14,52–56]","plainTextFormattedCitation":"[14,52–56]","previouslyFormattedCitation":"[14,52–56]"},"properties":{"noteIndex":0},"schema":"https://github.com/citation-style-language/schema/raw/master/csl-citation.json"}</w:instrText>
      </w:r>
      <w:r w:rsidR="009F4119" w:rsidRPr="00DF0D90">
        <w:rPr>
          <w:lang w:val="ru-RU"/>
        </w:rPr>
        <w:fldChar w:fldCharType="separate"/>
      </w:r>
      <w:r w:rsidR="007335C5" w:rsidRPr="00DF0D90">
        <w:rPr>
          <w:noProof/>
          <w:lang w:val="ru-RU"/>
        </w:rPr>
        <w:t>[14,52–56</w:t>
      </w:r>
      <w:r w:rsidR="001E1D85" w:rsidRPr="00DF0D90">
        <w:rPr>
          <w:noProof/>
          <w:lang w:val="en-US"/>
        </w:rPr>
        <w:t>, 148</w:t>
      </w:r>
      <w:r w:rsidR="007335C5" w:rsidRPr="00DF0D90">
        <w:rPr>
          <w:noProof/>
          <w:lang w:val="ru-RU"/>
        </w:rPr>
        <w:t>]</w:t>
      </w:r>
      <w:r w:rsidR="009F4119" w:rsidRPr="00DF0D90">
        <w:rPr>
          <w:lang w:val="ru-RU"/>
        </w:rPr>
        <w:fldChar w:fldCharType="end"/>
      </w:r>
      <w:r w:rsidR="000E129D" w:rsidRPr="00DF0D90">
        <w:rPr>
          <w:lang w:val="ru-RU"/>
        </w:rPr>
        <w:t>.</w:t>
      </w:r>
    </w:p>
    <w:p w14:paraId="5425D99D" w14:textId="0793194D" w:rsidR="0006017E" w:rsidRPr="00DF0D90" w:rsidRDefault="0006017E" w:rsidP="00BD2E7C">
      <w:pPr>
        <w:pStyle w:val="afa"/>
        <w:spacing w:after="120" w:line="360" w:lineRule="auto"/>
        <w:jc w:val="both"/>
        <w:rPr>
          <w:shd w:val="clear" w:color="auto" w:fill="FFFFFF"/>
        </w:rPr>
      </w:pPr>
      <w:r w:rsidRPr="00DF0D90">
        <w:rPr>
          <w:shd w:val="clear" w:color="auto" w:fill="FFFFFF"/>
        </w:rPr>
        <w:t>Уровень убедительности рекомендаций –B</w:t>
      </w:r>
      <w:r w:rsidR="00DA2C89" w:rsidRPr="00DF0D90">
        <w:rPr>
          <w:shd w:val="clear" w:color="auto" w:fill="FFFFFF"/>
          <w:lang w:val="ru-RU"/>
        </w:rPr>
        <w:t xml:space="preserve"> </w:t>
      </w:r>
      <w:r w:rsidRPr="00DF0D90">
        <w:rPr>
          <w:shd w:val="clear" w:color="auto" w:fill="FFFFFF"/>
        </w:rPr>
        <w:t>(уровень достоверности доказательств – 2).</w:t>
      </w:r>
    </w:p>
    <w:p w14:paraId="4B1A31E7" w14:textId="77777777" w:rsidR="0006017E" w:rsidRPr="00DF0D90" w:rsidRDefault="0006017E" w:rsidP="00BD2E7C">
      <w:pPr>
        <w:spacing w:after="120" w:line="360" w:lineRule="auto"/>
        <w:jc w:val="both"/>
        <w:rPr>
          <w:i/>
        </w:rPr>
      </w:pPr>
      <w:r w:rsidRPr="00DF0D90">
        <w:rPr>
          <w:b/>
          <w:i/>
        </w:rPr>
        <w:t>Комментарии:</w:t>
      </w:r>
      <w:r w:rsidRPr="00DF0D90">
        <w:rPr>
          <w:b/>
        </w:rPr>
        <w:t xml:space="preserve"> </w:t>
      </w:r>
      <w:r w:rsidR="00DA2C89" w:rsidRPr="00DF0D90">
        <w:rPr>
          <w:bCs/>
          <w:i/>
          <w:iCs/>
        </w:rPr>
        <w:t>в</w:t>
      </w:r>
      <w:r w:rsidRPr="00DF0D90">
        <w:rPr>
          <w:i/>
        </w:rPr>
        <w:t xml:space="preserve">озможно одновременное проведение системной химиотерапии и курса лечения прямыми противовирусными препаратами у пациентов с компенсированной функцией печени. Клинически значимых </w:t>
      </w:r>
      <w:proofErr w:type="spellStart"/>
      <w:r w:rsidRPr="00DF0D90">
        <w:rPr>
          <w:i/>
        </w:rPr>
        <w:t>межлекарственных</w:t>
      </w:r>
      <w:proofErr w:type="spellEnd"/>
      <w:r w:rsidRPr="00DF0D90">
        <w:rPr>
          <w:i/>
        </w:rPr>
        <w:t xml:space="preserve"> взаимодействий между прямыми противовирусными препаратами и средствами для химиотерапии ГЦР не описано.</w:t>
      </w:r>
    </w:p>
    <w:p w14:paraId="46F94AE7" w14:textId="40C1F37C" w:rsidR="000E129D" w:rsidRPr="00DF0D90" w:rsidRDefault="00630BAC" w:rsidP="006D217F">
      <w:pPr>
        <w:pStyle w:val="a"/>
        <w:spacing w:before="0" w:after="120" w:line="360" w:lineRule="auto"/>
        <w:ind w:firstLine="567"/>
        <w:jc w:val="both"/>
      </w:pPr>
      <w:r w:rsidRPr="00DF0D90">
        <w:rPr>
          <w:b/>
        </w:rPr>
        <w:t>Рекомендуется</w:t>
      </w:r>
      <w:r w:rsidRPr="00DF0D90">
        <w:t xml:space="preserve"> при варикозном расширении вен пищевода/желудка </w:t>
      </w:r>
      <w:r w:rsidRPr="00DF0D90">
        <w:rPr>
          <w:lang w:val="en-US"/>
        </w:rPr>
        <w:t>II</w:t>
      </w:r>
      <w:r w:rsidRPr="00DF0D90">
        <w:t>–</w:t>
      </w:r>
      <w:r w:rsidRPr="00DF0D90">
        <w:rPr>
          <w:lang w:val="en-US"/>
        </w:rPr>
        <w:t>III</w:t>
      </w:r>
      <w:r w:rsidR="00DA2C89" w:rsidRPr="00DF0D90">
        <w:rPr>
          <w:lang w:val="ru-RU"/>
        </w:rPr>
        <w:t xml:space="preserve"> </w:t>
      </w:r>
      <w:r w:rsidRPr="00DF0D90">
        <w:t xml:space="preserve">степени </w:t>
      </w:r>
      <w:r w:rsidR="00BB1276" w:rsidRPr="00DF0D90">
        <w:t xml:space="preserve">у пациентов с ГЦР </w:t>
      </w:r>
      <w:r w:rsidR="006D76E0" w:rsidRPr="00DF0D90">
        <w:t xml:space="preserve">на фоне цирроза печени </w:t>
      </w:r>
      <w:r w:rsidRPr="00DF0D90">
        <w:t xml:space="preserve">проводить первичную профилактику желудочно-пищеводного кровотечения </w:t>
      </w:r>
      <w:r w:rsidR="00957CCD" w:rsidRPr="00DF0D90">
        <w:rPr>
          <w:lang w:val="ru-RU"/>
        </w:rPr>
        <w:t xml:space="preserve">неселективными </w:t>
      </w:r>
      <w:r w:rsidR="00C008BB" w:rsidRPr="00DF0D90">
        <w:rPr>
          <w:lang w:val="ru-RU"/>
        </w:rPr>
        <w:t>бета</w:t>
      </w:r>
      <w:r w:rsidRPr="00DF0D90">
        <w:t>-адреноблокаторами</w:t>
      </w:r>
      <w:r w:rsidR="009F4119" w:rsidRPr="00DF0D90">
        <w:rPr>
          <w:lang w:val="ru-RU"/>
        </w:rPr>
        <w:t xml:space="preserve"> </w:t>
      </w:r>
      <w:r w:rsidR="009F4119" w:rsidRPr="00DF0D90">
        <w:rPr>
          <w:lang w:val="ru-RU"/>
        </w:rPr>
        <w:fldChar w:fldCharType="begin" w:fldLock="1"/>
      </w:r>
      <w:r w:rsidR="007335C5" w:rsidRPr="00DF0D90">
        <w:rPr>
          <w:lang w:val="ru-RU"/>
        </w:rPr>
        <w:instrText>ADDIN CSL_CITATION {"citationItems":[{"id":"ITEM-1","itemData":{"DOI":"10.1016/j.jhep.2018.03.024","ISSN":"16000641","PMID":"29653741","author":[{"dropping-particle":"","family":"Angeli","given":"Paolo","non-dropping-particle":"","parse-names":false,"suffix":""},{"dropping-particle":"","family":"Bernardi","given":"Mauro","non-dropping-particle":"","parse-names":false,"suffix":""},{"dropping-particle":"","family":"Villanueva","given":"Càndid","non-dropping-particle":"","parse-names":false,"suffix":""},{"dropping-particle":"","family":"Francoz","given":"Claire","non-dropping-particle":"","parse-names":false,"suffix":""},{"dropping-particle":"","family":"Mookerjee","given":"Rajeshwar P.","non-dropping-particle":"","parse-names":false,"suffix":""},{"dropping-particle":"","family":"Trebicka","given":"Jonel","non-dropping-particle":"","parse-names":false,"suffix":""},{"dropping-particle":"","family":"Krag","given":"Aleksander","non-dropping-particle":"","parse-names":false,"suffix":""},{"dropping-particle":"","family":"Laleman","given":"Wim","non-dropping-particle":"","parse-names":false,"suffix":""},{"dropping-particle":"","family":"Gines","given":"Pere","non-dropping-particle":"","parse-names":false,"suffix":""}],"container-title":"Journal of Hepatology","id":"ITEM-1","issue":"2","issued":{"date-parts":[["2018","8","1"]]},"page":"406-460","publisher":"Elsevier B.V.","title":"EASL Clinical Practice Guidelines for the management of patients with decompensated cirrhosis","type":"article-journal","volume":"69"},"uris":["http://www.mendeley.com/documents/?uuid=64c7d66c-71a1-3f62-b633-ac7540280904"]},{"id":"ITEM-2","itemData":{"DOI":"10.1007/s10620-016-4255-6","ISSN":"15732568","PMID":"27435325","abstract":"Background and Aims: We evaluated the impact of primary variceal bleeding prophylaxis on long-term outcomes of patients newly diagnosed with hepatocellular carcinoma (HCC). Methods: A retrospective cohort of 898 patients newly diagnosed with HCC without a history of variceal bleeding [age 57.4 ± 10.4, males 718 (80.0 %)] were analyzed for new onset variceal bleeding during follow-up. Results: Variceal bleeding occurred in 72 patients (8.0 %) during follow-up. The presence of portal vein thrombosis [hazard ratio (HR) 3.90; 95 % confidence interval (CI) 2.09–7.30; p &lt; 0.001] and the presence of the red color sign or ≥grade 2 varices at index endoscopy (HR 7.64; 95 % CI 4.56–12.80; p &lt; 0.001) were independent risk factors for variceal bleeding. The occurrence of variceal bleeding was an independent risk factor for mortality (HR 1.39; 95 % CI 1.06–1.82; p = 0.015). The cumulative incidence rate of variceal bleeding at 1 year was 2.1, 15.3, and 34.2 % for those non-indicated for primary prophylaxis (n = 760), indicated for primary prophylaxis and received prophylaxis (n = 98), and indicated for primary prophylaxis but did not received prophylaxis (n = 40) (p &lt; 0.001). Primary prophylaxis for variceal bleeding for indicated patients was associated with a reduced risk of mortality in all patients (HR 0.54; 95 % CI 0.33–0.88; p = 0.014) and in propensity-matched patients (HR, 0.54; 95 % CI 0.31–0.95; p = 0.033). Conclusion: Variceal bleeding was independent risk factor for survival of newly diagnosed HCC patients. Screening and providing primary prophylaxis for indicated patients should be considered for patients with HCC.","author":[{"dropping-particle":"","family":"Kim","given":"Jung Hee","non-dropping-particle":"","parse-names":false,"suffix":""},{"dropping-particle":"","family":"Sinn","given":"Dong Hyun","non-dropping-particle":"","parse-names":false,"suffix":""},{"dropping-particle":"","family":"Kim","given":"Kyunga","non-dropping-particle":"","parse-names":false,"suffix":""},{"dropping-particle":"","family":"Kang","given":"Wonseok","non-dropping-particle":"","parse-names":false,"suffix":""},{"dropping-particle":"","family":"Gwak","given":"Geum Youn","non-dropping-particle":"","parse-names":false,"suffix":""},{"dropping-particle":"","family":"Paik","given":"Yong Han","non-dropping-particle":"","parse-names":false,"suffix":""},{"dropping-particle":"","family":"Choi","given":"Moon Seok","non-dropping-particle":"","parse-names":false,"suffix":""},{"dropping-particle":"","family":"Lee","given":"Joon Hyeok","non-dropping-particle":"","parse-names":false,"suffix":""},{"dropping-particle":"","family":"Koh","given":"Kwang Cheol","non-dropping-particle":"","parse-names":false,"suffix":""},{"dropping-particle":"","family":"Paik","given":"Seung Woon","non-dropping-particle":"","parse-names":false,"suffix":""}],"container-title":"Digestive Diseases and Sciences","id":"ITEM-2","issue":"11","issued":{"date-parts":[["2016","11","19"]]},"page":"3354-3362","title":"Primary Prophylaxis for Variceal Bleeding and the Improved Survival of Patients with Newly Diagnosed Hepatocellular Carcinoma","type":"article-journal","volume":"61"},"uris":["http://www.mendeley.com/documents/?uuid=2b800fd0-cacb-31ee-b157-bf87ffca3cdb"]}],"mendeley":{"formattedCitation":"[102,103]","plainTextFormattedCitation":"[102,103]","previouslyFormattedCitation":"[102,103]"},"properties":{"noteIndex":0},"schema":"https://github.com/citation-style-language/schema/raw/master/csl-citation.json"}</w:instrText>
      </w:r>
      <w:r w:rsidR="009F4119" w:rsidRPr="00DF0D90">
        <w:rPr>
          <w:lang w:val="ru-RU"/>
        </w:rPr>
        <w:fldChar w:fldCharType="separate"/>
      </w:r>
      <w:r w:rsidR="007335C5" w:rsidRPr="00DF0D90">
        <w:rPr>
          <w:noProof/>
          <w:lang w:val="ru-RU"/>
        </w:rPr>
        <w:t>[102,103</w:t>
      </w:r>
      <w:r w:rsidR="00D77927" w:rsidRPr="00DF0D90">
        <w:rPr>
          <w:noProof/>
          <w:lang w:val="ru-RU"/>
        </w:rPr>
        <w:t xml:space="preserve">, </w:t>
      </w:r>
      <w:r w:rsidR="005A6A41" w:rsidRPr="00DF0D90">
        <w:rPr>
          <w:noProof/>
          <w:lang w:val="ru-RU"/>
        </w:rPr>
        <w:t>128</w:t>
      </w:r>
      <w:r w:rsidR="007335C5" w:rsidRPr="00DF0D90">
        <w:rPr>
          <w:noProof/>
          <w:lang w:val="ru-RU"/>
        </w:rPr>
        <w:t>]</w:t>
      </w:r>
      <w:r w:rsidR="009F4119" w:rsidRPr="00DF0D90">
        <w:rPr>
          <w:lang w:val="ru-RU"/>
        </w:rPr>
        <w:fldChar w:fldCharType="end"/>
      </w:r>
      <w:r w:rsidRPr="00DF0D90">
        <w:t>.</w:t>
      </w:r>
    </w:p>
    <w:p w14:paraId="64BB4D8B" w14:textId="77777777" w:rsidR="000E129D" w:rsidRPr="00DF0D90" w:rsidRDefault="00630BAC" w:rsidP="00BD2E7C">
      <w:pPr>
        <w:pStyle w:val="a"/>
        <w:numPr>
          <w:ilvl w:val="0"/>
          <w:numId w:val="0"/>
        </w:numPr>
        <w:spacing w:before="0" w:after="120" w:line="360" w:lineRule="auto"/>
        <w:jc w:val="both"/>
        <w:rPr>
          <w:b/>
          <w:bCs/>
        </w:rPr>
      </w:pPr>
      <w:r w:rsidRPr="00DF0D90">
        <w:rPr>
          <w:b/>
          <w:bCs/>
        </w:rPr>
        <w:t>Уровень убедительности рекомендаций –</w:t>
      </w:r>
      <w:r w:rsidR="00DA2C89" w:rsidRPr="00DF0D90">
        <w:rPr>
          <w:b/>
          <w:bCs/>
          <w:lang w:val="ru-RU"/>
        </w:rPr>
        <w:t xml:space="preserve"> </w:t>
      </w:r>
      <w:r w:rsidRPr="00DF0D90">
        <w:rPr>
          <w:b/>
          <w:bCs/>
          <w:lang w:val="en-US"/>
        </w:rPr>
        <w:t>C</w:t>
      </w:r>
      <w:r w:rsidR="00DA2C89" w:rsidRPr="00DF0D90">
        <w:rPr>
          <w:b/>
          <w:bCs/>
          <w:lang w:val="ru-RU"/>
        </w:rPr>
        <w:t xml:space="preserve"> </w:t>
      </w:r>
      <w:r w:rsidRPr="00DF0D90">
        <w:rPr>
          <w:b/>
          <w:bCs/>
        </w:rPr>
        <w:t>(уровен</w:t>
      </w:r>
      <w:r w:rsidR="00BD2E7C" w:rsidRPr="00DF0D90">
        <w:rPr>
          <w:b/>
          <w:bCs/>
        </w:rPr>
        <w:t xml:space="preserve">ь достоверности доказательств </w:t>
      </w:r>
      <w:r w:rsidRPr="00DF0D90">
        <w:rPr>
          <w:b/>
          <w:bCs/>
        </w:rPr>
        <w:t>4).</w:t>
      </w:r>
    </w:p>
    <w:p w14:paraId="009AAE3C" w14:textId="0574C4E9" w:rsidR="008A6F66" w:rsidRPr="00DF0D90" w:rsidRDefault="00630BAC" w:rsidP="00BD2E7C">
      <w:pPr>
        <w:pStyle w:val="afa"/>
        <w:spacing w:after="120" w:line="360" w:lineRule="auto"/>
        <w:jc w:val="both"/>
        <w:rPr>
          <w:b w:val="0"/>
          <w:i/>
        </w:rPr>
      </w:pPr>
      <w:r w:rsidRPr="00DF0D90">
        <w:rPr>
          <w:i/>
        </w:rPr>
        <w:t>Комментарии:</w:t>
      </w:r>
      <w:r w:rsidRPr="00DF0D90">
        <w:t xml:space="preserve"> </w:t>
      </w:r>
      <w:r w:rsidRPr="00DF0D90">
        <w:rPr>
          <w:b w:val="0"/>
          <w:i/>
        </w:rPr>
        <w:t xml:space="preserve">при неэффективности медикаментозного лечения варикозного расширения вен пищевода и/или желудка </w:t>
      </w:r>
      <w:r w:rsidRPr="00DF0D90">
        <w:rPr>
          <w:b w:val="0"/>
          <w:i/>
          <w:lang w:val="en-US"/>
        </w:rPr>
        <w:t>III</w:t>
      </w:r>
      <w:r w:rsidRPr="00DF0D90">
        <w:rPr>
          <w:b w:val="0"/>
          <w:i/>
        </w:rPr>
        <w:t xml:space="preserve"> степени, при угрозе кровотечения, а также для вторичной профилактики рецидивного кровотечения выполняют лигирование</w:t>
      </w:r>
      <w:r w:rsidR="0006017E" w:rsidRPr="00DF0D90">
        <w:rPr>
          <w:b w:val="0"/>
          <w:i/>
        </w:rPr>
        <w:t>/склерозирование</w:t>
      </w:r>
      <w:r w:rsidRPr="00DF0D90">
        <w:rPr>
          <w:b w:val="0"/>
          <w:i/>
        </w:rPr>
        <w:t xml:space="preserve"> варикозно-расширенных вен</w:t>
      </w:r>
      <w:r w:rsidR="009F4119" w:rsidRPr="00DF0D90">
        <w:rPr>
          <w:b w:val="0"/>
          <w:i/>
          <w:lang w:val="ru-RU"/>
        </w:rPr>
        <w:t xml:space="preserve"> </w:t>
      </w:r>
      <w:r w:rsidR="009F4119" w:rsidRPr="00DF0D90">
        <w:rPr>
          <w:b w:val="0"/>
          <w:i/>
          <w:lang w:val="ru-RU"/>
        </w:rPr>
        <w:fldChar w:fldCharType="begin" w:fldLock="1"/>
      </w:r>
      <w:r w:rsidR="007335C5" w:rsidRPr="00DF0D90">
        <w:rPr>
          <w:b w:val="0"/>
          <w:i/>
          <w:lang w:val="ru-RU"/>
        </w:rPr>
        <w:instrText>ADDIN CSL_CITATION {"citationItems":[{"id":"ITEM-1","itemData":{"DOI":"10.1002/hep.29913","ISSN":"15273350","PMID":"29624699","author":[{"dropping-particle":"","family":"Marrero","given":"Jorge A.","non-dropping-particle":"","parse-names":false,"suffix":""},{"dropping-particle":"","family":"Kulik","given":"Laura M.","non-dropping-particle":"","parse-names":false,"suffix":""},{"dropping-particle":"","family":"Sirlin","given":"Claude B.","non-dropping-particle":"","parse-names":false,"suffix":""},{"dropping-particle":"","family":"Zhu","given":"Andrew X.","non-dropping-particle":"","parse-names":false,"suffix":""},{"dropping-particle":"","family":"Finn","given":"Richard S.","non-dropping-particle":"","parse-names":false,"suffix":""},{"dropping-particle":"","family":"Abecassis","given":"Michael M.","non-dropping-particle":"","parse-names":false,"suffix":""},{"dropping-particle":"","family":"Roberts","given":"Lewis R.","non-dropping-particle":"","parse-names":false,"suffix":""},{"dropping-particle":"","family":"Heimbach","given":"Julie K.","non-dropping-particle":"","parse-names":false,"suffix":""}],"container-title":"Hepatology","id":"ITEM-1","issue":"2","issued":{"date-parts":[["2018","8","1"]]},"page":"723-750","publisher":"John Wiley and Sons Inc.","title":"Diagnosis, Staging, and Management of Hepatocellular Carcinoma: 2018 Practice Guidance by the American Association for the Study of Liver Diseases","type":"article-journal","volume":"68"},"uris":["http://www.mendeley.com/documents/?uuid=524b992f-ba18-31f8-aa7d-c271bdc57c09"]},{"id":"ITEM-2","itemData":{"DOI":"10.1016/j.jhep.2018.03.019","ISSN":"16000641","PMID":"29628281","author":[{"dropping-particle":"","family":"Galle","given":"Peter R.","non-dropping-particle":"","parse-names":false,"suffix":""},{"dropping-particle":"","family":"Forner","given":"Alejandro","non-dropping-particle":"","parse-names":false,"suffix":""},{"dropping-particle":"","family":"Llovet","given":"Josep M.","non-dropping-particle":"","parse-names":false,"suffix":""},{"dropping-particle":"","family":"Mazzaferro","given":"Vincenzo","non-dropping-particle":"","parse-names":false,"suffix":""},{"dropping-particle":"","family":"Piscaglia","given":"Fabio","non-dropping-particle":"","parse-names":false,"suffix":""},{"dropping-particle":"","family":"Raoul","given":"Jean Luc","non-dropping-particle":"","parse-names":false,"suffix":""},{"dropping-particle":"","family":"Schirmacher","given":"Peter","non-dropping-particle":"","parse-names":false,"suffix":""},{"dropping-particle":"","family":"Vilgrain","given":"Valérie","non-dropping-particle":"","parse-names":false,"suffix":""}],"container-title":"Journal of Hepatology","id":"ITEM-2","issue":"1","issued":{"date-parts":[["2018","7","1"]]},"page":"182-236","publisher":"Elsevier B.V.","title":"EASL Clinical Practice Guidelines: Management of hepatocellular carcinoma","type":"article-journal","volume":"69"},"uris":["http://www.mendeley.com/documents/?uuid=055ddbc3-5b48-34fb-b03b-bdc43880d69c"]},{"id":"ITEM-3","itemData":{"DOI":"10.1016/j.jhep.2018.03.024","ISSN":"16000641","PMID":"29653741","author":[{"dropping-particle":"","family":"Angeli","given":"Paolo","non-dropping-particle":"","parse-names":false,"suffix":""},{"dropping-particle":"","family":"Bernardi","given":"Mauro","non-dropping-particle":"","parse-names":false,"suffix":""},{"dropping-particle":"","family":"Villanueva","given":"Càndid","non-dropping-particle":"","parse-names":false,"suffix":""},{"dropping-particle":"","family":"Francoz","given":"Claire","non-dropping-particle":"","parse-names":false,"suffix":""},{"dropping-particle":"","family":"Mookerjee","given":"Rajeshwar P.","non-dropping-particle":"","parse-names":false,"suffix":""},{"dropping-particle":"","family":"Trebicka","given":"Jonel","non-dropping-particle":"","parse-names":false,"suffix":""},{"dropping-particle":"","family":"Krag","given":"Aleksander","non-dropping-particle":"","parse-names":false,"suffix":""},{"dropping-particle":"","family":"Laleman","given":"Wim","non-dropping-particle":"","parse-names":false,"suffix":""},{"dropping-particle":"","family":"Gines","given":"Pere","non-dropping-particle":"","parse-names":false,"suffix":""}],"container-title":"Journal of Hepatology","id":"ITEM-3","issue":"2","issued":{"date-parts":[["2018","8","1"]]},"page":"406-460","publisher":"Elsevier B.V.","title":"EASL Clinical Practice Guidelines for the management of patients with decompensated cirrhosis","type":"article-journal","volume":"69"},"uris":["http://www.mendeley.com/documents/?uuid=64c7d66c-71a1-3f62-b633-ac7540280904"]},{"id":"ITEM-4","itemData":{"DOI":"10.1007/s10620-016-4255-6","ISSN":"15732568","PMID":"27435325","abstract":"Background and Aims: We evaluated the impact of primary variceal bleeding prophylaxis on long-term outcomes of patients newly diagnosed with hepatocellular carcinoma (HCC). Methods: A retrospective cohort of 898 patients newly diagnosed with HCC without a history of variceal bleeding [age 57.4 ± 10.4, males 718 (80.0 %)] were analyzed for new onset variceal bleeding during follow-up. Results: Variceal bleeding occurred in 72 patients (8.0 %) during follow-up. The presence of portal vein thrombosis [hazard ratio (HR) 3.90; 95 % confidence interval (CI) 2.09–7.30; p &lt; 0.001] and the presence of the red color sign or ≥grade 2 varices at index endoscopy (HR 7.64; 95 % CI 4.56–12.80; p &lt; 0.001) were independent risk factors for variceal bleeding. The occurrence of variceal bleeding was an independent risk factor for mortality (HR 1.39; 95 % CI 1.06–1.82; p = 0.015). The cumulative incidence rate of variceal bleeding at 1 year was 2.1, 15.3, and 34.2 % for those non-indicated for primary prophylaxis (n = 760), indicated for primary prophylaxis and received prophylaxis (n = 98), and indicated for primary prophylaxis but did not received prophylaxis (n = 40) (p &lt; 0.001). Primary prophylaxis for variceal bleeding for indicated patients was associated with a reduced risk of mortality in all patients (HR 0.54; 95 % CI 0.33–0.88; p = 0.014) and in propensity-matched patients (HR, 0.54; 95 % CI 0.31–0.95; p = 0.033). Conclusion: Variceal bleeding was independent risk factor for survival of newly diagnosed HCC patients. Screening and providing primary prophylaxis for indicated patients should be considered for patients with HCC.","author":[{"dropping-particle":"","family":"Kim","given":"Jung Hee","non-dropping-particle":"","parse-names":false,"suffix":""},{"dropping-particle":"","family":"Sinn","given":"Dong Hyun","non-dropping-particle":"","parse-names":false,"suffix":""},{"dropping-particle":"","family":"Kim","given":"Kyunga","non-dropping-particle":"","parse-names":false,"suffix":""},{"dropping-particle":"","family":"Kang","given":"Wonseok","non-dropping-particle":"","parse-names":false,"suffix":""},{"dropping-particle":"","family":"Gwak","given":"Geum Youn","non-dropping-particle":"","parse-names":false,"suffix":""},{"dropping-particle":"","family":"Paik","given":"Yong Han","non-dropping-particle":"","parse-names":false,"suffix":""},{"dropping-particle":"","family":"Choi","given":"Moon Seok","non-dropping-particle":"","parse-names":false,"suffix":""},{"dropping-particle":"","family":"Lee","given":"Joon Hyeok","non-dropping-particle":"","parse-names":false,"suffix":""},{"dropping-particle":"","family":"Koh","given":"Kwang Cheol","non-dropping-particle":"","parse-names":false,"suffix":""},{"dropping-particle":"","family":"Paik","given":"Seung Woon","non-dropping-particle":"","parse-names":false,"suffix":""}],"container-title":"Digestive Diseases and Sciences","id":"ITEM-4","issue":"11","issued":{"date-parts":[["2016","11","19"]]},"page":"3354-3362","title":"Primary Prophylaxis for Variceal Bleeding and the Improved Survival of Patients with Newly Diagnosed Hepatocellular Carcinoma","type":"article-journal","volume":"61"},"uris":["http://www.mendeley.com/documents/?uuid=2b800fd0-cacb-31ee-b157-bf87ffca3cdb"]}],"mendeley":{"formattedCitation":"[6,9,102,103]","plainTextFormattedCitation":"[6,9,102,103]","previouslyFormattedCitation":"[6,9,102,103]"},"properties":{"noteIndex":0},"schema":"https://github.com/citation-style-language/schema/raw/master/csl-citation.json"}</w:instrText>
      </w:r>
      <w:r w:rsidR="009F4119" w:rsidRPr="00DF0D90">
        <w:rPr>
          <w:b w:val="0"/>
          <w:i/>
          <w:lang w:val="ru-RU"/>
        </w:rPr>
        <w:fldChar w:fldCharType="separate"/>
      </w:r>
      <w:r w:rsidR="007335C5" w:rsidRPr="00DF0D90">
        <w:rPr>
          <w:b w:val="0"/>
          <w:noProof/>
          <w:lang w:val="ru-RU"/>
        </w:rPr>
        <w:t>[6,9,102,103</w:t>
      </w:r>
      <w:r w:rsidR="00D77927" w:rsidRPr="00DF0D90">
        <w:rPr>
          <w:b w:val="0"/>
          <w:noProof/>
          <w:lang w:val="ru-RU"/>
        </w:rPr>
        <w:t>, 151</w:t>
      </w:r>
      <w:r w:rsidR="007335C5" w:rsidRPr="00DF0D90">
        <w:rPr>
          <w:b w:val="0"/>
          <w:noProof/>
          <w:lang w:val="ru-RU"/>
        </w:rPr>
        <w:t>]</w:t>
      </w:r>
      <w:r w:rsidR="009F4119" w:rsidRPr="00DF0D90">
        <w:rPr>
          <w:b w:val="0"/>
          <w:i/>
          <w:lang w:val="ru-RU"/>
        </w:rPr>
        <w:fldChar w:fldCharType="end"/>
      </w:r>
      <w:r w:rsidRPr="00DF0D90">
        <w:rPr>
          <w:b w:val="0"/>
          <w:i/>
        </w:rPr>
        <w:t>.</w:t>
      </w:r>
    </w:p>
    <w:p w14:paraId="491AD404" w14:textId="31DDF391" w:rsidR="008A6F66" w:rsidRPr="00DF0D90" w:rsidRDefault="008A6F66" w:rsidP="001E1D85">
      <w:pPr>
        <w:pStyle w:val="af2"/>
        <w:numPr>
          <w:ilvl w:val="0"/>
          <w:numId w:val="34"/>
        </w:numPr>
        <w:spacing w:after="120" w:line="360" w:lineRule="auto"/>
        <w:jc w:val="both"/>
      </w:pPr>
      <w:r w:rsidRPr="00DF0D90">
        <w:rPr>
          <w:b/>
        </w:rPr>
        <w:lastRenderedPageBreak/>
        <w:t>Рекомендуется</w:t>
      </w:r>
      <w:r w:rsidR="00DA2C89" w:rsidRPr="00DF0D90">
        <w:rPr>
          <w:b/>
        </w:rPr>
        <w:t xml:space="preserve"> </w:t>
      </w:r>
      <w:r w:rsidRPr="00DF0D90">
        <w:t xml:space="preserve">пациентам </w:t>
      </w:r>
      <w:r w:rsidR="0006017E" w:rsidRPr="00DF0D90">
        <w:t xml:space="preserve">ГЦР </w:t>
      </w:r>
      <w:r w:rsidR="00C63388" w:rsidRPr="00DF0D90">
        <w:rPr>
          <w:lang w:val="en-US"/>
        </w:rPr>
        <w:t>c</w:t>
      </w:r>
      <w:r w:rsidRPr="00DF0D90">
        <w:t xml:space="preserve"> </w:t>
      </w:r>
      <w:proofErr w:type="spellStart"/>
      <w:r w:rsidRPr="00DF0D90">
        <w:t>цирротическим</w:t>
      </w:r>
      <w:proofErr w:type="spellEnd"/>
      <w:r w:rsidRPr="00DF0D90">
        <w:t xml:space="preserve"> асцитом </w:t>
      </w:r>
      <w:r w:rsidR="00C63388" w:rsidRPr="00DF0D90">
        <w:t xml:space="preserve">и с </w:t>
      </w:r>
      <w:proofErr w:type="spellStart"/>
      <w:r w:rsidR="00C63388" w:rsidRPr="00DF0D90">
        <w:t>гипоальбуминемией</w:t>
      </w:r>
      <w:proofErr w:type="spellEnd"/>
      <w:r w:rsidR="00C63388" w:rsidRPr="00DF0D90">
        <w:t xml:space="preserve"> (менее 28 г/л) </w:t>
      </w:r>
      <w:r w:rsidRPr="00DF0D90">
        <w:t>на фоне цирроза печени проводить заместительную курсовую терапию 20</w:t>
      </w:r>
      <w:r w:rsidR="001D7B82" w:rsidRPr="00DF0D90">
        <w:t>%</w:t>
      </w:r>
      <w:r w:rsidR="001D7B82">
        <w:t xml:space="preserve"> </w:t>
      </w:r>
      <w:r w:rsidR="001D7B82" w:rsidRPr="0043377B">
        <w:t>раствором</w:t>
      </w:r>
      <w:r w:rsidRPr="00DF0D90">
        <w:t xml:space="preserve"> альбумина</w:t>
      </w:r>
      <w:r w:rsidR="00597A60" w:rsidRPr="00DF0D90">
        <w:t xml:space="preserve"> человека**</w:t>
      </w:r>
      <w:r w:rsidRPr="00DF0D90">
        <w:t xml:space="preserve"> (100–200 мл/день) до целевого уровня </w:t>
      </w:r>
      <w:r w:rsidR="0006017E" w:rsidRPr="00DF0D90">
        <w:t>&gt;</w:t>
      </w:r>
      <w:r w:rsidRPr="00DF0D90">
        <w:t>35 г/л</w:t>
      </w:r>
      <w:r w:rsidR="00DA2C89" w:rsidRPr="00DF0D90">
        <w:t>.</w:t>
      </w:r>
      <w:r w:rsidR="00687234">
        <w:t xml:space="preserve"> </w:t>
      </w:r>
      <w:r w:rsidR="004956BF" w:rsidRPr="0043377B">
        <w:t>[</w:t>
      </w:r>
      <w:r w:rsidR="004956BF">
        <w:t>104,105].</w:t>
      </w:r>
    </w:p>
    <w:p w14:paraId="25447B57" w14:textId="77777777" w:rsidR="008A6F66" w:rsidRPr="00B74395" w:rsidRDefault="008A6F66" w:rsidP="0043377B">
      <w:pPr>
        <w:spacing w:after="120" w:line="360" w:lineRule="auto"/>
        <w:ind w:left="360"/>
        <w:jc w:val="both"/>
        <w:rPr>
          <w:bCs/>
          <w:i/>
          <w:iCs/>
          <w:shd w:val="clear" w:color="auto" w:fill="FFFFFF"/>
        </w:rPr>
      </w:pPr>
      <w:r w:rsidRPr="00B74395">
        <w:rPr>
          <w:shd w:val="clear" w:color="auto" w:fill="FFFFFF"/>
        </w:rPr>
        <w:t>Уровень убедительности рекомендаций –</w:t>
      </w:r>
      <w:r w:rsidR="00DA2C89" w:rsidRPr="00B74395">
        <w:rPr>
          <w:shd w:val="clear" w:color="auto" w:fill="FFFFFF"/>
        </w:rPr>
        <w:t xml:space="preserve"> </w:t>
      </w:r>
      <w:r w:rsidR="00C63388" w:rsidRPr="00B74395">
        <w:rPr>
          <w:shd w:val="clear" w:color="auto" w:fill="FFFFFF"/>
        </w:rPr>
        <w:t>А</w:t>
      </w:r>
      <w:r w:rsidR="00DA2C89" w:rsidRPr="00B74395">
        <w:rPr>
          <w:shd w:val="clear" w:color="auto" w:fill="FFFFFF"/>
        </w:rPr>
        <w:t xml:space="preserve"> </w:t>
      </w:r>
      <w:r w:rsidRPr="00B74395">
        <w:rPr>
          <w:shd w:val="clear" w:color="auto" w:fill="FFFFFF"/>
        </w:rPr>
        <w:t xml:space="preserve">(уровень достоверности доказательств – </w:t>
      </w:r>
      <w:r w:rsidR="00C63388" w:rsidRPr="00B74395">
        <w:rPr>
          <w:shd w:val="clear" w:color="auto" w:fill="FFFFFF"/>
        </w:rPr>
        <w:t>2</w:t>
      </w:r>
      <w:r w:rsidRPr="00B74395">
        <w:rPr>
          <w:shd w:val="clear" w:color="auto" w:fill="FFFFFF"/>
        </w:rPr>
        <w:t>).</w:t>
      </w:r>
    </w:p>
    <w:p w14:paraId="4F3C8E66" w14:textId="6BC06868" w:rsidR="00A22479" w:rsidRPr="00DF0D90" w:rsidRDefault="00AB47DB" w:rsidP="00BD2E7C">
      <w:pPr>
        <w:pStyle w:val="afa"/>
        <w:spacing w:after="120" w:line="360" w:lineRule="auto"/>
        <w:jc w:val="both"/>
        <w:rPr>
          <w:b w:val="0"/>
          <w:bCs/>
          <w:i/>
          <w:iCs/>
          <w:shd w:val="clear" w:color="auto" w:fill="FFFFFF"/>
          <w:lang w:val="ru-RU"/>
        </w:rPr>
      </w:pPr>
      <w:r w:rsidRPr="00DF0D90">
        <w:rPr>
          <w:rFonts w:eastAsia="Times New Roman"/>
          <w:i/>
          <w:shd w:val="clear" w:color="auto" w:fill="FFFFFF"/>
        </w:rPr>
        <w:t>Комментарии:</w:t>
      </w:r>
      <w:r w:rsidRPr="00DF0D90">
        <w:rPr>
          <w:rFonts w:eastAsia="Times New Roman"/>
          <w:b w:val="0"/>
          <w:bCs/>
          <w:i/>
          <w:iCs/>
          <w:shd w:val="clear" w:color="auto" w:fill="FFFFFF"/>
        </w:rPr>
        <w:t xml:space="preserve"> наиболее высокая вероятность развития кровотечения из варикозно-расширенных вен пищевода/желудка</w:t>
      </w:r>
      <w:r w:rsidR="001E1D85" w:rsidRPr="00DF0D90">
        <w:rPr>
          <w:rFonts w:eastAsia="Times New Roman"/>
          <w:b w:val="0"/>
          <w:bCs/>
          <w:i/>
          <w:iCs/>
          <w:shd w:val="clear" w:color="auto" w:fill="FFFFFF"/>
          <w:lang w:val="ru-RU"/>
        </w:rPr>
        <w:t xml:space="preserve"> у пациентов с циррозом печени </w:t>
      </w:r>
      <w:r w:rsidRPr="00DF0D90">
        <w:rPr>
          <w:rFonts w:eastAsia="Times New Roman"/>
          <w:b w:val="0"/>
          <w:bCs/>
          <w:i/>
          <w:iCs/>
          <w:shd w:val="clear" w:color="auto" w:fill="FFFFFF"/>
        </w:rPr>
        <w:t xml:space="preserve"> при </w:t>
      </w:r>
      <w:r w:rsidR="001E1D85" w:rsidRPr="00DF0D90">
        <w:rPr>
          <w:rFonts w:eastAsia="Times New Roman"/>
          <w:b w:val="0"/>
          <w:bCs/>
          <w:i/>
          <w:iCs/>
          <w:shd w:val="clear" w:color="auto" w:fill="FFFFFF"/>
          <w:lang w:val="ru-RU"/>
        </w:rPr>
        <w:t xml:space="preserve">опухолевом </w:t>
      </w:r>
      <w:r w:rsidRPr="00DF0D90">
        <w:rPr>
          <w:rFonts w:eastAsia="Times New Roman"/>
          <w:b w:val="0"/>
          <w:bCs/>
          <w:i/>
          <w:iCs/>
          <w:shd w:val="clear" w:color="auto" w:fill="FFFFFF"/>
        </w:rPr>
        <w:t>тромбозе ствола и магистральных ветвей воротной вены</w:t>
      </w:r>
      <w:r w:rsidR="00D56C6E" w:rsidRPr="00DF0D90">
        <w:rPr>
          <w:rFonts w:eastAsia="Times New Roman"/>
          <w:b w:val="0"/>
          <w:bCs/>
          <w:i/>
          <w:iCs/>
          <w:shd w:val="clear" w:color="auto" w:fill="FFFFFF"/>
          <w:lang w:val="ru-RU"/>
        </w:rPr>
        <w:t xml:space="preserve">. Информация по лечению цирроза печени представлена в клинических рекомендациях «Цирроз и фиброз печени» </w:t>
      </w:r>
    </w:p>
    <w:p w14:paraId="0899A485" w14:textId="77777777" w:rsidR="00E7744E" w:rsidRPr="00DF0D90" w:rsidRDefault="00E7744E" w:rsidP="00D176C8">
      <w:pPr>
        <w:pStyle w:val="afa"/>
        <w:spacing w:before="120" w:after="120"/>
        <w:rPr>
          <w:b w:val="0"/>
          <w:i/>
        </w:rPr>
      </w:pPr>
      <w:bookmarkStart w:id="101" w:name="_Toc24120264"/>
      <w:bookmarkStart w:id="102" w:name="_Toc19192444"/>
    </w:p>
    <w:p w14:paraId="09492E4E" w14:textId="77777777" w:rsidR="008A0120" w:rsidRPr="00DF0D90" w:rsidRDefault="008A0120" w:rsidP="006D217F">
      <w:pPr>
        <w:pStyle w:val="2"/>
        <w:spacing w:before="0" w:after="120" w:line="360" w:lineRule="auto"/>
        <w:ind w:firstLine="567"/>
        <w:jc w:val="both"/>
        <w:rPr>
          <w:rFonts w:cs="Cambria"/>
        </w:rPr>
      </w:pPr>
      <w:bookmarkStart w:id="103" w:name="_Toc98349290"/>
      <w:bookmarkStart w:id="104" w:name="_Toc83293988"/>
      <w:r w:rsidRPr="00DF0D90">
        <w:rPr>
          <w:rFonts w:cs="Cambria"/>
        </w:rPr>
        <w:t>3.8. Обезболивающая терапия</w:t>
      </w:r>
      <w:bookmarkEnd w:id="101"/>
      <w:bookmarkEnd w:id="102"/>
      <w:bookmarkEnd w:id="103"/>
      <w:bookmarkEnd w:id="104"/>
    </w:p>
    <w:p w14:paraId="57820B59" w14:textId="32540C1C" w:rsidR="00A13A5C" w:rsidRPr="00DF0D90" w:rsidRDefault="00A13A5C" w:rsidP="00A13A5C">
      <w:pPr>
        <w:pStyle w:val="afa"/>
        <w:numPr>
          <w:ilvl w:val="0"/>
          <w:numId w:val="45"/>
        </w:numPr>
        <w:tabs>
          <w:tab w:val="clear" w:pos="142"/>
          <w:tab w:val="clear" w:pos="1276"/>
        </w:tabs>
        <w:autoSpaceDE/>
        <w:autoSpaceDN/>
        <w:spacing w:before="120" w:after="120" w:line="360" w:lineRule="auto"/>
        <w:ind w:left="0" w:right="0"/>
        <w:contextualSpacing/>
        <w:jc w:val="both"/>
        <w:rPr>
          <w:b w:val="0"/>
        </w:rPr>
      </w:pPr>
      <w:r w:rsidRPr="00DF0D90">
        <w:rPr>
          <w:b w:val="0"/>
        </w:rPr>
        <w:t xml:space="preserve">С целью коррекции хронического болевого синдрома у пациентов </w:t>
      </w:r>
      <w:r w:rsidRPr="00DF0D90">
        <w:rPr>
          <w:b w:val="0"/>
          <w:lang w:val="ru-RU"/>
        </w:rPr>
        <w:t>с ГЦР</w:t>
      </w:r>
      <w:r w:rsidRPr="00DF0D90">
        <w:rPr>
          <w:b w:val="0"/>
        </w:rPr>
        <w:t xml:space="preserve"> рекомендуется лечение </w:t>
      </w:r>
      <w:r w:rsidR="00D77927" w:rsidRPr="00DF0D90">
        <w:rPr>
          <w:b w:val="0"/>
          <w:bCs/>
          <w:lang w:val="ru-RU"/>
        </w:rPr>
        <w:t>нестероидными противовоспалительными и противоревматическими препаратами</w:t>
      </w:r>
      <w:r w:rsidR="00D77927" w:rsidRPr="00DF0D90">
        <w:rPr>
          <w:lang w:val="ru-RU"/>
        </w:rPr>
        <w:t>,</w:t>
      </w:r>
      <w:r w:rsidR="00D77927" w:rsidRPr="00DF0D90" w:rsidDel="00D77927">
        <w:rPr>
          <w:b w:val="0"/>
        </w:rPr>
        <w:t xml:space="preserve"> </w:t>
      </w:r>
      <w:r w:rsidRPr="00DF0D90">
        <w:rPr>
          <w:b w:val="0"/>
        </w:rPr>
        <w:t xml:space="preserve">антидепрессантами, </w:t>
      </w:r>
      <w:r w:rsidR="00D77927" w:rsidRPr="00DF0D90">
        <w:rPr>
          <w:b w:val="0"/>
          <w:lang w:val="ru-RU"/>
        </w:rPr>
        <w:t>противоэпилептическими препаратами</w:t>
      </w:r>
      <w:r w:rsidRPr="00DF0D90">
        <w:rPr>
          <w:b w:val="0"/>
        </w:rPr>
        <w:t xml:space="preserve">, </w:t>
      </w:r>
      <w:r w:rsidR="00D77927" w:rsidRPr="00DF0D90">
        <w:rPr>
          <w:b w:val="0"/>
          <w:lang w:val="ru-RU"/>
        </w:rPr>
        <w:t>папаверином и его производными</w:t>
      </w:r>
      <w:r w:rsidRPr="00DF0D90">
        <w:rPr>
          <w:b w:val="0"/>
        </w:rPr>
        <w:t xml:space="preserve">, местными анестетиками, </w:t>
      </w:r>
      <w:r w:rsidR="00D77927" w:rsidRPr="00DF0D90">
        <w:rPr>
          <w:b w:val="0"/>
          <w:lang w:val="ru-RU"/>
        </w:rPr>
        <w:t>производными пиразолона</w:t>
      </w:r>
      <w:r w:rsidRPr="00DF0D90">
        <w:rPr>
          <w:b w:val="0"/>
        </w:rPr>
        <w:t xml:space="preserve">, опиоидными анальгетиками, опиоидными анальгетиками со смешанным механизмом действия, анксиолитиками, антигистаминными </w:t>
      </w:r>
      <w:r w:rsidR="007B459A" w:rsidRPr="00DF0D90">
        <w:rPr>
          <w:b w:val="0"/>
          <w:lang w:val="ru-RU"/>
        </w:rPr>
        <w:t xml:space="preserve">средствами </w:t>
      </w:r>
      <w:r w:rsidR="00D77927" w:rsidRPr="00DF0D90">
        <w:rPr>
          <w:b w:val="0"/>
          <w:lang w:val="ru-RU"/>
        </w:rPr>
        <w:t>системного действия</w:t>
      </w:r>
      <w:r w:rsidRPr="00DF0D90">
        <w:rPr>
          <w:b w:val="0"/>
        </w:rPr>
        <w:t>, миорелаксантами центрального действия [</w:t>
      </w:r>
      <w:r w:rsidR="009E467C" w:rsidRPr="00DF0D90">
        <w:rPr>
          <w:b w:val="0"/>
          <w:noProof/>
          <w:lang w:val="ru-RU"/>
        </w:rPr>
        <w:t>122</w:t>
      </w:r>
      <w:r w:rsidR="006A33F8" w:rsidRPr="00DF0D90">
        <w:rPr>
          <w:b w:val="0"/>
          <w:noProof/>
          <w:lang w:val="ru-RU"/>
        </w:rPr>
        <w:t xml:space="preserve">, </w:t>
      </w:r>
      <w:r w:rsidR="009E467C" w:rsidRPr="00DF0D90">
        <w:rPr>
          <w:b w:val="0"/>
          <w:noProof/>
          <w:lang w:val="ru-RU"/>
        </w:rPr>
        <w:t>123</w:t>
      </w:r>
      <w:r w:rsidR="006A33F8" w:rsidRPr="00DF0D90">
        <w:rPr>
          <w:b w:val="0"/>
          <w:noProof/>
          <w:lang w:val="ru-RU"/>
        </w:rPr>
        <w:t>]</w:t>
      </w:r>
    </w:p>
    <w:p w14:paraId="0C91AD68" w14:textId="65B31803" w:rsidR="00B74395" w:rsidRPr="00DF0D90" w:rsidRDefault="00A13A5C" w:rsidP="006A33F8">
      <w:pPr>
        <w:pStyle w:val="afa"/>
        <w:spacing w:line="360" w:lineRule="auto"/>
        <w:ind w:right="6"/>
      </w:pPr>
      <w:r w:rsidRPr="00DF0D90">
        <w:t xml:space="preserve">    Уровень убедительности рекомендаций А (уровень достоверности доказательств – </w:t>
      </w:r>
      <w:r w:rsidR="009D5396" w:rsidRPr="00DF0D90">
        <w:rPr>
          <w:lang w:val="ru-RU"/>
        </w:rPr>
        <w:t>2</w:t>
      </w:r>
      <w:r w:rsidRPr="00DF0D90">
        <w:t>)</w:t>
      </w:r>
    </w:p>
    <w:p w14:paraId="0CABB34C" w14:textId="6CE31E04" w:rsidR="00A13A5C" w:rsidRPr="00C015A6" w:rsidRDefault="00A13A5C" w:rsidP="00C015A6">
      <w:pPr>
        <w:pStyle w:val="afa"/>
        <w:spacing w:line="360" w:lineRule="auto"/>
        <w:ind w:right="6"/>
        <w:jc w:val="both"/>
        <w:rPr>
          <w:rStyle w:val="aa"/>
          <w:b w:val="0"/>
          <w:i/>
          <w:color w:val="303030"/>
          <w:u w:val="none"/>
        </w:rPr>
      </w:pPr>
      <w:r w:rsidRPr="00DF0D90">
        <w:rPr>
          <w:i/>
        </w:rPr>
        <w:t>Комментарии:</w:t>
      </w:r>
      <w:r w:rsidRPr="00DF0D90">
        <w:rPr>
          <w:b w:val="0"/>
          <w:i/>
        </w:rPr>
        <w:t xml:space="preserve"> выбор метода лечения </w:t>
      </w:r>
      <w:r w:rsidRPr="00DF0D90">
        <w:rPr>
          <w:b w:val="0"/>
        </w:rPr>
        <w:t>болевого синдрома</w:t>
      </w:r>
      <w:r w:rsidRPr="00DF0D90">
        <w:rPr>
          <w:b w:val="0"/>
          <w:i/>
        </w:rPr>
        <w:t xml:space="preserve"> определяется степенью выраженности боли у пациента. Детальный алгоритм лечения </w:t>
      </w:r>
      <w:r w:rsidRPr="00DF0D90">
        <w:rPr>
          <w:b w:val="0"/>
        </w:rPr>
        <w:t>болевого синдрома</w:t>
      </w:r>
      <w:r w:rsidRPr="00DF0D90">
        <w:rPr>
          <w:b w:val="0"/>
          <w:i/>
        </w:rPr>
        <w:t xml:space="preserve"> представлен в методических рекомендациях</w:t>
      </w:r>
      <w:bookmarkStart w:id="105" w:name="_Hlk193542657"/>
      <w:r w:rsidR="00C015A6" w:rsidRPr="00C015A6">
        <w:rPr>
          <w:b w:val="0"/>
          <w:i/>
          <w:lang w:val="ru-RU"/>
        </w:rPr>
        <w:t>[5]</w:t>
      </w:r>
    </w:p>
    <w:bookmarkEnd w:id="105"/>
    <w:p w14:paraId="320A29A0" w14:textId="77777777" w:rsidR="00044786" w:rsidRPr="00DF0D90" w:rsidRDefault="009F4ACF" w:rsidP="00A13A5C">
      <w:pPr>
        <w:spacing w:after="120" w:line="360" w:lineRule="auto"/>
        <w:ind w:firstLine="567"/>
        <w:jc w:val="both"/>
      </w:pPr>
      <w:r w:rsidRPr="00DF0D90">
        <w:t xml:space="preserve">При </w:t>
      </w:r>
      <w:r w:rsidR="00BA1423" w:rsidRPr="00DF0D90">
        <w:t>выборе медикаментозной терапии болевого синдрома следует учитывать особенности метаболизма препаратов в условиях цирроза печени и/или печеночной недостаточности</w:t>
      </w:r>
      <w:r w:rsidR="00453BF8" w:rsidRPr="00DF0D90">
        <w:t>: нестероидные противовоспалительные препараты при продленном использовании негативно влияют на функцию печени.</w:t>
      </w:r>
    </w:p>
    <w:p w14:paraId="4AEBAFBF" w14:textId="77777777" w:rsidR="0062034D" w:rsidRPr="00DF0D90" w:rsidRDefault="0062034D" w:rsidP="006D217F">
      <w:pPr>
        <w:spacing w:after="120" w:line="360" w:lineRule="auto"/>
        <w:ind w:firstLine="567"/>
        <w:jc w:val="both"/>
      </w:pPr>
    </w:p>
    <w:p w14:paraId="4EC21D4F" w14:textId="16FE3EBC" w:rsidR="009D65EC" w:rsidRPr="00DF0D90" w:rsidRDefault="00FE4F7D" w:rsidP="00801019">
      <w:pPr>
        <w:pStyle w:val="42"/>
      </w:pPr>
      <w:bookmarkStart w:id="106" w:name="_Toc98349291"/>
      <w:bookmarkStart w:id="107" w:name="_Toc83293989"/>
      <w:bookmarkStart w:id="108" w:name="_Toc470722689"/>
      <w:bookmarkStart w:id="109" w:name="_Toc470722798"/>
      <w:r w:rsidRPr="00DF0D90">
        <w:rPr>
          <w:lang w:val="ru-RU"/>
        </w:rPr>
        <w:t xml:space="preserve">4. </w:t>
      </w:r>
      <w:r w:rsidR="00EE59CF" w:rsidRPr="00DF0D90">
        <w:t>Медицинская реабилитация и санаторно-курортное лечение, медицинские показания и противопоказания к применению методов реабилитации, в том числе основанных на использовании природных лечебных факторов</w:t>
      </w:r>
      <w:bookmarkEnd w:id="106"/>
      <w:bookmarkEnd w:id="107"/>
    </w:p>
    <w:p w14:paraId="07EB4142" w14:textId="77777777" w:rsidR="009D65EC" w:rsidRPr="00DF0D90" w:rsidRDefault="009D65EC" w:rsidP="006D217F">
      <w:pPr>
        <w:pStyle w:val="a"/>
        <w:spacing w:before="0" w:after="120" w:line="360" w:lineRule="auto"/>
        <w:ind w:firstLine="567"/>
        <w:jc w:val="both"/>
      </w:pPr>
      <w:r w:rsidRPr="00DF0D90">
        <w:rPr>
          <w:color w:val="auto"/>
        </w:rPr>
        <w:lastRenderedPageBreak/>
        <w:t>Пациентам</w:t>
      </w:r>
      <w:r w:rsidR="00DA2C89" w:rsidRPr="00DF0D90">
        <w:rPr>
          <w:color w:val="auto"/>
          <w:lang w:val="ru-RU"/>
        </w:rPr>
        <w:t xml:space="preserve"> </w:t>
      </w:r>
      <w:r w:rsidR="00EC35A6" w:rsidRPr="00DF0D90">
        <w:rPr>
          <w:color w:val="auto"/>
        </w:rPr>
        <w:t>с ГЦР после оперативных вмешательств</w:t>
      </w:r>
      <w:r w:rsidR="00DA2C89" w:rsidRPr="00DF0D90">
        <w:rPr>
          <w:color w:val="auto"/>
          <w:lang w:val="ru-RU"/>
        </w:rPr>
        <w:t xml:space="preserve"> </w:t>
      </w:r>
      <w:r w:rsidRPr="00DF0D90">
        <w:rPr>
          <w:b/>
          <w:color w:val="auto"/>
        </w:rPr>
        <w:t>р</w:t>
      </w:r>
      <w:r w:rsidRPr="00DF0D90">
        <w:rPr>
          <w:b/>
        </w:rPr>
        <w:t>екомендуется</w:t>
      </w:r>
      <w:r w:rsidRPr="00DF0D90">
        <w:t xml:space="preserve"> проводить реабилитацию, ориентируясь на общие принципы реабилитации пациентов после проведенных хирургических вмешательств, ТАХЭ и/или химиотерапии</w:t>
      </w:r>
      <w:r w:rsidR="00BB1276" w:rsidRPr="00DF0D90">
        <w:t xml:space="preserve"> для улучшения клинических и функциональных исходов</w:t>
      </w:r>
      <w:r w:rsidR="00010D2C" w:rsidRPr="00DF0D90">
        <w:rPr>
          <w:lang w:val="ru-RU"/>
        </w:rPr>
        <w:t xml:space="preserve"> </w:t>
      </w:r>
      <w:r w:rsidR="00010D2C" w:rsidRPr="00DF0D90">
        <w:rPr>
          <w:lang w:val="ru-RU"/>
        </w:rPr>
        <w:fldChar w:fldCharType="begin" w:fldLock="1"/>
      </w:r>
      <w:r w:rsidR="007335C5" w:rsidRPr="00DF0D90">
        <w:rPr>
          <w:lang w:val="ru-RU"/>
        </w:rPr>
        <w:instrText>ADDIN CSL_CITATION {"citationItems":[{"id":"ITEM-1","itemData":{"DOI":"10.1007/s00268-018-4569-y","ISSN":"14322323","PMID":"29546448","abstract":"Background: Despite advances in perioperative care, post-operative clinical and functional outcomes after major abdominal surgery can be suboptimal. Prehabilitation programmes attempt to optimise a patient’s preoperative condition to improve outcomes. Total body prehabilitation includes structured exercise, nutritional optimisation, psychological support and cessation of negative health behaviours. This systematic review aims to report on the current literature regarding the impact of total body prehabilitation prior to major abdominal surgery. Methods: Relevant studies published between January 2000 and July 2017 were identified using MEDLINE, EMBASE, AMED, CINAHL, PsychINFO, PubMed, and the Cochrane Database. All studies published in a peer-reviewed journal, assessing post-operative clinical and functional outcomes, following a prehabilitation programme prior to major abdominal surgery were included. Studies with less than ten patients, or a prehabilitation programme lasting less than 7 days were excluded. Results: Sixteen studies were included, incorporating 2591 patients, with 1255 undergoing a prehabilitation programme. The studies were very heterogeneous, with multiple surgical sub-specialties, prehabilitation techniques, and outcomes assessed. Post-operative complication rate was reduced in six gastrointestinal studies utilising either preoperative exercise, nutritional supplementation in malnourished patients or smoking cessation. Improved functional outcomes were observed following a multimodal prehabilitation programme. Compliance was variably measured across the studies (range 16–100%). Conclusions: There is substantial heterogeneity in the prehabilitation programmes used prior to major abdominal surgery. A multimodal approach is likely to have better impact on functional outcomes compared to single modality; however, there is insufficient data either to identify the optimum programme, or to recommend routine clinical implementation.","author":[{"dropping-particle":"","family":"Luther","given":"Alison","non-dropping-particle":"","parse-names":false,"suffix":""},{"dropping-particle":"","family":"Gabriel","given":"Joseph","non-dropping-particle":"","parse-names":false,"suffix":""},{"dropping-particle":"","family":"Watson","given":"Richard P.","non-dropping-particle":"","parse-names":false,"suffix":""},{"dropping-particle":"","family":"Francis","given":"Nader K.","non-dropping-particle":"","parse-names":false,"suffix":""}],"container-title":"World Journal of Surgery","id":"ITEM-1","issue":"9","issued":{"date-parts":[["2018","9","15"]]},"page":"2781-2791","title":"The Impact of Total Body Prehabilitation on Post-Operative Outcomes After Major Abdominal Surgery: A Systematic Review","type":"article","volume":"42"},"uris":["http://www.mendeley.com/documents/?uuid=0d5db4ee-4d04-3863-9960-8181f56af5ec"]}],"mendeley":{"formattedCitation":"[106]","plainTextFormattedCitation":"[106]","previouslyFormattedCitation":"[106]"},"properties":{"noteIndex":0},"schema":"https://github.com/citation-style-language/schema/raw/master/csl-citation.json"}</w:instrText>
      </w:r>
      <w:r w:rsidR="00010D2C" w:rsidRPr="00DF0D90">
        <w:rPr>
          <w:lang w:val="ru-RU"/>
        </w:rPr>
        <w:fldChar w:fldCharType="separate"/>
      </w:r>
      <w:r w:rsidR="007335C5" w:rsidRPr="00DF0D90">
        <w:rPr>
          <w:noProof/>
          <w:lang w:val="ru-RU"/>
        </w:rPr>
        <w:t>[106]</w:t>
      </w:r>
      <w:r w:rsidR="00010D2C" w:rsidRPr="00DF0D90">
        <w:rPr>
          <w:lang w:val="ru-RU"/>
        </w:rPr>
        <w:fldChar w:fldCharType="end"/>
      </w:r>
      <w:r w:rsidRPr="00DF0D90">
        <w:t>.</w:t>
      </w:r>
    </w:p>
    <w:p w14:paraId="6733477B" w14:textId="77777777" w:rsidR="009D65EC" w:rsidRPr="00DF0D90" w:rsidRDefault="009D65EC" w:rsidP="00BD2E7C">
      <w:pPr>
        <w:pStyle w:val="afa"/>
        <w:spacing w:after="120" w:line="360" w:lineRule="auto"/>
        <w:jc w:val="both"/>
      </w:pPr>
      <w:r w:rsidRPr="00DF0D90">
        <w:rPr>
          <w:rStyle w:val="32"/>
          <w:b/>
        </w:rPr>
        <w:t>Уровень</w:t>
      </w:r>
      <w:r w:rsidRPr="00DF0D90">
        <w:t xml:space="preserve"> убедительности рекомендаций – </w:t>
      </w:r>
      <w:r w:rsidR="00BB1276" w:rsidRPr="00DF0D90">
        <w:t>В</w:t>
      </w:r>
      <w:r w:rsidR="00DA2C89" w:rsidRPr="00DF0D90">
        <w:rPr>
          <w:lang w:val="ru-RU"/>
        </w:rPr>
        <w:t xml:space="preserve"> </w:t>
      </w:r>
      <w:r w:rsidRPr="00DF0D90">
        <w:t xml:space="preserve">(уровень достоверности доказательств – </w:t>
      </w:r>
      <w:r w:rsidR="00BB1276" w:rsidRPr="00DF0D90">
        <w:t>3</w:t>
      </w:r>
      <w:r w:rsidRPr="00DF0D90">
        <w:t>).</w:t>
      </w:r>
    </w:p>
    <w:p w14:paraId="354A36F7" w14:textId="77777777" w:rsidR="009D65EC" w:rsidRPr="00DF0D90" w:rsidRDefault="009D65EC" w:rsidP="006D217F">
      <w:pPr>
        <w:pStyle w:val="2"/>
        <w:spacing w:before="0" w:after="120" w:line="360" w:lineRule="auto"/>
        <w:ind w:firstLine="567"/>
        <w:jc w:val="both"/>
      </w:pPr>
      <w:bookmarkStart w:id="110" w:name="_Toc98349292"/>
      <w:bookmarkStart w:id="111" w:name="_Toc83293990"/>
      <w:r w:rsidRPr="00DF0D90">
        <w:t>4.1 Предреабилитация</w:t>
      </w:r>
      <w:bookmarkEnd w:id="110"/>
      <w:bookmarkEnd w:id="111"/>
    </w:p>
    <w:p w14:paraId="7B2B702D" w14:textId="77777777" w:rsidR="009D65EC" w:rsidRPr="00DF0D90" w:rsidRDefault="009D65EC" w:rsidP="006D217F">
      <w:pPr>
        <w:pStyle w:val="a"/>
        <w:spacing w:before="0" w:after="120" w:line="360" w:lineRule="auto"/>
        <w:ind w:firstLine="567"/>
        <w:jc w:val="both"/>
      </w:pPr>
      <w:r w:rsidRPr="00DF0D90">
        <w:rPr>
          <w:color w:val="auto"/>
        </w:rPr>
        <w:t xml:space="preserve">С целью повышения </w:t>
      </w:r>
      <w:proofErr w:type="spellStart"/>
      <w:r w:rsidRPr="00DF0D90">
        <w:rPr>
          <w:color w:val="auto"/>
        </w:rPr>
        <w:t>кардиореспираторной</w:t>
      </w:r>
      <w:proofErr w:type="spellEnd"/>
      <w:r w:rsidRPr="00DF0D90">
        <w:rPr>
          <w:color w:val="auto"/>
        </w:rPr>
        <w:t xml:space="preserve"> выносливости на этапе подготовки к проведению противоопухолевого лечения пациентам</w:t>
      </w:r>
      <w:r w:rsidR="00E9505D" w:rsidRPr="00DF0D90">
        <w:rPr>
          <w:color w:val="auto"/>
        </w:rPr>
        <w:t xml:space="preserve"> с ГЦР</w:t>
      </w:r>
      <w:r w:rsidR="00DA2C89" w:rsidRPr="00DF0D90">
        <w:rPr>
          <w:color w:val="auto"/>
          <w:lang w:val="ru-RU"/>
        </w:rPr>
        <w:t xml:space="preserve"> </w:t>
      </w:r>
      <w:r w:rsidRPr="00DF0D90">
        <w:rPr>
          <w:b/>
          <w:color w:val="auto"/>
        </w:rPr>
        <w:t>р</w:t>
      </w:r>
      <w:r w:rsidRPr="00DF0D90">
        <w:rPr>
          <w:b/>
        </w:rPr>
        <w:t>екомендуются</w:t>
      </w:r>
      <w:r w:rsidRPr="00DF0D90">
        <w:t xml:space="preserve"> занятия лечебной физкультурой (ЛФК) в домашних условиях (аэробная и анаэробная физическая нагрузка средней интенсивности) не менее 15 мин в день 6–7 раз в неделю</w:t>
      </w:r>
      <w:r w:rsidR="00E9505D" w:rsidRPr="00DF0D90">
        <w:t xml:space="preserve"> для снижения частоты послеоперационных осложнений</w:t>
      </w:r>
      <w:r w:rsidR="00010D2C" w:rsidRPr="00DF0D90">
        <w:rPr>
          <w:lang w:val="ru-RU"/>
        </w:rPr>
        <w:t xml:space="preserve"> </w:t>
      </w:r>
      <w:r w:rsidR="00010D2C" w:rsidRPr="00DF0D90">
        <w:rPr>
          <w:lang w:val="ru-RU"/>
        </w:rPr>
        <w:fldChar w:fldCharType="begin" w:fldLock="1"/>
      </w:r>
      <w:r w:rsidR="007335C5" w:rsidRPr="00DF0D90">
        <w:rPr>
          <w:lang w:val="ru-RU"/>
        </w:rPr>
        <w:instrText>ADDIN CSL_CITATION {"citationItems":[{"id":"ITEM-1","itemData":{"DOI":"10.1007/s00268-018-4569-y","ISSN":"14322323","PMID":"29546448","abstract":"Background: Despite advances in perioperative care, post-operative clinical and functional outcomes after major abdominal surgery can be suboptimal. Prehabilitation programmes attempt to optimise a patient’s preoperative condition to improve outcomes. Total body prehabilitation includes structured exercise, nutritional optimisation, psychological support and cessation of negative health behaviours. This systematic review aims to report on the current literature regarding the impact of total body prehabilitation prior to major abdominal surgery. Methods: Relevant studies published between January 2000 and July 2017 were identified using MEDLINE, EMBASE, AMED, CINAHL, PsychINFO, PubMed, and the Cochrane Database. All studies published in a peer-reviewed journal, assessing post-operative clinical and functional outcomes, following a prehabilitation programme prior to major abdominal surgery were included. Studies with less than ten patients, or a prehabilitation programme lasting less than 7 days were excluded. Results: Sixteen studies were included, incorporating 2591 patients, with 1255 undergoing a prehabilitation programme. The studies were very heterogeneous, with multiple surgical sub-specialties, prehabilitation techniques, and outcomes assessed. Post-operative complication rate was reduced in six gastrointestinal studies utilising either preoperative exercise, nutritional supplementation in malnourished patients or smoking cessation. Improved functional outcomes were observed following a multimodal prehabilitation programme. Compliance was variably measured across the studies (range 16–100%). Conclusions: There is substantial heterogeneity in the prehabilitation programmes used prior to major abdominal surgery. A multimodal approach is likely to have better impact on functional outcomes compared to single modality; however, there is insufficient data either to identify the optimum programme, or to recommend routine clinical implementation.","author":[{"dropping-particle":"","family":"Luther","given":"Alison","non-dropping-particle":"","parse-names":false,"suffix":""},{"dropping-particle":"","family":"Gabriel","given":"Joseph","non-dropping-particle":"","parse-names":false,"suffix":""},{"dropping-particle":"","family":"Watson","given":"Richard P.","non-dropping-particle":"","parse-names":false,"suffix":""},{"dropping-particle":"","family":"Francis","given":"Nader K.","non-dropping-particle":"","parse-names":false,"suffix":""}],"container-title":"World Journal of Surgery","id":"ITEM-1","issue":"9","issued":{"date-parts":[["2018","9","15"]]},"page":"2781-2791","title":"The Impact of Total Body Prehabilitation on Post-Operative Outcomes After Major Abdominal Surgery: A Systematic Review","type":"article","volume":"42"},"uris":["http://www.mendeley.com/documents/?uuid=0d5db4ee-4d04-3863-9960-8181f56af5ec"]}],"mendeley":{"formattedCitation":"[106]","plainTextFormattedCitation":"[106]","previouslyFormattedCitation":"[106]"},"properties":{"noteIndex":0},"schema":"https://github.com/citation-style-language/schema/raw/master/csl-citation.json"}</w:instrText>
      </w:r>
      <w:r w:rsidR="00010D2C" w:rsidRPr="00DF0D90">
        <w:rPr>
          <w:lang w:val="ru-RU"/>
        </w:rPr>
        <w:fldChar w:fldCharType="separate"/>
      </w:r>
      <w:r w:rsidR="007335C5" w:rsidRPr="00DF0D90">
        <w:rPr>
          <w:noProof/>
          <w:lang w:val="ru-RU"/>
        </w:rPr>
        <w:t>[106]</w:t>
      </w:r>
      <w:r w:rsidR="00010D2C" w:rsidRPr="00DF0D90">
        <w:rPr>
          <w:lang w:val="ru-RU"/>
        </w:rPr>
        <w:fldChar w:fldCharType="end"/>
      </w:r>
      <w:r w:rsidRPr="00DF0D90">
        <w:t>.</w:t>
      </w:r>
    </w:p>
    <w:p w14:paraId="4C7B755E" w14:textId="77777777" w:rsidR="009D65EC" w:rsidRPr="00DF0D90" w:rsidRDefault="009D65EC" w:rsidP="00BD2E7C">
      <w:pPr>
        <w:pStyle w:val="afa"/>
        <w:spacing w:after="120" w:line="360" w:lineRule="auto"/>
        <w:jc w:val="both"/>
      </w:pPr>
      <w:r w:rsidRPr="00DF0D90">
        <w:t xml:space="preserve">Уровень убедительности рекомендаций – B (уровень достоверности доказательств – </w:t>
      </w:r>
      <w:r w:rsidR="00E9505D" w:rsidRPr="00DF0D90">
        <w:t>3</w:t>
      </w:r>
      <w:r w:rsidRPr="00DF0D90">
        <w:t xml:space="preserve">). </w:t>
      </w:r>
    </w:p>
    <w:p w14:paraId="37527D47" w14:textId="77777777" w:rsidR="009D65EC" w:rsidRPr="00DF0D90" w:rsidRDefault="009D65EC" w:rsidP="006D217F">
      <w:pPr>
        <w:pStyle w:val="a"/>
        <w:spacing w:before="0" w:after="120" w:line="360" w:lineRule="auto"/>
        <w:ind w:firstLine="567"/>
        <w:jc w:val="both"/>
      </w:pPr>
      <w:r w:rsidRPr="00DF0D90">
        <w:rPr>
          <w:color w:val="auto"/>
        </w:rPr>
        <w:t xml:space="preserve">Пациентам </w:t>
      </w:r>
      <w:r w:rsidR="00E9505D" w:rsidRPr="00DF0D90">
        <w:rPr>
          <w:color w:val="auto"/>
        </w:rPr>
        <w:t xml:space="preserve">с ГЦР </w:t>
      </w:r>
      <w:r w:rsidRPr="00DF0D90">
        <w:rPr>
          <w:b/>
          <w:color w:val="auto"/>
        </w:rPr>
        <w:t>р</w:t>
      </w:r>
      <w:r w:rsidRPr="00DF0D90">
        <w:rPr>
          <w:b/>
        </w:rPr>
        <w:t>екомендуется</w:t>
      </w:r>
      <w:r w:rsidR="00DA2C89" w:rsidRPr="00DF0D90">
        <w:rPr>
          <w:b/>
          <w:lang w:val="ru-RU"/>
        </w:rPr>
        <w:t xml:space="preserve"> </w:t>
      </w:r>
      <w:proofErr w:type="spellStart"/>
      <w:r w:rsidRPr="00DF0D90">
        <w:t>нутритивная</w:t>
      </w:r>
      <w:proofErr w:type="spellEnd"/>
      <w:r w:rsidRPr="00DF0D90">
        <w:t xml:space="preserve"> поддержка при наличии хотя бы одного из перечисленных факторов: непреднамеренное снижение</w:t>
      </w:r>
      <w:r w:rsidR="00DA2C89" w:rsidRPr="00DF0D90">
        <w:rPr>
          <w:lang w:val="ru-RU"/>
        </w:rPr>
        <w:t xml:space="preserve"> </w:t>
      </w:r>
      <w:r w:rsidRPr="00DF0D90">
        <w:t>массы тела на 10% и более от исходной за последние 6 мес., индекс массы тела &lt;18,5 кг/м</w:t>
      </w:r>
      <w:r w:rsidRPr="00DF0D90">
        <w:rPr>
          <w:vertAlign w:val="superscript"/>
        </w:rPr>
        <w:t>2</w:t>
      </w:r>
      <w:r w:rsidRPr="00DF0D90">
        <w:t>, недостаточный объем принимаемой пищи (калорийность &lt;1500 ккал/сут)</w:t>
      </w:r>
      <w:r w:rsidR="00E9505D" w:rsidRPr="00DF0D90">
        <w:t xml:space="preserve"> для улучшения результатов лечения и выживаемости пациентов</w:t>
      </w:r>
      <w:r w:rsidRPr="00DF0D90">
        <w:t xml:space="preserve"> </w:t>
      </w:r>
      <w:r w:rsidR="00010D2C" w:rsidRPr="00DF0D90">
        <w:fldChar w:fldCharType="begin" w:fldLock="1"/>
      </w:r>
      <w:r w:rsidR="007335C5" w:rsidRPr="00DF0D90">
        <w:instrText>ADDIN CSL_CITATION {"citationItems":[{"id":"ITEM-1","itemData":{"DOI":"10.1016/j.clnu.2016.07.015","ISSN":"15321983","PMID":"27637832","abstract":"Cancers are among the leading causes of morbidity and mortality worldwide, and the number of new cases is expected to rise significantly over the next decades. At the same time, all types of cancer treatment, such as surgery, radiation therapy, and pharmacological therapies are improving in sophistication, precision and in the power to target specific characteristics of individual cancers. Thus, while many cancers may still not be cured they may be converted to chronic diseases. All of these treatments, however, are impeded or precluded by the frequent development of malnutrition and metabolic derangements in cancer patients, induced by the tumor or by its treatment. These evidence-based guidelines were developed to translate current best evidence and expert opinion into recommendations for multi-disciplinary teams responsible for identification, prevention, and treatment of reversible elements of malnutrition in adult cancer patients. The guidelines were commissioned and financially supported by ESPEN and by the European Partnership for Action Against Cancer (EPAAC), an EU level initiative. Members of the guideline group were selected by ESPEN to include a range of professions and fields of expertise. We searched for meta-analyses, systematic reviews and comparative studies based on clinical questions according to the PICO format. The evidence was evaluated and merged to develop clinical recommendations using the GRADE method. Due to the deficits in the available evidence, relevant still open questions were listed and should be addressed by future studies. Malnutrition and a loss of muscle mass are frequent in cancer patients and have a negative effect on clinical outcome. They may be driven by inadequate food intake, decreased physical activity and catabolic metabolic derangements. To screen for, prevent, assess in detail, monitor and treat malnutrition standard operating procedures, responsibilities and a quality control process should be established at each institution involved in treating cancer patients. All cancer patients should be screened regularly for the risk or the presence of malnutrition. In all patients – with the exception of end of life care – energy and substrate requirements should be met by offering in a step-wise manner nutritional interventions from counseling to parenteral nutrition. However, benefits and risks of nutritional interventions have to be balanced with special consideration in patients with advanced disease. Nutrition…","author":[{"dropping-particle":"","family":"Arends","given":"Jann","non-dropping-particle":"","parse-names":false,"suffix":""},{"dropping-particle":"","family":"Bachmann","given":"Patrick","non-dropping-particle":"","parse-names":false,"suffix":""},{"dropping-particle":"","family":"Baracos","given":"Vickie","non-dropping-particle":"","parse-names":false,"suffix":""},{"dropping-particle":"","family":"Barthelemy","given":"Nicole","non-dropping-particle":"","parse-names":false,"suffix":""},{"dropping-particle":"","family":"Bertz","given":"Hartmut","non-dropping-particle":"","parse-names":false,"suffix":""},{"dropping-particle":"","family":"Bozzetti","given":"Federico","non-dropping-particle":"","parse-names":false,"suffix":""},{"dropping-particle":"","family":"Fearon","given":"Ken","non-dropping-particle":"","parse-names":false,"suffix":""},{"dropping-particle":"","family":"Hütterer","given":"Elisabeth","non-dropping-particle":"","parse-names":false,"suffix":""},{"dropping-particle":"","family":"Isenring","given":"Elizabeth","non-dropping-particle":"","parse-names":false,"suffix":""},{"dropping-particle":"","family":"Kaasa","given":"Stein","non-dropping-particle":"","parse-names":false,"suffix":""},{"dropping-particle":"","family":"Krznaric","given":"Zeljko","non-dropping-particle":"","parse-names":false,"suffix":""},{"dropping-particle":"","family":"Laird","given":"Barry","non-dropping-particle":"","parse-names":false,"suffix":""},{"dropping-particle":"","family":"Larsson","given":"Maria","non-dropping-particle":"","parse-names":false,"suffix":""},{"dropping-particle":"","family":"Laviano","given":"Alessandro","non-dropping-particle":"","parse-names":false,"suffix":""},{"dropping-particle":"","family":"Mühlebach","given":"Stefan","non-dropping-particle":"","parse-names":false,"suffix":""},{"dropping-particle":"","family":"Muscaritoli","given":"Maurizio","non-dropping-particle":"","parse-names":false,"suffix":""},{"dropping-particle":"","family":"Oldervoll","given":"Line","non-dropping-particle":"","parse-names":false,"suffix":""},{"dropping-particle":"","family":"Ravasco","given":"Paula","non-dropping-particle":"","parse-names":false,"suffix":""},{"dropping-particle":"","family":"Solheim","given":"Tora","non-dropping-particle":"","parse-names":false,"suffix":""},{"dropping-particle":"","family":"Strasser","given":"Florian","non-dropping-particle":"","parse-names":false,"suffix":""},{"dropping-particle":"","family":"van der Schueren","given":"Marian","non-dropping-particle":"de","parse-names":false,"suffix":""},{"dropping-particle":"","family":"Preiser","given":"Jean Charles","non-dropping-particle":"","parse-names":false,"suffix":""}],"container-title":"Clinical Nutrition","id":"ITEM-1","issue":"1","issued":{"date-parts":[["2017"]]},"page":"11-48","publisher":"Churchill Livingstone","title":"ESPEN guidelines on nutrition in cancer patients","type":"article-journal","volume":"36"},"uris":["http://www.mendeley.com/documents/?uuid=ba93fdd9-3182-375b-9dcc-642fc9f691d6"]}],"mendeley":{"formattedCitation":"[107]","plainTextFormattedCitation":"[107]","previouslyFormattedCitation":"[107]"},"properties":{"noteIndex":0},"schema":"https://github.com/citation-style-language/schema/raw/master/csl-citation.json"}</w:instrText>
      </w:r>
      <w:r w:rsidR="00010D2C" w:rsidRPr="00DF0D90">
        <w:fldChar w:fldCharType="separate"/>
      </w:r>
      <w:r w:rsidR="007335C5" w:rsidRPr="00DF0D90">
        <w:rPr>
          <w:noProof/>
        </w:rPr>
        <w:t>[107]</w:t>
      </w:r>
      <w:r w:rsidR="00010D2C" w:rsidRPr="00DF0D90">
        <w:fldChar w:fldCharType="end"/>
      </w:r>
      <w:r w:rsidRPr="00DF0D90">
        <w:t xml:space="preserve">. </w:t>
      </w:r>
    </w:p>
    <w:p w14:paraId="729CD65F" w14:textId="77777777" w:rsidR="009D65EC" w:rsidRPr="00DF0D90" w:rsidRDefault="009D65EC" w:rsidP="00BD2E7C">
      <w:pPr>
        <w:pStyle w:val="afa"/>
        <w:spacing w:after="120" w:line="360" w:lineRule="auto"/>
        <w:jc w:val="both"/>
      </w:pPr>
      <w:r w:rsidRPr="00DF0D90">
        <w:t xml:space="preserve">Уровень убедительности рекомендаций – </w:t>
      </w:r>
      <w:r w:rsidR="00E9505D" w:rsidRPr="00DF0D90">
        <w:t>С</w:t>
      </w:r>
      <w:r w:rsidR="00DA2C89" w:rsidRPr="00DF0D90">
        <w:rPr>
          <w:lang w:val="ru-RU"/>
        </w:rPr>
        <w:t xml:space="preserve"> </w:t>
      </w:r>
      <w:r w:rsidRPr="00DF0D90">
        <w:t xml:space="preserve">(уровень достоверности доказательств – </w:t>
      </w:r>
      <w:r w:rsidR="00E9505D" w:rsidRPr="00DF0D90">
        <w:t>5</w:t>
      </w:r>
      <w:r w:rsidRPr="00DF0D90">
        <w:t>).</w:t>
      </w:r>
    </w:p>
    <w:p w14:paraId="05D8E297" w14:textId="77777777" w:rsidR="009D65EC" w:rsidRPr="00DF0D90" w:rsidRDefault="009D65EC" w:rsidP="00BD2E7C">
      <w:pPr>
        <w:spacing w:after="120" w:line="360" w:lineRule="auto"/>
        <w:jc w:val="both"/>
        <w:rPr>
          <w:i/>
        </w:rPr>
      </w:pPr>
      <w:r w:rsidRPr="00DF0D90">
        <w:rPr>
          <w:b/>
          <w:i/>
        </w:rPr>
        <w:t>Комментарии:</w:t>
      </w:r>
      <w:r w:rsidR="00DA2C89" w:rsidRPr="00DF0D90">
        <w:rPr>
          <w:b/>
          <w:i/>
        </w:rPr>
        <w:t xml:space="preserve"> с</w:t>
      </w:r>
      <w:r w:rsidR="00DA2C89" w:rsidRPr="00DF0D90">
        <w:rPr>
          <w:b/>
        </w:rPr>
        <w:t xml:space="preserve"> </w:t>
      </w:r>
      <w:r w:rsidRPr="00DF0D90">
        <w:rPr>
          <w:i/>
        </w:rPr>
        <w:t xml:space="preserve">целью </w:t>
      </w:r>
      <w:proofErr w:type="spellStart"/>
      <w:r w:rsidRPr="00DF0D90">
        <w:rPr>
          <w:i/>
        </w:rPr>
        <w:t>нутритивной</w:t>
      </w:r>
      <w:proofErr w:type="spellEnd"/>
      <w:r w:rsidRPr="00DF0D90">
        <w:rPr>
          <w:i/>
        </w:rPr>
        <w:t xml:space="preserve"> поддержки</w:t>
      </w:r>
      <w:r w:rsidR="00DA2C89" w:rsidRPr="00DF0D90">
        <w:rPr>
          <w:i/>
        </w:rPr>
        <w:t xml:space="preserve"> </w:t>
      </w:r>
      <w:r w:rsidRPr="00DF0D90">
        <w:rPr>
          <w:i/>
        </w:rPr>
        <w:t xml:space="preserve">в совокупности с проведением ЛФК является поддержание функционального состояния пациента и предотвращение развития </w:t>
      </w:r>
      <w:proofErr w:type="spellStart"/>
      <w:r w:rsidRPr="00DF0D90">
        <w:rPr>
          <w:i/>
        </w:rPr>
        <w:t>саркопении</w:t>
      </w:r>
      <w:proofErr w:type="spellEnd"/>
      <w:r w:rsidRPr="00DF0D90">
        <w:rPr>
          <w:i/>
        </w:rPr>
        <w:t>. При этом предпочтительный способ</w:t>
      </w:r>
      <w:r w:rsidR="00DA2C89" w:rsidRPr="00DF0D90">
        <w:rPr>
          <w:i/>
        </w:rPr>
        <w:t xml:space="preserve"> </w:t>
      </w:r>
      <w:proofErr w:type="spellStart"/>
      <w:r w:rsidRPr="00DF0D90">
        <w:rPr>
          <w:i/>
        </w:rPr>
        <w:t>нутритивной</w:t>
      </w:r>
      <w:proofErr w:type="spellEnd"/>
      <w:r w:rsidRPr="00DF0D90">
        <w:rPr>
          <w:i/>
        </w:rPr>
        <w:t xml:space="preserve"> поддержки – пероральное питание (</w:t>
      </w:r>
      <w:proofErr w:type="spellStart"/>
      <w:r w:rsidRPr="00DF0D90">
        <w:rPr>
          <w:i/>
        </w:rPr>
        <w:t>сиппинг</w:t>
      </w:r>
      <w:proofErr w:type="spellEnd"/>
      <w:r w:rsidRPr="00DF0D90">
        <w:rPr>
          <w:i/>
        </w:rPr>
        <w:t xml:space="preserve">). При невозможности или неадекватности перорального питания необходима установка </w:t>
      </w:r>
      <w:proofErr w:type="spellStart"/>
      <w:r w:rsidRPr="00DF0D90">
        <w:rPr>
          <w:i/>
        </w:rPr>
        <w:t>назогастрального</w:t>
      </w:r>
      <w:proofErr w:type="spellEnd"/>
      <w:r w:rsidRPr="00DF0D90">
        <w:rPr>
          <w:i/>
        </w:rPr>
        <w:t xml:space="preserve"> зонда или наложение временной </w:t>
      </w:r>
      <w:proofErr w:type="spellStart"/>
      <w:r w:rsidRPr="00DF0D90">
        <w:rPr>
          <w:i/>
        </w:rPr>
        <w:t>гастростомы</w:t>
      </w:r>
      <w:proofErr w:type="spellEnd"/>
      <w:r w:rsidRPr="00DF0D90">
        <w:rPr>
          <w:i/>
        </w:rPr>
        <w:t xml:space="preserve">. </w:t>
      </w:r>
    </w:p>
    <w:p w14:paraId="6C7979DE" w14:textId="77777777" w:rsidR="009D65EC" w:rsidRPr="00DF0D90" w:rsidRDefault="009D65EC" w:rsidP="006D217F">
      <w:pPr>
        <w:spacing w:after="120" w:line="360" w:lineRule="auto"/>
        <w:ind w:firstLine="567"/>
        <w:jc w:val="both"/>
        <w:rPr>
          <w:i/>
          <w:spacing w:val="2"/>
        </w:rPr>
      </w:pPr>
      <w:r w:rsidRPr="00DF0D90">
        <w:rPr>
          <w:i/>
          <w:spacing w:val="2"/>
        </w:rPr>
        <w:t xml:space="preserve">Калорийность рациона должна составлять 25–30 ккал на кг массы тела в сутки, доза белка – 1,0–1,5 г на кг массы тела в сутки. Необходимо удовлетворение суточной потребности в витаминах и микроэлементах. Предпочтительнее использовать готовые смеси, обогащенные белком и омега-3-полиненасыщенными жирными кислотами, в суточной дозе не менее 400 мл (готового напитка). При использовании </w:t>
      </w:r>
      <w:proofErr w:type="spellStart"/>
      <w:r w:rsidRPr="00DF0D90">
        <w:rPr>
          <w:i/>
        </w:rPr>
        <w:t>нутритивной</w:t>
      </w:r>
      <w:proofErr w:type="spellEnd"/>
      <w:r w:rsidR="00DA2C89" w:rsidRPr="00DF0D90">
        <w:rPr>
          <w:i/>
        </w:rPr>
        <w:t xml:space="preserve"> </w:t>
      </w:r>
      <w:r w:rsidRPr="00DF0D90">
        <w:rPr>
          <w:i/>
          <w:spacing w:val="2"/>
        </w:rPr>
        <w:t>поддержки в течение</w:t>
      </w:r>
      <w:r w:rsidR="00F95811" w:rsidRPr="00DF0D90">
        <w:rPr>
          <w:i/>
          <w:spacing w:val="2"/>
        </w:rPr>
        <w:t>,</w:t>
      </w:r>
      <w:r w:rsidRPr="00DF0D90">
        <w:rPr>
          <w:i/>
          <w:spacing w:val="2"/>
        </w:rPr>
        <w:t xml:space="preserve"> как минимум</w:t>
      </w:r>
      <w:r w:rsidR="00F95811" w:rsidRPr="00DF0D90">
        <w:rPr>
          <w:i/>
          <w:spacing w:val="2"/>
        </w:rPr>
        <w:t>,</w:t>
      </w:r>
      <w:r w:rsidRPr="00DF0D90">
        <w:rPr>
          <w:i/>
          <w:spacing w:val="2"/>
        </w:rPr>
        <w:t xml:space="preserve"> 7 дней частота инфекционных осложнений и длительность госпитализации в послеоперационном периоде достоверно уменьшают</w:t>
      </w:r>
      <w:r w:rsidR="00010D2C" w:rsidRPr="00DF0D90">
        <w:rPr>
          <w:i/>
          <w:spacing w:val="2"/>
        </w:rPr>
        <w:t xml:space="preserve">ся </w:t>
      </w:r>
      <w:r w:rsidR="00010D2C" w:rsidRPr="00DF0D90">
        <w:rPr>
          <w:i/>
          <w:spacing w:val="2"/>
        </w:rPr>
        <w:fldChar w:fldCharType="begin" w:fldLock="1"/>
      </w:r>
      <w:r w:rsidR="007335C5" w:rsidRPr="00DF0D90">
        <w:rPr>
          <w:i/>
          <w:spacing w:val="2"/>
        </w:rPr>
        <w:instrText>ADDIN CSL_CITATION {"citationItems":[{"id":"ITEM-1","itemData":{"DOI":"10.1016/j.rppneu.2013.07.005","ISSN":"08732159","PMID":"24290563","abstract":"Objective: The aim of this study was to evaluate the effectiveness of implementing a physical therapy guideline for patients undergoing upper abdominal surgery (UAS) in reducing the incidence of atelectasis and length of hospital stay in the postoperative period. Materials and methods: A \"before and after\" study design with historical control was used. The \"before\" period included consecutive patients who underwent UAS before guideline implementation (intervention). The \"after\" period included consecutive patients after guideline implementation. Patients in the pre-intervention period were submitted to a program of physical therapy in which the treatment planning was based on the individual experience of each professional. On the other hand, patients who were included in the post-intervention period underwent a standardized program of physical therapy with a focus on the use of additional strategies (EPAP, incentive spirometry and early mobilization). Results: There was a significant increase in the use of incentive spirometry and positive expiratory airway pressure after guideline implementation. Moreover, it was observed that early ambulation occurred in all patients in the post-intervention period. No patient who adhered totally to the guideline in the post-intervention period developed atelectasis. Individuals in the post-intervention period presented a shorter length of hospital stay (9.2 ± 4.1 days) compared to patients in the pre-intervention period (12.1 ± 8.3 days) (p &lt; 0.05). Conclusion: The implementation of a physical therapy guideline for patients undergoing UAS resulted in reduced incidence of atelectasis and reduction in length of hospital stay in thepostoperative period. © 2013 Sociedade Portuguesa de Pneumologia.","author":[{"dropping-particle":"","family":"Possa","given":"S. Souza","non-dropping-particle":"","parse-names":false,"suffix":""},{"dropping-particle":"","family":"Amador","given":"C. Braga","non-dropping-particle":"","parse-names":false,"suffix":""},{"dropping-particle":"","family":"Costa","given":"A. Meira","non-dropping-particle":"","parse-names":false,"suffix":""},{"dropping-particle":"","family":"Sakamoto","given":"E. Takahama","non-dropping-particle":"","parse-names":false,"suffix":""},{"dropping-particle":"","family":"Kondo","given":"C. Seiko","non-dropping-particle":"","parse-names":false,"suffix":""},{"dropping-particle":"","family":"Vasconcellos","given":"A. L.Maida","non-dropping-particle":"","parse-names":false,"suffix":""},{"dropping-particle":"","family":"Brito","given":"C. M.Moran","non-dropping-particle":"de","parse-names":false,"suffix":""},{"dropping-particle":"","family":"Yamaguti","given":"W. Pereira","non-dropping-particle":"","parse-names":false,"suffix":""}],"container-title":"Revista Portuguesa de Pneumologia","id":"ITEM-1","issue":"2","issued":{"date-parts":[["2014","3"]]},"page":"69-77","title":"Implementation of a guideline for physical therapy in the postoperative period of upper abdominal surgery reduces the incidence of atelectasis and length of hospital stay","type":"article-journal","volume":"20"},"uris":["http://www.mendeley.com/documents/?uuid=d2050c40-3c61-31ef-b190-6b442db1d9bc"]}],"mendeley":{"formattedCitation":"[108]","plainTextFormattedCitation":"[108]","previouslyFormattedCitation":"[108]"},"properties":{"noteIndex":0},"schema":"https://github.com/citation-style-language/schema/raw/master/csl-citation.json"}</w:instrText>
      </w:r>
      <w:r w:rsidR="00010D2C" w:rsidRPr="00DF0D90">
        <w:rPr>
          <w:i/>
          <w:spacing w:val="2"/>
        </w:rPr>
        <w:fldChar w:fldCharType="separate"/>
      </w:r>
      <w:r w:rsidR="007335C5" w:rsidRPr="00DF0D90">
        <w:rPr>
          <w:noProof/>
          <w:spacing w:val="2"/>
        </w:rPr>
        <w:t>[108]</w:t>
      </w:r>
      <w:r w:rsidR="00010D2C" w:rsidRPr="00DF0D90">
        <w:rPr>
          <w:i/>
          <w:spacing w:val="2"/>
        </w:rPr>
        <w:fldChar w:fldCharType="end"/>
      </w:r>
      <w:r w:rsidR="000E129D" w:rsidRPr="00DF0D90">
        <w:rPr>
          <w:i/>
          <w:spacing w:val="2"/>
        </w:rPr>
        <w:t>.</w:t>
      </w:r>
    </w:p>
    <w:p w14:paraId="0B4530A3" w14:textId="77777777" w:rsidR="009D65EC" w:rsidRPr="00DF0D90" w:rsidRDefault="009D65EC" w:rsidP="006D217F">
      <w:pPr>
        <w:pStyle w:val="2"/>
        <w:spacing w:before="0" w:after="120" w:line="360" w:lineRule="auto"/>
        <w:ind w:firstLine="567"/>
        <w:jc w:val="both"/>
      </w:pPr>
      <w:bookmarkStart w:id="112" w:name="_Toc98349293"/>
      <w:bookmarkStart w:id="113" w:name="_Toc83293991"/>
      <w:r w:rsidRPr="00DF0D90">
        <w:t xml:space="preserve">4.2 </w:t>
      </w:r>
      <w:r w:rsidR="00AF274D" w:rsidRPr="00DF0D90">
        <w:t>Реабилитация при х</w:t>
      </w:r>
      <w:r w:rsidRPr="00DF0D90">
        <w:t>ирургическо</w:t>
      </w:r>
      <w:r w:rsidR="00AF274D" w:rsidRPr="00DF0D90">
        <w:t>м</w:t>
      </w:r>
      <w:r w:rsidRPr="00DF0D90">
        <w:t xml:space="preserve"> лечени</w:t>
      </w:r>
      <w:r w:rsidR="00AF274D" w:rsidRPr="00DF0D90">
        <w:t>и</w:t>
      </w:r>
      <w:bookmarkEnd w:id="112"/>
      <w:bookmarkEnd w:id="113"/>
    </w:p>
    <w:p w14:paraId="7867A1C5" w14:textId="77777777" w:rsidR="009D65EC" w:rsidRPr="00DF0D90" w:rsidRDefault="009D65EC" w:rsidP="006D217F">
      <w:pPr>
        <w:pStyle w:val="3"/>
        <w:spacing w:before="0" w:after="120" w:line="360" w:lineRule="auto"/>
        <w:ind w:firstLine="567"/>
        <w:jc w:val="both"/>
      </w:pPr>
      <w:bookmarkStart w:id="114" w:name="_Toc98349294"/>
      <w:bookmarkStart w:id="115" w:name="_Toc83293992"/>
      <w:r w:rsidRPr="00DF0D90">
        <w:lastRenderedPageBreak/>
        <w:t>4.2.1</w:t>
      </w:r>
      <w:r w:rsidR="00DA2C89" w:rsidRPr="00DF0D90">
        <w:rPr>
          <w:lang w:val="ru-RU"/>
        </w:rPr>
        <w:t xml:space="preserve"> </w:t>
      </w:r>
      <w:r w:rsidRPr="00DF0D90">
        <w:t>Первый этап реабилитации</w:t>
      </w:r>
      <w:bookmarkEnd w:id="114"/>
      <w:bookmarkEnd w:id="115"/>
    </w:p>
    <w:p w14:paraId="3AB60A7D" w14:textId="77777777" w:rsidR="009D65EC" w:rsidRPr="00DF0D90" w:rsidRDefault="009D65EC" w:rsidP="006D217F">
      <w:pPr>
        <w:pStyle w:val="a"/>
        <w:spacing w:before="0" w:after="120" w:line="360" w:lineRule="auto"/>
        <w:ind w:firstLine="567"/>
        <w:jc w:val="both"/>
      </w:pPr>
      <w:r w:rsidRPr="00DF0D90">
        <w:rPr>
          <w:b/>
        </w:rPr>
        <w:t>Рекомендуется</w:t>
      </w:r>
      <w:r w:rsidRPr="00DF0D90">
        <w:t xml:space="preserve"> ранняя мобилизация и активизация </w:t>
      </w:r>
      <w:r w:rsidRPr="00DF0D90">
        <w:rPr>
          <w:color w:val="auto"/>
        </w:rPr>
        <w:t>пациента</w:t>
      </w:r>
      <w:r w:rsidR="005C4B2F" w:rsidRPr="00DF0D90">
        <w:rPr>
          <w:color w:val="auto"/>
        </w:rPr>
        <w:t xml:space="preserve"> с ГЦР</w:t>
      </w:r>
      <w:r w:rsidR="00DA2C89" w:rsidRPr="00DF0D90">
        <w:rPr>
          <w:color w:val="auto"/>
          <w:lang w:val="ru-RU"/>
        </w:rPr>
        <w:t xml:space="preserve"> </w:t>
      </w:r>
      <w:r w:rsidRPr="00DF0D90">
        <w:t>(вертикализация, дыхательная гимнастика, занятия ЛФК) под контролем инструктора</w:t>
      </w:r>
      <w:r w:rsidR="00DA2C89" w:rsidRPr="00DF0D90">
        <w:rPr>
          <w:lang w:val="ru-RU"/>
        </w:rPr>
        <w:t xml:space="preserve">, </w:t>
      </w:r>
      <w:r w:rsidRPr="00DF0D90">
        <w:t>начиная с 1–2-го дня после</w:t>
      </w:r>
      <w:r w:rsidR="00DA2C89" w:rsidRPr="00DF0D90">
        <w:rPr>
          <w:lang w:val="ru-RU"/>
        </w:rPr>
        <w:t xml:space="preserve"> </w:t>
      </w:r>
      <w:r w:rsidRPr="00DF0D90">
        <w:t>операции</w:t>
      </w:r>
      <w:r w:rsidR="005C4B2F" w:rsidRPr="00DF0D90">
        <w:t xml:space="preserve"> для снижения частоты осложнений и сокращения сроков госпитализации</w:t>
      </w:r>
      <w:r w:rsidR="00010D2C" w:rsidRPr="00DF0D90">
        <w:rPr>
          <w:lang w:val="ru-RU"/>
        </w:rPr>
        <w:t xml:space="preserve">   </w:t>
      </w:r>
      <w:r w:rsidR="00010D2C" w:rsidRPr="00DF0D90">
        <w:rPr>
          <w:lang w:val="ru-RU"/>
        </w:rPr>
        <w:fldChar w:fldCharType="begin" w:fldLock="1"/>
      </w:r>
      <w:r w:rsidR="007335C5" w:rsidRPr="00DF0D90">
        <w:rPr>
          <w:lang w:val="ru-RU"/>
        </w:rPr>
        <w:instrText>ADDIN CSL_CITATION {"citationItems":[{"id":"ITEM-1","itemData":{"DOI":"10.1016/j.rppneu.2013.07.005","ISSN":"08732159","PMID":"24290563","abstract":"Objective: The aim of this study was to evaluate the effectiveness of implementing a physical therapy guideline for patients undergoing upper abdominal surgery (UAS) in reducing the incidence of atelectasis and length of hospital stay in the postoperative period. Materials and methods: A \"before and after\" study design with historical control was used. The \"before\" period included consecutive patients who underwent UAS before guideline implementation (intervention). The \"after\" period included consecutive patients after guideline implementation. Patients in the pre-intervention period were submitted to a program of physical therapy in which the treatment planning was based on the individual experience of each professional. On the other hand, patients who were included in the post-intervention period underwent a standardized program of physical therapy with a focus on the use of additional strategies (EPAP, incentive spirometry and early mobilization). Results: There was a significant increase in the use of incentive spirometry and positive expiratory airway pressure after guideline implementation. Moreover, it was observed that early ambulation occurred in all patients in the post-intervention period. No patient who adhered totally to the guideline in the post-intervention period developed atelectasis. Individuals in the post-intervention period presented a shorter length of hospital stay (9.2 ± 4.1 days) compared to patients in the pre-intervention period (12.1 ± 8.3 days) (p &lt; 0.05). Conclusion: The implementation of a physical therapy guideline for patients undergoing UAS resulted in reduced incidence of atelectasis and reduction in length of hospital stay in thepostoperative period. © 2013 Sociedade Portuguesa de Pneumologia.","author":[{"dropping-particle":"","family":"Possa","given":"S. Souza","non-dropping-particle":"","parse-names":false,"suffix":""},{"dropping-particle":"","family":"Amador","given":"C. Braga","non-dropping-particle":"","parse-names":false,"suffix":""},{"dropping-particle":"","family":"Costa","given":"A. Meira","non-dropping-particle":"","parse-names":false,"suffix":""},{"dropping-particle":"","family":"Sakamoto","given":"E. Takahama","non-dropping-particle":"","parse-names":false,"suffix":""},{"dropping-particle":"","family":"Kondo","given":"C. Seiko","non-dropping-particle":"","parse-names":false,"suffix":""},{"dropping-particle":"","family":"Vasconcellos","given":"A. L.Maida","non-dropping-particle":"","parse-names":false,"suffix":""},{"dropping-particle":"","family":"Brito","given":"C. M.Moran","non-dropping-particle":"de","parse-names":false,"suffix":""},{"dropping-particle":"","family":"Yamaguti","given":"W. Pereira","non-dropping-particle":"","parse-names":false,"suffix":""}],"container-title":"Revista Portuguesa de Pneumologia","id":"ITEM-1","issue":"2","issued":{"date-parts":[["2014","3"]]},"page":"69-77","title":"Implementation of a guideline for physical therapy in the postoperative period of upper abdominal surgery reduces the incidence of atelectasis and length of hospital stay","type":"article-journal","volume":"20"},"uris":["http://www.mendeley.com/documents/?uuid=d2050c40-3c61-31ef-b190-6b442db1d9bc"]},{"id":"ITEM-2","itemData":{"DOI":"10.1016/j.rmed.2011.10.014","ISSN":"09546111","PMID":"22100537","abstract":"Question: What is the best available research evidence (volume, quality, consistency, generalisability) for the active cycle of breathing technique (ACBT)? Design: Systematic review with meta-analysis. Participants: Participants with respiratory conditions characterised by chronic sputum production. Intervention: The active cycle of breathing or forced expiratory technique. Comparator: All comparators including control conditions. Outcome measures: All outcomes providing continuous data. Results: Twenty-four studies were included. Ten comparators were identified with the most common being conventional chest physiotherapy, positive expiratory pressure and a control. The outcomes most frequently assessed were sputum wet weight (n = 17), forced vital capacity (n = 12) and forced expiratory volume in 1 s (n = 12). Meta-analysis was completed on the primary outcome of sputum wet weight. The standardised mean difference (SMD, random effects) showed an increase in sputum wet weight during and up to 1 h post ACBT compared to conventional physiotherapy (SMD 0.32, 95%CI 0.05-0.59), external oscillatory devices (0.75, 0.48-1.02), and control (0.24, 0.02-0.46). Conclusion: The overall body of evidence was classified as good (good volume, quality and consistency, excellent generalisability). High level, variable risk of bias research evidence favours ACBT over most alternatives for short-term improvements in secretion clearance. © 2011 Elsevier Ltd. All rights reserved.","author":[{"dropping-particle":"","family":"Lewis","given":"Lucy K.","non-dropping-particle":"","parse-names":false,"suffix":""},{"dropping-particle":"","family":"Williams","given":"Marie T.","non-dropping-particle":"","parse-names":false,"suffix":""},{"dropping-particle":"","family":"Olds","given":"Timothy S.","non-dropping-particle":"","parse-names":false,"suffix":""}],"container-title":"Respiratory Medicine","id":"ITEM-2","issue":"2","issued":{"date-parts":[["2012","2"]]},"page":"155-172","title":"The active cycle of breathing technique: A systematic review and meta-analysis","type":"article","volume":"106"},"uris":["http://www.mendeley.com/documents/?uuid=a5d94e42-ad1a-3d30-9fef-b318393683db"]}],"mendeley":{"formattedCitation":"[108,109]","plainTextFormattedCitation":"[108,109]","previouslyFormattedCitation":"[108,109]"},"properties":{"noteIndex":0},"schema":"https://github.com/citation-style-language/schema/raw/master/csl-citation.json"}</w:instrText>
      </w:r>
      <w:r w:rsidR="00010D2C" w:rsidRPr="00DF0D90">
        <w:rPr>
          <w:lang w:val="ru-RU"/>
        </w:rPr>
        <w:fldChar w:fldCharType="separate"/>
      </w:r>
      <w:r w:rsidR="007335C5" w:rsidRPr="00DF0D90">
        <w:rPr>
          <w:noProof/>
          <w:lang w:val="ru-RU"/>
        </w:rPr>
        <w:t>[108,109]</w:t>
      </w:r>
      <w:r w:rsidR="00010D2C" w:rsidRPr="00DF0D90">
        <w:rPr>
          <w:lang w:val="ru-RU"/>
        </w:rPr>
        <w:fldChar w:fldCharType="end"/>
      </w:r>
      <w:r w:rsidRPr="00DF0D90">
        <w:t xml:space="preserve">. </w:t>
      </w:r>
    </w:p>
    <w:p w14:paraId="74BD2411" w14:textId="77777777" w:rsidR="009D65EC" w:rsidRPr="00DF0D90" w:rsidRDefault="009D65EC" w:rsidP="00BD2E7C">
      <w:pPr>
        <w:pStyle w:val="afa"/>
        <w:spacing w:after="120" w:line="360" w:lineRule="auto"/>
        <w:jc w:val="both"/>
      </w:pPr>
      <w:r w:rsidRPr="00DF0D90">
        <w:t>Уровень убедительности рекомендаций – А (уровень достоверности доказательств – 2).</w:t>
      </w:r>
    </w:p>
    <w:p w14:paraId="171D8508" w14:textId="77777777" w:rsidR="009D65EC" w:rsidRPr="00DF0D90" w:rsidRDefault="009D65EC" w:rsidP="006D217F">
      <w:pPr>
        <w:pStyle w:val="a"/>
        <w:spacing w:before="0" w:after="120" w:line="360" w:lineRule="auto"/>
        <w:ind w:firstLine="567"/>
        <w:jc w:val="both"/>
      </w:pPr>
      <w:r w:rsidRPr="00DF0D90">
        <w:rPr>
          <w:color w:val="auto"/>
        </w:rPr>
        <w:t xml:space="preserve">Пациентам </w:t>
      </w:r>
      <w:r w:rsidR="005C4B2F" w:rsidRPr="00DF0D90">
        <w:rPr>
          <w:color w:val="auto"/>
        </w:rPr>
        <w:t>с ГЦР</w:t>
      </w:r>
      <w:r w:rsidR="00DA2C89" w:rsidRPr="00DF0D90">
        <w:rPr>
          <w:color w:val="auto"/>
          <w:lang w:val="ru-RU"/>
        </w:rPr>
        <w:t xml:space="preserve"> </w:t>
      </w:r>
      <w:r w:rsidR="00716ADB" w:rsidRPr="00DF0D90">
        <w:rPr>
          <w:b/>
          <w:color w:val="auto"/>
        </w:rPr>
        <w:t>рекомендуется</w:t>
      </w:r>
      <w:r w:rsidRPr="00DF0D90">
        <w:t xml:space="preserve"> раннее начало </w:t>
      </w:r>
      <w:proofErr w:type="spellStart"/>
      <w:r w:rsidRPr="00DF0D90">
        <w:t>энтерального</w:t>
      </w:r>
      <w:proofErr w:type="spellEnd"/>
      <w:r w:rsidRPr="00DF0D90">
        <w:t xml:space="preserve"> питания (на 2-е послеоперационные сутки) с ориентацией на общие принципы </w:t>
      </w:r>
      <w:proofErr w:type="spellStart"/>
      <w:r w:rsidRPr="00DF0D90">
        <w:t>нутритивной</w:t>
      </w:r>
      <w:proofErr w:type="spellEnd"/>
      <w:r w:rsidRPr="00DF0D90">
        <w:t xml:space="preserve"> поддержки после хирургических вмешательств на органах брюшной полости</w:t>
      </w:r>
      <w:r w:rsidR="005C4B2F" w:rsidRPr="00DF0D90">
        <w:t xml:space="preserve"> для уменьшения частоты осложнений и длительности госпитализации</w:t>
      </w:r>
      <w:r w:rsidRPr="00DF0D90">
        <w:t xml:space="preserve"> </w:t>
      </w:r>
      <w:r w:rsidR="00010D2C" w:rsidRPr="00DF0D90">
        <w:fldChar w:fldCharType="begin" w:fldLock="1"/>
      </w:r>
      <w:r w:rsidR="007335C5" w:rsidRPr="00DF0D90">
        <w:instrText>ADDIN CSL_CITATION {"citationItems":[{"id":"ITEM-1","itemData":{"DOI":"10.1016/j.clnu.2016.07.015","ISSN":"15321983","PMID":"27637832","abstract":"Cancers are among the leading causes of morbidity and mortality worldwide, and the number of new cases is expected to rise significantly over the next decades. At the same time, all types of cancer treatment, such as surgery, radiation therapy, and pharmacological therapies are improving in sophistication, precision and in the power to target specific characteristics of individual cancers. Thus, while many cancers may still not be cured they may be converted to chronic diseases. All of these treatments, however, are impeded or precluded by the frequent development of malnutrition and metabolic derangements in cancer patients, induced by the tumor or by its treatment. These evidence-based guidelines were developed to translate current best evidence and expert opinion into recommendations for multi-disciplinary teams responsible for identification, prevention, and treatment of reversible elements of malnutrition in adult cancer patients. The guidelines were commissioned and financially supported by ESPEN and by the European Partnership for Action Against Cancer (EPAAC), an EU level initiative. Members of the guideline group were selected by ESPEN to include a range of professions and fields of expertise. We searched for meta-analyses, systematic reviews and comparative studies based on clinical questions according to the PICO format. The evidence was evaluated and merged to develop clinical recommendations using the GRADE method. Due to the deficits in the available evidence, relevant still open questions were listed and should be addressed by future studies. Malnutrition and a loss of muscle mass are frequent in cancer patients and have a negative effect on clinical outcome. They may be driven by inadequate food intake, decreased physical activity and catabolic metabolic derangements. To screen for, prevent, assess in detail, monitor and treat malnutrition standard operating procedures, responsibilities and a quality control process should be established at each institution involved in treating cancer patients. All cancer patients should be screened regularly for the risk or the presence of malnutrition. In all patients – with the exception of end of life care – energy and substrate requirements should be met by offering in a step-wise manner nutritional interventions from counseling to parenteral nutrition. However, benefits and risks of nutritional interventions have to be balanced with special consideration in patients with advanced disease. Nutrition…","author":[{"dropping-particle":"","family":"Arends","given":"Jann","non-dropping-particle":"","parse-names":false,"suffix":""},{"dropping-particle":"","family":"Bachmann","given":"Patrick","non-dropping-particle":"","parse-names":false,"suffix":""},{"dropping-particle":"","family":"Baracos","given":"Vickie","non-dropping-particle":"","parse-names":false,"suffix":""},{"dropping-particle":"","family":"Barthelemy","given":"Nicole","non-dropping-particle":"","parse-names":false,"suffix":""},{"dropping-particle":"","family":"Bertz","given":"Hartmut","non-dropping-particle":"","parse-names":false,"suffix":""},{"dropping-particle":"","family":"Bozzetti","given":"Federico","non-dropping-particle":"","parse-names":false,"suffix":""},{"dropping-particle":"","family":"Fearon","given":"Ken","non-dropping-particle":"","parse-names":false,"suffix":""},{"dropping-particle":"","family":"Hütterer","given":"Elisabeth","non-dropping-particle":"","parse-names":false,"suffix":""},{"dropping-particle":"","family":"Isenring","given":"Elizabeth","non-dropping-particle":"","parse-names":false,"suffix":""},{"dropping-particle":"","family":"Kaasa","given":"Stein","non-dropping-particle":"","parse-names":false,"suffix":""},{"dropping-particle":"","family":"Krznaric","given":"Zeljko","non-dropping-particle":"","parse-names":false,"suffix":""},{"dropping-particle":"","family":"Laird","given":"Barry","non-dropping-particle":"","parse-names":false,"suffix":""},{"dropping-particle":"","family":"Larsson","given":"Maria","non-dropping-particle":"","parse-names":false,"suffix":""},{"dropping-particle":"","family":"Laviano","given":"Alessandro","non-dropping-particle":"","parse-names":false,"suffix":""},{"dropping-particle":"","family":"Mühlebach","given":"Stefan","non-dropping-particle":"","parse-names":false,"suffix":""},{"dropping-particle":"","family":"Muscaritoli","given":"Maurizio","non-dropping-particle":"","parse-names":false,"suffix":""},{"dropping-particle":"","family":"Oldervoll","given":"Line","non-dropping-particle":"","parse-names":false,"suffix":""},{"dropping-particle":"","family":"Ravasco","given":"Paula","non-dropping-particle":"","parse-names":false,"suffix":""},{"dropping-particle":"","family":"Solheim","given":"Tora","non-dropping-particle":"","parse-names":false,"suffix":""},{"dropping-particle":"","family":"Strasser","given":"Florian","non-dropping-particle":"","parse-names":false,"suffix":""},{"dropping-particle":"","family":"van der Schueren","given":"Marian","non-dropping-particle":"de","parse-names":false,"suffix":""},{"dropping-particle":"","family":"Preiser","given":"Jean Charles","non-dropping-particle":"","parse-names":false,"suffix":""}],"container-title":"Clinical Nutrition","id":"ITEM-1","issue":"1","issued":{"date-parts":[["2017"]]},"page":"11-48","publisher":"Churchill Livingstone","title":"ESPEN guidelines on nutrition in cancer patients","type":"article-journal","volume":"36"},"uris":["http://www.mendeley.com/documents/?uuid=ba93fdd9-3182-375b-9dcc-642fc9f691d6"]}],"mendeley":{"formattedCitation":"[107]","plainTextFormattedCitation":"[107]","previouslyFormattedCitation":"[107]"},"properties":{"noteIndex":0},"schema":"https://github.com/citation-style-language/schema/raw/master/csl-citation.json"}</w:instrText>
      </w:r>
      <w:r w:rsidR="00010D2C" w:rsidRPr="00DF0D90">
        <w:fldChar w:fldCharType="separate"/>
      </w:r>
      <w:r w:rsidR="007335C5" w:rsidRPr="00DF0D90">
        <w:rPr>
          <w:noProof/>
        </w:rPr>
        <w:t>[107]</w:t>
      </w:r>
      <w:r w:rsidR="00010D2C" w:rsidRPr="00DF0D90">
        <w:fldChar w:fldCharType="end"/>
      </w:r>
      <w:r w:rsidRPr="00DF0D90">
        <w:t xml:space="preserve">. </w:t>
      </w:r>
    </w:p>
    <w:p w14:paraId="62854A43" w14:textId="7552A957" w:rsidR="009D65EC" w:rsidRPr="00DF0D90" w:rsidRDefault="009D65EC" w:rsidP="00BD2E7C">
      <w:pPr>
        <w:pStyle w:val="afa"/>
        <w:spacing w:after="120" w:line="360" w:lineRule="auto"/>
        <w:jc w:val="both"/>
      </w:pPr>
      <w:r w:rsidRPr="00DF0D90">
        <w:t xml:space="preserve">Уровень убедительности рекомендаций – </w:t>
      </w:r>
      <w:r w:rsidR="005C4B2F" w:rsidRPr="00DF0D90">
        <w:t>С</w:t>
      </w:r>
      <w:r w:rsidR="0082371E" w:rsidRPr="00DF0D90">
        <w:rPr>
          <w:lang w:val="ru-RU"/>
        </w:rPr>
        <w:t xml:space="preserve"> </w:t>
      </w:r>
      <w:r w:rsidRPr="00DF0D90">
        <w:t xml:space="preserve">(уровень достоверности доказательств – </w:t>
      </w:r>
      <w:r w:rsidR="005C4B2F" w:rsidRPr="00DF0D90">
        <w:t>5</w:t>
      </w:r>
      <w:r w:rsidRPr="00DF0D90">
        <w:t>).</w:t>
      </w:r>
    </w:p>
    <w:p w14:paraId="2E7EDBAF" w14:textId="77777777" w:rsidR="009D65EC" w:rsidRPr="00DF0D90" w:rsidRDefault="009D65EC" w:rsidP="00BD2E7C">
      <w:pPr>
        <w:spacing w:after="120" w:line="360" w:lineRule="auto"/>
        <w:jc w:val="both"/>
        <w:rPr>
          <w:i/>
        </w:rPr>
      </w:pPr>
      <w:r w:rsidRPr="00DF0D90">
        <w:rPr>
          <w:b/>
          <w:i/>
        </w:rPr>
        <w:t>Комментарии:</w:t>
      </w:r>
      <w:r w:rsidR="00DA2C89" w:rsidRPr="00DF0D90">
        <w:rPr>
          <w:b/>
        </w:rPr>
        <w:t xml:space="preserve"> </w:t>
      </w:r>
      <w:r w:rsidRPr="00DF0D90">
        <w:rPr>
          <w:i/>
        </w:rPr>
        <w:t xml:space="preserve">цель проведения ранней мобилизации </w:t>
      </w:r>
      <w:r w:rsidR="00716ADB" w:rsidRPr="00DF0D90">
        <w:rPr>
          <w:i/>
        </w:rPr>
        <w:t>пациента</w:t>
      </w:r>
      <w:r w:rsidR="00DA2C89" w:rsidRPr="00DF0D90">
        <w:rPr>
          <w:i/>
        </w:rPr>
        <w:t xml:space="preserve"> </w:t>
      </w:r>
      <w:r w:rsidRPr="00DF0D90">
        <w:rPr>
          <w:i/>
        </w:rPr>
        <w:t xml:space="preserve">в совокупности с адекватной </w:t>
      </w:r>
      <w:proofErr w:type="spellStart"/>
      <w:r w:rsidRPr="00DF0D90">
        <w:rPr>
          <w:i/>
        </w:rPr>
        <w:t>нутритивной</w:t>
      </w:r>
      <w:proofErr w:type="spellEnd"/>
      <w:r w:rsidRPr="00DF0D90">
        <w:rPr>
          <w:i/>
        </w:rPr>
        <w:t xml:space="preserve"> поддержкой состоит в улучшении </w:t>
      </w:r>
      <w:proofErr w:type="spellStart"/>
      <w:r w:rsidRPr="00DF0D90">
        <w:rPr>
          <w:i/>
        </w:rPr>
        <w:t>кардиореспираторной</w:t>
      </w:r>
      <w:proofErr w:type="spellEnd"/>
      <w:r w:rsidRPr="00DF0D90">
        <w:rPr>
          <w:i/>
        </w:rPr>
        <w:t xml:space="preserve"> выносливости </w:t>
      </w:r>
      <w:r w:rsidR="00716ADB" w:rsidRPr="00DF0D90">
        <w:rPr>
          <w:i/>
        </w:rPr>
        <w:t>пациента</w:t>
      </w:r>
      <w:r w:rsidRPr="00DF0D90">
        <w:rPr>
          <w:i/>
        </w:rPr>
        <w:t>, следствием чего является уменьшение частоты нехирургических осложнений и длительности госпитализации.</w:t>
      </w:r>
    </w:p>
    <w:p w14:paraId="53BE9F44" w14:textId="77777777" w:rsidR="009D65EC" w:rsidRPr="00DF0D90" w:rsidRDefault="009D65EC" w:rsidP="006D217F">
      <w:pPr>
        <w:pStyle w:val="3"/>
        <w:spacing w:before="0" w:after="120" w:line="360" w:lineRule="auto"/>
        <w:ind w:firstLine="567"/>
        <w:jc w:val="both"/>
      </w:pPr>
      <w:bookmarkStart w:id="116" w:name="_Toc98349295"/>
      <w:bookmarkStart w:id="117" w:name="_Toc83293993"/>
      <w:r w:rsidRPr="00DF0D90">
        <w:t>4.2.2 Второй этап реабилитации</w:t>
      </w:r>
      <w:bookmarkEnd w:id="116"/>
      <w:bookmarkEnd w:id="117"/>
    </w:p>
    <w:p w14:paraId="52F0D39C" w14:textId="77777777" w:rsidR="009D65EC" w:rsidRPr="00DF0D90" w:rsidRDefault="009D65EC" w:rsidP="006D217F">
      <w:pPr>
        <w:pStyle w:val="a"/>
        <w:spacing w:before="0" w:after="120" w:line="360" w:lineRule="auto"/>
        <w:ind w:firstLine="567"/>
        <w:jc w:val="both"/>
      </w:pPr>
      <w:r w:rsidRPr="00DF0D90">
        <w:rPr>
          <w:color w:val="auto"/>
        </w:rPr>
        <w:t xml:space="preserve">Пациентам </w:t>
      </w:r>
      <w:r w:rsidR="00716ADB" w:rsidRPr="00DF0D90">
        <w:rPr>
          <w:b/>
          <w:color w:val="auto"/>
        </w:rPr>
        <w:t>р</w:t>
      </w:r>
      <w:r w:rsidR="00716ADB" w:rsidRPr="00DF0D90">
        <w:rPr>
          <w:b/>
        </w:rPr>
        <w:t>екомендуются</w:t>
      </w:r>
      <w:r w:rsidR="00DA2C89" w:rsidRPr="00DF0D90">
        <w:rPr>
          <w:b/>
          <w:lang w:val="ru-RU"/>
        </w:rPr>
        <w:t xml:space="preserve"> </w:t>
      </w:r>
      <w:r w:rsidRPr="00DF0D90">
        <w:t xml:space="preserve">аэробные нагрузки с постепенным увеличением их интенсивности длительностью до 150 мин в неделю, а также упражнения с сопротивлением (по 8–10 повторений на основные группы мышц) 2 раза в неделю под контролем инструктора ЛФК </w:t>
      </w:r>
      <w:r w:rsidR="005C4B2F" w:rsidRPr="00DF0D90">
        <w:t xml:space="preserve">для улучшения качества жизни пациента и ускорения социальной реабилитации </w:t>
      </w:r>
      <w:r w:rsidR="00010D2C" w:rsidRPr="00DF0D90">
        <w:fldChar w:fldCharType="begin" w:fldLock="1"/>
      </w:r>
      <w:r w:rsidR="007335C5" w:rsidRPr="00DF0D90">
        <w:instrText>ADDIN CSL_CITATION {"citationItems":[{"id":"ITEM-1","itemData":{"DOI":"10.5230/jgc.2018.18.e12","ISSN":"20935641","abstract":"Purpose: Exercise intervention after surgery has been found to improve physical fitness and quality of life (QOL). The purpose of this study was to investigate the feasibility and effects of a postoperative recovery exercise program developed specifically for gastric cancer patients (PREP-GC) undergoing minimally invasive gastrectomy. Materials and Methods: Twenty-four patients treated surgically for early gastric cancer were enrolled in the PREP-GC. The exercise program comprised sessions of In-hospital Exercise (1 week), Home Exercise (1 week), and Fitness Improvement Exercise (8 weeks). Adherence and compliance to PREP-GC were evaluated. In addition, body composition, physical fitness, and QOL were assessed during the preoperative period, after the postoperative recovery (2 weeks after surgery), and upon completing the PREP-GC (10 weeks after surgery). Results: Of the 24 enrolled patients, 20 completed the study without any adverse events related to the PREP-GC. Adherence and compliance rates to the Fitness Improvement Exercise were 79.4% and 99.4%, respectively. Upon completing the PREP-GC, patients also exhibited restored cardiopulmonary function and muscular strength, with improved muscular endurance and flexibility (P&lt;0.05). Compared to those in the preoperative period, no differences were found in symptom scale scores measured using the European Organization for Research and Treatment of Cancer (EORTC) Core Quality of Life Questionnaire (QLQ-C30) and Quality of Life Questionnaire-Stomach Cancer-Specific Module (QLQ-STO22); however, higher scores for global health status and emotional functioning were observed after completing the PREP-GC (P&lt;0.05). Conclusions: In gastric cancer patients undergoing minimally invasive gastrectomy, PREP-GC was found to be feasible and safe, with high adherence and compliance. Although randomized studies evaluating the benefits of exercise intervention during postoperative recovery are needed, surgeons should encourage patients to participate in systematic exercise intervention programs in the early postoperative period (Registered at the ClinicalTrials.gov, NCT01751880).","author":[{"dropping-particle":"","family":"Cho","given":"In","non-dropping-particle":"","parse-names":false,"suffix":""},{"dropping-particle":"","family":"Son","given":"Younsun","non-dropping-particle":"","parse-names":false,"suffix":""},{"dropping-particle":"","family":"Song","given":"Sejong","non-dropping-particle":"","parse-names":false,"suffix":""},{"dropping-particle":"","family":"Bae","given":"Yoon Jung","non-dropping-particle":"","parse-names":false,"suffix":""},{"dropping-particle":"","family":"Kim","given":"Youn Nam","non-dropping-particle":"","parse-names":false,"suffix":""},{"dropping-particle":"Il","family":"Kim","given":"Hyoung","non-dropping-particle":"","parse-names":false,"suffix":""},{"dropping-particle":"","family":"Lee","given":"Dae Taek","non-dropping-particle":"","parse-names":false,"suffix":""},{"dropping-particle":"","family":"Hyung","given":"Woo Jin","non-dropping-particle":"","parse-names":false,"suffix":""}],"container-title":"Journal of Gastric Cancer","id":"ITEM-1","issue":"2","issued":{"date-parts":[["2018"]]},"page":"118-133","title":"Feasibility and effects of a postoperative recovery exercise program developed specifically for gastric cancer patients (PREP-GC) undergoing minimally invasive gastrectomy","type":"article-journal","volume":"18"},"uris":["http://www.mendeley.com/documents/?uuid=ef7931f7-3b13-3cda-8dd3-b35d8d210463"]},{"id":"ITEM-2","itemData":{"DOI":"10.1177/0733464811432632","ISSN":"07334648","PMID":"23908563","abstract":"Cancer-related impairments result in disabilities similar to those typically encountered in inpatient rehabilitation settings; however, the use of rehabilitation services by cancer survivors is low. This is particularly important for older adults as they are at higher risk for cancer. This retrospective study collected data from medical records from 215 charts of patients admitted to an inpatient physical rehabilitation hospital, within a 5-year period, with a primary diagnosis of cancer. Mean age was 61 years (SD = 15.7) for 109 (51%) females and 106 (49%) males. Regardless of age, patients achieved significant functional improvement, as shown by their FIM scores (t = 23.06, p &lt;.0001), from admission to discharge. The results have several important implications related to cancer survivorship among older adults. With a push toward aging in place, maintaining optimal physical functioning is crucial. Physical rehabilitation benefited the functional outcomes of this group of cancer survivors regardless of age. © The Author(s) 2012.","author":[{"dropping-particle":"","family":"Hunter","given":"Elizabeth G.","non-dropping-particle":"","parse-names":false,"suffix":""},{"dropping-particle":"","family":"Baltisberger","given":"Julie","non-dropping-particle":"","parse-names":false,"suffix":""}],"container-title":"Journal of Applied Gerontology","id":"ITEM-2","issue":"4","issued":{"date-parts":[["2013","6","22"]]},"page":"443-456","title":"Functional outcomes by age for inpatient cancer rehabilitation: A retrospective chart review","type":"article","volume":"32"},"uris":["http://www.mendeley.com/documents/?uuid=125c9b3f-c628-3b8d-b9be-6e31adc31b87"]}],"mendeley":{"formattedCitation":"[110,111]","plainTextFormattedCitation":"[110,111]","previouslyFormattedCitation":"[110,111]"},"properties":{"noteIndex":0},"schema":"https://github.com/citation-style-language/schema/raw/master/csl-citation.json"}</w:instrText>
      </w:r>
      <w:r w:rsidR="00010D2C" w:rsidRPr="00DF0D90">
        <w:fldChar w:fldCharType="separate"/>
      </w:r>
      <w:r w:rsidR="007335C5" w:rsidRPr="00DF0D90">
        <w:rPr>
          <w:noProof/>
        </w:rPr>
        <w:t>[110,111]</w:t>
      </w:r>
      <w:r w:rsidR="00010D2C" w:rsidRPr="00DF0D90">
        <w:fldChar w:fldCharType="end"/>
      </w:r>
      <w:r w:rsidRPr="00DF0D90">
        <w:t xml:space="preserve">. </w:t>
      </w:r>
    </w:p>
    <w:p w14:paraId="7BF2F4B0" w14:textId="77777777" w:rsidR="009D65EC" w:rsidRPr="00DF0D90" w:rsidRDefault="009D65EC" w:rsidP="00BD2E7C">
      <w:pPr>
        <w:pStyle w:val="afa"/>
        <w:spacing w:after="120" w:line="360" w:lineRule="auto"/>
        <w:jc w:val="both"/>
      </w:pPr>
      <w:r w:rsidRPr="00DF0D90">
        <w:t xml:space="preserve">Уровень убедительности рекомендаций – В (уровень достоверности доказательств – </w:t>
      </w:r>
      <w:r w:rsidR="005C4B2F" w:rsidRPr="00DF0D90">
        <w:t>3</w:t>
      </w:r>
      <w:r w:rsidRPr="00DF0D90">
        <w:t>).</w:t>
      </w:r>
    </w:p>
    <w:p w14:paraId="32A20F28" w14:textId="77777777" w:rsidR="009D65EC" w:rsidRPr="00DF0D90" w:rsidRDefault="009D65EC" w:rsidP="00BD2E7C">
      <w:pPr>
        <w:spacing w:after="120" w:line="360" w:lineRule="auto"/>
        <w:jc w:val="both"/>
        <w:rPr>
          <w:i/>
        </w:rPr>
      </w:pPr>
      <w:r w:rsidRPr="00DF0D90">
        <w:rPr>
          <w:b/>
          <w:i/>
        </w:rPr>
        <w:t>Комментарии:</w:t>
      </w:r>
      <w:r w:rsidRPr="00DF0D90">
        <w:rPr>
          <w:b/>
        </w:rPr>
        <w:t xml:space="preserve"> </w:t>
      </w:r>
      <w:r w:rsidRPr="00DF0D90">
        <w:rPr>
          <w:i/>
        </w:rPr>
        <w:t>целью</w:t>
      </w:r>
      <w:r w:rsidR="00DA2C89" w:rsidRPr="00DF0D90">
        <w:rPr>
          <w:i/>
        </w:rPr>
        <w:t xml:space="preserve"> </w:t>
      </w:r>
      <w:r w:rsidRPr="00DF0D90">
        <w:rPr>
          <w:i/>
        </w:rPr>
        <w:t>физической нагрузки</w:t>
      </w:r>
      <w:r w:rsidR="00DA2C89" w:rsidRPr="00DF0D90">
        <w:rPr>
          <w:i/>
        </w:rPr>
        <w:t xml:space="preserve"> </w:t>
      </w:r>
      <w:r w:rsidRPr="00DF0D90">
        <w:rPr>
          <w:i/>
        </w:rPr>
        <w:t xml:space="preserve">является восстановление </w:t>
      </w:r>
      <w:proofErr w:type="spellStart"/>
      <w:r w:rsidRPr="00DF0D90">
        <w:rPr>
          <w:i/>
        </w:rPr>
        <w:t>кардиореспираторной</w:t>
      </w:r>
      <w:proofErr w:type="spellEnd"/>
      <w:r w:rsidRPr="00DF0D90">
        <w:rPr>
          <w:i/>
        </w:rPr>
        <w:t xml:space="preserve"> выносливости, что препятствует развитию мышечной слабости, возникновению и прогрессированию </w:t>
      </w:r>
      <w:proofErr w:type="spellStart"/>
      <w:r w:rsidRPr="00DF0D90">
        <w:rPr>
          <w:i/>
        </w:rPr>
        <w:t>саркопении</w:t>
      </w:r>
      <w:proofErr w:type="spellEnd"/>
      <w:r w:rsidRPr="00DF0D90">
        <w:rPr>
          <w:i/>
        </w:rPr>
        <w:t xml:space="preserve">, улучшает качество жизни пациента и ускоряет его социальную реабилитацию. </w:t>
      </w:r>
    </w:p>
    <w:p w14:paraId="0E2C37E4" w14:textId="77777777" w:rsidR="009D65EC" w:rsidRPr="00DF0D90" w:rsidRDefault="009D65EC" w:rsidP="006D217F">
      <w:pPr>
        <w:pStyle w:val="a"/>
        <w:spacing w:before="0" w:after="120" w:line="360" w:lineRule="auto"/>
        <w:ind w:firstLine="567"/>
        <w:jc w:val="both"/>
      </w:pPr>
      <w:r w:rsidRPr="00DF0D90">
        <w:rPr>
          <w:color w:val="auto"/>
        </w:rPr>
        <w:t xml:space="preserve">Пациентам </w:t>
      </w:r>
      <w:r w:rsidR="008E139A" w:rsidRPr="00DF0D90">
        <w:rPr>
          <w:color w:val="auto"/>
        </w:rPr>
        <w:t xml:space="preserve">с ГЦР </w:t>
      </w:r>
      <w:r w:rsidR="00716ADB" w:rsidRPr="00DF0D90">
        <w:rPr>
          <w:b/>
          <w:color w:val="auto"/>
        </w:rPr>
        <w:t>рекомендуется</w:t>
      </w:r>
      <w:r w:rsidR="00DA2C89" w:rsidRPr="00DF0D90">
        <w:rPr>
          <w:b/>
          <w:color w:val="auto"/>
          <w:lang w:val="ru-RU"/>
        </w:rPr>
        <w:t xml:space="preserve"> </w:t>
      </w:r>
      <w:r w:rsidRPr="00DF0D90">
        <w:t xml:space="preserve">проведение сеансов электросна по общепринятой методике </w:t>
      </w:r>
      <w:r w:rsidR="008E139A" w:rsidRPr="00DF0D90">
        <w:t xml:space="preserve">для улучшения качества жизни </w:t>
      </w:r>
      <w:r w:rsidR="006B4DBC" w:rsidRPr="00DF0D90">
        <w:fldChar w:fldCharType="begin" w:fldLock="1"/>
      </w:r>
      <w:r w:rsidR="007335C5" w:rsidRPr="00DF0D90">
        <w:instrText>ADDIN CSL_CITATION {"citationItems":[{"id":"ITEM-1","itemData":{"author":[{"dropping-particle":"","family":"Грушина","given":"Т.И.","non-dropping-particle":"","parse-names":false,"suffix":""}],"edition":"ГЭОТАР-Мед","id":"ITEM-1","issued":{"date-parts":[["2006"]]},"note":"1","number-of-pages":"240","publisher-place":"Москва","title":"Реабилитация в онкологии: физиотерапия","type":"book"},"uris":["http://www.mendeley.com/documents/?uuid=d04fbc5c-df59-3600-8761-b14790e0bb2b"]}],"mendeley":{"formattedCitation":"[112]","plainTextFormattedCitation":"[112]","previouslyFormattedCitation":"[112]"},"properties":{"noteIndex":0},"schema":"https://github.com/citation-style-language/schema/raw/master/csl-citation.json"}</w:instrText>
      </w:r>
      <w:r w:rsidR="006B4DBC" w:rsidRPr="00DF0D90">
        <w:fldChar w:fldCharType="separate"/>
      </w:r>
      <w:r w:rsidR="007335C5" w:rsidRPr="00DF0D90">
        <w:rPr>
          <w:noProof/>
        </w:rPr>
        <w:t>[112]</w:t>
      </w:r>
      <w:r w:rsidR="006B4DBC" w:rsidRPr="00DF0D90">
        <w:fldChar w:fldCharType="end"/>
      </w:r>
      <w:r w:rsidRPr="00DF0D90">
        <w:t xml:space="preserve">. </w:t>
      </w:r>
    </w:p>
    <w:p w14:paraId="5168EECF" w14:textId="77777777" w:rsidR="009D65EC" w:rsidRPr="00DF0D90" w:rsidRDefault="009D65EC" w:rsidP="00BD2E7C">
      <w:pPr>
        <w:pStyle w:val="afa"/>
        <w:spacing w:after="120" w:line="360" w:lineRule="auto"/>
        <w:jc w:val="both"/>
      </w:pPr>
      <w:r w:rsidRPr="00DF0D90">
        <w:t xml:space="preserve">Уровень убедительности рекомендаций – </w:t>
      </w:r>
      <w:r w:rsidR="008E139A" w:rsidRPr="00DF0D90">
        <w:t>С</w:t>
      </w:r>
      <w:r w:rsidR="00DA2C89" w:rsidRPr="00DF0D90">
        <w:rPr>
          <w:lang w:val="ru-RU"/>
        </w:rPr>
        <w:t xml:space="preserve"> </w:t>
      </w:r>
      <w:r w:rsidRPr="00DF0D90">
        <w:t xml:space="preserve">(уровень достоверности доказательств – </w:t>
      </w:r>
      <w:r w:rsidR="008E139A" w:rsidRPr="00DF0D90">
        <w:t>5</w:t>
      </w:r>
      <w:r w:rsidRPr="00DF0D90">
        <w:t>).</w:t>
      </w:r>
    </w:p>
    <w:p w14:paraId="419E51E4" w14:textId="77777777" w:rsidR="009D65EC" w:rsidRPr="00DF0D90" w:rsidRDefault="009D65EC" w:rsidP="00BD2E7C">
      <w:pPr>
        <w:spacing w:after="120" w:line="360" w:lineRule="auto"/>
        <w:jc w:val="both"/>
        <w:rPr>
          <w:i/>
        </w:rPr>
      </w:pPr>
      <w:r w:rsidRPr="00DF0D90">
        <w:rPr>
          <w:b/>
          <w:i/>
        </w:rPr>
        <w:t>Комментарии:</w:t>
      </w:r>
      <w:r w:rsidR="00DA2C89" w:rsidRPr="00DF0D90">
        <w:rPr>
          <w:b/>
        </w:rPr>
        <w:t xml:space="preserve"> </w:t>
      </w:r>
      <w:r w:rsidRPr="00DF0D90">
        <w:rPr>
          <w:i/>
        </w:rPr>
        <w:t>целью проведения сеансов</w:t>
      </w:r>
      <w:r w:rsidR="00DA2C89" w:rsidRPr="00DF0D90">
        <w:rPr>
          <w:i/>
        </w:rPr>
        <w:t xml:space="preserve"> </w:t>
      </w:r>
      <w:r w:rsidRPr="00DF0D90">
        <w:rPr>
          <w:i/>
        </w:rPr>
        <w:t>электросна является</w:t>
      </w:r>
      <w:r w:rsidR="00DA2C89" w:rsidRPr="00DF0D90">
        <w:rPr>
          <w:i/>
        </w:rPr>
        <w:t xml:space="preserve"> </w:t>
      </w:r>
      <w:r w:rsidR="00AF274D" w:rsidRPr="00DF0D90">
        <w:rPr>
          <w:i/>
        </w:rPr>
        <w:t xml:space="preserve">получение </w:t>
      </w:r>
      <w:r w:rsidRPr="00DF0D90">
        <w:rPr>
          <w:i/>
        </w:rPr>
        <w:t>выраженн</w:t>
      </w:r>
      <w:r w:rsidR="00AF274D" w:rsidRPr="00DF0D90">
        <w:rPr>
          <w:i/>
        </w:rPr>
        <w:t>ого</w:t>
      </w:r>
      <w:r w:rsidRPr="00DF0D90">
        <w:rPr>
          <w:i/>
        </w:rPr>
        <w:t xml:space="preserve"> седативн</w:t>
      </w:r>
      <w:r w:rsidR="00AF274D" w:rsidRPr="00DF0D90">
        <w:rPr>
          <w:i/>
        </w:rPr>
        <w:t>ого</w:t>
      </w:r>
      <w:r w:rsidRPr="00DF0D90">
        <w:rPr>
          <w:i/>
        </w:rPr>
        <w:t xml:space="preserve"> эффект</w:t>
      </w:r>
      <w:r w:rsidR="00AF274D" w:rsidRPr="00DF0D90">
        <w:rPr>
          <w:i/>
        </w:rPr>
        <w:t>а</w:t>
      </w:r>
      <w:r w:rsidRPr="00DF0D90">
        <w:rPr>
          <w:i/>
        </w:rPr>
        <w:t xml:space="preserve">, который уменьшает проявления астенического и депрессивного </w:t>
      </w:r>
      <w:r w:rsidRPr="00DF0D90">
        <w:rPr>
          <w:i/>
        </w:rPr>
        <w:lastRenderedPageBreak/>
        <w:t>синдромов, снижает интенсивность головных болей, проявления дискинезии желчевыводящих путей, что значительно улучшает</w:t>
      </w:r>
      <w:r w:rsidR="00DA2C89" w:rsidRPr="00DF0D90">
        <w:rPr>
          <w:i/>
        </w:rPr>
        <w:t xml:space="preserve"> </w:t>
      </w:r>
      <w:r w:rsidRPr="00DF0D90">
        <w:rPr>
          <w:i/>
        </w:rPr>
        <w:t xml:space="preserve">качество жизни </w:t>
      </w:r>
      <w:r w:rsidR="00716ADB" w:rsidRPr="00DF0D90">
        <w:rPr>
          <w:i/>
        </w:rPr>
        <w:t>пациента</w:t>
      </w:r>
      <w:r w:rsidRPr="00DF0D90">
        <w:rPr>
          <w:i/>
        </w:rPr>
        <w:t xml:space="preserve">. </w:t>
      </w:r>
    </w:p>
    <w:p w14:paraId="71B877BC" w14:textId="77777777" w:rsidR="009D65EC" w:rsidRPr="00DF0D90" w:rsidRDefault="009D65EC" w:rsidP="006D217F">
      <w:pPr>
        <w:pStyle w:val="3"/>
        <w:spacing w:before="0" w:after="120" w:line="360" w:lineRule="auto"/>
        <w:ind w:firstLine="567"/>
        <w:jc w:val="both"/>
      </w:pPr>
      <w:bookmarkStart w:id="118" w:name="_Toc98349296"/>
      <w:bookmarkStart w:id="119" w:name="_Toc83293994"/>
      <w:r w:rsidRPr="00DF0D90">
        <w:t>4.2.3</w:t>
      </w:r>
      <w:r w:rsidR="00DA2C89" w:rsidRPr="00DF0D90">
        <w:rPr>
          <w:lang w:val="ru-RU"/>
        </w:rPr>
        <w:t xml:space="preserve"> </w:t>
      </w:r>
      <w:r w:rsidRPr="00DF0D90">
        <w:t>Третий этап реабилитации</w:t>
      </w:r>
      <w:bookmarkEnd w:id="118"/>
      <w:bookmarkEnd w:id="119"/>
    </w:p>
    <w:p w14:paraId="4CD65451" w14:textId="77777777" w:rsidR="009D65EC" w:rsidRPr="00DF0D90" w:rsidRDefault="009D65EC" w:rsidP="006D217F">
      <w:pPr>
        <w:pStyle w:val="a"/>
        <w:spacing w:before="0" w:after="120" w:line="360" w:lineRule="auto"/>
        <w:ind w:firstLine="567"/>
        <w:jc w:val="both"/>
        <w:rPr>
          <w:color w:val="auto"/>
        </w:rPr>
      </w:pPr>
      <w:r w:rsidRPr="00DF0D90">
        <w:rPr>
          <w:color w:val="auto"/>
        </w:rPr>
        <w:t>Пациентам</w:t>
      </w:r>
      <w:r w:rsidR="006C60A2" w:rsidRPr="00DF0D90">
        <w:rPr>
          <w:color w:val="auto"/>
        </w:rPr>
        <w:t xml:space="preserve"> с ГЦР</w:t>
      </w:r>
      <w:r w:rsidRPr="00DF0D90">
        <w:t xml:space="preserve">, находящимся в ремиссии, в домашних условиях </w:t>
      </w:r>
      <w:r w:rsidR="006C60A2" w:rsidRPr="00DF0D90">
        <w:rPr>
          <w:b/>
        </w:rPr>
        <w:t>рекомендуются</w:t>
      </w:r>
      <w:r w:rsidR="00DA2C89" w:rsidRPr="00DF0D90">
        <w:rPr>
          <w:b/>
          <w:lang w:val="ru-RU"/>
        </w:rPr>
        <w:t xml:space="preserve"> </w:t>
      </w:r>
      <w:r w:rsidRPr="00DF0D90">
        <w:t>регулярные занятия ЛФК, начинающиеся с аэробной нагрузки низкой интенсивности</w:t>
      </w:r>
      <w:r w:rsidR="00DA2C89" w:rsidRPr="00DF0D90">
        <w:rPr>
          <w:lang w:val="ru-RU"/>
        </w:rPr>
        <w:t xml:space="preserve"> </w:t>
      </w:r>
      <w:r w:rsidRPr="00DF0D90">
        <w:t xml:space="preserve">с постепенным увеличением ее до </w:t>
      </w:r>
      <w:r w:rsidRPr="00DF0D90">
        <w:rPr>
          <w:color w:val="auto"/>
        </w:rPr>
        <w:t xml:space="preserve">аэробной нагрузки умеренной интенсивности в совокупности с упражнениями с сопротивлением на основные группы мышц (по 15–20 мин, по 8–10 повторений) дважды в неделю </w:t>
      </w:r>
      <w:r w:rsidR="0023448E" w:rsidRPr="00DF0D90">
        <w:rPr>
          <w:color w:val="auto"/>
        </w:rPr>
        <w:t xml:space="preserve">для улучшения </w:t>
      </w:r>
      <w:proofErr w:type="spellStart"/>
      <w:r w:rsidR="0023448E" w:rsidRPr="00DF0D90">
        <w:rPr>
          <w:color w:val="auto"/>
        </w:rPr>
        <w:t>кардиореспираторной</w:t>
      </w:r>
      <w:proofErr w:type="spellEnd"/>
      <w:r w:rsidR="0023448E" w:rsidRPr="00DF0D90">
        <w:rPr>
          <w:color w:val="auto"/>
        </w:rPr>
        <w:t xml:space="preserve"> выносливости и повышения качества жизни </w:t>
      </w:r>
      <w:r w:rsidR="006B4DBC" w:rsidRPr="00DF0D90">
        <w:rPr>
          <w:color w:val="auto"/>
        </w:rPr>
        <w:fldChar w:fldCharType="begin" w:fldLock="1"/>
      </w:r>
      <w:r w:rsidR="007335C5" w:rsidRPr="00DF0D90">
        <w:rPr>
          <w:color w:val="auto"/>
        </w:rPr>
        <w:instrText>ADDIN CSL_CITATION {"citationItems":[{"id":"ITEM-1","itemData":{"DOI":"10.6004/jnccn.2016.0137","ISSN":"15401413","PMID":"27697982","abstract":"Gastric cancer is the fifth most frequently diagnosed cancer and the third leading cause of death from cancer in the world. Several advances have been made in the staging procedures, imaging techniques, and treatment approaches. The NCCN Clinical Practice Guidelines in Oncology (NCCN Guidelines) for Gastric Cancer provide an evidence- and consensus-based treatment approach for the management of patients with gastric cancer. This manuscript discusses the recommendations outlined in the NCCN Guidelines for staging, assessment of HER2 overexpression, systemic therapy for locally advanced or metastatic disease, and best supportive care for the prevention and management of symptoms due to advanced disease.","author":[{"dropping-particle":"","family":"Ajani","given":"Jaffer A.","non-dropping-particle":"","parse-names":false,"suffix":""},{"dropping-particle":"","family":"D'Amico","given":"Thomas A.","non-dropping-particle":"","parse-names":false,"suffix":""},{"dropping-particle":"","family":"Almhanna","given":"Khaldoun","non-dropping-particle":"","parse-names":false,"suffix":""},{"dropping-particle":"","family":"Bentrem","given":"David J.","non-dropping-particle":"","parse-names":false,"suffix":""},{"dropping-particle":"","family":"Chao","given":"Joseph","non-dropping-particle":"","parse-names":false,"suffix":""},{"dropping-particle":"","family":"Das","given":"Prajnan","non-dropping-particle":"","parse-names":false,"suffix":""},{"dropping-particle":"","family":"Denlinger","given":"Crystal S.","non-dropping-particle":"","parse-names":false,"suffix":""},{"dropping-particle":"","family":"Fanta","given":"Paul","non-dropping-particle":"","parse-names":false,"suffix":""},{"dropping-particle":"","family":"Farjah","given":"Farhood","non-dropping-particle":"","parse-names":false,"suffix":""},{"dropping-particle":"","family":"Fuchs","given":"Charles S.","non-dropping-particle":"","parse-names":false,"suffix":""},{"dropping-particle":"","family":"Gerdes","given":"Hans","non-dropping-particle":"","parse-names":false,"suffix":""},{"dropping-particle":"","family":"Gibson","given":"Michael","non-dropping-particle":"","parse-names":false,"suffix":""},{"dropping-particle":"","family":"Glasgow","given":"Robert E.","non-dropping-particle":"","parse-names":false,"suffix":""},{"dropping-particle":"","family":"Hayman","given":"James A.","non-dropping-particle":"","parse-names":false,"suffix":""},{"dropping-particle":"","family":"Hochwald","given":"Steven","non-dropping-particle":"","parse-names":false,"suffix":""},{"dropping-particle":"","family":"Hofstetter","given":"Wayne L.","non-dropping-particle":"","parse-names":false,"suffix":""},{"dropping-particle":"","family":"Ilson","given":"David H.","non-dropping-particle":"","parse-names":false,"suffix":""},{"dropping-particle":"","family":"Jaroszewski","given":"Dawn","non-dropping-particle":"","parse-names":false,"suffix":""},{"dropping-particle":"","family":"Johung","given":"Kimberly L.","non-dropping-particle":"","parse-names":false,"suffix":""},{"dropping-particle":"","family":"Keswani","given":"Rajesh N.","non-dropping-particle":"","parse-names":false,"suffix":""},{"dropping-particle":"","family":"Kleinberg","given":"Lawrence R.","non-dropping-particle":"","parse-names":false,"suffix":""},{"dropping-particle":"","family":"Korn","given":"W. Michael","non-dropping-particle":"","parse-names":false,"suffix":""},{"dropping-particle":"","family":"Leong","given":"Stephen","non-dropping-particle":"","parse-names":false,"suffix":""},{"dropping-particle":"","family":"Linn","given":"Catherine","non-dropping-particle":"","parse-names":false,"suffix":""},{"dropping-particle":"","family":"Lockhart","given":"A. Craig","non-dropping-particle":"","parse-names":false,"suffix":""},{"dropping-particle":"","family":"Ly","given":"Quan P.","non-dropping-particle":"","parse-names":false,"suffix":""},{"dropping-particle":"","family":"Mulcahy","given":"Mary F.","non-dropping-particle":"","parse-names":false,"suffix":""},{"dropping-particle":"","family":"Orringer","given":"Mark B.","non-dropping-particle":"","parse-names":false,"suffix":""},{"dropping-particle":"","family":"Perry","given":"Kyle A.","non-dropping-particle":"","parse-names":false,"suffix":""},{"dropping-particle":"","family":"Poultsides","given":"George A.","non-dropping-particle":"","parse-names":false,"suffix":""},{"dropping-particle":"","family":"Scott","given":"Walter J.","non-dropping-particle":"","parse-names":false,"suffix":""},{"dropping-particle":"","family":"Strong","given":"Vivian E.","non-dropping-particle":"","parse-names":false,"suffix":""},{"dropping-particle":"","family":"Washington","given":"Mary Kay","non-dropping-particle":"","parse-names":false,"suffix":""},{"dropping-particle":"","family":"Weksler","given":"Benny","non-dropping-particle":"","parse-names":false,"suffix":""},{"dropping-particle":"","family":"Willett","given":"Christopher G.","non-dropping-particle":"","parse-names":false,"suffix":""},{"dropping-particle":"","family":"Wright","given":"Cameron D.","non-dropping-particle":"","parse-names":false,"suffix":""},{"dropping-particle":"","family":"Zelman","given":"Debra","non-dropping-particle":"","parse-names":false,"suffix":""},{"dropping-particle":"","family":"McMillian","given":"Nicole","non-dropping-particle":"","parse-names":false,"suffix":""},{"dropping-particle":"","family":"Sundar","given":"Hema","non-dropping-particle":"","parse-names":false,"suffix":""}],"container-title":"JNCCN Journal of the National Comprehensive Cancer Network","id":"ITEM-1","issue":"10","issued":{"date-parts":[["2016","10","1"]]},"page":"1286-1312","publisher":"Harborside Press","title":"Gastric Cancer, Version 3.2016; Clinical Practice Guidelines in Oncology","type":"article","volume":"14"},"uris":["http://www.mendeley.com/documents/?uuid=d3d4bcfd-c47e-3f8a-9d54-f109de0b2718"]}],"mendeley":{"formattedCitation":"[113]","plainTextFormattedCitation":"[113]","previouslyFormattedCitation":"[113]"},"properties":{"noteIndex":0},"schema":"https://github.com/citation-style-language/schema/raw/master/csl-citation.json"}</w:instrText>
      </w:r>
      <w:r w:rsidR="006B4DBC" w:rsidRPr="00DF0D90">
        <w:rPr>
          <w:color w:val="auto"/>
        </w:rPr>
        <w:fldChar w:fldCharType="separate"/>
      </w:r>
      <w:r w:rsidR="007335C5" w:rsidRPr="00DF0D90">
        <w:rPr>
          <w:noProof/>
          <w:color w:val="auto"/>
        </w:rPr>
        <w:t>[113]</w:t>
      </w:r>
      <w:r w:rsidR="006B4DBC" w:rsidRPr="00DF0D90">
        <w:rPr>
          <w:color w:val="auto"/>
        </w:rPr>
        <w:fldChar w:fldCharType="end"/>
      </w:r>
      <w:r w:rsidRPr="00DF0D90">
        <w:rPr>
          <w:color w:val="auto"/>
        </w:rPr>
        <w:t>.</w:t>
      </w:r>
    </w:p>
    <w:p w14:paraId="556D8C5A" w14:textId="77777777" w:rsidR="009D65EC" w:rsidRPr="00DF0D90" w:rsidRDefault="009D65EC" w:rsidP="00BD2E7C">
      <w:pPr>
        <w:pStyle w:val="afa"/>
        <w:spacing w:after="120" w:line="360" w:lineRule="auto"/>
        <w:jc w:val="both"/>
        <w:rPr>
          <w:color w:val="auto"/>
        </w:rPr>
      </w:pPr>
      <w:r w:rsidRPr="00DF0D90">
        <w:rPr>
          <w:color w:val="auto"/>
        </w:rPr>
        <w:t xml:space="preserve">Уровень убедительности рекомендаций – </w:t>
      </w:r>
      <w:r w:rsidR="006C60A2" w:rsidRPr="00DF0D90">
        <w:rPr>
          <w:color w:val="auto"/>
        </w:rPr>
        <w:t>С</w:t>
      </w:r>
      <w:r w:rsidR="00DA2C89" w:rsidRPr="00DF0D90">
        <w:rPr>
          <w:color w:val="auto"/>
          <w:lang w:val="ru-RU"/>
        </w:rPr>
        <w:t xml:space="preserve"> </w:t>
      </w:r>
      <w:r w:rsidRPr="00DF0D90">
        <w:rPr>
          <w:color w:val="auto"/>
        </w:rPr>
        <w:t xml:space="preserve">(уровень достоверности доказательств – </w:t>
      </w:r>
      <w:r w:rsidR="006C60A2" w:rsidRPr="00DF0D90">
        <w:rPr>
          <w:color w:val="auto"/>
        </w:rPr>
        <w:t>5</w:t>
      </w:r>
      <w:r w:rsidRPr="00DF0D90">
        <w:rPr>
          <w:color w:val="auto"/>
        </w:rPr>
        <w:t>).</w:t>
      </w:r>
    </w:p>
    <w:p w14:paraId="66AE4C3C" w14:textId="77777777" w:rsidR="009D65EC" w:rsidRPr="00DF0D90" w:rsidRDefault="009D65EC" w:rsidP="00BD2E7C">
      <w:pPr>
        <w:spacing w:after="120" w:line="360" w:lineRule="auto"/>
        <w:jc w:val="both"/>
        <w:rPr>
          <w:i/>
        </w:rPr>
      </w:pPr>
      <w:r w:rsidRPr="00DF0D90">
        <w:rPr>
          <w:b/>
          <w:i/>
        </w:rPr>
        <w:t>Комментарии</w:t>
      </w:r>
      <w:r w:rsidRPr="00DF0D90">
        <w:rPr>
          <w:i/>
        </w:rPr>
        <w:t>:</w:t>
      </w:r>
      <w:r w:rsidRPr="00DF0D90">
        <w:t xml:space="preserve"> </w:t>
      </w:r>
      <w:r w:rsidRPr="00DF0D90">
        <w:rPr>
          <w:i/>
        </w:rPr>
        <w:t>целью</w:t>
      </w:r>
      <w:r w:rsidR="00DA2C89" w:rsidRPr="00DF0D90">
        <w:rPr>
          <w:i/>
        </w:rPr>
        <w:t xml:space="preserve"> </w:t>
      </w:r>
      <w:r w:rsidRPr="00DF0D90">
        <w:rPr>
          <w:i/>
        </w:rPr>
        <w:t xml:space="preserve">занятий ЛФК является обеспечение сохранения мышечной массы, улучшение </w:t>
      </w:r>
      <w:proofErr w:type="spellStart"/>
      <w:r w:rsidRPr="00DF0D90">
        <w:rPr>
          <w:i/>
        </w:rPr>
        <w:t>кардиореспираторной</w:t>
      </w:r>
      <w:proofErr w:type="spellEnd"/>
      <w:r w:rsidRPr="00DF0D90">
        <w:rPr>
          <w:i/>
        </w:rPr>
        <w:t xml:space="preserve"> выносливости, повышение качества жизни и увеличение общей выживаемост</w:t>
      </w:r>
      <w:r w:rsidRPr="00DF0D90">
        <w:rPr>
          <w:i/>
          <w:strike/>
        </w:rPr>
        <w:t>ь</w:t>
      </w:r>
      <w:r w:rsidRPr="00DF0D90">
        <w:rPr>
          <w:i/>
        </w:rPr>
        <w:t>. Желательное время тренировки</w:t>
      </w:r>
      <w:r w:rsidR="00DA2C89" w:rsidRPr="00DF0D90">
        <w:rPr>
          <w:i/>
        </w:rPr>
        <w:t xml:space="preserve"> – </w:t>
      </w:r>
      <w:r w:rsidRPr="00DF0D90">
        <w:rPr>
          <w:i/>
        </w:rPr>
        <w:t>не менее 30 мин в день с умеренной интенсивностью несколько (большинство) дней в неделю, принимая во внимание наличие и тяжесть осложнений противоопухолевого лечения.</w:t>
      </w:r>
    </w:p>
    <w:p w14:paraId="47AF7715" w14:textId="77777777" w:rsidR="009D65EC" w:rsidRPr="00DF0D90" w:rsidRDefault="009D65EC" w:rsidP="006D217F">
      <w:pPr>
        <w:pStyle w:val="2"/>
        <w:spacing w:before="0" w:after="120" w:line="360" w:lineRule="auto"/>
        <w:ind w:firstLine="567"/>
        <w:jc w:val="both"/>
      </w:pPr>
      <w:bookmarkStart w:id="120" w:name="_Toc98349297"/>
      <w:bookmarkStart w:id="121" w:name="_Toc83293995"/>
      <w:r w:rsidRPr="00DF0D90">
        <w:t xml:space="preserve">4.3 </w:t>
      </w:r>
      <w:r w:rsidR="00AF274D" w:rsidRPr="00DF0D90">
        <w:t>Реабилитация при х</w:t>
      </w:r>
      <w:r w:rsidRPr="00DF0D90">
        <w:t>имиотерапи</w:t>
      </w:r>
      <w:r w:rsidR="00AF274D" w:rsidRPr="00DF0D90">
        <w:t>и</w:t>
      </w:r>
      <w:bookmarkEnd w:id="120"/>
      <w:bookmarkEnd w:id="121"/>
    </w:p>
    <w:p w14:paraId="31783FF0" w14:textId="77777777" w:rsidR="009D65EC" w:rsidRPr="00DF0D90" w:rsidRDefault="009D65EC" w:rsidP="006D217F">
      <w:pPr>
        <w:pStyle w:val="a"/>
        <w:spacing w:before="0" w:after="120" w:line="360" w:lineRule="auto"/>
        <w:ind w:firstLine="567"/>
        <w:jc w:val="both"/>
        <w:rPr>
          <w:color w:val="auto"/>
        </w:rPr>
      </w:pPr>
      <w:r w:rsidRPr="00DF0D90">
        <w:rPr>
          <w:color w:val="auto"/>
        </w:rPr>
        <w:t>Пациентам</w:t>
      </w:r>
      <w:r w:rsidR="00DA2C89" w:rsidRPr="00DF0D90">
        <w:rPr>
          <w:color w:val="auto"/>
          <w:lang w:val="ru-RU"/>
        </w:rPr>
        <w:t xml:space="preserve"> </w:t>
      </w:r>
      <w:r w:rsidR="0023448E" w:rsidRPr="00DF0D90">
        <w:rPr>
          <w:color w:val="auto"/>
        </w:rPr>
        <w:t>с ГЦР, получающим химиотерапевтическое лечение,</w:t>
      </w:r>
      <w:r w:rsidR="00DA2C89" w:rsidRPr="00DF0D90">
        <w:rPr>
          <w:color w:val="auto"/>
          <w:lang w:val="ru-RU"/>
        </w:rPr>
        <w:t xml:space="preserve"> </w:t>
      </w:r>
      <w:r w:rsidR="0023448E" w:rsidRPr="00DF0D90">
        <w:rPr>
          <w:b/>
          <w:color w:val="auto"/>
        </w:rPr>
        <w:t>рекомендуются</w:t>
      </w:r>
      <w:r w:rsidR="00DA2C89" w:rsidRPr="00DF0D90">
        <w:rPr>
          <w:b/>
          <w:color w:val="auto"/>
          <w:lang w:val="ru-RU"/>
        </w:rPr>
        <w:t xml:space="preserve"> </w:t>
      </w:r>
      <w:r w:rsidRPr="00DF0D90">
        <w:rPr>
          <w:color w:val="auto"/>
        </w:rPr>
        <w:t xml:space="preserve">занятия ЛФК с включением аэробной нагрузки средней интенсивности в домашних условиях с целью повышения </w:t>
      </w:r>
      <w:proofErr w:type="spellStart"/>
      <w:r w:rsidRPr="00DF0D90">
        <w:rPr>
          <w:color w:val="auto"/>
        </w:rPr>
        <w:t>кардиореспираторной</w:t>
      </w:r>
      <w:proofErr w:type="spellEnd"/>
      <w:r w:rsidRPr="00DF0D90">
        <w:rPr>
          <w:color w:val="auto"/>
        </w:rPr>
        <w:t xml:space="preserve"> выносливости</w:t>
      </w:r>
      <w:r w:rsidR="006B4DBC" w:rsidRPr="00DF0D90">
        <w:rPr>
          <w:color w:val="auto"/>
          <w:lang w:val="ru-RU"/>
        </w:rPr>
        <w:t xml:space="preserve"> </w:t>
      </w:r>
      <w:r w:rsidR="006B4DBC" w:rsidRPr="00DF0D90">
        <w:rPr>
          <w:color w:val="auto"/>
          <w:lang w:val="ru-RU"/>
        </w:rPr>
        <w:fldChar w:fldCharType="begin" w:fldLock="1"/>
      </w:r>
      <w:r w:rsidR="007335C5" w:rsidRPr="00DF0D90">
        <w:rPr>
          <w:color w:val="auto"/>
          <w:lang w:val="ru-RU"/>
        </w:rPr>
        <w:instrText>ADDIN CSL_CITATION {"citationItems":[{"id":"ITEM-1","itemData":{"DOI":"10.1016/j.critrevonc.2019.02.005","ISSN":"18790461","PMID":"30878132","abstract":"Receipt of full chemotherapy dose is associated with improved treatment efficacy and survival following a diagnosis of cancer. Exercise has emerged as a supportive care intervention that may improve chemotherapy completion rate by managing dose-limiting toxicities. We conducted a systematic review to evaluate the impact of exercise interventions on outcomes of chemotherapy completion rate in adult cancer patients. Relevant literature was retrieved from CINAHL, Medline (Ovid) and EMBASE based on subject headings and keywords pertaining to cancer, exercise and antineoplastic agents. Eligible articles were randomized control trials (RCTs) that prescribed aerobic or resistance exercise and included end-points relating to chemotherapy completion rate. Overall, eight RCTs were included in the final analysis. Only two RCTs (25%) that enrolled women with early-stage breast cancer reported a significant beneficial effect of exercise on chemotherapy completion rate, including higher mean relative dose intensity and fewer chemotherapy dose adjustments, relative to usual care. The remaining six studies reported no difference with exercise. Altogether, despite the growing number of exercise oncology trials to-date, information pertaining to the effect of exercise on chemotherapy completion rate is limited. Current data suggest exercise does not worsen chemotherapy tolerability. However, full interpretation of these findings is limited by the small number of trials. Future research involving rigorous study design is needed to confirm whether exercise can influence chemotherapy treatments.","author":[{"dropping-particle":"","family":"Bland","given":"Kelcey A.","non-dropping-particle":"","parse-names":false,"suffix":""},{"dropping-particle":"","family":"Zadravec","given":"Kendra","non-dropping-particle":"","parse-names":false,"suffix":""},{"dropping-particle":"","family":"Landry","given":"Taryne","non-dropping-particle":"","parse-names":false,"suffix":""},{"dropping-particle":"","family":"Weller","given":"Sarah","non-dropping-particle":"","parse-names":false,"suffix":""},{"dropping-particle":"","family":"Meyers","given":"Logan","non-dropping-particle":"","parse-names":false,"suffix":""},{"dropping-particle":"","family":"Campbell","given":"Kristin L.","non-dropping-particle":"","parse-names":false,"suffix":""}],"container-title":"Critical Reviews in Oncology/Hematology","id":"ITEM-1","issued":{"date-parts":[["2019","4","1"]]},"page":"79-85","publisher":"Elsevier Ireland Ltd","title":"Impact of exercise on chemotherapy completion rate: A systematic review of the evidence and recommendations for future exercise oncology research","type":"article","volume":"136"},"uris":["http://www.mendeley.com/documents/?uuid=8904f565-72e3-34f0-bfb3-2aca2de4f6b0"]}],"mendeley":{"formattedCitation":"[114]","plainTextFormattedCitation":"[114]","previouslyFormattedCitation":"[114]"},"properties":{"noteIndex":0},"schema":"https://github.com/citation-style-language/schema/raw/master/csl-citation.json"}</w:instrText>
      </w:r>
      <w:r w:rsidR="006B4DBC" w:rsidRPr="00DF0D90">
        <w:rPr>
          <w:color w:val="auto"/>
          <w:lang w:val="ru-RU"/>
        </w:rPr>
        <w:fldChar w:fldCharType="separate"/>
      </w:r>
      <w:r w:rsidR="007335C5" w:rsidRPr="00DF0D90">
        <w:rPr>
          <w:noProof/>
          <w:color w:val="auto"/>
          <w:lang w:val="ru-RU"/>
        </w:rPr>
        <w:t>[114]</w:t>
      </w:r>
      <w:r w:rsidR="006B4DBC" w:rsidRPr="00DF0D90">
        <w:rPr>
          <w:color w:val="auto"/>
          <w:lang w:val="ru-RU"/>
        </w:rPr>
        <w:fldChar w:fldCharType="end"/>
      </w:r>
      <w:r w:rsidRPr="00DF0D90">
        <w:rPr>
          <w:color w:val="auto"/>
        </w:rPr>
        <w:t>.</w:t>
      </w:r>
    </w:p>
    <w:p w14:paraId="6D39B5D3" w14:textId="77777777" w:rsidR="009D65EC" w:rsidRPr="00DF0D90" w:rsidRDefault="009D65EC" w:rsidP="00BD2E7C">
      <w:pPr>
        <w:pStyle w:val="afa"/>
        <w:spacing w:after="120" w:line="360" w:lineRule="auto"/>
        <w:jc w:val="both"/>
      </w:pPr>
      <w:r w:rsidRPr="00DF0D90">
        <w:t>Уровень убедительности рекомендаций – В (уровень достоверности доказательств – 2).</w:t>
      </w:r>
    </w:p>
    <w:p w14:paraId="5A013F1C" w14:textId="77777777" w:rsidR="009D65EC" w:rsidRPr="00DF0D90" w:rsidRDefault="009D65EC" w:rsidP="006D217F">
      <w:pPr>
        <w:pStyle w:val="a"/>
        <w:spacing w:before="0" w:after="120" w:line="360" w:lineRule="auto"/>
        <w:ind w:firstLine="567"/>
        <w:jc w:val="both"/>
      </w:pPr>
      <w:r w:rsidRPr="00DF0D90">
        <w:t xml:space="preserve">При развитии полинейропатии </w:t>
      </w:r>
      <w:r w:rsidRPr="00DF0D90">
        <w:rPr>
          <w:color w:val="auto"/>
        </w:rPr>
        <w:t>пациентам</w:t>
      </w:r>
      <w:r w:rsidR="0023448E" w:rsidRPr="00DF0D90">
        <w:rPr>
          <w:color w:val="auto"/>
        </w:rPr>
        <w:t xml:space="preserve"> с ГЦР</w:t>
      </w:r>
      <w:r w:rsidR="001A2966" w:rsidRPr="00DF0D90">
        <w:rPr>
          <w:color w:val="auto"/>
          <w:lang w:val="ru-RU"/>
        </w:rPr>
        <w:t xml:space="preserve"> </w:t>
      </w:r>
      <w:r w:rsidR="0023448E" w:rsidRPr="00DF0D90">
        <w:rPr>
          <w:b/>
        </w:rPr>
        <w:t>рекомендуется</w:t>
      </w:r>
      <w:r w:rsidR="001A2966" w:rsidRPr="00DF0D90">
        <w:rPr>
          <w:b/>
          <w:lang w:val="ru-RU"/>
        </w:rPr>
        <w:t xml:space="preserve"> </w:t>
      </w:r>
      <w:r w:rsidRPr="00DF0D90">
        <w:t xml:space="preserve">проведение </w:t>
      </w:r>
      <w:proofErr w:type="spellStart"/>
      <w:r w:rsidRPr="00DF0D90">
        <w:t>поликомпонентной</w:t>
      </w:r>
      <w:proofErr w:type="spellEnd"/>
      <w:r w:rsidRPr="00DF0D90">
        <w:t xml:space="preserve"> программы реабилитации, включающей в себя упражнения на тренировку баланса, низкоинтенсивную лазеротерапию, низкочастотную магнитотерапию, чрескожную электростимуляцию </w:t>
      </w:r>
      <w:r w:rsidR="0023448E" w:rsidRPr="00DF0D90">
        <w:t>для уменьшения явления полинейропатии</w:t>
      </w:r>
      <w:r w:rsidR="006B4DBC" w:rsidRPr="00DF0D90">
        <w:rPr>
          <w:lang w:val="ru-RU"/>
        </w:rPr>
        <w:t xml:space="preserve"> </w:t>
      </w:r>
      <w:r w:rsidR="006B4DBC" w:rsidRPr="00DF0D90">
        <w:rPr>
          <w:lang w:val="ru-RU"/>
        </w:rPr>
        <w:fldChar w:fldCharType="begin" w:fldLock="1"/>
      </w:r>
      <w:r w:rsidR="007335C5" w:rsidRPr="00DF0D90">
        <w:rPr>
          <w:lang w:val="ru-RU"/>
        </w:rPr>
        <w:instrText>ADDIN CSL_CITATION {"citationItems":[{"id":"ITEM-1","itemData":{"DOI":"10.1007/s40279-014-0207-5","ISSN":"11792035","PMID":"24927670","abstract":"INTRODUCTION: Peripheral neuropathies (PNPs) encompass a large group of disorders of heterogeneous origin which can manifest themselves with sensory and/or motor deficits depending on the predominantly affected nerve fiber modality. It represents a highly prevalent disease group which can be associated with significant disability and poor recovery. Exercise has the potential to improve side effects of PNP. OBJECTIVE: Our objective in this systematic review was to analyze exercise interventions for neuropathic patients in order to evaluate the possible benefits of exercise. METHODS: Three independent reviewers used PubMed, MEDPILOT (MEDLINE), Cochrane, and relevant reference lists to obtain the data. Relevant studies were graded according to the Oxford Levels of Evidence. RESULTS: Eighteen studies (ten randomized controlled trials and eight controlled clinical trials) met all inclusion criteria. Three (diabetic) studies were ranked very high quality [1b (A)], nine high quality (four diabetes, one cancer, four others) [2b (B)], while six (four diabetes, two others) showed low quality (4/C). Current data suggests that exercise is a feasible, safe, and promising supportive measure for neuropathic patients. This is best documented for patients with diabetic peripheral neuropathy (DPN), suggesting that endurance training has the potential to prevent the onset of and reduce the progression of DPN. In general, balance exercises showed the highest effect on the motor as well as sensory symptoms in all types of PNP. CONCLUSION: Overall, balance training appears to be the most effective exercise intervention. Studies focusing exclusively on strength, or a combination of endurance and strength, appear to have a lower impact. For metabolically-induced neuropathies, endurance training also plays an important role. Further research with high methodological quality needs to be conducted in order to establish evidence-based clinical recommendations for neuropathic patients.","author":[{"dropping-particle":"","family":"Streckmann","given":"Fiona","non-dropping-particle":"","parse-names":false,"suffix":""},{"dropping-particle":"","family":"Zopf","given":"Eva M.","non-dropping-particle":"","parse-names":false,"suffix":""},{"dropping-particle":"","family":"Lehmann","given":"Helmar C.","non-dropping-particle":"","parse-names":false,"suffix":""},{"dropping-particle":"","family":"May","given":"Kathrin","non-dropping-particle":"","parse-names":false,"suffix":""},{"dropping-particle":"","family":"Rizza","given":"Julia","non-dropping-particle":"","parse-names":false,"suffix":""},{"dropping-particle":"","family":"Zimmer","given":"Philipp","non-dropping-particle":"","parse-names":false,"suffix":""},{"dropping-particle":"","family":"Gollhofer","given":"Albert","non-dropping-particle":"","parse-names":false,"suffix":""},{"dropping-particle":"","family":"Bloch","given":"Wilhelm","non-dropping-particle":"","parse-names":false,"suffix":""},{"dropping-particle":"","family":"Baumann","given":"Freerk T.","non-dropping-particle":"","parse-names":false,"suffix":""}],"container-title":"Sports medicine (Auckland, N.Z.)","id":"ITEM-1","issue":"9","issued":{"date-parts":[["2014","9","14"]]},"page":"1289-1304","title":"Exercise intervention studies in patients with peripheral neuropathy: a systematic review","type":"article","volume":"44"},"uris":["http://www.mendeley.com/documents/?uuid=b232c978-c2b0-3c1e-9c54-b5e94448719e"]},{"id":"ITEM-2","itemData":{"DOI":"10.21037/jtd.2018.12.53","ISSN":"20776624","abstract":"The therapeutic options for malignancies have been expanding over the past decades. Since the rise of targeted therapies, improved survival rates and decreased morbidity of cancer patients are evident but these refined protocols have steadily increased the number of patients at risk for long-term side-effects of anti-neoplastic treatments. The leading causes of death in cancer survivors are now defined by cardiovascular disease. Thus, there is a growing need for understanding how cancer related cardiovascular diseases such as cardiomyopathies or vasculopathies develop and how this can be prevented. Besides classical symptoms of heart failure with or without decompensation, an overwhelming majority of cancer patients develop fatigue and a significant reduction in exercise capacity when compared to their pre-cancer state. These effects seem to be independent from the specific chemotherapeutic substance included in the treatment regimen. Recent trials have suggested beneficial effects of exercise regiments in early and late phases of cancer treatment regimens and during rehabilitation. This review focuses on the currently available literature and evidence for the role of exercise training in preventing declining cardiac function or improving an already impaired function during or after chemotherapy, radiation or other cancer-specific therapies.","author":[{"dropping-particle":"","family":"Westphal","given":"Julian G.","non-dropping-particle":"","parse-names":false,"suffix":""},{"dropping-particle":"","family":"Schulze","given":"P. Christian","non-dropping-particle":"","parse-names":false,"suffix":""}],"container-title":"Journal of Thoracic Disease","id":"ITEM-2","issue":"S35","issued":{"date-parts":[["2018","12"]]},"page":"S4391-S4399","title":"Exercise training in cancer related cardiomyopathy","type":"article-journal","volume":"10"},"uris":["http://www.mendeley.com/documents/?uuid=18ed8c5b-63e6-332e-aab8-99bf5dcbf86a"]},{"id":"ITEM-3","itemData":{"DOI":"10.1200/jco.2012.30.15_suppl.9019","ISSN":"0732-183X","abstract":"9019Background: Chemotherapy induced peripheral neuropathy (CIPN) is a common and serious side effect from chemotherapy agents. Low-level laser light therapy (LLLT) devices were approved in 2002 for pain management. Studies suggest a local release of serotonin, increased mitochondrial ATP production, or anti-inflammatory effects as a mechanism of action. We then questioned whether LLLT would show efficacy in mitigating symptoms caused by CIPN. Methods: In a single center prospective randomized trial, participants were randomized to receive either treatment with LLLT twice a week for 8 weeks or placebo LLLT twice a week for 4 weeks followed by actual treatment twice a week for 4 weeks. FACT/GOG-NTX, Brief Pain Inventory (BPI -Severity and Interference), SF-36 Quality of Life (Physical and Mental Score), monofilament and function testing (buttoning, coin use and walking) were conducted prior to initiation of therapy, during, at completion, and 2 months after treatment. 20 participants, 16 women and 4 men (average age 58 and 63 respectively), were enrolled between October 2009 and June 2010. 10 patients were randomized to each group. Average time from end of chemotherapy to enrollment was 32.6 months (range 2 - 120 mo). All patients had neuropathic involvement of the feet. 14 patients had additional involvement of the hands. Results: Compared to baseline, patients receiving any amount of active treatment showed significant improvement at 8 weeks in NTX, BPI, function testing, and SF36 Mental score. Those receiving 4 weeks of placebo treatment showed improvement in only BPI, NTX and SF36 Mental score. At 2-month follow up, all 20 patients showed a significant improvement in walking and SF 36 mental score, suggesting 4 weeks of active treatment improved function. No significant difference in monofilament testing was observed throughout the study in either group. Direct comparison between 4 or 8 weeks of treatment vs. placebo showed a statistically significant difference in walking function at 2-months. All patients tolerated therapy well without side effects. Conclusions: Low-level laser light therapy improved functional test over placebo and may be a viable option for non-medical management of CIPN. Further study of LLLT in CIPN is warranted.","author":[{"dropping-particle":"","family":"Lee","given":"John Muzi","non-dropping-particle":"","parse-names":false,"suffix":""},{"dropping-particle":"","family":"Look","given":"Regan M.","non-dropping-particle":"","parse-names":false,"suffix":""},{"dropping-particle":"","family":"Turner","given":"Crystal","non-dropping-particle":"","parse-names":false,"suffix":""},{"dropping-particle":"","family":"Gardiner","given":"Stuart K","non-dropping-particle":"","parse-names":false,"suffix":""},{"dropping-particle":"","family":"Wagie","given":"Terry","non-dropping-particle":"","parse-names":false,"suffix":""},{"dropping-particle":"","family":"Douglas","given":"Jeremy","non-dropping-particle":"","parse-names":false,"suffix":""},{"dropping-particle":"","family":"Sorenson","given":"Leslie","non-dropping-particle":"","parse-names":false,"suffix":""},{"dropping-particle":"","family":"Evans","given":"Laura","non-dropping-particle":"","parse-names":false,"suffix":""},{"dropping-particle":"","family":"Kirchner","given":"Sandra","non-dropping-particle":"","parse-names":false,"suffix":""},{"dropping-particle":"","family":"Dashkoff","given":"Cyd","non-dropping-particle":"","parse-names":false,"suffix":""},{"dropping-particle":"","family":"Garrett","given":"Karen","non-dropping-particle":"","parse-names":false,"suffix":""},{"dropping-particle":"","family":"Johnson","given":"Nathalie","non-dropping-particle":"","parse-names":false,"suffix":""}],"container-title":"Journal of Clinical Oncology","id":"ITEM-3","issue":"15_suppl","issued":{"date-parts":[["2012","5","20"]]},"page":"9019-9019","title":"Low-level laser therapy for chemotherapy-induced peripheral neuropathy.","type":"article-journal","volume":"30"},"uris":["http://www.mendeley.com/documents/?uuid=b0d5fb4e-4a27-3593-a32f-6574fee06f8e"]},{"id":"ITEM-4","itemData":{"DOI":"10.1002/bem.22005","ISSN":"1521186X","PMID":"27657350","abstract":"No causal treatment for chemotherapy-induced peripheral neuropathy (CIPN) is known. Therefore, there is an urgent need to develop a therapy for CIPN. Only scarce clinical data are available concerning magnetic field therapy (MFT) in this context. We conducted a unicentric, randomized, double-blind, placebo-controlled phase-III trial of an MFT device versus placebo. In this study, we randomized 44 patients with CIPN to two treatment groups, where 21 patients were treated with MFT (Group 1) and 23 patients received placebo (Group 2). We evaluated the efficacy of MFT at baseline (T1), after 3 weeks of study treatment (T2), and after 3 months of study treatment (T3). The primary endpoint was nerve conduction velocity (NCV), while secondary endpoints were the Common Toxicity Criteria (CTCAE) score and the Pain Detect End Score at T3. Seventeen of the patients in Group 1 and 14 patients in Group 2 completed the respective study treatment. The primary endpoint, significant improvement of NCV at T3, was achieved by MFT (P = 0.015), particularly for sensory neurotoxicity of the peroneal nerve. Also, in respect to the secondary endpoints, significant improvement (P = 0.04) was achieved in terms of the patients’ subjectively perceived neurotoxicity (CTCAE score), but not of neuropathic pain (P = 0.11). From data in the randomized study presented here, a positive effect on the reduction of neurotoxicity can be assumed for the MFT device. Patients with sensory neurotoxicity in the lower limbs, especially, should therefore be offered this therapy. Bioelectromagnetics. 38:85–94, 2017. © 2016 The Authors. Bioelectromagnetics published by Wiley Periodicals, Inc.","author":[{"dropping-particle":"","family":"Rick","given":"Oliver","non-dropping-particle":"","parse-names":false,"suffix":""},{"dropping-particle":"","family":"Hehn","given":"Ulrike","non-dropping-particle":"von","parse-names":false,"suffix":""},{"dropping-particle":"","family":"Mikus","given":"Eberhard","non-dropping-particle":"","parse-names":false,"suffix":""},{"dropping-particle":"","family":"Dertinger","given":"Hermann","non-dropping-particle":"","parse-names":false,"suffix":""},{"dropping-particle":"","family":"Geiger","given":"Georg","non-dropping-particle":"","parse-names":false,"suffix":""}],"container-title":"Bioelectromagnetics","id":"ITEM-4","issue":"2","issued":{"date-parts":[["2017","2"]]},"page":"85-94","title":"Magnetic field therapy in patients with cytostatics-induced polyneuropathy: A prospective randomized placebo-controlled phase-III study","type":"article-journal","volume":"38"},"uris":["http://www.mendeley.com/documents/?uuid=d99e02ea-f37c-30aa-9143-3fb3dae09b99"]}],"mendeley":{"formattedCitation":"[115–118]","plainTextFormattedCitation":"[115–118]","previouslyFormattedCitation":"[115–118]"},"properties":{"noteIndex":0},"schema":"https://github.com/citation-style-language/schema/raw/master/csl-citation.json"}</w:instrText>
      </w:r>
      <w:r w:rsidR="006B4DBC" w:rsidRPr="00DF0D90">
        <w:rPr>
          <w:lang w:val="ru-RU"/>
        </w:rPr>
        <w:fldChar w:fldCharType="separate"/>
      </w:r>
      <w:r w:rsidR="007335C5" w:rsidRPr="00DF0D90">
        <w:rPr>
          <w:noProof/>
          <w:lang w:val="ru-RU"/>
        </w:rPr>
        <w:t>[115–118]</w:t>
      </w:r>
      <w:r w:rsidR="006B4DBC" w:rsidRPr="00DF0D90">
        <w:rPr>
          <w:lang w:val="ru-RU"/>
        </w:rPr>
        <w:fldChar w:fldCharType="end"/>
      </w:r>
      <w:r w:rsidR="006B4DBC" w:rsidRPr="00DF0D90">
        <w:rPr>
          <w:lang w:val="ru-RU"/>
        </w:rPr>
        <w:t>.</w:t>
      </w:r>
    </w:p>
    <w:p w14:paraId="7CDEFEE4" w14:textId="77777777" w:rsidR="009D65EC" w:rsidRPr="00DF0D90" w:rsidRDefault="009D65EC" w:rsidP="00BD2E7C">
      <w:pPr>
        <w:pStyle w:val="afa"/>
        <w:spacing w:after="120" w:line="360" w:lineRule="auto"/>
        <w:jc w:val="both"/>
      </w:pPr>
      <w:r w:rsidRPr="00DF0D90">
        <w:t xml:space="preserve">Уровень убедительности рекомендаций – В (уровень достоверности доказательств – </w:t>
      </w:r>
      <w:r w:rsidR="00716ADB" w:rsidRPr="00DF0D90">
        <w:t>2</w:t>
      </w:r>
      <w:r w:rsidRPr="00DF0D90">
        <w:t>).</w:t>
      </w:r>
    </w:p>
    <w:p w14:paraId="11E57C59" w14:textId="77777777" w:rsidR="009D65EC" w:rsidRPr="00DF0D90" w:rsidRDefault="009D65EC" w:rsidP="006D217F">
      <w:pPr>
        <w:pStyle w:val="a"/>
        <w:spacing w:before="0" w:after="120" w:line="360" w:lineRule="auto"/>
        <w:ind w:firstLine="567"/>
        <w:jc w:val="both"/>
      </w:pPr>
      <w:r w:rsidRPr="00DF0D90">
        <w:rPr>
          <w:color w:val="auto"/>
        </w:rPr>
        <w:t xml:space="preserve">В течение всего курса химиотерапии пациентам </w:t>
      </w:r>
      <w:r w:rsidR="0023448E" w:rsidRPr="00DF0D90">
        <w:rPr>
          <w:color w:val="auto"/>
        </w:rPr>
        <w:t xml:space="preserve">с ГЦР </w:t>
      </w:r>
      <w:r w:rsidR="0023448E" w:rsidRPr="00DF0D90">
        <w:rPr>
          <w:b/>
          <w:color w:val="auto"/>
        </w:rPr>
        <w:t>рекомендуется</w:t>
      </w:r>
      <w:r w:rsidR="001A2966" w:rsidRPr="00DF0D90">
        <w:rPr>
          <w:b/>
          <w:color w:val="auto"/>
          <w:lang w:val="ru-RU"/>
        </w:rPr>
        <w:t xml:space="preserve"> </w:t>
      </w:r>
      <w:proofErr w:type="spellStart"/>
      <w:r w:rsidRPr="00DF0D90">
        <w:rPr>
          <w:color w:val="auto"/>
        </w:rPr>
        <w:t>нутритивная</w:t>
      </w:r>
      <w:proofErr w:type="spellEnd"/>
      <w:r w:rsidRPr="00DF0D90">
        <w:rPr>
          <w:color w:val="auto"/>
        </w:rPr>
        <w:t xml:space="preserve"> поддержка по показаниям в режиме, совпадающем с</w:t>
      </w:r>
      <w:r w:rsidRPr="00DF0D90">
        <w:t xml:space="preserve"> режимом </w:t>
      </w:r>
      <w:proofErr w:type="spellStart"/>
      <w:r w:rsidRPr="00DF0D90">
        <w:t>нутритивной</w:t>
      </w:r>
      <w:proofErr w:type="spellEnd"/>
      <w:r w:rsidRPr="00DF0D90">
        <w:t xml:space="preserve"> поддержки на предоперационном этапе</w:t>
      </w:r>
      <w:r w:rsidR="0023448E" w:rsidRPr="00DF0D90">
        <w:t xml:space="preserve"> для сохранения мышечной массы</w:t>
      </w:r>
      <w:r w:rsidR="006B4DBC" w:rsidRPr="00DF0D90">
        <w:rPr>
          <w:lang w:val="ru-RU"/>
        </w:rPr>
        <w:t xml:space="preserve"> </w:t>
      </w:r>
      <w:r w:rsidR="006B4DBC" w:rsidRPr="00DF0D90">
        <w:rPr>
          <w:lang w:val="ru-RU"/>
        </w:rPr>
        <w:fldChar w:fldCharType="begin" w:fldLock="1"/>
      </w:r>
      <w:r w:rsidR="007335C5" w:rsidRPr="00DF0D90">
        <w:rPr>
          <w:lang w:val="ru-RU"/>
        </w:rPr>
        <w:instrText>ADDIN CSL_CITATION {"citationItems":[{"id":"ITEM-1","itemData":{"DOI":"10.1016/j.clnu.2016.07.015","ISSN":"15321983","PMID":"27637832","abstract":"Cancers are among the leading causes of morbidity and mortality worldwide, and the number of new cases is expected to rise significantly over the next decades. At the same time, all types of cancer treatment, such as surgery, radiation therapy, and pharmacological therapies are improving in sophistication, precision and in the power to target specific characteristics of individual cancers. Thus, while many cancers may still not be cured they may be converted to chronic diseases. All of these treatments, however, are impeded or precluded by the frequent development of malnutrition and metabolic derangements in cancer patients, induced by the tumor or by its treatment. These evidence-based guidelines were developed to translate current best evidence and expert opinion into recommendations for multi-disciplinary teams responsible for identification, prevention, and treatment of reversible elements of malnutrition in adult cancer patients. The guidelines were commissioned and financially supported by ESPEN and by the European Partnership for Action Against Cancer (EPAAC), an EU level initiative. Members of the guideline group were selected by ESPEN to include a range of professions and fields of expertise. We searched for meta-analyses, systematic reviews and comparative studies based on clinical questions according to the PICO format. The evidence was evaluated and merged to develop clinical recommendations using the GRADE method. Due to the deficits in the available evidence, relevant still open questions were listed and should be addressed by future studies. Malnutrition and a loss of muscle mass are frequent in cancer patients and have a negative effect on clinical outcome. They may be driven by inadequate food intake, decreased physical activity and catabolic metabolic derangements. To screen for, prevent, assess in detail, monitor and treat malnutrition standard operating procedures, responsibilities and a quality control process should be established at each institution involved in treating cancer patients. All cancer patients should be screened regularly for the risk or the presence of malnutrition. In all patients – with the exception of end of life care – energy and substrate requirements should be met by offering in a step-wise manner nutritional interventions from counseling to parenteral nutrition. However, benefits and risks of nutritional interventions have to be balanced with special consideration in patients with advanced disease. Nutrition…","author":[{"dropping-particle":"","family":"Arends","given":"Jann","non-dropping-particle":"","parse-names":false,"suffix":""},{"dropping-particle":"","family":"Bachmann","given":"Patrick","non-dropping-particle":"","parse-names":false,"suffix":""},{"dropping-particle":"","family":"Baracos","given":"Vickie","non-dropping-particle":"","parse-names":false,"suffix":""},{"dropping-particle":"","family":"Barthelemy","given":"Nicole","non-dropping-particle":"","parse-names":false,"suffix":""},{"dropping-particle":"","family":"Bertz","given":"Hartmut","non-dropping-particle":"","parse-names":false,"suffix":""},{"dropping-particle":"","family":"Bozzetti","given":"Federico","non-dropping-particle":"","parse-names":false,"suffix":""},{"dropping-particle":"","family":"Fearon","given":"Ken","non-dropping-particle":"","parse-names":false,"suffix":""},{"dropping-particle":"","family":"Hütterer","given":"Elisabeth","non-dropping-particle":"","parse-names":false,"suffix":""},{"dropping-particle":"","family":"Isenring","given":"Elizabeth","non-dropping-particle":"","parse-names":false,"suffix":""},{"dropping-particle":"","family":"Kaasa","given":"Stein","non-dropping-particle":"","parse-names":false,"suffix":""},{"dropping-particle":"","family":"Krznaric","given":"Zeljko","non-dropping-particle":"","parse-names":false,"suffix":""},{"dropping-particle":"","family":"Laird","given":"Barry","non-dropping-particle":"","parse-names":false,"suffix":""},{"dropping-particle":"","family":"Larsson","given":"Maria","non-dropping-particle":"","parse-names":false,"suffix":""},{"dropping-particle":"","family":"Laviano","given":"Alessandro","non-dropping-particle":"","parse-names":false,"suffix":""},{"dropping-particle":"","family":"Mühlebach","given":"Stefan","non-dropping-particle":"","parse-names":false,"suffix":""},{"dropping-particle":"","family":"Muscaritoli","given":"Maurizio","non-dropping-particle":"","parse-names":false,"suffix":""},{"dropping-particle":"","family":"Oldervoll","given":"Line","non-dropping-particle":"","parse-names":false,"suffix":""},{"dropping-particle":"","family":"Ravasco","given":"Paula","non-dropping-particle":"","parse-names":false,"suffix":""},{"dropping-particle":"","family":"Solheim","given":"Tora","non-dropping-particle":"","parse-names":false,"suffix":""},{"dropping-particle":"","family":"Strasser","given":"Florian","non-dropping-particle":"","parse-names":false,"suffix":""},{"dropping-particle":"","family":"van der Schueren","given":"Marian","non-dropping-particle":"de","parse-names":false,"suffix":""},{"dropping-particle":"","family":"Preiser","given":"Jean Charles","non-dropping-particle":"","parse-names":false,"suffix":""}],"container-title":"Clinical Nutrition","id":"ITEM-1","issue":"1","issued":{"date-parts":[["2017"]]},"page":"11-48","publisher":"Churchill Livingstone","title":"ESPEN guidelines on nutrition in cancer patients","type":"article-journal","volume":"36"},"uris":["http://www.mendeley.com/documents/?uuid=ba93fdd9-3182-375b-9dcc-642fc9f691d6"]}],"mendeley":{"formattedCitation":"[107]","plainTextFormattedCitation":"[107]","previouslyFormattedCitation":"[107]"},"properties":{"noteIndex":0},"schema":"https://github.com/citation-style-language/schema/raw/master/csl-citation.json"}</w:instrText>
      </w:r>
      <w:r w:rsidR="006B4DBC" w:rsidRPr="00DF0D90">
        <w:rPr>
          <w:lang w:val="ru-RU"/>
        </w:rPr>
        <w:fldChar w:fldCharType="separate"/>
      </w:r>
      <w:r w:rsidR="007335C5" w:rsidRPr="00DF0D90">
        <w:rPr>
          <w:noProof/>
          <w:lang w:val="ru-RU"/>
        </w:rPr>
        <w:t>[107]</w:t>
      </w:r>
      <w:r w:rsidR="006B4DBC" w:rsidRPr="00DF0D90">
        <w:rPr>
          <w:lang w:val="ru-RU"/>
        </w:rPr>
        <w:fldChar w:fldCharType="end"/>
      </w:r>
      <w:r w:rsidRPr="00DF0D90">
        <w:t xml:space="preserve">. </w:t>
      </w:r>
    </w:p>
    <w:p w14:paraId="2BE01E34" w14:textId="77777777" w:rsidR="009D65EC" w:rsidRPr="00DF0D90" w:rsidRDefault="009D65EC" w:rsidP="00BD2E7C">
      <w:pPr>
        <w:pStyle w:val="afa"/>
        <w:spacing w:after="120" w:line="360" w:lineRule="auto"/>
        <w:jc w:val="both"/>
      </w:pPr>
      <w:r w:rsidRPr="00DF0D90">
        <w:t xml:space="preserve">Уровень убедительности рекомендаций – </w:t>
      </w:r>
      <w:r w:rsidRPr="00DF0D90">
        <w:rPr>
          <w:lang w:val="en-US"/>
        </w:rPr>
        <w:t>B</w:t>
      </w:r>
      <w:r w:rsidRPr="00DF0D90">
        <w:t xml:space="preserve"> (уровень достоверности доказательств – </w:t>
      </w:r>
      <w:r w:rsidR="0023448E" w:rsidRPr="00DF0D90">
        <w:t>3</w:t>
      </w:r>
      <w:r w:rsidRPr="00DF0D90">
        <w:t>).</w:t>
      </w:r>
    </w:p>
    <w:p w14:paraId="4FF36963" w14:textId="77777777" w:rsidR="009D65EC" w:rsidRPr="00DF0D90" w:rsidRDefault="009D65EC" w:rsidP="00BD2E7C">
      <w:pPr>
        <w:spacing w:after="120" w:line="360" w:lineRule="auto"/>
        <w:jc w:val="both"/>
        <w:rPr>
          <w:i/>
        </w:rPr>
      </w:pPr>
      <w:r w:rsidRPr="00DF0D90">
        <w:rPr>
          <w:b/>
          <w:i/>
        </w:rPr>
        <w:lastRenderedPageBreak/>
        <w:t>Комментарии</w:t>
      </w:r>
      <w:r w:rsidRPr="00DF0D90">
        <w:rPr>
          <w:i/>
        </w:rPr>
        <w:t>:</w:t>
      </w:r>
      <w:r w:rsidRPr="00DF0D90">
        <w:t xml:space="preserve"> </w:t>
      </w:r>
      <w:proofErr w:type="spellStart"/>
      <w:r w:rsidRPr="00DF0D90">
        <w:rPr>
          <w:i/>
        </w:rPr>
        <w:t>нутритивная</w:t>
      </w:r>
      <w:proofErr w:type="spellEnd"/>
      <w:r w:rsidRPr="00DF0D90">
        <w:rPr>
          <w:i/>
        </w:rPr>
        <w:t xml:space="preserve"> поддержка необходима с целью</w:t>
      </w:r>
      <w:r w:rsidR="001A2966" w:rsidRPr="00DF0D90">
        <w:rPr>
          <w:i/>
        </w:rPr>
        <w:t xml:space="preserve"> </w:t>
      </w:r>
      <w:r w:rsidRPr="00DF0D90">
        <w:rPr>
          <w:i/>
        </w:rPr>
        <w:t>сохранения мышечной массы, что в совокупности с посильной физической нагрузко</w:t>
      </w:r>
      <w:r w:rsidR="001A2966" w:rsidRPr="00DF0D90">
        <w:rPr>
          <w:i/>
        </w:rPr>
        <w:t xml:space="preserve">й </w:t>
      </w:r>
      <w:r w:rsidRPr="00DF0D90">
        <w:rPr>
          <w:i/>
        </w:rPr>
        <w:t>препятствует усилению токсичности химиотерапии.</w:t>
      </w:r>
    </w:p>
    <w:p w14:paraId="481ED328" w14:textId="77777777" w:rsidR="003003F4" w:rsidRPr="00DF0D90" w:rsidRDefault="003003F4" w:rsidP="00BD2E7C">
      <w:pPr>
        <w:spacing w:after="120" w:line="360" w:lineRule="auto"/>
        <w:jc w:val="both"/>
        <w:rPr>
          <w:i/>
        </w:rPr>
      </w:pPr>
    </w:p>
    <w:p w14:paraId="6197775A" w14:textId="375F7896" w:rsidR="00630BAC" w:rsidRPr="00DF0D90" w:rsidRDefault="00FE4F7D" w:rsidP="00801019">
      <w:pPr>
        <w:pStyle w:val="42"/>
      </w:pPr>
      <w:bookmarkStart w:id="122" w:name="_Toc98349298"/>
      <w:bookmarkStart w:id="123" w:name="_Toc83293996"/>
      <w:bookmarkEnd w:id="108"/>
      <w:bookmarkEnd w:id="109"/>
      <w:r w:rsidRPr="00DF0D90">
        <w:rPr>
          <w:lang w:val="ru-RU"/>
        </w:rPr>
        <w:t xml:space="preserve">5. </w:t>
      </w:r>
      <w:r w:rsidR="00630BAC" w:rsidRPr="00DF0D90">
        <w:t>Профилактика и диспансерное наблюдение, медицинские показания и противопоказания к применению методов профилактики</w:t>
      </w:r>
      <w:bookmarkEnd w:id="122"/>
      <w:bookmarkEnd w:id="123"/>
    </w:p>
    <w:p w14:paraId="0ACA9F06" w14:textId="78F905A8" w:rsidR="00630BAC" w:rsidRPr="00DF0D90" w:rsidRDefault="00630BAC" w:rsidP="006D217F">
      <w:pPr>
        <w:pStyle w:val="a"/>
        <w:spacing w:before="0" w:after="120" w:line="360" w:lineRule="auto"/>
        <w:ind w:firstLine="567"/>
        <w:jc w:val="both"/>
        <w:rPr>
          <w:spacing w:val="-4"/>
        </w:rPr>
      </w:pPr>
      <w:r w:rsidRPr="00DF0D90">
        <w:rPr>
          <w:b/>
          <w:spacing w:val="-4"/>
        </w:rPr>
        <w:t>Рекомендуется</w:t>
      </w:r>
      <w:r w:rsidRPr="00DF0D90">
        <w:rPr>
          <w:spacing w:val="-4"/>
        </w:rPr>
        <w:t xml:space="preserve"> соблюдать следующую периодичность наблюдения после завершения радикального лечения по поводу ГЦР и применять следующие методы наблюдения </w:t>
      </w:r>
      <w:r w:rsidR="0023448E" w:rsidRPr="00DF0D90">
        <w:rPr>
          <w:spacing w:val="-4"/>
        </w:rPr>
        <w:t>для раннего выявления прогрессирования заболевания</w:t>
      </w:r>
      <w:r w:rsidR="006B4DBC" w:rsidRPr="00DF0D90">
        <w:rPr>
          <w:spacing w:val="-4"/>
          <w:lang w:val="ru-RU"/>
        </w:rPr>
        <w:t xml:space="preserve"> </w:t>
      </w:r>
      <w:bookmarkStart w:id="124" w:name="_Hlk81487169"/>
      <w:r w:rsidR="006B4DBC" w:rsidRPr="00DF0D90">
        <w:rPr>
          <w:spacing w:val="-4"/>
          <w:lang w:val="ru-RU"/>
        </w:rPr>
        <w:fldChar w:fldCharType="begin" w:fldLock="1"/>
      </w:r>
      <w:r w:rsidR="007335C5" w:rsidRPr="00DF0D90">
        <w:rPr>
          <w:spacing w:val="-4"/>
          <w:lang w:val="ru-RU"/>
        </w:rPr>
        <w:instrText>ADDIN CSL_CITATION {"citationItems":[{"id":"ITEM-1","itemData":{"DOI":"10.1002/hep.29913","ISSN":"15273350","PMID":"29624699","author":[{"dropping-particle":"","family":"Marrero","given":"Jorge A.","non-dropping-particle":"","parse-names":false,"suffix":""},{"dropping-particle":"","family":"Kulik","given":"Laura M.","non-dropping-particle":"","parse-names":false,"suffix":""},{"dropping-particle":"","family":"Sirlin","given":"Claude B.","non-dropping-particle":"","parse-names":false,"suffix":""},{"dropping-particle":"","family":"Zhu","given":"Andrew X.","non-dropping-particle":"","parse-names":false,"suffix":""},{"dropping-particle":"","family":"Finn","given":"Richard S.","non-dropping-particle":"","parse-names":false,"suffix":""},{"dropping-particle":"","family":"Abecassis","given":"Michael M.","non-dropping-particle":"","parse-names":false,"suffix":""},{"dropping-particle":"","family":"Roberts","given":"Lewis R.","non-dropping-particle":"","parse-names":false,"suffix":""},{"dropping-particle":"","family":"Heimbach","given":"Julie K.","non-dropping-particle":"","parse-names":false,"suffix":""}],"container-title":"Hepatology","id":"ITEM-1","issue":"2","issued":{"date-parts":[["2018","8","1"]]},"page":"723-750","publisher":"John Wiley and Sons Inc.","title":"Diagnosis, Staging, and Management of Hepatocellular Carcinoma: 2018 Practice Guidance by the American Association for the Study of Liver Diseases","type":"article-journal","volume":"68"},"uris":["http://www.mendeley.com/documents/?uuid=524b992f-ba18-31f8-aa7d-c271bdc57c09"]},{"id":"ITEM-2","itemData":{"author":[{"dropping-particle":"","family":"NCCN","given":"","non-dropping-particle":"","parse-names":false,"suffix":""}],"id":"ITEM-2","issued":{"date-parts":[["2021"]]},"title":"Clinical Practice Guidelines in Oncology. Hepatobiliary Cancers, version 4.2021","type":"article-journal"},"uris":["http://www.mendeley.com/documents/?uuid=db314d5f-b05a-4fec-a403-5589c18d9ebd"]},{"id":"ITEM-3","itemData":{"DOI":"10.1016/j.jhep.2018.03.019","ISSN":"16000641","PMID":"29628281","author":[{"dropping-particle":"","family":"Galle","given":"Peter R.","non-dropping-particle":"","parse-names":false,"suffix":""},{"dropping-particle":"","family":"Forner","given":"Alejandro","non-dropping-particle":"","parse-names":false,"suffix":""},{"dropping-particle":"","family":"Llovet","given":"Josep M.","non-dropping-particle":"","parse-names":false,"suffix":""},{"dropping-particle":"","family":"Mazzaferro","given":"Vincenzo","non-dropping-particle":"","parse-names":false,"suffix":""},{"dropping-particle":"","family":"Piscaglia","given":"Fabio","non-dropping-particle":"","parse-names":false,"suffix":""},{"dropping-particle":"","family":"Raoul","given":"Jean Luc","non-dropping-particle":"","parse-names":false,"suffix":""},{"dropping-particle":"","family":"Schirmacher","given":"Peter","non-dropping-particle":"","parse-names":false,"suffix":""},{"dropping-particle":"","family":"Vilgrain","given":"Valérie","non-dropping-particle":"","parse-names":false,"suffix":""}],"container-title":"Journal of Hepatology","id":"ITEM-3","issue":"1","issued":{"date-parts":[["2018","7","1"]]},"page":"182-236","publisher":"Elsevier B.V.","title":"EASL Clinical Practice Guidelines: Management of hepatocellular carcinoma","type":"article-journal","volume":"69"},"uris":["http://www.mendeley.com/documents/?uuid=055ddbc3-5b48-34fb-b03b-bdc43880d69c"]}],"mendeley":{"formattedCitation":"[6,9,14]","plainTextFormattedCitation":"[6,9,14]","previouslyFormattedCitation":"[6,9,14]"},"properties":{"noteIndex":0},"schema":"https://github.com/citation-style-language/schema/raw/master/csl-citation.json"}</w:instrText>
      </w:r>
      <w:r w:rsidR="006B4DBC" w:rsidRPr="00DF0D90">
        <w:rPr>
          <w:spacing w:val="-4"/>
          <w:lang w:val="ru-RU"/>
        </w:rPr>
        <w:fldChar w:fldCharType="separate"/>
      </w:r>
      <w:r w:rsidR="00C34389" w:rsidRPr="00DF0D90">
        <w:rPr>
          <w:noProof/>
          <w:spacing w:val="-4"/>
          <w:lang w:val="ru-RU"/>
        </w:rPr>
        <w:t>[6,9,14]</w:t>
      </w:r>
      <w:r w:rsidR="006B4DBC" w:rsidRPr="00DF0D90">
        <w:rPr>
          <w:spacing w:val="-4"/>
          <w:lang w:val="ru-RU"/>
        </w:rPr>
        <w:fldChar w:fldCharType="end"/>
      </w:r>
      <w:r w:rsidRPr="00DF0D90">
        <w:rPr>
          <w:spacing w:val="-4"/>
        </w:rPr>
        <w:t>:</w:t>
      </w:r>
      <w:bookmarkEnd w:id="124"/>
    </w:p>
    <w:p w14:paraId="1A436F2A" w14:textId="20EDC444" w:rsidR="00630BAC" w:rsidRPr="00DF0D90" w:rsidRDefault="00630BAC" w:rsidP="00BD2E7C">
      <w:pPr>
        <w:pStyle w:val="af2"/>
        <w:numPr>
          <w:ilvl w:val="0"/>
          <w:numId w:val="20"/>
        </w:numPr>
        <w:spacing w:after="120" w:line="360" w:lineRule="auto"/>
        <w:ind w:left="0" w:firstLine="0"/>
        <w:jc w:val="both"/>
      </w:pPr>
      <w:r w:rsidRPr="00DF0D90">
        <w:t xml:space="preserve">сбор анамнеза и физикальное обследование </w:t>
      </w:r>
      <w:r w:rsidR="004D2D2D">
        <w:t>врача</w:t>
      </w:r>
      <w:r w:rsidR="004956BF" w:rsidRPr="0043377B">
        <w:t>-</w:t>
      </w:r>
      <w:r w:rsidR="004956BF">
        <w:t xml:space="preserve">терапевта или </w:t>
      </w:r>
      <w:r w:rsidR="00F214AE">
        <w:t>врача-</w:t>
      </w:r>
      <w:r w:rsidR="004956BF">
        <w:t>гастроэнтеролога</w:t>
      </w:r>
      <w:r w:rsidR="004D2D2D">
        <w:t xml:space="preserve">, осуществляющего диспансерный прием </w:t>
      </w:r>
      <w:r w:rsidRPr="00DF0D90">
        <w:t xml:space="preserve">– каждые 3–6 мес., далее 1 раз </w:t>
      </w:r>
      <w:r w:rsidRPr="00DF0D90">
        <w:br/>
        <w:t xml:space="preserve">в 6–12 </w:t>
      </w:r>
      <w:proofErr w:type="spellStart"/>
      <w:r w:rsidRPr="00DF0D90">
        <w:t>мес</w:t>
      </w:r>
      <w:proofErr w:type="spellEnd"/>
      <w:r w:rsidRPr="00DF0D90">
        <w:t>;</w:t>
      </w:r>
    </w:p>
    <w:p w14:paraId="280C6AC3" w14:textId="77777777" w:rsidR="00630BAC" w:rsidRPr="00DF0D90" w:rsidRDefault="00630BAC" w:rsidP="00BD2E7C">
      <w:pPr>
        <w:pStyle w:val="af2"/>
        <w:numPr>
          <w:ilvl w:val="0"/>
          <w:numId w:val="20"/>
        </w:numPr>
        <w:spacing w:after="120" w:line="360" w:lineRule="auto"/>
        <w:ind w:left="0" w:firstLine="0"/>
        <w:jc w:val="both"/>
      </w:pPr>
      <w:r w:rsidRPr="00DF0D90">
        <w:t xml:space="preserve">определение уровня АФП (если исходно он был повышен) – каждые </w:t>
      </w:r>
      <w:r w:rsidRPr="00DF0D90">
        <w:br/>
        <w:t>3–4 мес. в первые 2 года, далее 1 раз в 6–12 мес.;</w:t>
      </w:r>
    </w:p>
    <w:p w14:paraId="7F687FC5" w14:textId="77777777" w:rsidR="00630BAC" w:rsidRPr="00DF0D90" w:rsidRDefault="00630BAC" w:rsidP="00BD2E7C">
      <w:pPr>
        <w:pStyle w:val="af2"/>
        <w:numPr>
          <w:ilvl w:val="0"/>
          <w:numId w:val="20"/>
        </w:numPr>
        <w:spacing w:after="120" w:line="360" w:lineRule="auto"/>
        <w:ind w:left="0" w:firstLine="0"/>
        <w:jc w:val="both"/>
      </w:pPr>
      <w:r w:rsidRPr="00DF0D90">
        <w:t>УЗИ органов брюшной полости – каждые 3–4 мес.;</w:t>
      </w:r>
    </w:p>
    <w:p w14:paraId="66FAACF6" w14:textId="77777777" w:rsidR="00630BAC" w:rsidRPr="00DF0D90" w:rsidRDefault="00630BAC" w:rsidP="00BD2E7C">
      <w:pPr>
        <w:pStyle w:val="af2"/>
        <w:numPr>
          <w:ilvl w:val="0"/>
          <w:numId w:val="20"/>
        </w:numPr>
        <w:spacing w:after="120" w:line="360" w:lineRule="auto"/>
        <w:ind w:left="0" w:firstLine="0"/>
        <w:jc w:val="both"/>
      </w:pPr>
      <w:r w:rsidRPr="00DF0D90">
        <w:t>КТ или МРТ органов брюшной полости с внутривенным контрастированием – каждые 3–6 мес.;</w:t>
      </w:r>
    </w:p>
    <w:p w14:paraId="39CA5812" w14:textId="77777777" w:rsidR="00630BAC" w:rsidRPr="00DF0D90" w:rsidRDefault="00630BAC" w:rsidP="00BD2E7C">
      <w:pPr>
        <w:pStyle w:val="af2"/>
        <w:numPr>
          <w:ilvl w:val="0"/>
          <w:numId w:val="20"/>
        </w:numPr>
        <w:spacing w:after="120" w:line="360" w:lineRule="auto"/>
        <w:ind w:left="0" w:firstLine="0"/>
        <w:jc w:val="both"/>
      </w:pPr>
      <w:r w:rsidRPr="00DF0D90">
        <w:t>рентгенография органов грудной клетки – каждые 12 мес.</w:t>
      </w:r>
    </w:p>
    <w:p w14:paraId="22A18A4D" w14:textId="77777777" w:rsidR="00630BAC" w:rsidRPr="00DF0D90" w:rsidRDefault="00630BAC" w:rsidP="00BD2E7C">
      <w:pPr>
        <w:pStyle w:val="afa"/>
        <w:spacing w:after="120" w:line="360" w:lineRule="auto"/>
        <w:jc w:val="both"/>
      </w:pPr>
      <w:r w:rsidRPr="00DF0D90">
        <w:t xml:space="preserve">Уровень убедительности рекомендаций – </w:t>
      </w:r>
      <w:r w:rsidR="0023448E" w:rsidRPr="00DF0D90">
        <w:t>С</w:t>
      </w:r>
      <w:r w:rsidR="001A2966" w:rsidRPr="00DF0D90">
        <w:rPr>
          <w:lang w:val="ru-RU"/>
        </w:rPr>
        <w:t xml:space="preserve"> </w:t>
      </w:r>
      <w:r w:rsidRPr="00DF0D90">
        <w:t xml:space="preserve">(уровень достоверности доказательств – </w:t>
      </w:r>
      <w:r w:rsidR="0023448E" w:rsidRPr="00DF0D90">
        <w:t>5</w:t>
      </w:r>
      <w:r w:rsidRPr="00DF0D90">
        <w:t>).</w:t>
      </w:r>
    </w:p>
    <w:p w14:paraId="2A4364B2" w14:textId="77777777" w:rsidR="00630BAC" w:rsidRPr="00DF0D90" w:rsidRDefault="00630BAC" w:rsidP="006D217F">
      <w:pPr>
        <w:spacing w:after="120" w:line="360" w:lineRule="auto"/>
        <w:ind w:firstLine="567"/>
        <w:jc w:val="both"/>
        <w:rPr>
          <w:i/>
        </w:rPr>
      </w:pPr>
      <w:r w:rsidRPr="00DF0D90">
        <w:rPr>
          <w:b/>
        </w:rPr>
        <w:t>Комментарии</w:t>
      </w:r>
      <w:r w:rsidRPr="00DF0D90">
        <w:t xml:space="preserve">: </w:t>
      </w:r>
      <w:r w:rsidRPr="00DF0D90">
        <w:rPr>
          <w:i/>
        </w:rPr>
        <w:t xml:space="preserve">задачей наблюдения является раннее выявление прогрессирования заболевания после завершения лечения с целью раннего проведения хирургического лечения </w:t>
      </w:r>
      <w:proofErr w:type="spellStart"/>
      <w:r w:rsidRPr="00DF0D90">
        <w:rPr>
          <w:i/>
        </w:rPr>
        <w:t>резектабельных</w:t>
      </w:r>
      <w:proofErr w:type="spellEnd"/>
      <w:r w:rsidRPr="00DF0D90">
        <w:rPr>
          <w:i/>
        </w:rPr>
        <w:t xml:space="preserve"> метастатических очагов, </w:t>
      </w:r>
      <w:proofErr w:type="spellStart"/>
      <w:r w:rsidRPr="00DF0D90">
        <w:rPr>
          <w:i/>
        </w:rPr>
        <w:t>аблации</w:t>
      </w:r>
      <w:proofErr w:type="spellEnd"/>
      <w:r w:rsidRPr="00DF0D90">
        <w:rPr>
          <w:i/>
        </w:rPr>
        <w:t xml:space="preserve"> и/или </w:t>
      </w:r>
      <w:proofErr w:type="spellStart"/>
      <w:r w:rsidRPr="00DF0D90">
        <w:rPr>
          <w:i/>
        </w:rPr>
        <w:t>химиоэмболизации</w:t>
      </w:r>
      <w:proofErr w:type="spellEnd"/>
      <w:r w:rsidRPr="00DF0D90">
        <w:rPr>
          <w:i/>
        </w:rPr>
        <w:t xml:space="preserve"> рецидивных опухолей, своевременного начала лекарственного противоопухолевого лечения.</w:t>
      </w:r>
    </w:p>
    <w:p w14:paraId="767AC765" w14:textId="77777777" w:rsidR="00630BAC" w:rsidRPr="00DF0D90" w:rsidRDefault="00630BAC" w:rsidP="006D217F">
      <w:pPr>
        <w:pStyle w:val="a"/>
        <w:spacing w:before="0" w:after="120" w:line="360" w:lineRule="auto"/>
        <w:ind w:firstLine="567"/>
        <w:jc w:val="both"/>
      </w:pPr>
      <w:r w:rsidRPr="00DF0D90">
        <w:rPr>
          <w:b/>
        </w:rPr>
        <w:t>Рекомендуется</w:t>
      </w:r>
      <w:r w:rsidRPr="00DF0D90">
        <w:t xml:space="preserve"> соблюдать следующую периодичность и применять следующие методы наблюдения за </w:t>
      </w:r>
      <w:r w:rsidRPr="00DF0D90">
        <w:rPr>
          <w:color w:val="auto"/>
        </w:rPr>
        <w:t>пациентами, проходящими противоопухолевое лечение по поводу ГЦР</w:t>
      </w:r>
      <w:r w:rsidR="001A2966" w:rsidRPr="00DF0D90">
        <w:rPr>
          <w:color w:val="auto"/>
          <w:lang w:val="ru-RU"/>
        </w:rPr>
        <w:t xml:space="preserve"> </w:t>
      </w:r>
      <w:r w:rsidR="0023448E" w:rsidRPr="00DF0D90">
        <w:rPr>
          <w:spacing w:val="-4"/>
        </w:rPr>
        <w:t xml:space="preserve">для раннего выявления прогрессирования заболевания </w:t>
      </w:r>
      <w:r w:rsidR="006B4DBC" w:rsidRPr="00DF0D90">
        <w:rPr>
          <w:spacing w:val="-4"/>
          <w:lang w:val="ru-RU"/>
        </w:rPr>
        <w:t xml:space="preserve">  </w:t>
      </w:r>
      <w:r w:rsidR="006B4DBC" w:rsidRPr="00DF0D90">
        <w:rPr>
          <w:spacing w:val="-4"/>
          <w:lang w:val="ru-RU"/>
        </w:rPr>
        <w:fldChar w:fldCharType="begin" w:fldLock="1"/>
      </w:r>
      <w:r w:rsidR="007335C5" w:rsidRPr="00DF0D90">
        <w:rPr>
          <w:spacing w:val="-4"/>
          <w:lang w:val="ru-RU"/>
        </w:rPr>
        <w:instrText>ADDIN CSL_CITATION {"citationItems":[{"id":"ITEM-1","itemData":{"DOI":"10.1002/hep.29913","ISSN":"15273350","PMID":"29624699","author":[{"dropping-particle":"","family":"Marrero","given":"Jorge A.","non-dropping-particle":"","parse-names":false,"suffix":""},{"dropping-particle":"","family":"Kulik","given":"Laura M.","non-dropping-particle":"","parse-names":false,"suffix":""},{"dropping-particle":"","family":"Sirlin","given":"Claude B.","non-dropping-particle":"","parse-names":false,"suffix":""},{"dropping-particle":"","family":"Zhu","given":"Andrew X.","non-dropping-particle":"","parse-names":false,"suffix":""},{"dropping-particle":"","family":"Finn","given":"Richard S.","non-dropping-particle":"","parse-names":false,"suffix":""},{"dropping-particle":"","family":"Abecassis","given":"Michael M.","non-dropping-particle":"","parse-names":false,"suffix":""},{"dropping-particle":"","family":"Roberts","given":"Lewis R.","non-dropping-particle":"","parse-names":false,"suffix":""},{"dropping-particle":"","family":"Heimbach","given":"Julie K.","non-dropping-particle":"","parse-names":false,"suffix":""}],"container-title":"Hepatology","id":"ITEM-1","issue":"2","issued":{"date-parts":[["2018","8","1"]]},"page":"723-750","publisher":"John Wiley and Sons Inc.","title":"Diagnosis, Staging, and Management of Hepatocellular Carcinoma: 2018 Practice Guidance by the American Association for the Study of Liver Diseases","type":"article-journal","volume":"68"},"uris":["http://www.mendeley.com/documents/?uuid=524b992f-ba18-31f8-aa7d-c271bdc57c09"]},{"id":"ITEM-2","itemData":{"author":[{"dropping-particle":"","family":"NCCN","given":"","non-dropping-particle":"","parse-names":false,"suffix":""}],"id":"ITEM-2","issued":{"date-parts":[["2021"]]},"title":"Clinical Practice Guidelines in Oncology. Hepatobiliary Cancers, version 4.2021","type":"article-journal"},"uris":["http://www.mendeley.com/documents/?uuid=db314d5f-b05a-4fec-a403-5589c18d9ebd"]},{"id":"ITEM-3","itemData":{"DOI":"10.1016/j.jhep.2018.03.019","ISSN":"16000641","PMID":"29628281","author":[{"dropping-particle":"","family":"Galle","given":"Peter R.","non-dropping-particle":"","parse-names":false,"suffix":""},{"dropping-particle":"","family":"Forner","given":"Alejandro","non-dropping-particle":"","parse-names":false,"suffix":""},{"dropping-particle":"","family":"Llovet","given":"Josep M.","non-dropping-particle":"","parse-names":false,"suffix":""},{"dropping-particle":"","family":"Mazzaferro","given":"Vincenzo","non-dropping-particle":"","parse-names":false,"suffix":""},{"dropping-particle":"","family":"Piscaglia","given":"Fabio","non-dropping-particle":"","parse-names":false,"suffix":""},{"dropping-particle":"","family":"Raoul","given":"Jean Luc","non-dropping-particle":"","parse-names":false,"suffix":""},{"dropping-particle":"","family":"Schirmacher","given":"Peter","non-dropping-particle":"","parse-names":false,"suffix":""},{"dropping-particle":"","family":"Vilgrain","given":"Valérie","non-dropping-particle":"","parse-names":false,"suffix":""}],"container-title":"Journal of Hepatology","id":"ITEM-3","issue":"1","issued":{"date-parts":[["2018","7","1"]]},"page":"182-236","publisher":"Elsevier B.V.","title":"EASL Clinical Practice Guidelines: Management of hepatocellular carcinoma","type":"article-journal","volume":"69"},"uris":["http://www.mendeley.com/documents/?uuid=055ddbc3-5b48-34fb-b03b-bdc43880d69c"]}],"mendeley":{"formattedCitation":"[6,9,14]","plainTextFormattedCitation":"[6,9,14]","previouslyFormattedCitation":"[6,9,14]"},"properties":{"noteIndex":0},"schema":"https://github.com/citation-style-language/schema/raw/master/csl-citation.json"}</w:instrText>
      </w:r>
      <w:r w:rsidR="006B4DBC" w:rsidRPr="00DF0D90">
        <w:rPr>
          <w:spacing w:val="-4"/>
          <w:lang w:val="ru-RU"/>
        </w:rPr>
        <w:fldChar w:fldCharType="separate"/>
      </w:r>
      <w:r w:rsidR="00C34389" w:rsidRPr="00DF0D90">
        <w:rPr>
          <w:noProof/>
          <w:spacing w:val="-4"/>
          <w:lang w:val="ru-RU"/>
        </w:rPr>
        <w:t>[6,9,14]</w:t>
      </w:r>
      <w:r w:rsidR="006B4DBC" w:rsidRPr="00DF0D90">
        <w:rPr>
          <w:spacing w:val="-4"/>
          <w:lang w:val="ru-RU"/>
        </w:rPr>
        <w:fldChar w:fldCharType="end"/>
      </w:r>
      <w:r w:rsidR="006B4DBC" w:rsidRPr="00DF0D90">
        <w:rPr>
          <w:spacing w:val="-4"/>
        </w:rPr>
        <w:t>:</w:t>
      </w:r>
    </w:p>
    <w:p w14:paraId="5F405983" w14:textId="77777777" w:rsidR="00630BAC" w:rsidRPr="00DF0D90" w:rsidRDefault="00630BAC" w:rsidP="00542BA2">
      <w:pPr>
        <w:pStyle w:val="af2"/>
        <w:numPr>
          <w:ilvl w:val="0"/>
          <w:numId w:val="21"/>
        </w:numPr>
        <w:spacing w:line="360" w:lineRule="auto"/>
        <w:ind w:left="0" w:firstLine="567"/>
        <w:jc w:val="both"/>
      </w:pPr>
      <w:r w:rsidRPr="00DF0D90">
        <w:t>сбор анамнеза заболевания и лечения, включая данные о сопутствующей патологии, и физикальное обследование;</w:t>
      </w:r>
    </w:p>
    <w:p w14:paraId="42B6DF1D" w14:textId="11EA0A82" w:rsidR="00630BAC" w:rsidRPr="00DF0D90" w:rsidRDefault="00CA0646" w:rsidP="00542BA2">
      <w:pPr>
        <w:pStyle w:val="af2"/>
        <w:numPr>
          <w:ilvl w:val="0"/>
          <w:numId w:val="21"/>
        </w:numPr>
        <w:spacing w:line="360" w:lineRule="auto"/>
        <w:ind w:left="0" w:firstLine="567"/>
        <w:jc w:val="both"/>
      </w:pPr>
      <w:r>
        <w:t xml:space="preserve">общий </w:t>
      </w:r>
      <w:r w:rsidR="001A111B">
        <w:t>(</w:t>
      </w:r>
      <w:r w:rsidR="00630BAC" w:rsidRPr="00DF0D90">
        <w:t>клинический</w:t>
      </w:r>
      <w:r w:rsidR="001A111B">
        <w:t>)</w:t>
      </w:r>
      <w:r w:rsidR="00630BAC" w:rsidRPr="00DF0D90">
        <w:t xml:space="preserve"> анализ крови</w:t>
      </w:r>
      <w:r w:rsidR="001A111B">
        <w:t xml:space="preserve"> </w:t>
      </w:r>
      <w:r w:rsidR="001A111B" w:rsidRPr="00DF0D90">
        <w:t>развернутый</w:t>
      </w:r>
      <w:r w:rsidR="00630BAC" w:rsidRPr="00DF0D90">
        <w:t xml:space="preserve"> (</w:t>
      </w:r>
      <w:r w:rsidR="0023448E" w:rsidRPr="00DF0D90">
        <w:t xml:space="preserve">лейкоцитарная </w:t>
      </w:r>
      <w:r w:rsidR="00630BAC" w:rsidRPr="00DF0D90">
        <w:t>формула, число тромбоцитов);</w:t>
      </w:r>
    </w:p>
    <w:p w14:paraId="7C9A4448" w14:textId="439994E2" w:rsidR="00630BAC" w:rsidRPr="00DF0D90" w:rsidRDefault="00CA0646" w:rsidP="00542BA2">
      <w:pPr>
        <w:pStyle w:val="af2"/>
        <w:numPr>
          <w:ilvl w:val="0"/>
          <w:numId w:val="21"/>
        </w:numPr>
        <w:spacing w:line="360" w:lineRule="auto"/>
        <w:ind w:left="0" w:firstLine="567"/>
        <w:jc w:val="both"/>
      </w:pPr>
      <w:r>
        <w:lastRenderedPageBreak/>
        <w:t xml:space="preserve">анализ крови биохимический </w:t>
      </w:r>
      <w:r w:rsidR="001D7B82">
        <w:t>общетерапевтический</w:t>
      </w:r>
      <w:r w:rsidR="001D7B82" w:rsidRPr="00DF0D90" w:rsidDel="00CA0646">
        <w:t xml:space="preserve"> </w:t>
      </w:r>
      <w:r w:rsidR="001D7B82" w:rsidRPr="00DF0D90">
        <w:t>(</w:t>
      </w:r>
      <w:r w:rsidR="00630BAC" w:rsidRPr="00DF0D90">
        <w:t>определение уровня мочевины, креатинина, альбумина, глюкозы, АСТ, АЛТ, щелочной фосфатазы);</w:t>
      </w:r>
    </w:p>
    <w:p w14:paraId="453A7BD0" w14:textId="77777777" w:rsidR="00630BAC" w:rsidRPr="00DF0D90" w:rsidRDefault="00630BAC" w:rsidP="00542BA2">
      <w:pPr>
        <w:pStyle w:val="af2"/>
        <w:numPr>
          <w:ilvl w:val="0"/>
          <w:numId w:val="21"/>
        </w:numPr>
        <w:spacing w:line="360" w:lineRule="auto"/>
        <w:ind w:left="0" w:firstLine="567"/>
        <w:jc w:val="both"/>
      </w:pPr>
      <w:r w:rsidRPr="00DF0D90">
        <w:t>коагулограмма (международное нормализованное отношение</w:t>
      </w:r>
      <w:r w:rsidR="00542BA2" w:rsidRPr="00DF0D90">
        <w:t xml:space="preserve"> или </w:t>
      </w:r>
      <w:proofErr w:type="spellStart"/>
      <w:r w:rsidR="00542BA2" w:rsidRPr="00DF0D90">
        <w:t>протромбиновое</w:t>
      </w:r>
      <w:proofErr w:type="spellEnd"/>
      <w:r w:rsidR="00542BA2" w:rsidRPr="00DF0D90">
        <w:t xml:space="preserve"> время</w:t>
      </w:r>
      <w:r w:rsidRPr="00DF0D90">
        <w:t>);</w:t>
      </w:r>
    </w:p>
    <w:p w14:paraId="6FACA590" w14:textId="77777777" w:rsidR="00630BAC" w:rsidRPr="00DF0D90" w:rsidRDefault="00630BAC" w:rsidP="00542BA2">
      <w:pPr>
        <w:pStyle w:val="af2"/>
        <w:numPr>
          <w:ilvl w:val="0"/>
          <w:numId w:val="21"/>
        </w:numPr>
        <w:spacing w:line="360" w:lineRule="auto"/>
        <w:ind w:left="0" w:firstLine="567"/>
        <w:jc w:val="both"/>
      </w:pPr>
      <w:r w:rsidRPr="00DF0D90">
        <w:t>определение уровня АФП – каждые 3–4 мес.;</w:t>
      </w:r>
    </w:p>
    <w:p w14:paraId="4D587EB2" w14:textId="77777777" w:rsidR="00630BAC" w:rsidRPr="00DF0D90" w:rsidRDefault="00630BAC" w:rsidP="00542BA2">
      <w:pPr>
        <w:pStyle w:val="af2"/>
        <w:numPr>
          <w:ilvl w:val="0"/>
          <w:numId w:val="21"/>
        </w:numPr>
        <w:spacing w:line="360" w:lineRule="auto"/>
        <w:ind w:left="0" w:firstLine="567"/>
        <w:jc w:val="both"/>
      </w:pPr>
      <w:r w:rsidRPr="00DF0D90">
        <w:t>УЗИ органов брюшной полости – каждые 2–3 мес.;</w:t>
      </w:r>
    </w:p>
    <w:p w14:paraId="57015664" w14:textId="77777777" w:rsidR="00630BAC" w:rsidRPr="00DF0D90" w:rsidRDefault="00630BAC" w:rsidP="00542BA2">
      <w:pPr>
        <w:pStyle w:val="af2"/>
        <w:numPr>
          <w:ilvl w:val="0"/>
          <w:numId w:val="21"/>
        </w:numPr>
        <w:spacing w:line="360" w:lineRule="auto"/>
        <w:ind w:left="0" w:firstLine="567"/>
        <w:jc w:val="both"/>
      </w:pPr>
      <w:proofErr w:type="spellStart"/>
      <w:r w:rsidRPr="00DF0D90">
        <w:t>эзофагогастродуоденоскопия</w:t>
      </w:r>
      <w:proofErr w:type="spellEnd"/>
      <w:r w:rsidRPr="00DF0D90">
        <w:t xml:space="preserve"> – каждые 6 мес.;</w:t>
      </w:r>
    </w:p>
    <w:p w14:paraId="695C3176" w14:textId="77777777" w:rsidR="00630BAC" w:rsidRPr="00DF0D90" w:rsidRDefault="00630BAC" w:rsidP="00542BA2">
      <w:pPr>
        <w:pStyle w:val="af2"/>
        <w:numPr>
          <w:ilvl w:val="0"/>
          <w:numId w:val="21"/>
        </w:numPr>
        <w:spacing w:line="360" w:lineRule="auto"/>
        <w:ind w:left="0" w:firstLine="567"/>
        <w:jc w:val="both"/>
      </w:pPr>
      <w:proofErr w:type="spellStart"/>
      <w:r w:rsidRPr="00DF0D90">
        <w:t>мультифазная</w:t>
      </w:r>
      <w:proofErr w:type="spellEnd"/>
      <w:r w:rsidRPr="00DF0D90">
        <w:t xml:space="preserve"> КТ или МРТ органов брюшной полости с внутривенным контрастированием – каждые 3–4 мес.;</w:t>
      </w:r>
    </w:p>
    <w:p w14:paraId="10E274BB" w14:textId="77777777" w:rsidR="00630BAC" w:rsidRPr="00DF0D90" w:rsidRDefault="00630BAC" w:rsidP="00542BA2">
      <w:pPr>
        <w:pStyle w:val="af2"/>
        <w:numPr>
          <w:ilvl w:val="0"/>
          <w:numId w:val="21"/>
        </w:numPr>
        <w:spacing w:line="360" w:lineRule="auto"/>
        <w:ind w:left="0" w:firstLine="567"/>
        <w:jc w:val="both"/>
      </w:pPr>
      <w:r w:rsidRPr="00DF0D90">
        <w:t>рентгенография органов грудной клетки – каждые 6 мес.;</w:t>
      </w:r>
    </w:p>
    <w:p w14:paraId="5AA4DCE2" w14:textId="77777777" w:rsidR="00630BAC" w:rsidRPr="00DF0D90" w:rsidRDefault="00630BAC" w:rsidP="00542BA2">
      <w:pPr>
        <w:pStyle w:val="af2"/>
        <w:numPr>
          <w:ilvl w:val="0"/>
          <w:numId w:val="21"/>
        </w:numPr>
        <w:spacing w:line="360" w:lineRule="auto"/>
        <w:ind w:left="0" w:firstLine="567"/>
        <w:jc w:val="both"/>
      </w:pPr>
      <w:r w:rsidRPr="00DF0D90">
        <w:t xml:space="preserve">сцинтиграфия </w:t>
      </w:r>
      <w:r w:rsidR="002A397A" w:rsidRPr="00DF0D90">
        <w:t>костей всего тела</w:t>
      </w:r>
      <w:r w:rsidRPr="00DF0D90">
        <w:t xml:space="preserve"> – по показаниям.</w:t>
      </w:r>
    </w:p>
    <w:p w14:paraId="01BAB7BA" w14:textId="77777777" w:rsidR="00630BAC" w:rsidRPr="00DF0D90" w:rsidRDefault="00630BAC" w:rsidP="00542BA2">
      <w:pPr>
        <w:pStyle w:val="afa"/>
        <w:spacing w:after="120" w:line="360" w:lineRule="auto"/>
        <w:jc w:val="both"/>
      </w:pPr>
      <w:r w:rsidRPr="00DF0D90">
        <w:t xml:space="preserve">Уровень убедительности рекомендаций – </w:t>
      </w:r>
      <w:r w:rsidR="0023448E" w:rsidRPr="00DF0D90">
        <w:t>С</w:t>
      </w:r>
      <w:r w:rsidR="001A2966" w:rsidRPr="00DF0D90">
        <w:rPr>
          <w:lang w:val="ru-RU"/>
        </w:rPr>
        <w:t xml:space="preserve"> </w:t>
      </w:r>
      <w:r w:rsidRPr="00DF0D90">
        <w:t xml:space="preserve">(уровень достоверности доказательств – </w:t>
      </w:r>
      <w:r w:rsidR="0023448E" w:rsidRPr="00DF0D90">
        <w:t>5</w:t>
      </w:r>
      <w:r w:rsidRPr="00DF0D90">
        <w:t>).</w:t>
      </w:r>
    </w:p>
    <w:p w14:paraId="73270414" w14:textId="77777777" w:rsidR="00FE4F7D" w:rsidRPr="00DF0D90" w:rsidRDefault="00FE4F7D" w:rsidP="00542BA2">
      <w:pPr>
        <w:pStyle w:val="afa"/>
        <w:spacing w:after="120" w:line="360" w:lineRule="auto"/>
        <w:jc w:val="both"/>
      </w:pPr>
    </w:p>
    <w:p w14:paraId="3AD4653C" w14:textId="77777777" w:rsidR="00630BAC" w:rsidRPr="00DF0D90" w:rsidRDefault="00FE4F7D" w:rsidP="00801019">
      <w:pPr>
        <w:pStyle w:val="42"/>
      </w:pPr>
      <w:bookmarkStart w:id="125" w:name="_Toc98349299"/>
      <w:bookmarkStart w:id="126" w:name="_Toc83293997"/>
      <w:bookmarkStart w:id="127" w:name="_Toc467601720"/>
      <w:r w:rsidRPr="00DF0D90">
        <w:rPr>
          <w:lang w:val="ru-RU"/>
        </w:rPr>
        <w:t xml:space="preserve">6. </w:t>
      </w:r>
      <w:r w:rsidR="00630BAC" w:rsidRPr="00DF0D90">
        <w:t>Организация медицинской помощи</w:t>
      </w:r>
      <w:bookmarkEnd w:id="125"/>
      <w:bookmarkEnd w:id="126"/>
    </w:p>
    <w:p w14:paraId="013C83D8" w14:textId="77777777" w:rsidR="00630BAC" w:rsidRPr="00DF0D90" w:rsidRDefault="00630BAC" w:rsidP="006D217F">
      <w:pPr>
        <w:spacing w:after="120" w:line="360" w:lineRule="auto"/>
        <w:ind w:firstLine="567"/>
        <w:jc w:val="both"/>
        <w:rPr>
          <w:bCs/>
          <w:iCs/>
          <w:color w:val="000000"/>
        </w:rPr>
      </w:pPr>
      <w:r w:rsidRPr="00DF0D90">
        <w:rPr>
          <w:bCs/>
          <w:iCs/>
          <w:color w:val="000000"/>
        </w:rPr>
        <w:t>Медицинская помощь, за исключением медицинской помощи в рамках клинической апробации, в соответствии с федеральным законом от 21.11.2011 № 323-ФЗ (ред. от 25.05.2019) «Об основах охраны здоровья граждан в Российской Федерации», организуется и оказывается:</w:t>
      </w:r>
    </w:p>
    <w:p w14:paraId="099AAF2B" w14:textId="77777777" w:rsidR="00630BAC" w:rsidRPr="00DF0D90" w:rsidRDefault="00630BAC" w:rsidP="00542BA2">
      <w:pPr>
        <w:numPr>
          <w:ilvl w:val="0"/>
          <w:numId w:val="4"/>
        </w:numPr>
        <w:adjustRightInd w:val="0"/>
        <w:spacing w:after="120" w:line="360" w:lineRule="auto"/>
        <w:ind w:left="0" w:firstLine="567"/>
        <w:jc w:val="both"/>
        <w:rPr>
          <w:bCs/>
          <w:iCs/>
          <w:color w:val="000000"/>
        </w:rPr>
      </w:pPr>
      <w:r w:rsidRPr="00DF0D90">
        <w:rPr>
          <w:bCs/>
          <w:iCs/>
          <w:color w:val="000000"/>
        </w:rPr>
        <w:t>в соответствии с положением об организации оказания медицинской помощи по видам медицинской помощи, которое утверждается уполномоченным федеральным органом исполнительной власти;</w:t>
      </w:r>
    </w:p>
    <w:p w14:paraId="0E3EB2DB" w14:textId="77777777" w:rsidR="00630BAC" w:rsidRPr="00DF0D90" w:rsidRDefault="00630BAC" w:rsidP="00542BA2">
      <w:pPr>
        <w:numPr>
          <w:ilvl w:val="0"/>
          <w:numId w:val="4"/>
        </w:numPr>
        <w:adjustRightInd w:val="0"/>
        <w:spacing w:after="120" w:line="360" w:lineRule="auto"/>
        <w:ind w:left="0" w:firstLine="567"/>
        <w:jc w:val="both"/>
        <w:rPr>
          <w:bCs/>
          <w:iCs/>
          <w:color w:val="000000"/>
        </w:rPr>
      </w:pPr>
      <w:r w:rsidRPr="00DF0D90">
        <w:rPr>
          <w:bCs/>
          <w:iCs/>
          <w:color w:val="000000"/>
        </w:rPr>
        <w:t>в соответствии с порядком оказания помощи по профилю «онкология», обязательным для исполнения на территории Российской Федерации всеми медицинскими организациями;</w:t>
      </w:r>
    </w:p>
    <w:p w14:paraId="16603D50" w14:textId="77777777" w:rsidR="00630BAC" w:rsidRPr="00DF0D90" w:rsidRDefault="00630BAC" w:rsidP="00542BA2">
      <w:pPr>
        <w:numPr>
          <w:ilvl w:val="0"/>
          <w:numId w:val="4"/>
        </w:numPr>
        <w:adjustRightInd w:val="0"/>
        <w:spacing w:after="120" w:line="360" w:lineRule="auto"/>
        <w:ind w:left="0" w:firstLine="567"/>
        <w:jc w:val="both"/>
        <w:rPr>
          <w:bCs/>
          <w:iCs/>
          <w:color w:val="000000"/>
        </w:rPr>
      </w:pPr>
      <w:r w:rsidRPr="00DF0D90">
        <w:rPr>
          <w:bCs/>
          <w:iCs/>
          <w:color w:val="000000"/>
        </w:rPr>
        <w:t>на основе настоящих клинических рекомендаций;</w:t>
      </w:r>
    </w:p>
    <w:p w14:paraId="051CD54F" w14:textId="77777777" w:rsidR="00630BAC" w:rsidRPr="00DF0D90" w:rsidRDefault="00630BAC" w:rsidP="00542BA2">
      <w:pPr>
        <w:numPr>
          <w:ilvl w:val="0"/>
          <w:numId w:val="4"/>
        </w:numPr>
        <w:adjustRightInd w:val="0"/>
        <w:spacing w:after="120" w:line="360" w:lineRule="auto"/>
        <w:ind w:left="0" w:firstLine="567"/>
        <w:jc w:val="both"/>
        <w:rPr>
          <w:bCs/>
          <w:iCs/>
          <w:color w:val="000000"/>
        </w:rPr>
      </w:pPr>
      <w:r w:rsidRPr="00DF0D90">
        <w:rPr>
          <w:bCs/>
          <w:iCs/>
          <w:color w:val="000000"/>
        </w:rPr>
        <w:t>с учетом стандартов медицинской помощи, утвержденных уполномоченным федеральным органом исполнительной власти.</w:t>
      </w:r>
    </w:p>
    <w:p w14:paraId="3E2FEC1D" w14:textId="77777777" w:rsidR="00630BAC" w:rsidRPr="00DF0D90" w:rsidRDefault="00630BAC" w:rsidP="006D217F">
      <w:pPr>
        <w:adjustRightInd w:val="0"/>
        <w:spacing w:after="120" w:line="360" w:lineRule="auto"/>
        <w:ind w:firstLine="567"/>
        <w:jc w:val="both"/>
        <w:rPr>
          <w:color w:val="000000"/>
        </w:rPr>
      </w:pPr>
      <w:bookmarkStart w:id="128" w:name="dst382"/>
      <w:bookmarkEnd w:id="128"/>
      <w:r w:rsidRPr="00DF0D90">
        <w:rPr>
          <w:color w:val="000000"/>
        </w:rPr>
        <w:t>Первичная специализированная медико-санитарная помощь оказывается врачом-онкологом и иными врачами-специалистами в центре амбулаторной онкологической помощи либо в первичном онкологическом кабинете, первичном онкологическом отделении, поликлиническом отделении онкологического диспансера.</w:t>
      </w:r>
    </w:p>
    <w:p w14:paraId="4F81DD67" w14:textId="77777777" w:rsidR="00630BAC" w:rsidRPr="00DF0D90" w:rsidRDefault="00630BAC" w:rsidP="006D217F">
      <w:pPr>
        <w:adjustRightInd w:val="0"/>
        <w:spacing w:after="120" w:line="360" w:lineRule="auto"/>
        <w:ind w:firstLine="567"/>
        <w:jc w:val="both"/>
        <w:rPr>
          <w:color w:val="000000"/>
        </w:rPr>
      </w:pPr>
      <w:r w:rsidRPr="00DF0D90">
        <w:rPr>
          <w:color w:val="000000"/>
        </w:rPr>
        <w:lastRenderedPageBreak/>
        <w:t xml:space="preserve">При подозрении или выявлении у </w:t>
      </w:r>
      <w:r w:rsidR="00716ADB" w:rsidRPr="00DF0D90">
        <w:rPr>
          <w:color w:val="000000"/>
        </w:rPr>
        <w:t>пациента</w:t>
      </w:r>
      <w:r w:rsidR="001A2966" w:rsidRPr="00DF0D90">
        <w:rPr>
          <w:color w:val="000000"/>
        </w:rPr>
        <w:t xml:space="preserve"> </w:t>
      </w:r>
      <w:r w:rsidRPr="00DF0D90">
        <w:rPr>
          <w:color w:val="000000"/>
        </w:rPr>
        <w:t xml:space="preserve">онкологического заболевания врачи-терапевты, участковые врачи-терапевты, врачи общей практики (семейные врачи), врачи-специалисты, средние медицинские работники в установленном порядке направляют </w:t>
      </w:r>
      <w:r w:rsidR="00716ADB" w:rsidRPr="00DF0D90">
        <w:rPr>
          <w:color w:val="000000"/>
        </w:rPr>
        <w:t>пациента</w:t>
      </w:r>
      <w:r w:rsidR="001A2966" w:rsidRPr="00DF0D90">
        <w:rPr>
          <w:color w:val="000000"/>
        </w:rPr>
        <w:t xml:space="preserve"> </w:t>
      </w:r>
      <w:r w:rsidRPr="00DF0D90">
        <w:rPr>
          <w:color w:val="000000"/>
        </w:rPr>
        <w:t>на консультацию в центр амбулаторной онкологической помощи либо в первичный онкологический кабинет, первичное онкологическое отделение медицинской организации для оказания ему первичной специализированной медико-санитарной помощи.</w:t>
      </w:r>
    </w:p>
    <w:p w14:paraId="441797E0" w14:textId="77777777" w:rsidR="00630BAC" w:rsidRPr="00DF0D90" w:rsidRDefault="00630BAC" w:rsidP="006D217F">
      <w:pPr>
        <w:adjustRightInd w:val="0"/>
        <w:spacing w:after="120" w:line="360" w:lineRule="auto"/>
        <w:ind w:firstLine="567"/>
        <w:jc w:val="both"/>
        <w:rPr>
          <w:color w:val="000000"/>
        </w:rPr>
      </w:pPr>
      <w:r w:rsidRPr="00DF0D90">
        <w:rPr>
          <w:color w:val="000000"/>
        </w:rPr>
        <w:t xml:space="preserve">Консультация в центре амбулаторной онкологической помощи либо в первичном онкологическом кабинете, первичном онкологическом отделении медицинской организации должна быть проведена не позднее 5 рабочих дней с даты выдачи направления на консультацию. Врач-онколог центра амбулаторной онкологической помощи (в случае отсутствия центра амбулаторной онкологической помощи врач-онколог первичного онкологического кабинета или первичного онкологического отделения) организует взятие </w:t>
      </w:r>
      <w:proofErr w:type="spellStart"/>
      <w:r w:rsidRPr="00DF0D90">
        <w:rPr>
          <w:color w:val="000000"/>
        </w:rPr>
        <w:t>биопсийного</w:t>
      </w:r>
      <w:proofErr w:type="spellEnd"/>
      <w:r w:rsidRPr="00DF0D90">
        <w:rPr>
          <w:color w:val="000000"/>
        </w:rPr>
        <w:t xml:space="preserve"> (операционного) материала, а также выполнение иных диагностических исследований, необходимых для установления диагноза, включая распространенность онкологического процесса и стадию заболевания.</w:t>
      </w:r>
    </w:p>
    <w:p w14:paraId="582A55F3" w14:textId="77777777" w:rsidR="00630BAC" w:rsidRPr="00DF0D90" w:rsidRDefault="00630BAC" w:rsidP="006D217F">
      <w:pPr>
        <w:adjustRightInd w:val="0"/>
        <w:spacing w:after="120" w:line="360" w:lineRule="auto"/>
        <w:ind w:firstLine="567"/>
        <w:jc w:val="both"/>
        <w:rPr>
          <w:color w:val="000000"/>
        </w:rPr>
      </w:pPr>
      <w:r w:rsidRPr="00DF0D90">
        <w:rPr>
          <w:color w:val="000000"/>
        </w:rPr>
        <w:t xml:space="preserve">В случае невозможности взятия в медицинской организации, в составе которой организован центр амбулаторной онкологической помощи (первичный онкологический кабинет, первичное онкологическое отделение), </w:t>
      </w:r>
      <w:proofErr w:type="spellStart"/>
      <w:r w:rsidRPr="00DF0D90">
        <w:rPr>
          <w:color w:val="000000"/>
        </w:rPr>
        <w:t>биопсийного</w:t>
      </w:r>
      <w:proofErr w:type="spellEnd"/>
      <w:r w:rsidRPr="00DF0D90">
        <w:rPr>
          <w:color w:val="000000"/>
        </w:rPr>
        <w:t xml:space="preserve"> (операционного) материала, проведения иных диагностических исследований пациент направляется лечащим врачом в онкологический диспансер или в медицинскую организацию, оказывающую медицинскую помощь </w:t>
      </w:r>
      <w:r w:rsidR="00D95F2E" w:rsidRPr="00DF0D90">
        <w:rPr>
          <w:color w:val="000000"/>
        </w:rPr>
        <w:t>пациентам</w:t>
      </w:r>
      <w:r w:rsidR="001A2966" w:rsidRPr="00DF0D90">
        <w:rPr>
          <w:color w:val="000000"/>
        </w:rPr>
        <w:t xml:space="preserve"> </w:t>
      </w:r>
      <w:r w:rsidRPr="00DF0D90">
        <w:rPr>
          <w:color w:val="000000"/>
        </w:rPr>
        <w:t>с онкологическими заболеваниями.</w:t>
      </w:r>
    </w:p>
    <w:p w14:paraId="6B30227E" w14:textId="77777777" w:rsidR="00630BAC" w:rsidRPr="00DF0D90" w:rsidRDefault="00630BAC" w:rsidP="006D217F">
      <w:pPr>
        <w:adjustRightInd w:val="0"/>
        <w:spacing w:after="120" w:line="360" w:lineRule="auto"/>
        <w:ind w:firstLine="567"/>
        <w:jc w:val="both"/>
        <w:rPr>
          <w:color w:val="000000"/>
        </w:rPr>
      </w:pPr>
      <w:r w:rsidRPr="00DF0D90">
        <w:rPr>
          <w:color w:val="000000"/>
        </w:rPr>
        <w:t xml:space="preserve">Срок выполнения патологоанатомических исследований, необходимых для гистологической верификации злокачественного новообразования, не должен превышать 15 рабочих дней с даты поступления </w:t>
      </w:r>
      <w:proofErr w:type="spellStart"/>
      <w:r w:rsidRPr="00DF0D90">
        <w:rPr>
          <w:color w:val="000000"/>
        </w:rPr>
        <w:t>биопсийного</w:t>
      </w:r>
      <w:proofErr w:type="spellEnd"/>
      <w:r w:rsidRPr="00DF0D90">
        <w:rPr>
          <w:color w:val="000000"/>
        </w:rPr>
        <w:t xml:space="preserve"> (операционного) материала в патологоанатомическое бюро (отделение).</w:t>
      </w:r>
    </w:p>
    <w:p w14:paraId="30A82619" w14:textId="77777777" w:rsidR="00630BAC" w:rsidRPr="00DF0D90" w:rsidRDefault="00630BAC" w:rsidP="006D217F">
      <w:pPr>
        <w:adjustRightInd w:val="0"/>
        <w:spacing w:after="120" w:line="360" w:lineRule="auto"/>
        <w:ind w:firstLine="567"/>
        <w:jc w:val="both"/>
        <w:rPr>
          <w:color w:val="000000"/>
          <w:spacing w:val="-4"/>
        </w:rPr>
      </w:pPr>
      <w:r w:rsidRPr="00DF0D90">
        <w:rPr>
          <w:color w:val="000000"/>
          <w:spacing w:val="-4"/>
        </w:rPr>
        <w:t xml:space="preserve">При выявлении у пациента онкологического заболевания или возникновении подозрения на него в ходе оказания ему скорой медицинской помощи его переводят или направляют в медицинские организации, оказывающие медицинскую помощь </w:t>
      </w:r>
      <w:r w:rsidR="00D95F2E" w:rsidRPr="00DF0D90">
        <w:rPr>
          <w:color w:val="000000"/>
          <w:spacing w:val="-4"/>
        </w:rPr>
        <w:t>пациентам</w:t>
      </w:r>
      <w:r w:rsidR="001A2966" w:rsidRPr="00DF0D90">
        <w:rPr>
          <w:color w:val="000000"/>
          <w:spacing w:val="-4"/>
        </w:rPr>
        <w:t xml:space="preserve"> </w:t>
      </w:r>
      <w:r w:rsidRPr="00DF0D90">
        <w:rPr>
          <w:color w:val="000000"/>
          <w:spacing w:val="-4"/>
        </w:rPr>
        <w:t>с онкологическими заболеваниями, для определения тактики ведения и необходимости применения дополнительно других методов специализированного противоопухолевого лечения.</w:t>
      </w:r>
    </w:p>
    <w:p w14:paraId="3DCA5D55" w14:textId="77777777" w:rsidR="00630BAC" w:rsidRPr="00DF0D90" w:rsidRDefault="00630BAC" w:rsidP="006D217F">
      <w:pPr>
        <w:adjustRightInd w:val="0"/>
        <w:spacing w:after="120" w:line="360" w:lineRule="auto"/>
        <w:ind w:firstLine="567"/>
        <w:jc w:val="both"/>
        <w:rPr>
          <w:color w:val="000000"/>
        </w:rPr>
      </w:pPr>
      <w:r w:rsidRPr="00DF0D90">
        <w:rPr>
          <w:color w:val="000000"/>
        </w:rPr>
        <w:t xml:space="preserve">Врач-онколог центра амбулаторной онкологической помощи (первичного онкологического кабинета, первичного онкологического отделения) направляет </w:t>
      </w:r>
      <w:r w:rsidR="00D95F2E" w:rsidRPr="00DF0D90">
        <w:rPr>
          <w:color w:val="000000"/>
        </w:rPr>
        <w:t>пациента</w:t>
      </w:r>
      <w:r w:rsidR="001A2966" w:rsidRPr="00DF0D90">
        <w:rPr>
          <w:color w:val="000000"/>
        </w:rPr>
        <w:t xml:space="preserve"> </w:t>
      </w:r>
      <w:r w:rsidRPr="00DF0D90">
        <w:rPr>
          <w:color w:val="000000"/>
        </w:rPr>
        <w:t xml:space="preserve">в онкологический диспансер или в медицинские организации, оказывающие медицинскую </w:t>
      </w:r>
      <w:r w:rsidRPr="00DF0D90">
        <w:rPr>
          <w:color w:val="000000"/>
        </w:rPr>
        <w:lastRenderedPageBreak/>
        <w:t xml:space="preserve">помощь </w:t>
      </w:r>
      <w:r w:rsidR="00D95F2E" w:rsidRPr="00DF0D90">
        <w:rPr>
          <w:color w:val="000000"/>
        </w:rPr>
        <w:t>пациентам</w:t>
      </w:r>
      <w:r w:rsidR="001A2966" w:rsidRPr="00DF0D90">
        <w:rPr>
          <w:color w:val="000000"/>
        </w:rPr>
        <w:t xml:space="preserve"> </w:t>
      </w:r>
      <w:r w:rsidRPr="00DF0D90">
        <w:rPr>
          <w:color w:val="000000"/>
        </w:rPr>
        <w:t>с онкологическими заболеваниями, для уточнения диагноза (в случае невозможности установления диагноза, включая распространенность онкологического процесса и стадию заболевания, врачом-онкологом центра амбулаторной онкологической помощи, первичного онкологического кабинета или первичного онкологического отделения) и оказания специализированной, в том числе высокотехнологичной, медицинской помощи.</w:t>
      </w:r>
    </w:p>
    <w:p w14:paraId="176B4DF6" w14:textId="77777777" w:rsidR="00630BAC" w:rsidRPr="00DF0D90" w:rsidRDefault="00630BAC" w:rsidP="006D217F">
      <w:pPr>
        <w:adjustRightInd w:val="0"/>
        <w:spacing w:after="120" w:line="360" w:lineRule="auto"/>
        <w:ind w:firstLine="567"/>
        <w:jc w:val="both"/>
        <w:rPr>
          <w:color w:val="000000"/>
        </w:rPr>
      </w:pPr>
      <w:r w:rsidRPr="00DF0D90">
        <w:rPr>
          <w:color w:val="000000"/>
        </w:rPr>
        <w:t xml:space="preserve">Срок начала оказания специализированной, за исключением высокотехнологичной, медицинской помощи </w:t>
      </w:r>
      <w:r w:rsidR="00D95F2E" w:rsidRPr="00DF0D90">
        <w:rPr>
          <w:color w:val="000000"/>
        </w:rPr>
        <w:t>пациентам</w:t>
      </w:r>
      <w:r w:rsidR="001A2966" w:rsidRPr="00DF0D90">
        <w:rPr>
          <w:color w:val="000000"/>
        </w:rPr>
        <w:t xml:space="preserve"> </w:t>
      </w:r>
      <w:r w:rsidRPr="00DF0D90">
        <w:rPr>
          <w:color w:val="000000"/>
        </w:rPr>
        <w:t xml:space="preserve">с онкологическими заболеваниями в медицинской организации, оказывающей медицинскую помощь </w:t>
      </w:r>
      <w:r w:rsidR="00D95F2E" w:rsidRPr="00DF0D90">
        <w:rPr>
          <w:color w:val="000000"/>
        </w:rPr>
        <w:t>пациентам</w:t>
      </w:r>
      <w:r w:rsidR="001A2966" w:rsidRPr="00DF0D90">
        <w:rPr>
          <w:color w:val="000000"/>
        </w:rPr>
        <w:t xml:space="preserve"> </w:t>
      </w:r>
      <w:r w:rsidRPr="00DF0D90">
        <w:rPr>
          <w:color w:val="000000"/>
        </w:rPr>
        <w:t>с онкологическими заболеваниями, не должен превышать 14 календарных дней с даты гистологической верификации злокачественного новообразования или 14 календарных дней с даты установления предварительного диагноза злокачественного новообразования (в случае отсутствия медицинских показаний для проведения патолого-анатомических исследований в амбулаторных условиях).</w:t>
      </w:r>
    </w:p>
    <w:p w14:paraId="0A9AA62B" w14:textId="77777777" w:rsidR="00630BAC" w:rsidRPr="00DF0D90" w:rsidRDefault="00630BAC" w:rsidP="006D217F">
      <w:pPr>
        <w:adjustRightInd w:val="0"/>
        <w:spacing w:after="120" w:line="360" w:lineRule="auto"/>
        <w:ind w:firstLine="567"/>
        <w:jc w:val="both"/>
        <w:rPr>
          <w:color w:val="000000"/>
        </w:rPr>
      </w:pPr>
      <w:r w:rsidRPr="00DF0D90">
        <w:rPr>
          <w:color w:val="000000"/>
        </w:rPr>
        <w:t>Специализированная, в том числе высокотехнологичная, медицинская помощь оказывается врачами-онкологами, врачами-радиотерапевтами</w:t>
      </w:r>
      <w:r w:rsidR="00325837" w:rsidRPr="00DF0D90">
        <w:rPr>
          <w:color w:val="000000"/>
        </w:rPr>
        <w:t xml:space="preserve"> и </w:t>
      </w:r>
      <w:r w:rsidR="00325837" w:rsidRPr="00DF0D90">
        <w:t>врачами по рентгенэндоваскулярной диагностике и лечению</w:t>
      </w:r>
      <w:r w:rsidRPr="00DF0D90">
        <w:rPr>
          <w:color w:val="000000"/>
        </w:rPr>
        <w:t xml:space="preserve"> в онкологическом диспансере или в медицинских организациях, оказывающих медицинскую помощь </w:t>
      </w:r>
      <w:r w:rsidR="00D95F2E" w:rsidRPr="00DF0D90">
        <w:rPr>
          <w:color w:val="000000"/>
        </w:rPr>
        <w:t>пациенту</w:t>
      </w:r>
      <w:r w:rsidR="001A2966" w:rsidRPr="00DF0D90">
        <w:rPr>
          <w:color w:val="000000"/>
        </w:rPr>
        <w:t xml:space="preserve"> </w:t>
      </w:r>
      <w:r w:rsidRPr="00DF0D90">
        <w:rPr>
          <w:color w:val="000000"/>
        </w:rPr>
        <w:t>с онкологическими заболеваниями, имеющих лицензию, необходимую материально-техническую базу, сертифицированных специалистов, в стационарных условиях и условиях дневного стационара и включает в себя профилактику, диагностику, лечение онкологических заболеваний, требующих использования специальных методов и сложных уникальных медицинских технологий, а также медицинскую реабилитацию.</w:t>
      </w:r>
    </w:p>
    <w:p w14:paraId="69E58441" w14:textId="77777777" w:rsidR="00630BAC" w:rsidRPr="00DF0D90" w:rsidRDefault="00630BAC" w:rsidP="006D217F">
      <w:pPr>
        <w:adjustRightInd w:val="0"/>
        <w:spacing w:after="120" w:line="360" w:lineRule="auto"/>
        <w:ind w:firstLine="567"/>
        <w:jc w:val="both"/>
        <w:rPr>
          <w:color w:val="000000"/>
        </w:rPr>
      </w:pPr>
      <w:r w:rsidRPr="00DF0D90">
        <w:rPr>
          <w:color w:val="000000"/>
        </w:rPr>
        <w:t xml:space="preserve">В медицинской организации, оказывающей медицинскую помощь </w:t>
      </w:r>
      <w:r w:rsidR="00D95F2E" w:rsidRPr="00DF0D90">
        <w:rPr>
          <w:color w:val="000000"/>
        </w:rPr>
        <w:t>пациентам</w:t>
      </w:r>
      <w:r w:rsidR="001A2966" w:rsidRPr="00DF0D90">
        <w:rPr>
          <w:color w:val="000000"/>
        </w:rPr>
        <w:t xml:space="preserve"> </w:t>
      </w:r>
      <w:r w:rsidRPr="00DF0D90">
        <w:rPr>
          <w:color w:val="000000"/>
        </w:rPr>
        <w:t>с онкологическими заболеваниями, тактика медицинского обследования и лечения устанавливается консилиумом врачей-онкологов</w:t>
      </w:r>
      <w:r w:rsidR="00325837" w:rsidRPr="00DF0D90">
        <w:rPr>
          <w:color w:val="000000"/>
        </w:rPr>
        <w:t xml:space="preserve">, </w:t>
      </w:r>
      <w:r w:rsidR="00325837" w:rsidRPr="00DF0D90">
        <w:t>врачей по рентгенэндоваскулярной диагностике и лечению</w:t>
      </w:r>
      <w:r w:rsidRPr="00DF0D90">
        <w:rPr>
          <w:color w:val="000000"/>
        </w:rPr>
        <w:t xml:space="preserve"> и врачей-радиотерапевтов</w:t>
      </w:r>
      <w:r w:rsidR="001A2966" w:rsidRPr="00DF0D90">
        <w:rPr>
          <w:color w:val="000000"/>
        </w:rPr>
        <w:t xml:space="preserve"> </w:t>
      </w:r>
      <w:r w:rsidRPr="00DF0D90">
        <w:rPr>
          <w:color w:val="000000"/>
        </w:rPr>
        <w:t xml:space="preserve">с привлечением при необходимости других врачей-специалистов. Решение консилиума врачей оформляется протоколом, подписывается участниками консилиума и вносится в медицинскую документацию </w:t>
      </w:r>
      <w:r w:rsidR="00D95F2E" w:rsidRPr="00DF0D90">
        <w:rPr>
          <w:color w:val="000000"/>
        </w:rPr>
        <w:t>пациента</w:t>
      </w:r>
      <w:r w:rsidRPr="00DF0D90">
        <w:rPr>
          <w:color w:val="000000"/>
        </w:rPr>
        <w:t>.</w:t>
      </w:r>
    </w:p>
    <w:p w14:paraId="250F9A24" w14:textId="77777777" w:rsidR="00630BAC" w:rsidRPr="00DF0D90" w:rsidRDefault="00630BAC" w:rsidP="006D217F">
      <w:pPr>
        <w:adjustRightInd w:val="0"/>
        <w:spacing w:after="120" w:line="360" w:lineRule="auto"/>
        <w:ind w:firstLine="567"/>
        <w:jc w:val="both"/>
        <w:rPr>
          <w:color w:val="000000"/>
        </w:rPr>
      </w:pPr>
      <w:r w:rsidRPr="00DF0D90">
        <w:rPr>
          <w:color w:val="000000"/>
        </w:rPr>
        <w:t>Показания к госпитализации в круглосуточный или дневной стационар медицинской организации, оказывающей специализированную, в том числе высокотехнологичную, медицинскую помощь по профилю «онкология», определяются консилиумом врачей-</w:t>
      </w:r>
      <w:r w:rsidRPr="00DF0D90">
        <w:rPr>
          <w:color w:val="000000"/>
        </w:rPr>
        <w:lastRenderedPageBreak/>
        <w:t>онкологов и врачей-радиотерапевтов</w:t>
      </w:r>
      <w:r w:rsidR="001A2966" w:rsidRPr="00DF0D90">
        <w:rPr>
          <w:color w:val="000000"/>
        </w:rPr>
        <w:t xml:space="preserve"> </w:t>
      </w:r>
      <w:r w:rsidRPr="00DF0D90">
        <w:rPr>
          <w:color w:val="000000"/>
        </w:rPr>
        <w:t>с привлечением при необходимости других врачей-специалистов.</w:t>
      </w:r>
    </w:p>
    <w:p w14:paraId="62991976" w14:textId="77777777" w:rsidR="00630BAC" w:rsidRPr="00DF0D90" w:rsidRDefault="00630BAC" w:rsidP="006D217F">
      <w:pPr>
        <w:adjustRightInd w:val="0"/>
        <w:spacing w:after="120" w:line="360" w:lineRule="auto"/>
        <w:ind w:firstLine="567"/>
        <w:jc w:val="both"/>
        <w:rPr>
          <w:b/>
          <w:color w:val="000000"/>
        </w:rPr>
      </w:pPr>
      <w:r w:rsidRPr="00DF0D90">
        <w:rPr>
          <w:b/>
          <w:color w:val="000000"/>
        </w:rPr>
        <w:t>Показаниями</w:t>
      </w:r>
      <w:r w:rsidR="001A2966" w:rsidRPr="00DF0D90">
        <w:rPr>
          <w:b/>
          <w:color w:val="000000"/>
        </w:rPr>
        <w:t xml:space="preserve"> </w:t>
      </w:r>
      <w:r w:rsidRPr="00DF0D90">
        <w:rPr>
          <w:b/>
          <w:color w:val="000000"/>
        </w:rPr>
        <w:t>к госпитализации в медицинскую организацию в экстренной или неотложной форме являются:</w:t>
      </w:r>
    </w:p>
    <w:p w14:paraId="2672C186" w14:textId="77777777" w:rsidR="00630BAC" w:rsidRPr="00DF0D90" w:rsidRDefault="00630BAC" w:rsidP="00542BA2">
      <w:pPr>
        <w:pStyle w:val="af2"/>
        <w:numPr>
          <w:ilvl w:val="0"/>
          <w:numId w:val="14"/>
        </w:numPr>
        <w:adjustRightInd w:val="0"/>
        <w:spacing w:after="120" w:line="360" w:lineRule="auto"/>
        <w:ind w:left="0" w:firstLine="567"/>
        <w:jc w:val="both"/>
        <w:rPr>
          <w:color w:val="000000"/>
          <w:spacing w:val="-4"/>
        </w:rPr>
      </w:pPr>
      <w:r w:rsidRPr="00DF0D90">
        <w:rPr>
          <w:color w:val="000000"/>
          <w:spacing w:val="-4"/>
        </w:rPr>
        <w:t>наличие осложнений онкологического заболевания, требующих оказания пациенту специализированной медицинской помощи в экстренной и неотложной форме;</w:t>
      </w:r>
    </w:p>
    <w:p w14:paraId="1B76FC9C" w14:textId="77777777" w:rsidR="00630BAC" w:rsidRPr="00DF0D90" w:rsidRDefault="00630BAC" w:rsidP="00542BA2">
      <w:pPr>
        <w:pStyle w:val="af2"/>
        <w:numPr>
          <w:ilvl w:val="0"/>
          <w:numId w:val="14"/>
        </w:numPr>
        <w:adjustRightInd w:val="0"/>
        <w:spacing w:after="120" w:line="360" w:lineRule="auto"/>
        <w:ind w:left="0" w:firstLine="567"/>
        <w:jc w:val="both"/>
        <w:rPr>
          <w:color w:val="000000"/>
        </w:rPr>
      </w:pPr>
      <w:r w:rsidRPr="00DF0D90">
        <w:rPr>
          <w:color w:val="000000"/>
        </w:rPr>
        <w:t>наличие осложнений лечения (хирургического вмешательства, лучевой терапии, лекарственной терапии и т. д.) онкологического заболевания.</w:t>
      </w:r>
    </w:p>
    <w:p w14:paraId="3EC5B8B9" w14:textId="77777777" w:rsidR="00630BAC" w:rsidRPr="00DF0D90" w:rsidRDefault="00630BAC" w:rsidP="006D217F">
      <w:pPr>
        <w:adjustRightInd w:val="0"/>
        <w:spacing w:after="120" w:line="360" w:lineRule="auto"/>
        <w:ind w:firstLine="567"/>
        <w:jc w:val="both"/>
        <w:rPr>
          <w:b/>
          <w:color w:val="000000"/>
        </w:rPr>
      </w:pPr>
      <w:r w:rsidRPr="00DF0D90">
        <w:rPr>
          <w:b/>
          <w:color w:val="000000"/>
        </w:rPr>
        <w:t>Показаниями к госпитализации в медицинскую организацию в плановой форме являются:</w:t>
      </w:r>
    </w:p>
    <w:p w14:paraId="424C790F" w14:textId="77777777" w:rsidR="00630BAC" w:rsidRPr="00DF0D90" w:rsidRDefault="00630BAC" w:rsidP="00542BA2">
      <w:pPr>
        <w:numPr>
          <w:ilvl w:val="0"/>
          <w:numId w:val="5"/>
        </w:numPr>
        <w:adjustRightInd w:val="0"/>
        <w:spacing w:after="120" w:line="360" w:lineRule="auto"/>
        <w:ind w:left="0" w:firstLine="567"/>
        <w:jc w:val="both"/>
        <w:rPr>
          <w:color w:val="000000"/>
        </w:rPr>
      </w:pPr>
      <w:r w:rsidRPr="00DF0D90">
        <w:rPr>
          <w:color w:val="000000"/>
        </w:rPr>
        <w:t>необходимость выполнения сложных интервенционных диагностических медицинских вмешательств, требующих последующего наблюдения в условиях круглосуточного или дневного стационара;</w:t>
      </w:r>
    </w:p>
    <w:p w14:paraId="0ACD04DA" w14:textId="287ED08C" w:rsidR="00630BAC" w:rsidRPr="00DF0D90" w:rsidRDefault="00630BAC" w:rsidP="00542BA2">
      <w:pPr>
        <w:numPr>
          <w:ilvl w:val="0"/>
          <w:numId w:val="5"/>
        </w:numPr>
        <w:adjustRightInd w:val="0"/>
        <w:spacing w:after="120" w:line="360" w:lineRule="auto"/>
        <w:ind w:left="0" w:firstLine="567"/>
        <w:jc w:val="both"/>
        <w:rPr>
          <w:color w:val="000000"/>
        </w:rPr>
      </w:pPr>
      <w:r w:rsidRPr="00DF0D90">
        <w:rPr>
          <w:color w:val="000000"/>
        </w:rPr>
        <w:t>наличие показаний к специализированному противоопухолевому лечению (хирургическому вмешательству,</w:t>
      </w:r>
      <w:r w:rsidR="00325837" w:rsidRPr="00DF0D90">
        <w:rPr>
          <w:color w:val="000000"/>
        </w:rPr>
        <w:t xml:space="preserve"> </w:t>
      </w:r>
      <w:r w:rsidR="0082371E" w:rsidRPr="00DF0D90">
        <w:rPr>
          <w:color w:val="000000"/>
        </w:rPr>
        <w:t>рентгенохирургическому</w:t>
      </w:r>
      <w:r w:rsidR="00325837" w:rsidRPr="00DF0D90">
        <w:rPr>
          <w:color w:val="000000"/>
        </w:rPr>
        <w:t xml:space="preserve"> вмешательству,</w:t>
      </w:r>
      <w:r w:rsidRPr="00DF0D90">
        <w:rPr>
          <w:color w:val="000000"/>
        </w:rPr>
        <w:t xml:space="preserve"> лучевой терапии, в том числе контактной, дистанционной и других видов, лекарственной терапии и др.), требующему наблюдения в условиях круглосуточного или дневного стационара.</w:t>
      </w:r>
    </w:p>
    <w:p w14:paraId="763FCED9" w14:textId="77777777" w:rsidR="00630BAC" w:rsidRPr="00DF0D90" w:rsidRDefault="00630BAC" w:rsidP="006D217F">
      <w:pPr>
        <w:adjustRightInd w:val="0"/>
        <w:spacing w:after="120" w:line="360" w:lineRule="auto"/>
        <w:ind w:firstLine="567"/>
        <w:jc w:val="both"/>
        <w:rPr>
          <w:b/>
          <w:color w:val="000000"/>
        </w:rPr>
      </w:pPr>
      <w:r w:rsidRPr="00DF0D90">
        <w:rPr>
          <w:b/>
          <w:color w:val="000000"/>
        </w:rPr>
        <w:t>Показаниями к выписке пациента из медицинской организации являются:</w:t>
      </w:r>
    </w:p>
    <w:p w14:paraId="08EF48C1" w14:textId="77777777" w:rsidR="00630BAC" w:rsidRPr="00DF0D90" w:rsidRDefault="00630BAC" w:rsidP="00542BA2">
      <w:pPr>
        <w:numPr>
          <w:ilvl w:val="0"/>
          <w:numId w:val="6"/>
        </w:numPr>
        <w:adjustRightInd w:val="0"/>
        <w:spacing w:after="120" w:line="360" w:lineRule="auto"/>
        <w:ind w:left="0" w:firstLine="567"/>
        <w:jc w:val="both"/>
        <w:rPr>
          <w:color w:val="000000"/>
        </w:rPr>
      </w:pPr>
      <w:r w:rsidRPr="00DF0D90">
        <w:rPr>
          <w:color w:val="000000"/>
        </w:rPr>
        <w:t>завершение курса лечения</w:t>
      </w:r>
      <w:r w:rsidR="001A2966" w:rsidRPr="00DF0D90">
        <w:rPr>
          <w:color w:val="000000"/>
        </w:rPr>
        <w:t xml:space="preserve"> </w:t>
      </w:r>
      <w:r w:rsidRPr="00DF0D90">
        <w:rPr>
          <w:color w:val="000000"/>
        </w:rPr>
        <w:t>или одного из этапов оказания специализированной, в том числе высокотехнологичной, медицинской помощи, в условиях круглосуточного или дневного стационара при отсутствии осложнений лечения, требующих медикаментозной коррекции и/или медицинских вмешательств в стационарных условиях;</w:t>
      </w:r>
    </w:p>
    <w:p w14:paraId="5EC6D992" w14:textId="77777777" w:rsidR="00630BAC" w:rsidRPr="00DF0D90" w:rsidRDefault="00630BAC" w:rsidP="00542BA2">
      <w:pPr>
        <w:numPr>
          <w:ilvl w:val="0"/>
          <w:numId w:val="6"/>
        </w:numPr>
        <w:adjustRightInd w:val="0"/>
        <w:spacing w:after="120" w:line="360" w:lineRule="auto"/>
        <w:ind w:left="0" w:firstLine="567"/>
        <w:jc w:val="both"/>
        <w:rPr>
          <w:color w:val="000000"/>
        </w:rPr>
      </w:pPr>
      <w:r w:rsidRPr="00DF0D90">
        <w:rPr>
          <w:color w:val="000000"/>
        </w:rPr>
        <w:t xml:space="preserve">отказ </w:t>
      </w:r>
      <w:r w:rsidR="00D95F2E" w:rsidRPr="00DF0D90">
        <w:rPr>
          <w:color w:val="000000"/>
        </w:rPr>
        <w:t>пациента</w:t>
      </w:r>
      <w:r w:rsidR="001A2966" w:rsidRPr="00DF0D90">
        <w:rPr>
          <w:color w:val="000000"/>
        </w:rPr>
        <w:t xml:space="preserve"> </w:t>
      </w:r>
      <w:r w:rsidRPr="00DF0D90">
        <w:rPr>
          <w:color w:val="000000"/>
        </w:rPr>
        <w:t>или его законного представителя от специализированной, в том числе высокотехнологичной, медицинской помощи в условиях круглосуточного или дневного стационара, установленной консилиумом медицинской организации, оказывающей онкологическую помощь, при отсутствии осложнений основного заболевания и/или лечения, требующих медикаментозной коррекции и/или медицинских вмешательств в стационарных условиях;</w:t>
      </w:r>
    </w:p>
    <w:p w14:paraId="0D959E7E" w14:textId="77777777" w:rsidR="00630BAC" w:rsidRPr="00DF0D90" w:rsidRDefault="00630BAC" w:rsidP="00542BA2">
      <w:pPr>
        <w:numPr>
          <w:ilvl w:val="0"/>
          <w:numId w:val="6"/>
        </w:numPr>
        <w:adjustRightInd w:val="0"/>
        <w:spacing w:after="120" w:line="360" w:lineRule="auto"/>
        <w:ind w:left="0" w:firstLine="567"/>
        <w:jc w:val="both"/>
        <w:rPr>
          <w:color w:val="000000"/>
        </w:rPr>
      </w:pPr>
      <w:r w:rsidRPr="00DF0D90">
        <w:rPr>
          <w:color w:val="000000"/>
        </w:rPr>
        <w:t xml:space="preserve">необходимость перевода </w:t>
      </w:r>
      <w:r w:rsidR="00D95F2E" w:rsidRPr="00DF0D90">
        <w:rPr>
          <w:color w:val="000000"/>
        </w:rPr>
        <w:t>пациента</w:t>
      </w:r>
      <w:r w:rsidR="001A2966" w:rsidRPr="00DF0D90">
        <w:rPr>
          <w:color w:val="000000"/>
        </w:rPr>
        <w:t xml:space="preserve"> </w:t>
      </w:r>
      <w:r w:rsidRPr="00DF0D90">
        <w:rPr>
          <w:color w:val="000000"/>
        </w:rPr>
        <w:t>в другую медицинскую организацию по соответствующему профилю оказания медицинской помощи.</w:t>
      </w:r>
    </w:p>
    <w:p w14:paraId="3FEE0331" w14:textId="1E2E0AF9" w:rsidR="00630BAC" w:rsidRPr="00DF0D90" w:rsidRDefault="00630BAC" w:rsidP="006D217F">
      <w:pPr>
        <w:adjustRightInd w:val="0"/>
        <w:spacing w:after="120" w:line="360" w:lineRule="auto"/>
        <w:ind w:firstLine="567"/>
        <w:jc w:val="both"/>
        <w:rPr>
          <w:color w:val="000000"/>
        </w:rPr>
      </w:pPr>
      <w:r w:rsidRPr="00DF0D90">
        <w:rPr>
          <w:color w:val="000000"/>
        </w:rPr>
        <w:lastRenderedPageBreak/>
        <w:t xml:space="preserve">Заключение о целесообразности перевода </w:t>
      </w:r>
      <w:r w:rsidR="00D95F2E" w:rsidRPr="00DF0D90">
        <w:rPr>
          <w:color w:val="000000"/>
        </w:rPr>
        <w:t>пациента</w:t>
      </w:r>
      <w:r w:rsidR="001A2966" w:rsidRPr="00DF0D90">
        <w:rPr>
          <w:color w:val="000000"/>
        </w:rPr>
        <w:t xml:space="preserve"> </w:t>
      </w:r>
      <w:r w:rsidRPr="00DF0D90">
        <w:rPr>
          <w:color w:val="000000"/>
        </w:rPr>
        <w:t xml:space="preserve">в профильную медицинскую организацию выносится после предварительной консультации по предоставленным медицинским документам и/или предварительного осмотра </w:t>
      </w:r>
      <w:r w:rsidR="00D95F2E" w:rsidRPr="00DF0D90">
        <w:rPr>
          <w:color w:val="000000"/>
        </w:rPr>
        <w:t>пациента</w:t>
      </w:r>
      <w:r w:rsidR="001A2966" w:rsidRPr="00DF0D90">
        <w:rPr>
          <w:color w:val="000000"/>
        </w:rPr>
        <w:t xml:space="preserve"> </w:t>
      </w:r>
      <w:r w:rsidRPr="00DF0D90">
        <w:rPr>
          <w:color w:val="000000"/>
        </w:rPr>
        <w:t>врачами специалистами медицинской организации, в которую планируется перевод.</w:t>
      </w:r>
    </w:p>
    <w:p w14:paraId="28FD4A37" w14:textId="499AFA62" w:rsidR="00630BAC" w:rsidRPr="00DF0D90" w:rsidRDefault="00630BAC" w:rsidP="00801019">
      <w:pPr>
        <w:pStyle w:val="42"/>
      </w:pPr>
      <w:bookmarkStart w:id="129" w:name="_Toc98349300"/>
      <w:bookmarkStart w:id="130" w:name="_Toc83293998"/>
      <w:r w:rsidRPr="00DF0D90">
        <w:t>Критерии оценки качества медицинской помощи</w:t>
      </w:r>
      <w:bookmarkEnd w:id="127"/>
      <w:bookmarkEnd w:id="129"/>
      <w:bookmarkEnd w:id="130"/>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7"/>
        <w:gridCol w:w="7008"/>
        <w:gridCol w:w="1425"/>
      </w:tblGrid>
      <w:tr w:rsidR="0023448E" w:rsidRPr="00DF0D90" w14:paraId="51084369" w14:textId="77777777" w:rsidTr="00542BA2">
        <w:trPr>
          <w:tblHeader/>
        </w:trPr>
        <w:tc>
          <w:tcPr>
            <w:tcW w:w="448" w:type="pct"/>
            <w:vAlign w:val="center"/>
          </w:tcPr>
          <w:p w14:paraId="1814EA89" w14:textId="77777777" w:rsidR="0023448E" w:rsidRPr="00DF0D90" w:rsidRDefault="0023448E" w:rsidP="00542BA2">
            <w:pPr>
              <w:jc w:val="both"/>
              <w:rPr>
                <w:b/>
              </w:rPr>
            </w:pPr>
            <w:r w:rsidRPr="00DF0D90">
              <w:rPr>
                <w:b/>
              </w:rPr>
              <w:t>№</w:t>
            </w:r>
          </w:p>
        </w:tc>
        <w:tc>
          <w:tcPr>
            <w:tcW w:w="3803" w:type="pct"/>
            <w:vAlign w:val="center"/>
          </w:tcPr>
          <w:p w14:paraId="75765957" w14:textId="77777777" w:rsidR="0023448E" w:rsidRPr="00DF0D90" w:rsidRDefault="0023448E" w:rsidP="00542BA2">
            <w:pPr>
              <w:jc w:val="both"/>
              <w:rPr>
                <w:b/>
              </w:rPr>
            </w:pPr>
            <w:r w:rsidRPr="00DF0D90">
              <w:rPr>
                <w:b/>
              </w:rPr>
              <w:t>Критерии качества</w:t>
            </w:r>
          </w:p>
        </w:tc>
        <w:tc>
          <w:tcPr>
            <w:tcW w:w="749" w:type="pct"/>
            <w:vAlign w:val="center"/>
          </w:tcPr>
          <w:p w14:paraId="584E5B0F" w14:textId="77777777" w:rsidR="0023448E" w:rsidRPr="00DF0D90" w:rsidRDefault="005917E6" w:rsidP="00542BA2">
            <w:pPr>
              <w:ind w:left="-113" w:right="-113"/>
              <w:jc w:val="both"/>
              <w:rPr>
                <w:b/>
                <w:spacing w:val="-4"/>
              </w:rPr>
            </w:pPr>
            <w:r w:rsidRPr="00DF0D90">
              <w:rPr>
                <w:b/>
                <w:spacing w:val="-4"/>
              </w:rPr>
              <w:t>Оценка выполнения</w:t>
            </w:r>
          </w:p>
        </w:tc>
      </w:tr>
      <w:tr w:rsidR="005917E6" w:rsidRPr="00DF0D90" w14:paraId="0DE384D7" w14:textId="77777777" w:rsidTr="00542BA2">
        <w:tc>
          <w:tcPr>
            <w:tcW w:w="448" w:type="pct"/>
            <w:vAlign w:val="center"/>
          </w:tcPr>
          <w:p w14:paraId="450F01BD" w14:textId="77777777" w:rsidR="005917E6" w:rsidRPr="00DF0D90" w:rsidRDefault="005917E6" w:rsidP="00542BA2">
            <w:pPr>
              <w:jc w:val="both"/>
            </w:pPr>
            <w:r w:rsidRPr="00DF0D90">
              <w:t>1</w:t>
            </w:r>
          </w:p>
        </w:tc>
        <w:tc>
          <w:tcPr>
            <w:tcW w:w="3803" w:type="pct"/>
            <w:vAlign w:val="center"/>
          </w:tcPr>
          <w:p w14:paraId="6BC28D65" w14:textId="1927D1EB" w:rsidR="005917E6" w:rsidRPr="00DF0D90" w:rsidRDefault="005917E6" w:rsidP="001E1D85">
            <w:pPr>
              <w:jc w:val="both"/>
              <w:rPr>
                <w:color w:val="000000"/>
                <w:lang w:val="x-none"/>
              </w:rPr>
            </w:pPr>
            <w:r w:rsidRPr="00DF0D90">
              <w:rPr>
                <w:color w:val="000000"/>
              </w:rPr>
              <w:t>Выполнена морфологическая верификация диаг</w:t>
            </w:r>
            <w:r w:rsidRPr="00DF0D90">
              <w:rPr>
                <w:color w:val="000000"/>
              </w:rPr>
              <w:softHyphen/>
              <w:t>ноза до начала лечения</w:t>
            </w:r>
            <w:r w:rsidR="001E1D85" w:rsidRPr="00DF0D90">
              <w:rPr>
                <w:color w:val="000000"/>
              </w:rPr>
              <w:t>,</w:t>
            </w:r>
            <w:r w:rsidR="001E1D85" w:rsidRPr="00DF0D90">
              <w:t xml:space="preserve"> если по данным КТ или МРТ заподозрено патологическое образование в </w:t>
            </w:r>
            <w:proofErr w:type="spellStart"/>
            <w:r w:rsidR="001E1D85" w:rsidRPr="00DF0D90">
              <w:t>нецирротической</w:t>
            </w:r>
            <w:proofErr w:type="spellEnd"/>
            <w:r w:rsidR="001E1D85" w:rsidRPr="00DF0D90">
              <w:t xml:space="preserve"> печени; или если необходимо исключить злокачественную опухоль печени при отсутствии рентгенографических специфических признаков ГЦР в </w:t>
            </w:r>
            <w:proofErr w:type="spellStart"/>
            <w:r w:rsidR="001E1D85" w:rsidRPr="00DF0D90">
              <w:t>цирротической</w:t>
            </w:r>
            <w:proofErr w:type="spellEnd"/>
            <w:r w:rsidR="001E1D85" w:rsidRPr="00DF0D90">
              <w:t xml:space="preserve"> печени</w:t>
            </w:r>
          </w:p>
        </w:tc>
        <w:tc>
          <w:tcPr>
            <w:tcW w:w="749" w:type="pct"/>
          </w:tcPr>
          <w:p w14:paraId="21B73E73" w14:textId="77777777" w:rsidR="005917E6" w:rsidRPr="00DF0D90" w:rsidRDefault="005917E6" w:rsidP="00542BA2">
            <w:pPr>
              <w:jc w:val="both"/>
            </w:pPr>
            <w:r w:rsidRPr="00DF0D90">
              <w:t>Да/Нет</w:t>
            </w:r>
          </w:p>
        </w:tc>
      </w:tr>
      <w:tr w:rsidR="005917E6" w:rsidRPr="00DF0D90" w14:paraId="3E860C63" w14:textId="77777777" w:rsidTr="00542BA2">
        <w:tc>
          <w:tcPr>
            <w:tcW w:w="448" w:type="pct"/>
            <w:vAlign w:val="center"/>
          </w:tcPr>
          <w:p w14:paraId="6C6BF562" w14:textId="77777777" w:rsidR="005917E6" w:rsidRPr="00DF0D90" w:rsidRDefault="005917E6" w:rsidP="00542BA2">
            <w:pPr>
              <w:jc w:val="both"/>
            </w:pPr>
            <w:r w:rsidRPr="00DF0D90">
              <w:t>2</w:t>
            </w:r>
          </w:p>
        </w:tc>
        <w:tc>
          <w:tcPr>
            <w:tcW w:w="3803" w:type="pct"/>
            <w:vAlign w:val="center"/>
          </w:tcPr>
          <w:p w14:paraId="04B1A32C" w14:textId="77777777" w:rsidR="005917E6" w:rsidRPr="00DF0D90" w:rsidRDefault="005917E6" w:rsidP="00542BA2">
            <w:pPr>
              <w:jc w:val="both"/>
            </w:pPr>
            <w:r w:rsidRPr="00DF0D90">
              <w:rPr>
                <w:color w:val="000000"/>
              </w:rPr>
              <w:t xml:space="preserve">Выполнена контрастная 4-фазная компьютерная томография или </w:t>
            </w:r>
            <w:r w:rsidR="000F0B53" w:rsidRPr="00DF0D90">
              <w:rPr>
                <w:color w:val="000000"/>
              </w:rPr>
              <w:t xml:space="preserve">контрастная динамическая </w:t>
            </w:r>
            <w:r w:rsidRPr="00DF0D90">
              <w:rPr>
                <w:color w:val="000000"/>
              </w:rPr>
              <w:t>магнитно-резонансная томогра</w:t>
            </w:r>
            <w:r w:rsidRPr="00DF0D90">
              <w:rPr>
                <w:color w:val="000000"/>
              </w:rPr>
              <w:softHyphen/>
              <w:t>фия органов брюшной полости</w:t>
            </w:r>
            <w:r w:rsidR="000F0B53" w:rsidRPr="00DF0D90">
              <w:rPr>
                <w:color w:val="000000"/>
              </w:rPr>
              <w:t xml:space="preserve"> на этапе первичной диагностики и при динамическом наблюдении</w:t>
            </w:r>
          </w:p>
        </w:tc>
        <w:tc>
          <w:tcPr>
            <w:tcW w:w="749" w:type="pct"/>
          </w:tcPr>
          <w:p w14:paraId="2DCD781F" w14:textId="77777777" w:rsidR="005917E6" w:rsidRPr="00DF0D90" w:rsidRDefault="005917E6" w:rsidP="00542BA2">
            <w:pPr>
              <w:jc w:val="both"/>
            </w:pPr>
            <w:r w:rsidRPr="00DF0D90">
              <w:t>Да/Нет</w:t>
            </w:r>
          </w:p>
        </w:tc>
      </w:tr>
      <w:tr w:rsidR="005917E6" w:rsidRPr="00DF0D90" w14:paraId="4B805328" w14:textId="77777777" w:rsidTr="00542BA2">
        <w:tc>
          <w:tcPr>
            <w:tcW w:w="448" w:type="pct"/>
            <w:vAlign w:val="center"/>
          </w:tcPr>
          <w:p w14:paraId="3796049D" w14:textId="77777777" w:rsidR="005917E6" w:rsidRPr="00DF0D90" w:rsidRDefault="0005407D" w:rsidP="00542BA2">
            <w:pPr>
              <w:jc w:val="both"/>
            </w:pPr>
            <w:r w:rsidRPr="00DF0D90">
              <w:t>3</w:t>
            </w:r>
          </w:p>
        </w:tc>
        <w:tc>
          <w:tcPr>
            <w:tcW w:w="3803" w:type="pct"/>
            <w:vAlign w:val="center"/>
          </w:tcPr>
          <w:p w14:paraId="113BBBED" w14:textId="77777777" w:rsidR="005917E6" w:rsidRPr="00DF0D90" w:rsidRDefault="005917E6" w:rsidP="00542BA2">
            <w:pPr>
              <w:shd w:val="clear" w:color="auto" w:fill="FFFFFF"/>
              <w:jc w:val="both"/>
            </w:pPr>
            <w:r w:rsidRPr="00DF0D90">
              <w:t xml:space="preserve">Выполнено исследование уровня </w:t>
            </w:r>
            <w:proofErr w:type="spellStart"/>
            <w:r w:rsidRPr="00DF0D90">
              <w:t>альфа-фетопро</w:t>
            </w:r>
            <w:r w:rsidRPr="00DF0D90">
              <w:softHyphen/>
              <w:t>теина</w:t>
            </w:r>
            <w:proofErr w:type="spellEnd"/>
            <w:r w:rsidRPr="00DF0D90">
              <w:t xml:space="preserve"> в крови (при установлении диагноза</w:t>
            </w:r>
            <w:r w:rsidR="000F0B53" w:rsidRPr="00DF0D90">
              <w:t>, динамическом наблюдении и для контроля эффективности лечения</w:t>
            </w:r>
            <w:r w:rsidRPr="00DF0D90">
              <w:t>)</w:t>
            </w:r>
          </w:p>
        </w:tc>
        <w:tc>
          <w:tcPr>
            <w:tcW w:w="749" w:type="pct"/>
          </w:tcPr>
          <w:p w14:paraId="3BA5321D" w14:textId="77777777" w:rsidR="005917E6" w:rsidRPr="00DF0D90" w:rsidRDefault="005917E6" w:rsidP="00542BA2">
            <w:pPr>
              <w:jc w:val="both"/>
            </w:pPr>
            <w:r w:rsidRPr="00DF0D90">
              <w:t>Да/Нет</w:t>
            </w:r>
          </w:p>
        </w:tc>
      </w:tr>
      <w:tr w:rsidR="005917E6" w:rsidRPr="00DF0D90" w14:paraId="7602DEAF" w14:textId="77777777" w:rsidTr="00542BA2">
        <w:tc>
          <w:tcPr>
            <w:tcW w:w="448" w:type="pct"/>
            <w:vAlign w:val="center"/>
          </w:tcPr>
          <w:p w14:paraId="15031075" w14:textId="77777777" w:rsidR="005917E6" w:rsidRPr="00DF0D90" w:rsidRDefault="0005407D" w:rsidP="00542BA2">
            <w:pPr>
              <w:jc w:val="both"/>
            </w:pPr>
            <w:r w:rsidRPr="00DF0D90">
              <w:t>4</w:t>
            </w:r>
          </w:p>
        </w:tc>
        <w:tc>
          <w:tcPr>
            <w:tcW w:w="3803" w:type="pct"/>
            <w:vAlign w:val="center"/>
          </w:tcPr>
          <w:p w14:paraId="319B13B3" w14:textId="77777777" w:rsidR="005917E6" w:rsidRPr="00DF0D90" w:rsidRDefault="005917E6" w:rsidP="00542BA2">
            <w:pPr>
              <w:jc w:val="both"/>
              <w:rPr>
                <w:color w:val="000000"/>
              </w:rPr>
            </w:pPr>
            <w:r w:rsidRPr="00DF0D90">
              <w:rPr>
                <w:color w:val="000000"/>
              </w:rPr>
              <w:t>Определена стадия опухолевого процесса до начала противоопухолевого лечения (по классификаци</w:t>
            </w:r>
            <w:r w:rsidR="000F0B53" w:rsidRPr="00DF0D90">
              <w:rPr>
                <w:color w:val="000000"/>
              </w:rPr>
              <w:t xml:space="preserve">ям </w:t>
            </w:r>
            <w:r w:rsidRPr="00DF0D90">
              <w:rPr>
                <w:color w:val="000000"/>
                <w:lang w:val="en-US"/>
              </w:rPr>
              <w:t>TNM</w:t>
            </w:r>
            <w:r w:rsidRPr="00DF0D90">
              <w:rPr>
                <w:color w:val="000000"/>
              </w:rPr>
              <w:t xml:space="preserve">, </w:t>
            </w:r>
            <w:r w:rsidR="007E16D3" w:rsidRPr="00DF0D90">
              <w:rPr>
                <w:lang w:val="en-US"/>
              </w:rPr>
              <w:t>AJ</w:t>
            </w:r>
            <w:r w:rsidRPr="00DF0D90">
              <w:rPr>
                <w:color w:val="000000"/>
                <w:lang w:val="en-US"/>
              </w:rPr>
              <w:t>CC</w:t>
            </w:r>
            <w:r w:rsidRPr="00DF0D90">
              <w:rPr>
                <w:color w:val="000000"/>
              </w:rPr>
              <w:t xml:space="preserve"> и </w:t>
            </w:r>
            <w:r w:rsidRPr="00DF0D90">
              <w:rPr>
                <w:color w:val="000000"/>
                <w:lang w:val="en-US"/>
              </w:rPr>
              <w:t>BCLC</w:t>
            </w:r>
            <w:r w:rsidRPr="00DF0D90">
              <w:rPr>
                <w:color w:val="000000"/>
              </w:rPr>
              <w:t xml:space="preserve">) </w:t>
            </w:r>
          </w:p>
        </w:tc>
        <w:tc>
          <w:tcPr>
            <w:tcW w:w="749" w:type="pct"/>
          </w:tcPr>
          <w:p w14:paraId="254F8089" w14:textId="77777777" w:rsidR="005917E6" w:rsidRPr="00DF0D90" w:rsidRDefault="005917E6" w:rsidP="00542BA2">
            <w:pPr>
              <w:jc w:val="both"/>
            </w:pPr>
            <w:r w:rsidRPr="00DF0D90">
              <w:t>Да/Нет</w:t>
            </w:r>
          </w:p>
        </w:tc>
      </w:tr>
      <w:tr w:rsidR="005917E6" w:rsidRPr="00DF0D90" w14:paraId="2EB9DD8F" w14:textId="77777777" w:rsidTr="00542BA2">
        <w:tc>
          <w:tcPr>
            <w:tcW w:w="448" w:type="pct"/>
            <w:vAlign w:val="center"/>
          </w:tcPr>
          <w:p w14:paraId="6725D463" w14:textId="77777777" w:rsidR="005917E6" w:rsidRPr="00DF0D90" w:rsidRDefault="0005407D" w:rsidP="00542BA2">
            <w:pPr>
              <w:jc w:val="both"/>
            </w:pPr>
            <w:r w:rsidRPr="00DF0D90">
              <w:t>5</w:t>
            </w:r>
          </w:p>
        </w:tc>
        <w:tc>
          <w:tcPr>
            <w:tcW w:w="3803" w:type="pct"/>
            <w:vAlign w:val="center"/>
          </w:tcPr>
          <w:p w14:paraId="3151BAB3" w14:textId="6D4A8A2A" w:rsidR="005917E6" w:rsidRPr="00DF0D90" w:rsidRDefault="005917E6" w:rsidP="00542BA2">
            <w:pPr>
              <w:jc w:val="both"/>
              <w:rPr>
                <w:color w:val="000000"/>
              </w:rPr>
            </w:pPr>
            <w:r w:rsidRPr="00DF0D90">
              <w:rPr>
                <w:color w:val="000000"/>
              </w:rPr>
              <w:t>Определен</w:t>
            </w:r>
            <w:r w:rsidR="00C0142B" w:rsidRPr="00DF0D90">
              <w:rPr>
                <w:color w:val="000000"/>
              </w:rPr>
              <w:t>о функциональное состояние печени или</w:t>
            </w:r>
            <w:r w:rsidRPr="00DF0D90">
              <w:rPr>
                <w:color w:val="000000"/>
              </w:rPr>
              <w:t xml:space="preserve"> класс цирроза печени по классифика</w:t>
            </w:r>
            <w:r w:rsidRPr="00DF0D90">
              <w:rPr>
                <w:color w:val="000000"/>
              </w:rPr>
              <w:softHyphen/>
              <w:t>ции</w:t>
            </w:r>
            <w:r w:rsidR="000F0B53" w:rsidRPr="00DF0D90">
              <w:rPr>
                <w:color w:val="000000"/>
              </w:rPr>
              <w:t xml:space="preserve"> </w:t>
            </w:r>
            <w:r w:rsidRPr="00DF0D90">
              <w:rPr>
                <w:color w:val="000000"/>
                <w:lang w:val="en-US"/>
              </w:rPr>
              <w:t>Child</w:t>
            </w:r>
            <w:r w:rsidRPr="00DF0D90">
              <w:rPr>
                <w:color w:val="000000"/>
              </w:rPr>
              <w:t xml:space="preserve"> – </w:t>
            </w:r>
            <w:r w:rsidRPr="00DF0D90">
              <w:rPr>
                <w:color w:val="000000"/>
                <w:lang w:val="en-US"/>
              </w:rPr>
              <w:t>Pugh</w:t>
            </w:r>
            <w:r w:rsidR="000F0B53" w:rsidRPr="00DF0D90">
              <w:rPr>
                <w:color w:val="000000"/>
              </w:rPr>
              <w:t xml:space="preserve"> на основании соответствующего клинико-лабораторного обследования при первичной диагностике, динамическом наблюдении за пациентом, до, после и в процессе проведения лечения  </w:t>
            </w:r>
          </w:p>
        </w:tc>
        <w:tc>
          <w:tcPr>
            <w:tcW w:w="749" w:type="pct"/>
          </w:tcPr>
          <w:p w14:paraId="27742B9D" w14:textId="77777777" w:rsidR="005917E6" w:rsidRPr="00DF0D90" w:rsidRDefault="005917E6" w:rsidP="00542BA2">
            <w:pPr>
              <w:jc w:val="both"/>
            </w:pPr>
            <w:r w:rsidRPr="00DF0D90">
              <w:t>Да/Нет</w:t>
            </w:r>
          </w:p>
        </w:tc>
      </w:tr>
      <w:tr w:rsidR="005917E6" w:rsidRPr="00DF0D90" w14:paraId="7216ED5B" w14:textId="77777777" w:rsidTr="00542BA2">
        <w:tc>
          <w:tcPr>
            <w:tcW w:w="448" w:type="pct"/>
            <w:vAlign w:val="center"/>
          </w:tcPr>
          <w:p w14:paraId="11A82875" w14:textId="5FDE60DE" w:rsidR="005917E6" w:rsidRPr="00DF0D90" w:rsidRDefault="001E1D85" w:rsidP="00542BA2">
            <w:pPr>
              <w:jc w:val="both"/>
              <w:rPr>
                <w:lang w:val="en-US"/>
              </w:rPr>
            </w:pPr>
            <w:r w:rsidRPr="00DF0D90">
              <w:rPr>
                <w:lang w:val="en-US"/>
              </w:rPr>
              <w:t>6</w:t>
            </w:r>
          </w:p>
        </w:tc>
        <w:tc>
          <w:tcPr>
            <w:tcW w:w="3803" w:type="pct"/>
            <w:vAlign w:val="center"/>
          </w:tcPr>
          <w:p w14:paraId="7B24D523" w14:textId="77777777" w:rsidR="005917E6" w:rsidRPr="00DF0D90" w:rsidRDefault="005917E6" w:rsidP="00542BA2">
            <w:pPr>
              <w:jc w:val="both"/>
              <w:rPr>
                <w:color w:val="000000"/>
              </w:rPr>
            </w:pPr>
            <w:r w:rsidRPr="00DF0D90">
              <w:rPr>
                <w:color w:val="000000"/>
              </w:rPr>
              <w:t>Проведена</w:t>
            </w:r>
            <w:r w:rsidR="001A2966" w:rsidRPr="00DF0D90">
              <w:rPr>
                <w:color w:val="000000"/>
              </w:rPr>
              <w:t xml:space="preserve"> </w:t>
            </w:r>
            <w:r w:rsidRPr="00DF0D90">
              <w:rPr>
                <w:color w:val="000000"/>
              </w:rPr>
              <w:t xml:space="preserve">консультация </w:t>
            </w:r>
            <w:r w:rsidR="0005407D" w:rsidRPr="00DF0D90">
              <w:rPr>
                <w:color w:val="000000"/>
              </w:rPr>
              <w:t>врача-</w:t>
            </w:r>
            <w:r w:rsidRPr="00DF0D90">
              <w:rPr>
                <w:color w:val="000000"/>
              </w:rPr>
              <w:t>онколога- при противопоказаниях к локальному лечению (при компенсированной функции печени)</w:t>
            </w:r>
          </w:p>
        </w:tc>
        <w:tc>
          <w:tcPr>
            <w:tcW w:w="749" w:type="pct"/>
          </w:tcPr>
          <w:p w14:paraId="4F119F3E" w14:textId="77777777" w:rsidR="005917E6" w:rsidRPr="00DF0D90" w:rsidRDefault="005917E6" w:rsidP="00542BA2">
            <w:pPr>
              <w:jc w:val="both"/>
              <w:rPr>
                <w:lang w:val="en-US"/>
              </w:rPr>
            </w:pPr>
            <w:r w:rsidRPr="00DF0D90">
              <w:t>Да/Нет</w:t>
            </w:r>
          </w:p>
        </w:tc>
      </w:tr>
      <w:tr w:rsidR="005917E6" w:rsidRPr="00DF0D90" w14:paraId="3D109DCC" w14:textId="77777777" w:rsidTr="00542BA2">
        <w:tc>
          <w:tcPr>
            <w:tcW w:w="448" w:type="pct"/>
            <w:vAlign w:val="center"/>
          </w:tcPr>
          <w:p w14:paraId="749CA21C" w14:textId="71370C7F" w:rsidR="005917E6" w:rsidRPr="00DF0D90" w:rsidRDefault="001E1D85" w:rsidP="00542BA2">
            <w:pPr>
              <w:jc w:val="both"/>
              <w:rPr>
                <w:lang w:val="en-US"/>
              </w:rPr>
            </w:pPr>
            <w:r w:rsidRPr="00DF0D90">
              <w:rPr>
                <w:lang w:val="en-US"/>
              </w:rPr>
              <w:t>7</w:t>
            </w:r>
          </w:p>
        </w:tc>
        <w:tc>
          <w:tcPr>
            <w:tcW w:w="3803" w:type="pct"/>
            <w:vAlign w:val="center"/>
          </w:tcPr>
          <w:p w14:paraId="3803F54C" w14:textId="77777777" w:rsidR="005917E6" w:rsidRPr="00DF0D90" w:rsidRDefault="005917E6" w:rsidP="00542BA2">
            <w:pPr>
              <w:jc w:val="both"/>
              <w:rPr>
                <w:color w:val="000000"/>
              </w:rPr>
            </w:pPr>
            <w:r w:rsidRPr="00DF0D90">
              <w:rPr>
                <w:color w:val="000000"/>
              </w:rPr>
              <w:t>Выполнено гистологическое исследование</w:t>
            </w:r>
            <w:r w:rsidR="001A2966" w:rsidRPr="00DF0D90">
              <w:rPr>
                <w:color w:val="000000"/>
              </w:rPr>
              <w:t xml:space="preserve"> </w:t>
            </w:r>
            <w:r w:rsidRPr="00DF0D90">
              <w:rPr>
                <w:color w:val="000000"/>
              </w:rPr>
              <w:t>удаленной ткани с указанием параметров в соответствии с рекомендациями (у пациентов, перенесших хирургическое вмешательство)</w:t>
            </w:r>
          </w:p>
        </w:tc>
        <w:tc>
          <w:tcPr>
            <w:tcW w:w="749" w:type="pct"/>
          </w:tcPr>
          <w:p w14:paraId="0AE63875" w14:textId="77777777" w:rsidR="005917E6" w:rsidRPr="00DF0D90" w:rsidRDefault="005917E6" w:rsidP="00542BA2">
            <w:pPr>
              <w:jc w:val="both"/>
              <w:rPr>
                <w:lang w:val="en-US"/>
              </w:rPr>
            </w:pPr>
            <w:r w:rsidRPr="00DF0D90">
              <w:t>Да/Нет</w:t>
            </w:r>
          </w:p>
        </w:tc>
      </w:tr>
      <w:tr w:rsidR="005917E6" w:rsidRPr="00DF0D90" w14:paraId="0F9550F5" w14:textId="77777777" w:rsidTr="00542BA2">
        <w:tc>
          <w:tcPr>
            <w:tcW w:w="448" w:type="pct"/>
            <w:vAlign w:val="center"/>
          </w:tcPr>
          <w:p w14:paraId="418264EA" w14:textId="67E75AE5" w:rsidR="005917E6" w:rsidRPr="00DF0D90" w:rsidRDefault="001E1D85" w:rsidP="00542BA2">
            <w:pPr>
              <w:jc w:val="both"/>
              <w:rPr>
                <w:lang w:val="en-US"/>
              </w:rPr>
            </w:pPr>
            <w:r w:rsidRPr="00DF0D90">
              <w:rPr>
                <w:lang w:val="en-US"/>
              </w:rPr>
              <w:t>8</w:t>
            </w:r>
          </w:p>
        </w:tc>
        <w:tc>
          <w:tcPr>
            <w:tcW w:w="3803" w:type="pct"/>
            <w:vAlign w:val="center"/>
          </w:tcPr>
          <w:p w14:paraId="42663BA0" w14:textId="77777777" w:rsidR="005917E6" w:rsidRPr="00DF0D90" w:rsidRDefault="005917E6" w:rsidP="00542BA2">
            <w:pPr>
              <w:jc w:val="both"/>
              <w:rPr>
                <w:color w:val="000000"/>
              </w:rPr>
            </w:pPr>
            <w:r w:rsidRPr="00DF0D90">
              <w:rPr>
                <w:color w:val="000000"/>
              </w:rPr>
              <w:t>Назначена</w:t>
            </w:r>
            <w:r w:rsidR="000F0B53" w:rsidRPr="00DF0D90">
              <w:rPr>
                <w:color w:val="000000"/>
              </w:rPr>
              <w:t>,</w:t>
            </w:r>
            <w:r w:rsidRPr="00DF0D90">
              <w:rPr>
                <w:color w:val="000000"/>
              </w:rPr>
              <w:t xml:space="preserve"> проведена системная терапия 1-й линии рака печени</w:t>
            </w:r>
            <w:r w:rsidR="001A2966" w:rsidRPr="00DF0D90">
              <w:rPr>
                <w:color w:val="000000"/>
              </w:rPr>
              <w:t xml:space="preserve"> </w:t>
            </w:r>
            <w:r w:rsidRPr="00DF0D90">
              <w:rPr>
                <w:color w:val="000000"/>
              </w:rPr>
              <w:t>стадии</w:t>
            </w:r>
            <w:r w:rsidR="001A2966" w:rsidRPr="00DF0D90">
              <w:rPr>
                <w:color w:val="000000"/>
              </w:rPr>
              <w:t xml:space="preserve"> </w:t>
            </w:r>
            <w:r w:rsidRPr="00DF0D90">
              <w:rPr>
                <w:color w:val="000000"/>
                <w:lang w:val="en-US"/>
              </w:rPr>
              <w:t>BCLC</w:t>
            </w:r>
            <w:r w:rsidR="000F0B53" w:rsidRPr="00DF0D90">
              <w:rPr>
                <w:color w:val="000000"/>
              </w:rPr>
              <w:t xml:space="preserve"> </w:t>
            </w:r>
            <w:r w:rsidRPr="00DF0D90">
              <w:rPr>
                <w:color w:val="000000"/>
                <w:lang w:val="en-US"/>
              </w:rPr>
              <w:t>A</w:t>
            </w:r>
            <w:r w:rsidRPr="00DF0D90">
              <w:rPr>
                <w:color w:val="000000"/>
              </w:rPr>
              <w:t>/</w:t>
            </w:r>
            <w:r w:rsidRPr="00DF0D90">
              <w:rPr>
                <w:color w:val="000000"/>
                <w:lang w:val="en-US"/>
              </w:rPr>
              <w:t>B</w:t>
            </w:r>
            <w:r w:rsidRPr="00DF0D90">
              <w:rPr>
                <w:color w:val="000000"/>
              </w:rPr>
              <w:t xml:space="preserve">/С </w:t>
            </w:r>
            <w:proofErr w:type="spellStart"/>
            <w:r w:rsidR="000F0B53" w:rsidRPr="00DF0D90">
              <w:rPr>
                <w:color w:val="000000"/>
              </w:rPr>
              <w:t>с</w:t>
            </w:r>
            <w:proofErr w:type="spellEnd"/>
            <w:r w:rsidR="000F0B53" w:rsidRPr="00DF0D90">
              <w:rPr>
                <w:color w:val="000000"/>
              </w:rPr>
              <w:t xml:space="preserve"> учетом клинических показаний и противопоказаний.</w:t>
            </w:r>
          </w:p>
        </w:tc>
        <w:tc>
          <w:tcPr>
            <w:tcW w:w="749" w:type="pct"/>
          </w:tcPr>
          <w:p w14:paraId="670A4210" w14:textId="77777777" w:rsidR="005917E6" w:rsidRPr="00DF0D90" w:rsidRDefault="005917E6" w:rsidP="00542BA2">
            <w:pPr>
              <w:jc w:val="both"/>
            </w:pPr>
            <w:r w:rsidRPr="00DF0D90">
              <w:t>Да/Нет</w:t>
            </w:r>
          </w:p>
        </w:tc>
      </w:tr>
      <w:tr w:rsidR="005917E6" w:rsidRPr="00DF0D90" w14:paraId="212034DF" w14:textId="77777777" w:rsidTr="00542BA2">
        <w:tc>
          <w:tcPr>
            <w:tcW w:w="448" w:type="pct"/>
            <w:vAlign w:val="center"/>
          </w:tcPr>
          <w:p w14:paraId="6E4F851E" w14:textId="3196FFA6" w:rsidR="005917E6" w:rsidRPr="00DF0D90" w:rsidRDefault="001E1D85" w:rsidP="00542BA2">
            <w:pPr>
              <w:jc w:val="both"/>
              <w:rPr>
                <w:lang w:val="en-US"/>
              </w:rPr>
            </w:pPr>
            <w:r w:rsidRPr="00DF0D90">
              <w:rPr>
                <w:lang w:val="en-US"/>
              </w:rPr>
              <w:t>9</w:t>
            </w:r>
          </w:p>
        </w:tc>
        <w:tc>
          <w:tcPr>
            <w:tcW w:w="3803" w:type="pct"/>
            <w:vAlign w:val="center"/>
          </w:tcPr>
          <w:p w14:paraId="7BB2BFFD" w14:textId="3D7CB8C6" w:rsidR="005917E6" w:rsidRPr="00DF0D90" w:rsidRDefault="005917E6" w:rsidP="00542BA2">
            <w:pPr>
              <w:jc w:val="both"/>
              <w:rPr>
                <w:color w:val="000000"/>
              </w:rPr>
            </w:pPr>
            <w:r w:rsidRPr="00DF0D90">
              <w:rPr>
                <w:color w:val="000000"/>
              </w:rPr>
              <w:t>Оценена эффективность</w:t>
            </w:r>
            <w:r w:rsidR="001A2966" w:rsidRPr="00DF0D90">
              <w:rPr>
                <w:color w:val="000000"/>
              </w:rPr>
              <w:t xml:space="preserve"> </w:t>
            </w:r>
            <w:r w:rsidR="000F0B53" w:rsidRPr="00DF0D90">
              <w:rPr>
                <w:color w:val="000000"/>
              </w:rPr>
              <w:t xml:space="preserve">и переносимость каждой линии </w:t>
            </w:r>
            <w:r w:rsidRPr="00DF0D90">
              <w:rPr>
                <w:color w:val="000000"/>
              </w:rPr>
              <w:t>системной терапии с использованием объективных методов диагнос</w:t>
            </w:r>
            <w:r w:rsidRPr="00DF0D90">
              <w:rPr>
                <w:color w:val="000000"/>
              </w:rPr>
              <w:softHyphen/>
              <w:t>тики и критериев оценки (</w:t>
            </w:r>
            <w:r w:rsidRPr="00DF0D90">
              <w:rPr>
                <w:color w:val="000000"/>
                <w:lang w:val="en-US"/>
              </w:rPr>
              <w:t>RECIST</w:t>
            </w:r>
            <w:r w:rsidRPr="00DF0D90">
              <w:rPr>
                <w:color w:val="000000"/>
              </w:rPr>
              <w:t xml:space="preserve"> 1.1)</w:t>
            </w:r>
          </w:p>
        </w:tc>
        <w:tc>
          <w:tcPr>
            <w:tcW w:w="749" w:type="pct"/>
          </w:tcPr>
          <w:p w14:paraId="137C42ED" w14:textId="77777777" w:rsidR="005917E6" w:rsidRPr="00DF0D90" w:rsidRDefault="005917E6" w:rsidP="00542BA2">
            <w:pPr>
              <w:jc w:val="both"/>
              <w:rPr>
                <w:lang w:val="en-US"/>
              </w:rPr>
            </w:pPr>
            <w:r w:rsidRPr="00DF0D90">
              <w:t>Да/Нет</w:t>
            </w:r>
          </w:p>
        </w:tc>
      </w:tr>
      <w:tr w:rsidR="00D70DA4" w:rsidRPr="00DF0D90" w14:paraId="61F8E20D" w14:textId="77777777" w:rsidTr="00542BA2">
        <w:tc>
          <w:tcPr>
            <w:tcW w:w="448" w:type="pct"/>
            <w:vAlign w:val="center"/>
          </w:tcPr>
          <w:p w14:paraId="03F62A58" w14:textId="47ACBF9C" w:rsidR="00D70DA4" w:rsidRPr="00DF0D90" w:rsidRDefault="00C0142B" w:rsidP="00542BA2">
            <w:pPr>
              <w:jc w:val="both"/>
            </w:pPr>
            <w:r w:rsidRPr="00DF0D90">
              <w:t>10</w:t>
            </w:r>
          </w:p>
        </w:tc>
        <w:tc>
          <w:tcPr>
            <w:tcW w:w="3803" w:type="pct"/>
            <w:vAlign w:val="center"/>
          </w:tcPr>
          <w:p w14:paraId="15C320E0" w14:textId="075C012B" w:rsidR="00D70DA4" w:rsidRPr="00DF0D90" w:rsidRDefault="00D70DA4" w:rsidP="00916A5A">
            <w:pPr>
              <w:jc w:val="both"/>
              <w:rPr>
                <w:color w:val="000000"/>
              </w:rPr>
            </w:pPr>
            <w:r w:rsidRPr="00DF0D90">
              <w:rPr>
                <w:color w:val="000000"/>
              </w:rPr>
              <w:t xml:space="preserve">Проведена диагностическая </w:t>
            </w:r>
            <w:proofErr w:type="spellStart"/>
            <w:r w:rsidRPr="00DF0D90">
              <w:rPr>
                <w:color w:val="000000"/>
              </w:rPr>
              <w:t>ангиография±ПДКТ</w:t>
            </w:r>
            <w:proofErr w:type="spellEnd"/>
            <w:r w:rsidRPr="00DF0D90">
              <w:rPr>
                <w:color w:val="000000"/>
              </w:rPr>
              <w:t xml:space="preserve"> с применением инжектора перед </w:t>
            </w:r>
            <w:r w:rsidR="00916A5A" w:rsidRPr="00DF0D90">
              <w:rPr>
                <w:color w:val="000000"/>
              </w:rPr>
              <w:t xml:space="preserve">и после </w:t>
            </w:r>
            <w:r w:rsidRPr="00DF0D90">
              <w:rPr>
                <w:color w:val="000000"/>
              </w:rPr>
              <w:t>ТАХЭ</w:t>
            </w:r>
          </w:p>
        </w:tc>
        <w:tc>
          <w:tcPr>
            <w:tcW w:w="749" w:type="pct"/>
          </w:tcPr>
          <w:p w14:paraId="79D0FFF9" w14:textId="07777F74" w:rsidR="00D70DA4" w:rsidRPr="00DF0D90" w:rsidRDefault="00D70DA4" w:rsidP="00542BA2">
            <w:pPr>
              <w:jc w:val="both"/>
            </w:pPr>
            <w:r w:rsidRPr="00DF0D90">
              <w:t>Да/Нет</w:t>
            </w:r>
          </w:p>
        </w:tc>
      </w:tr>
      <w:tr w:rsidR="005917E6" w:rsidRPr="00DF0D90" w14:paraId="0716D0E5" w14:textId="77777777" w:rsidTr="00542BA2">
        <w:tc>
          <w:tcPr>
            <w:tcW w:w="448" w:type="pct"/>
            <w:vAlign w:val="center"/>
          </w:tcPr>
          <w:p w14:paraId="6B992062" w14:textId="5269035E" w:rsidR="005917E6" w:rsidRPr="00DF0D90" w:rsidRDefault="001E1D85" w:rsidP="001E1D85">
            <w:pPr>
              <w:jc w:val="both"/>
            </w:pPr>
            <w:r w:rsidRPr="00DF0D90">
              <w:t>1</w:t>
            </w:r>
            <w:r w:rsidR="00C0142B" w:rsidRPr="00DF0D90">
              <w:t>1</w:t>
            </w:r>
          </w:p>
        </w:tc>
        <w:tc>
          <w:tcPr>
            <w:tcW w:w="3803" w:type="pct"/>
            <w:vAlign w:val="center"/>
          </w:tcPr>
          <w:p w14:paraId="6C7C337B" w14:textId="4A4BB2E6" w:rsidR="005917E6" w:rsidRPr="00DF0D90" w:rsidRDefault="005917E6" w:rsidP="00542BA2">
            <w:pPr>
              <w:jc w:val="both"/>
              <w:rPr>
                <w:color w:val="000000"/>
              </w:rPr>
            </w:pPr>
            <w:r w:rsidRPr="00DF0D90">
              <w:rPr>
                <w:color w:val="000000"/>
              </w:rPr>
              <w:t xml:space="preserve">Проведена </w:t>
            </w:r>
            <w:proofErr w:type="spellStart"/>
            <w:r w:rsidR="00916A5A" w:rsidRPr="00DF0D90">
              <w:rPr>
                <w:color w:val="000000"/>
              </w:rPr>
              <w:t>суперселективная</w:t>
            </w:r>
            <w:proofErr w:type="spellEnd"/>
            <w:r w:rsidR="00916A5A" w:rsidRPr="00DF0D90">
              <w:rPr>
                <w:color w:val="000000"/>
              </w:rPr>
              <w:t xml:space="preserve"> </w:t>
            </w:r>
            <w:proofErr w:type="spellStart"/>
            <w:r w:rsidRPr="00DF0D90">
              <w:rPr>
                <w:color w:val="000000"/>
              </w:rPr>
              <w:t>трансартериальная</w:t>
            </w:r>
            <w:proofErr w:type="spellEnd"/>
            <w:r w:rsidR="001A2966" w:rsidRPr="00DF0D90">
              <w:rPr>
                <w:color w:val="000000"/>
              </w:rPr>
              <w:t xml:space="preserve"> </w:t>
            </w:r>
            <w:r w:rsidRPr="00DF0D90">
              <w:rPr>
                <w:color w:val="000000"/>
              </w:rPr>
              <w:t>(химио-)</w:t>
            </w:r>
            <w:r w:rsidR="001A2966" w:rsidRPr="00DF0D90">
              <w:rPr>
                <w:color w:val="000000"/>
              </w:rPr>
              <w:t xml:space="preserve"> </w:t>
            </w:r>
            <w:r w:rsidRPr="00DF0D90">
              <w:rPr>
                <w:color w:val="000000"/>
              </w:rPr>
              <w:t>эмболизация</w:t>
            </w:r>
            <w:r w:rsidR="001A2966" w:rsidRPr="00DF0D90">
              <w:rPr>
                <w:color w:val="000000"/>
              </w:rPr>
              <w:t xml:space="preserve"> </w:t>
            </w:r>
            <w:r w:rsidRPr="00DF0D90">
              <w:rPr>
                <w:color w:val="000000"/>
              </w:rPr>
              <w:t>при локализованном внутрипеченочном про</w:t>
            </w:r>
            <w:r w:rsidRPr="00DF0D90">
              <w:rPr>
                <w:color w:val="000000"/>
              </w:rPr>
              <w:softHyphen/>
              <w:t xml:space="preserve">цессе стадии </w:t>
            </w:r>
            <w:r w:rsidRPr="00DF0D90">
              <w:rPr>
                <w:color w:val="000000"/>
                <w:lang w:val="en-US"/>
              </w:rPr>
              <w:t>BCLC</w:t>
            </w:r>
            <w:r w:rsidR="000F0B53" w:rsidRPr="00DF0D90">
              <w:rPr>
                <w:color w:val="000000"/>
              </w:rPr>
              <w:t xml:space="preserve"> </w:t>
            </w:r>
            <w:r w:rsidRPr="00DF0D90">
              <w:rPr>
                <w:color w:val="000000"/>
              </w:rPr>
              <w:t>А/</w:t>
            </w:r>
            <w:r w:rsidRPr="00DF0D90">
              <w:rPr>
                <w:color w:val="000000"/>
                <w:lang w:val="en-US"/>
              </w:rPr>
              <w:t>B</w:t>
            </w:r>
          </w:p>
        </w:tc>
        <w:tc>
          <w:tcPr>
            <w:tcW w:w="749" w:type="pct"/>
          </w:tcPr>
          <w:p w14:paraId="73CFD477" w14:textId="77777777" w:rsidR="005917E6" w:rsidRPr="00DF0D90" w:rsidRDefault="005917E6" w:rsidP="00542BA2">
            <w:pPr>
              <w:jc w:val="both"/>
            </w:pPr>
            <w:r w:rsidRPr="00DF0D90">
              <w:t>Да/Нет</w:t>
            </w:r>
          </w:p>
        </w:tc>
      </w:tr>
      <w:tr w:rsidR="000F0B53" w:rsidRPr="00DF0D90" w14:paraId="7883E374" w14:textId="77777777" w:rsidTr="00542BA2">
        <w:tc>
          <w:tcPr>
            <w:tcW w:w="448" w:type="pct"/>
            <w:vAlign w:val="center"/>
          </w:tcPr>
          <w:p w14:paraId="115897D1" w14:textId="1D7E466C" w:rsidR="000F0B53" w:rsidRPr="00DF0D90" w:rsidRDefault="001E1D85" w:rsidP="001E1D85">
            <w:pPr>
              <w:jc w:val="both"/>
            </w:pPr>
            <w:r w:rsidRPr="00DF0D90">
              <w:t>1</w:t>
            </w:r>
            <w:r w:rsidR="00C0142B" w:rsidRPr="00DF0D90">
              <w:t>2</w:t>
            </w:r>
          </w:p>
        </w:tc>
        <w:tc>
          <w:tcPr>
            <w:tcW w:w="3803" w:type="pct"/>
            <w:vAlign w:val="center"/>
          </w:tcPr>
          <w:p w14:paraId="0EC4F05D" w14:textId="77777777" w:rsidR="000F0B53" w:rsidRPr="00DF0D90" w:rsidRDefault="000F0B53" w:rsidP="00542BA2">
            <w:pPr>
              <w:jc w:val="both"/>
              <w:rPr>
                <w:color w:val="000000"/>
              </w:rPr>
            </w:pPr>
            <w:r w:rsidRPr="00DF0D90">
              <w:rPr>
                <w:color w:val="000000"/>
              </w:rPr>
              <w:t xml:space="preserve">Назначена и выполнена системная терапия второй и последующих линии рака печени стадии </w:t>
            </w:r>
            <w:r w:rsidRPr="00DF0D90">
              <w:rPr>
                <w:color w:val="000000"/>
                <w:lang w:val="en-US"/>
              </w:rPr>
              <w:t>BCLC</w:t>
            </w:r>
            <w:r w:rsidRPr="00DF0D90">
              <w:rPr>
                <w:color w:val="000000"/>
              </w:rPr>
              <w:t xml:space="preserve"> </w:t>
            </w:r>
            <w:r w:rsidRPr="00DF0D90">
              <w:rPr>
                <w:color w:val="000000"/>
                <w:lang w:val="en-US"/>
              </w:rPr>
              <w:t>A</w:t>
            </w:r>
            <w:r w:rsidRPr="00DF0D90">
              <w:rPr>
                <w:color w:val="000000"/>
              </w:rPr>
              <w:t>/</w:t>
            </w:r>
            <w:r w:rsidRPr="00DF0D90">
              <w:rPr>
                <w:color w:val="000000"/>
                <w:lang w:val="en-US"/>
              </w:rPr>
              <w:t>B</w:t>
            </w:r>
            <w:r w:rsidRPr="00DF0D90">
              <w:rPr>
                <w:color w:val="000000"/>
              </w:rPr>
              <w:t xml:space="preserve">/С </w:t>
            </w:r>
            <w:proofErr w:type="spellStart"/>
            <w:r w:rsidRPr="00DF0D90">
              <w:rPr>
                <w:color w:val="000000"/>
              </w:rPr>
              <w:t>с</w:t>
            </w:r>
            <w:proofErr w:type="spellEnd"/>
            <w:r w:rsidRPr="00DF0D90">
              <w:rPr>
                <w:color w:val="000000"/>
              </w:rPr>
              <w:t xml:space="preserve"> учетом клинических показаний и противопоказаний.</w:t>
            </w:r>
          </w:p>
        </w:tc>
        <w:tc>
          <w:tcPr>
            <w:tcW w:w="749" w:type="pct"/>
          </w:tcPr>
          <w:p w14:paraId="3445E58B" w14:textId="77777777" w:rsidR="000F0B53" w:rsidRPr="00DF0D90" w:rsidRDefault="000F0B53" w:rsidP="00542BA2">
            <w:pPr>
              <w:jc w:val="both"/>
            </w:pPr>
            <w:r w:rsidRPr="00DF0D90">
              <w:t>Да/Нет</w:t>
            </w:r>
          </w:p>
        </w:tc>
      </w:tr>
      <w:tr w:rsidR="000F0B53" w:rsidRPr="00DF0D90" w14:paraId="1370CCF8" w14:textId="77777777" w:rsidTr="00542BA2">
        <w:tc>
          <w:tcPr>
            <w:tcW w:w="448" w:type="pct"/>
            <w:vAlign w:val="center"/>
          </w:tcPr>
          <w:p w14:paraId="76B9D0CC" w14:textId="3798519A" w:rsidR="000F0B53" w:rsidRPr="00DF0D90" w:rsidRDefault="001E1D85" w:rsidP="001E1D85">
            <w:pPr>
              <w:jc w:val="both"/>
            </w:pPr>
            <w:r w:rsidRPr="00DF0D90">
              <w:lastRenderedPageBreak/>
              <w:t>1</w:t>
            </w:r>
            <w:r w:rsidR="00C0142B" w:rsidRPr="00DF0D90">
              <w:t>3</w:t>
            </w:r>
          </w:p>
        </w:tc>
        <w:tc>
          <w:tcPr>
            <w:tcW w:w="3803" w:type="pct"/>
            <w:vAlign w:val="center"/>
          </w:tcPr>
          <w:p w14:paraId="518C2575" w14:textId="245FF84B" w:rsidR="000F0B53" w:rsidRPr="00DF0D90" w:rsidRDefault="000F0B53" w:rsidP="00D56C6E">
            <w:pPr>
              <w:jc w:val="both"/>
              <w:rPr>
                <w:color w:val="000000"/>
              </w:rPr>
            </w:pPr>
            <w:r w:rsidRPr="00DF0D90">
              <w:rPr>
                <w:color w:val="000000"/>
              </w:rPr>
              <w:t xml:space="preserve">Выполнена </w:t>
            </w:r>
            <w:proofErr w:type="spellStart"/>
            <w:r w:rsidRPr="00DF0D90">
              <w:rPr>
                <w:color w:val="000000"/>
              </w:rPr>
              <w:t>эзофагогастродуоденоскопия</w:t>
            </w:r>
            <w:proofErr w:type="spellEnd"/>
            <w:r w:rsidRPr="00DF0D90">
              <w:rPr>
                <w:color w:val="000000"/>
              </w:rPr>
              <w:t xml:space="preserve"> пациентам</w:t>
            </w:r>
            <w:r w:rsidR="00776550" w:rsidRPr="00DF0D90">
              <w:rPr>
                <w:color w:val="000000"/>
              </w:rPr>
              <w:t xml:space="preserve"> с подозрением на ГЦР или установленным диагнозом ГЦР</w:t>
            </w:r>
            <w:r w:rsidRPr="00DF0D90">
              <w:rPr>
                <w:color w:val="000000"/>
              </w:rPr>
              <w:t xml:space="preserve"> с сопутствующим циррозом печени </w:t>
            </w:r>
          </w:p>
        </w:tc>
        <w:tc>
          <w:tcPr>
            <w:tcW w:w="749" w:type="pct"/>
          </w:tcPr>
          <w:p w14:paraId="0885E362" w14:textId="77777777" w:rsidR="000F0B53" w:rsidRPr="00DF0D90" w:rsidRDefault="000F0B53" w:rsidP="00542BA2">
            <w:pPr>
              <w:jc w:val="both"/>
            </w:pPr>
            <w:r w:rsidRPr="00DF0D90">
              <w:t>Да/Нет</w:t>
            </w:r>
          </w:p>
        </w:tc>
      </w:tr>
    </w:tbl>
    <w:p w14:paraId="0CACCCE6" w14:textId="77777777" w:rsidR="00542BA2" w:rsidRPr="00DF0D90" w:rsidRDefault="00542BA2" w:rsidP="00776550"/>
    <w:p w14:paraId="5C3D392B" w14:textId="77777777" w:rsidR="0087499B" w:rsidRPr="00DF0D90" w:rsidRDefault="00542BA2" w:rsidP="00801019">
      <w:pPr>
        <w:pStyle w:val="42"/>
      </w:pPr>
      <w:r w:rsidRPr="00DF0D90">
        <w:br w:type="page"/>
      </w:r>
      <w:bookmarkStart w:id="131" w:name="_Toc98349301"/>
      <w:bookmarkStart w:id="132" w:name="_Toc83293999"/>
      <w:bookmarkStart w:id="133" w:name="_Hlk99284524"/>
      <w:bookmarkStart w:id="134" w:name="_Hlk99289077"/>
      <w:r w:rsidR="0087499B" w:rsidRPr="00DF0D90">
        <w:lastRenderedPageBreak/>
        <w:t>Список литературы</w:t>
      </w:r>
      <w:bookmarkEnd w:id="131"/>
      <w:bookmarkEnd w:id="132"/>
    </w:p>
    <w:p w14:paraId="33C70781" w14:textId="77777777" w:rsidR="00E91266" w:rsidRPr="00DF0D90" w:rsidRDefault="007A1ACD" w:rsidP="00542BA2">
      <w:pPr>
        <w:autoSpaceDE w:val="0"/>
        <w:autoSpaceDN w:val="0"/>
        <w:adjustRightInd w:val="0"/>
        <w:jc w:val="both"/>
        <w:rPr>
          <w:noProof/>
          <w:lang w:val="en-US"/>
        </w:rPr>
      </w:pPr>
      <w:r w:rsidRPr="00DF0D90">
        <w:rPr>
          <w:lang w:val="x-none" w:eastAsia="ko-KR"/>
        </w:rPr>
        <w:fldChar w:fldCharType="begin" w:fldLock="1"/>
      </w:r>
      <w:r w:rsidRPr="00DF0D90">
        <w:rPr>
          <w:lang w:val="x-none" w:eastAsia="ko-KR"/>
        </w:rPr>
        <w:instrText xml:space="preserve">ADDIN Mendeley Bibliography CSL_BIBLIOGRAPHY </w:instrText>
      </w:r>
      <w:r w:rsidRPr="00DF0D90">
        <w:rPr>
          <w:lang w:val="x-none" w:eastAsia="ko-KR"/>
        </w:rPr>
        <w:fldChar w:fldCharType="separate"/>
      </w:r>
      <w:r w:rsidR="00E91266" w:rsidRPr="00DF0D90">
        <w:rPr>
          <w:noProof/>
          <w:lang w:val="en-US"/>
        </w:rPr>
        <w:t>1.</w:t>
      </w:r>
      <w:r w:rsidR="00E91266" w:rsidRPr="00DF0D90">
        <w:rPr>
          <w:noProof/>
          <w:lang w:val="en-US"/>
        </w:rPr>
        <w:tab/>
        <w:t>Akinyemiju T. et al. The Burden of Primary Liver Cancer and Underlying Etiologies From 1990 to 2015 at the Global, Regional, and National Level // JAMA Oncol. 2017. Vol. 3, № 12. P. 1683.</w:t>
      </w:r>
    </w:p>
    <w:p w14:paraId="7577B461" w14:textId="77777777" w:rsidR="00E91266" w:rsidRPr="00DF0D90" w:rsidRDefault="00E91266" w:rsidP="00542BA2">
      <w:pPr>
        <w:autoSpaceDE w:val="0"/>
        <w:autoSpaceDN w:val="0"/>
        <w:adjustRightInd w:val="0"/>
        <w:jc w:val="both"/>
        <w:rPr>
          <w:noProof/>
          <w:lang w:val="en-US"/>
        </w:rPr>
      </w:pPr>
      <w:r w:rsidRPr="00DF0D90">
        <w:rPr>
          <w:noProof/>
          <w:lang w:val="en-US"/>
        </w:rPr>
        <w:t>2.</w:t>
      </w:r>
      <w:r w:rsidRPr="00DF0D90">
        <w:rPr>
          <w:noProof/>
          <w:lang w:val="en-US"/>
        </w:rPr>
        <w:tab/>
        <w:t>Estes C. et al. Modeling the epidemic of nonalcoholic fatty liver disease demonstrates an exponential increase in burden of disease // Hepatology. 2018. Vol. 67, № 1. P. 123–133.</w:t>
      </w:r>
    </w:p>
    <w:p w14:paraId="51150D6C" w14:textId="2FB0C4FF" w:rsidR="00C015A6" w:rsidRPr="00DF0D90" w:rsidRDefault="00E91266" w:rsidP="00542BA2">
      <w:pPr>
        <w:autoSpaceDE w:val="0"/>
        <w:autoSpaceDN w:val="0"/>
        <w:adjustRightInd w:val="0"/>
        <w:jc w:val="both"/>
        <w:rPr>
          <w:noProof/>
        </w:rPr>
      </w:pPr>
      <w:r w:rsidRPr="00DF0D90">
        <w:rPr>
          <w:noProof/>
          <w:lang w:val="en-US"/>
        </w:rPr>
        <w:t>3.</w:t>
      </w:r>
      <w:r w:rsidRPr="00DF0D90">
        <w:rPr>
          <w:noProof/>
          <w:lang w:val="en-US"/>
        </w:rPr>
        <w:tab/>
        <w:t>Fattovich G. et al. Hepatocellular carcinoma in cirrhosis: Incidence and risk factors // Gastroenterology. W</w:t>
      </w:r>
      <w:r w:rsidRPr="00DF0D90">
        <w:rPr>
          <w:noProof/>
        </w:rPr>
        <w:t>.</w:t>
      </w:r>
      <w:r w:rsidRPr="00DF0D90">
        <w:rPr>
          <w:noProof/>
          <w:lang w:val="en-US"/>
        </w:rPr>
        <w:t>B</w:t>
      </w:r>
      <w:r w:rsidRPr="00DF0D90">
        <w:rPr>
          <w:noProof/>
        </w:rPr>
        <w:t xml:space="preserve">. </w:t>
      </w:r>
      <w:r w:rsidRPr="00DF0D90">
        <w:rPr>
          <w:noProof/>
          <w:lang w:val="en-US"/>
        </w:rPr>
        <w:t>Saunders</w:t>
      </w:r>
      <w:r w:rsidRPr="00DF0D90">
        <w:rPr>
          <w:noProof/>
        </w:rPr>
        <w:t xml:space="preserve">, 2004. </w:t>
      </w:r>
      <w:r w:rsidRPr="00DF0D90">
        <w:rPr>
          <w:noProof/>
          <w:lang w:val="en-US"/>
        </w:rPr>
        <w:t>Vol</w:t>
      </w:r>
      <w:r w:rsidRPr="00DF0D90">
        <w:rPr>
          <w:noProof/>
        </w:rPr>
        <w:t xml:space="preserve">. 127, № 5 </w:t>
      </w:r>
      <w:r w:rsidRPr="00DF0D90">
        <w:rPr>
          <w:noProof/>
          <w:lang w:val="en-US"/>
        </w:rPr>
        <w:t>SUPPL</w:t>
      </w:r>
      <w:r w:rsidRPr="00DF0D90">
        <w:rPr>
          <w:noProof/>
        </w:rPr>
        <w:t>.</w:t>
      </w:r>
    </w:p>
    <w:p w14:paraId="604B9CC7" w14:textId="155028D2" w:rsidR="00C36E66" w:rsidRDefault="00E91266" w:rsidP="00C36E66">
      <w:pPr>
        <w:autoSpaceDE w:val="0"/>
        <w:autoSpaceDN w:val="0"/>
        <w:adjustRightInd w:val="0"/>
        <w:jc w:val="both"/>
        <w:rPr>
          <w:noProof/>
        </w:rPr>
      </w:pPr>
      <w:r w:rsidRPr="00DF0D90">
        <w:rPr>
          <w:noProof/>
        </w:rPr>
        <w:t>4.</w:t>
      </w:r>
      <w:r w:rsidRPr="00DF0D90">
        <w:rPr>
          <w:noProof/>
        </w:rPr>
        <w:tab/>
        <w:t>Ка</w:t>
      </w:r>
      <w:r w:rsidR="00181866">
        <w:rPr>
          <w:noProof/>
        </w:rPr>
        <w:t>пр</w:t>
      </w:r>
      <w:r w:rsidRPr="00DF0D90">
        <w:rPr>
          <w:noProof/>
        </w:rPr>
        <w:t xml:space="preserve">ин А.Д., Старинский В.В., Шахзадова А.О. Злокачественные новообразования в России в 2019 году (заболеваемость и смертность). Москва: МНИОИ им. П.А. Герцена − филиал ФГБУ «НМИЦ радиологии» Минздрава России, 2020. </w:t>
      </w:r>
      <w:r w:rsidRPr="00C36E66">
        <w:rPr>
          <w:noProof/>
        </w:rPr>
        <w:t xml:space="preserve">252 </w:t>
      </w:r>
      <w:r w:rsidRPr="00DF0D90">
        <w:rPr>
          <w:noProof/>
          <w:lang w:val="en-US"/>
        </w:rPr>
        <w:t>p</w:t>
      </w:r>
      <w:r w:rsidRPr="00C36E66">
        <w:rPr>
          <w:noProof/>
        </w:rPr>
        <w:t>.</w:t>
      </w:r>
    </w:p>
    <w:p w14:paraId="31940EEE" w14:textId="77777777" w:rsidR="00A612C6" w:rsidRDefault="00C36E66" w:rsidP="00C36E66">
      <w:pPr>
        <w:autoSpaceDE w:val="0"/>
        <w:autoSpaceDN w:val="0"/>
        <w:adjustRightInd w:val="0"/>
        <w:jc w:val="both"/>
      </w:pPr>
      <w:r>
        <w:t xml:space="preserve">5. </w:t>
      </w:r>
      <w:r w:rsidR="00A612C6">
        <w:t>Когония Л.М., Новиков Г.А., Орлова Р.В. и соавт. Хронический болевой синдром у взрослых онкологических больных. Практические рекомендации RUSSCO, часть 2. Злокачественные опухоли 2024;14(3s2):227–249.</w:t>
      </w:r>
    </w:p>
    <w:p w14:paraId="3FCD1D97" w14:textId="7A789286" w:rsidR="00E91266" w:rsidRPr="00DF0D90" w:rsidRDefault="00C36E66" w:rsidP="00542BA2">
      <w:pPr>
        <w:autoSpaceDE w:val="0"/>
        <w:autoSpaceDN w:val="0"/>
        <w:adjustRightInd w:val="0"/>
        <w:jc w:val="both"/>
        <w:rPr>
          <w:noProof/>
          <w:lang w:val="en-US"/>
        </w:rPr>
      </w:pPr>
      <w:r w:rsidRPr="0043377B">
        <w:rPr>
          <w:noProof/>
        </w:rPr>
        <w:t>5</w:t>
      </w:r>
      <w:r w:rsidR="00E91266" w:rsidRPr="0043377B">
        <w:rPr>
          <w:noProof/>
        </w:rPr>
        <w:t>.</w:t>
      </w:r>
      <w:r w:rsidR="00E91266" w:rsidRPr="0043377B">
        <w:rPr>
          <w:noProof/>
        </w:rPr>
        <w:tab/>
      </w:r>
      <w:r w:rsidR="00E91266" w:rsidRPr="00DF0D90">
        <w:rPr>
          <w:noProof/>
          <w:lang w:val="en-US"/>
        </w:rPr>
        <w:t>AJCC</w:t>
      </w:r>
      <w:r w:rsidR="00E91266" w:rsidRPr="0043377B">
        <w:rPr>
          <w:noProof/>
        </w:rPr>
        <w:t xml:space="preserve"> </w:t>
      </w:r>
      <w:r w:rsidR="00E91266" w:rsidRPr="00DF0D90">
        <w:rPr>
          <w:noProof/>
          <w:lang w:val="en-US"/>
        </w:rPr>
        <w:t>Cancer</w:t>
      </w:r>
      <w:r w:rsidR="00E91266" w:rsidRPr="0043377B">
        <w:rPr>
          <w:noProof/>
        </w:rPr>
        <w:t xml:space="preserve"> </w:t>
      </w:r>
      <w:r w:rsidR="00E91266" w:rsidRPr="00DF0D90">
        <w:rPr>
          <w:noProof/>
          <w:lang w:val="en-US"/>
        </w:rPr>
        <w:t>Staging</w:t>
      </w:r>
      <w:r w:rsidR="00E91266" w:rsidRPr="0043377B">
        <w:rPr>
          <w:noProof/>
        </w:rPr>
        <w:t xml:space="preserve"> </w:t>
      </w:r>
      <w:r w:rsidR="00E91266" w:rsidRPr="00DF0D90">
        <w:rPr>
          <w:noProof/>
          <w:lang w:val="en-US"/>
        </w:rPr>
        <w:t>Manual</w:t>
      </w:r>
      <w:r w:rsidR="00E91266" w:rsidRPr="0043377B">
        <w:rPr>
          <w:noProof/>
        </w:rPr>
        <w:t xml:space="preserve">. </w:t>
      </w:r>
      <w:r w:rsidR="00E91266" w:rsidRPr="00DF0D90">
        <w:rPr>
          <w:noProof/>
          <w:lang w:val="en-US"/>
        </w:rPr>
        <w:t>8th ed. / ed. Amin M.B. et al. Springer, 2017.</w:t>
      </w:r>
    </w:p>
    <w:p w14:paraId="3AF5057E" w14:textId="08C87FDE" w:rsidR="00E91266" w:rsidRPr="00C36E66" w:rsidRDefault="00C36E66" w:rsidP="00542BA2">
      <w:pPr>
        <w:autoSpaceDE w:val="0"/>
        <w:autoSpaceDN w:val="0"/>
        <w:adjustRightInd w:val="0"/>
        <w:jc w:val="both"/>
        <w:rPr>
          <w:noProof/>
          <w:lang w:val="en-US"/>
        </w:rPr>
      </w:pPr>
      <w:r w:rsidRPr="00C36E66">
        <w:rPr>
          <w:noProof/>
          <w:lang w:val="en-US"/>
        </w:rPr>
        <w:t>6</w:t>
      </w:r>
      <w:r w:rsidR="00E91266" w:rsidRPr="00DF0D90">
        <w:rPr>
          <w:noProof/>
          <w:lang w:val="en-US"/>
        </w:rPr>
        <w:t>.</w:t>
      </w:r>
      <w:r w:rsidR="00E91266" w:rsidRPr="00DF0D90">
        <w:rPr>
          <w:noProof/>
          <w:lang w:val="en-US"/>
        </w:rPr>
        <w:tab/>
        <w:t>Galle P.R. et al. EASL Clinical Practice Guidelines: Management of hepatocellular carcinoma // J. Hepatol. Elsevier B.V., 2018. Vol. 69, № 1. P. 182–236.</w:t>
      </w:r>
    </w:p>
    <w:p w14:paraId="217BC3E9" w14:textId="739D9B55" w:rsidR="00F204E2" w:rsidRPr="00F204E2" w:rsidRDefault="00C36E66" w:rsidP="00F204E2">
      <w:pPr>
        <w:adjustRightInd w:val="0"/>
        <w:jc w:val="both"/>
        <w:rPr>
          <w:noProof/>
          <w:lang w:val="en-US"/>
        </w:rPr>
      </w:pPr>
      <w:r w:rsidRPr="00D30C2B">
        <w:rPr>
          <w:noProof/>
          <w:lang w:val="en-US"/>
        </w:rPr>
        <w:t>7</w:t>
      </w:r>
      <w:r w:rsidR="00E91266" w:rsidRPr="00DF0D90">
        <w:rPr>
          <w:noProof/>
          <w:lang w:val="en-US"/>
        </w:rPr>
        <w:t>.</w:t>
      </w:r>
      <w:r w:rsidR="00E91266" w:rsidRPr="00DF0D90">
        <w:rPr>
          <w:noProof/>
          <w:lang w:val="en-US"/>
        </w:rPr>
        <w:tab/>
      </w:r>
      <w:r w:rsidR="00F204E2" w:rsidRPr="00F204E2">
        <w:rPr>
          <w:noProof/>
          <w:lang w:val="en-US"/>
        </w:rPr>
        <w:t>M</w:t>
      </w:r>
      <w:r w:rsidR="00F204E2" w:rsidRPr="00F204E2">
        <w:rPr>
          <w:noProof/>
          <w:lang w:val="x-none"/>
        </w:rPr>
        <w:t xml:space="preserve">. </w:t>
      </w:r>
      <w:r w:rsidR="00F204E2" w:rsidRPr="00F204E2">
        <w:rPr>
          <w:noProof/>
          <w:lang w:val="en-US"/>
        </w:rPr>
        <w:t>Reig</w:t>
      </w:r>
      <w:r w:rsidR="00F204E2" w:rsidRPr="00F204E2">
        <w:rPr>
          <w:noProof/>
          <w:lang w:val="x-none"/>
        </w:rPr>
        <w:t xml:space="preserve">, </w:t>
      </w:r>
      <w:r w:rsidR="00F204E2" w:rsidRPr="00F204E2">
        <w:rPr>
          <w:noProof/>
          <w:lang w:val="en-US"/>
        </w:rPr>
        <w:t>et</w:t>
      </w:r>
      <w:r w:rsidR="00F204E2" w:rsidRPr="00F204E2">
        <w:rPr>
          <w:noProof/>
          <w:lang w:val="x-none"/>
        </w:rPr>
        <w:t xml:space="preserve"> </w:t>
      </w:r>
      <w:r w:rsidR="00F204E2" w:rsidRPr="00F204E2">
        <w:rPr>
          <w:noProof/>
          <w:lang w:val="en-US"/>
        </w:rPr>
        <w:t>al</w:t>
      </w:r>
      <w:r w:rsidR="00F204E2" w:rsidRPr="00F204E2">
        <w:rPr>
          <w:noProof/>
          <w:lang w:val="x-none"/>
        </w:rPr>
        <w:t xml:space="preserve">. </w:t>
      </w:r>
      <w:r w:rsidR="00F204E2" w:rsidRPr="00F204E2">
        <w:rPr>
          <w:noProof/>
          <w:lang w:val="en-US"/>
        </w:rPr>
        <w:t>Journal of Hepatology, Volume 76, Issue 3, March 2022, Pages 681-69    doi.org/10.1016/j.jhep.2021.11.018</w:t>
      </w:r>
    </w:p>
    <w:p w14:paraId="1656CB03" w14:textId="1DD92D7C" w:rsidR="00E91266" w:rsidRPr="00DF0D90" w:rsidRDefault="00C36E66" w:rsidP="00542BA2">
      <w:pPr>
        <w:autoSpaceDE w:val="0"/>
        <w:autoSpaceDN w:val="0"/>
        <w:adjustRightInd w:val="0"/>
        <w:jc w:val="both"/>
        <w:rPr>
          <w:noProof/>
          <w:lang w:val="en-US"/>
        </w:rPr>
      </w:pPr>
      <w:r w:rsidRPr="00D30C2B">
        <w:rPr>
          <w:noProof/>
          <w:lang w:val="en-US"/>
        </w:rPr>
        <w:t>8</w:t>
      </w:r>
      <w:r w:rsidR="00E91266" w:rsidRPr="00DF0D90">
        <w:rPr>
          <w:noProof/>
          <w:lang w:val="en-US"/>
        </w:rPr>
        <w:t>.</w:t>
      </w:r>
      <w:r w:rsidR="00E91266" w:rsidRPr="00DF0D90">
        <w:rPr>
          <w:noProof/>
          <w:lang w:val="en-US"/>
        </w:rPr>
        <w:tab/>
        <w:t>Vogel A. et al. Hepatocellular carcinoma: ESMO Clinical Practice Guidelines for diagnosis, treatment and follow-up // Ann. Oncol. Oxford University Press, 2018. Vol. 29. P. iv238–iv255.</w:t>
      </w:r>
    </w:p>
    <w:p w14:paraId="1AB6E2F2" w14:textId="475FB67C" w:rsidR="00E91266" w:rsidRPr="00DF0D90" w:rsidRDefault="00C36E66" w:rsidP="00542BA2">
      <w:pPr>
        <w:autoSpaceDE w:val="0"/>
        <w:autoSpaceDN w:val="0"/>
        <w:adjustRightInd w:val="0"/>
        <w:jc w:val="both"/>
        <w:rPr>
          <w:noProof/>
          <w:lang w:val="en-US"/>
        </w:rPr>
      </w:pPr>
      <w:r w:rsidRPr="00C36E66">
        <w:rPr>
          <w:noProof/>
          <w:lang w:val="en-US"/>
        </w:rPr>
        <w:t>9</w:t>
      </w:r>
      <w:r w:rsidR="00E91266" w:rsidRPr="00DF0D90">
        <w:rPr>
          <w:noProof/>
          <w:lang w:val="en-US"/>
        </w:rPr>
        <w:t>.</w:t>
      </w:r>
      <w:r w:rsidR="00E91266" w:rsidRPr="00DF0D90">
        <w:rPr>
          <w:noProof/>
          <w:lang w:val="en-US"/>
        </w:rPr>
        <w:tab/>
        <w:t>Marrero J.A. et al. Diagnosis, Staging, and Management of Hepatocellular Carcinoma: 2018 Practice Guidance by the American Association for the Study of Liver Diseases // Hepatology. John Wiley and Sons Inc., 2018. Vol. 68, № 2. P. 723–750.</w:t>
      </w:r>
    </w:p>
    <w:p w14:paraId="752D21DF" w14:textId="33161D5D" w:rsidR="00E91266" w:rsidRPr="00DF0D90" w:rsidRDefault="00E91266" w:rsidP="00542BA2">
      <w:pPr>
        <w:autoSpaceDE w:val="0"/>
        <w:autoSpaceDN w:val="0"/>
        <w:adjustRightInd w:val="0"/>
        <w:jc w:val="both"/>
        <w:rPr>
          <w:noProof/>
          <w:lang w:val="en-US"/>
        </w:rPr>
      </w:pPr>
      <w:r w:rsidRPr="00DF0D90">
        <w:rPr>
          <w:noProof/>
          <w:lang w:val="en-US"/>
        </w:rPr>
        <w:t>1</w:t>
      </w:r>
      <w:r w:rsidR="00C36E66" w:rsidRPr="00C36E66">
        <w:rPr>
          <w:noProof/>
          <w:lang w:val="en-US"/>
        </w:rPr>
        <w:t>0</w:t>
      </w:r>
      <w:r w:rsidRPr="00DF0D90">
        <w:rPr>
          <w:noProof/>
          <w:lang w:val="en-US"/>
        </w:rPr>
        <w:t>.</w:t>
      </w:r>
      <w:r w:rsidRPr="00DF0D90">
        <w:rPr>
          <w:noProof/>
          <w:lang w:val="en-US"/>
        </w:rPr>
        <w:tab/>
        <w:t>Terrault N.A. et al. AASLD guidelines for treatment of chronic hepatitis B // Hepatology. John Wiley and Sons Inc., 2016. Vol. 63, № 1. P. 261–283.</w:t>
      </w:r>
    </w:p>
    <w:p w14:paraId="5F795E8C" w14:textId="4F469D68" w:rsidR="00E91266" w:rsidRPr="00DF0D90" w:rsidRDefault="00E91266" w:rsidP="00542BA2">
      <w:pPr>
        <w:autoSpaceDE w:val="0"/>
        <w:autoSpaceDN w:val="0"/>
        <w:adjustRightInd w:val="0"/>
        <w:jc w:val="both"/>
        <w:rPr>
          <w:noProof/>
          <w:lang w:val="en-US"/>
        </w:rPr>
      </w:pPr>
      <w:r w:rsidRPr="00DF0D90">
        <w:rPr>
          <w:noProof/>
          <w:lang w:val="en-US"/>
        </w:rPr>
        <w:t>1</w:t>
      </w:r>
      <w:r w:rsidR="00C36E66" w:rsidRPr="00C36E66">
        <w:rPr>
          <w:noProof/>
          <w:lang w:val="en-US"/>
        </w:rPr>
        <w:t>1</w:t>
      </w:r>
      <w:r w:rsidRPr="00DF0D90">
        <w:rPr>
          <w:noProof/>
          <w:lang w:val="en-US"/>
        </w:rPr>
        <w:t>.</w:t>
      </w:r>
      <w:r w:rsidRPr="00DF0D90">
        <w:rPr>
          <w:noProof/>
          <w:lang w:val="en-US"/>
        </w:rPr>
        <w:tab/>
        <w:t>Chung R.T. et al. Hepatitis C guidance 2018 update: A</w:t>
      </w:r>
      <w:r w:rsidR="002127BA" w:rsidRPr="00DF0D90">
        <w:rPr>
          <w:noProof/>
          <w:lang w:val="en-US"/>
        </w:rPr>
        <w:t>ASLD</w:t>
      </w:r>
      <w:r w:rsidRPr="00DF0D90">
        <w:rPr>
          <w:noProof/>
          <w:lang w:val="en-US"/>
        </w:rPr>
        <w:t>-</w:t>
      </w:r>
      <w:r w:rsidR="002127BA" w:rsidRPr="00DF0D90">
        <w:rPr>
          <w:noProof/>
          <w:lang w:val="en-US"/>
        </w:rPr>
        <w:t>IDCA</w:t>
      </w:r>
      <w:r w:rsidRPr="00DF0D90">
        <w:rPr>
          <w:noProof/>
          <w:lang w:val="en-US"/>
        </w:rPr>
        <w:t xml:space="preserve"> recommendations for testing, managing, and treating Hepatitis C Virus infection // Clin. Infect. Dis. Oxford University Press, 2018. Vol. 67, № 10. P. 1477–1492.</w:t>
      </w:r>
    </w:p>
    <w:p w14:paraId="4E2D087C" w14:textId="77777777" w:rsidR="00E91266" w:rsidRPr="00DF0D90" w:rsidRDefault="00E91266" w:rsidP="00542BA2">
      <w:pPr>
        <w:autoSpaceDE w:val="0"/>
        <w:autoSpaceDN w:val="0"/>
        <w:adjustRightInd w:val="0"/>
        <w:jc w:val="both"/>
        <w:rPr>
          <w:noProof/>
          <w:lang w:val="en-US"/>
        </w:rPr>
      </w:pPr>
      <w:r w:rsidRPr="00DF0D90">
        <w:rPr>
          <w:noProof/>
          <w:lang w:val="en-US"/>
        </w:rPr>
        <w:t>12.</w:t>
      </w:r>
      <w:r w:rsidRPr="00DF0D90">
        <w:rPr>
          <w:noProof/>
          <w:lang w:val="en-US"/>
        </w:rPr>
        <w:tab/>
        <w:t>Waidely E. et al. Serum protein biomarkers relevant to hepatocellular carcinoma and their detection // Analyst. Royal Society of Chemistry, 2016. Vol. 141, № 1. P. 36–44.</w:t>
      </w:r>
    </w:p>
    <w:p w14:paraId="30AB5EE8" w14:textId="77777777" w:rsidR="00E91266" w:rsidRPr="00DF0D90" w:rsidRDefault="00E91266" w:rsidP="00542BA2">
      <w:pPr>
        <w:autoSpaceDE w:val="0"/>
        <w:autoSpaceDN w:val="0"/>
        <w:adjustRightInd w:val="0"/>
        <w:jc w:val="both"/>
        <w:rPr>
          <w:noProof/>
          <w:lang w:val="en-US"/>
        </w:rPr>
      </w:pPr>
      <w:r w:rsidRPr="00DF0D90">
        <w:rPr>
          <w:noProof/>
          <w:lang w:val="en-US"/>
        </w:rPr>
        <w:t>13.</w:t>
      </w:r>
      <w:r w:rsidRPr="00DF0D90">
        <w:rPr>
          <w:noProof/>
          <w:lang w:val="en-US"/>
        </w:rPr>
        <w:tab/>
        <w:t>Arrieta O. et al. The progressive elevation of alpha fetoprotein for the diagnosis of hepatocellular carcinoma in patients with liver cirrhosis // BMC Cancer. 2007. Vol. 7.</w:t>
      </w:r>
    </w:p>
    <w:p w14:paraId="3964A64D" w14:textId="09493F10" w:rsidR="00E91266" w:rsidRPr="00DF0D90" w:rsidRDefault="00E91266" w:rsidP="00542BA2">
      <w:pPr>
        <w:autoSpaceDE w:val="0"/>
        <w:autoSpaceDN w:val="0"/>
        <w:adjustRightInd w:val="0"/>
        <w:jc w:val="both"/>
        <w:rPr>
          <w:noProof/>
          <w:lang w:val="en-US"/>
        </w:rPr>
      </w:pPr>
      <w:r w:rsidRPr="00DF0D90">
        <w:rPr>
          <w:noProof/>
          <w:lang w:val="en-US"/>
        </w:rPr>
        <w:t>14.</w:t>
      </w:r>
      <w:r w:rsidRPr="00DF0D90">
        <w:rPr>
          <w:noProof/>
          <w:lang w:val="en-US"/>
        </w:rPr>
        <w:tab/>
        <w:t xml:space="preserve">NCCN. Clinical Practice Guidelines in Oncology. Hepatobiliary Cancers, version </w:t>
      </w:r>
      <w:r w:rsidR="00C0142B" w:rsidRPr="00DF0D90">
        <w:rPr>
          <w:noProof/>
          <w:lang w:val="en-US"/>
        </w:rPr>
        <w:t>2</w:t>
      </w:r>
      <w:r w:rsidRPr="00DF0D90">
        <w:rPr>
          <w:noProof/>
          <w:lang w:val="en-US"/>
        </w:rPr>
        <w:t>.202</w:t>
      </w:r>
      <w:r w:rsidR="00C0142B" w:rsidRPr="00DF0D90">
        <w:rPr>
          <w:noProof/>
          <w:lang w:val="en-US"/>
        </w:rPr>
        <w:t>4</w:t>
      </w:r>
      <w:r w:rsidRPr="00DF0D90">
        <w:rPr>
          <w:noProof/>
          <w:lang w:val="en-US"/>
        </w:rPr>
        <w:t>. 202</w:t>
      </w:r>
      <w:r w:rsidR="00C0142B" w:rsidRPr="00DF0D90">
        <w:rPr>
          <w:noProof/>
          <w:lang w:val="en-US"/>
        </w:rPr>
        <w:t>4</w:t>
      </w:r>
      <w:r w:rsidRPr="00DF0D90">
        <w:rPr>
          <w:noProof/>
          <w:lang w:val="en-US"/>
        </w:rPr>
        <w:t>.</w:t>
      </w:r>
      <w:r w:rsidR="00587622" w:rsidRPr="00DF0D90">
        <w:rPr>
          <w:lang w:val="en-US"/>
        </w:rPr>
        <w:t>https://www.nccn.org/login?ReturnURL=https://www.nccn.org/professionals/physician_gls/pdf/hcc.pdf</w:t>
      </w:r>
    </w:p>
    <w:p w14:paraId="654C9E67" w14:textId="77777777" w:rsidR="00E91266" w:rsidRPr="00DF0D90" w:rsidRDefault="00E91266" w:rsidP="00542BA2">
      <w:pPr>
        <w:autoSpaceDE w:val="0"/>
        <w:autoSpaceDN w:val="0"/>
        <w:adjustRightInd w:val="0"/>
        <w:jc w:val="both"/>
        <w:rPr>
          <w:noProof/>
          <w:lang w:val="en-US"/>
        </w:rPr>
      </w:pPr>
      <w:r w:rsidRPr="00DF0D90">
        <w:rPr>
          <w:noProof/>
          <w:lang w:val="en-US"/>
        </w:rPr>
        <w:t>15.</w:t>
      </w:r>
      <w:r w:rsidRPr="00DF0D90">
        <w:rPr>
          <w:noProof/>
          <w:lang w:val="en-US"/>
        </w:rPr>
        <w:tab/>
        <w:t>Peng Y., Qi X., Guo X. Child–Pugh Versus MELD Score for the Assessment of Prognosis in Liver Cirrhosis // Medicine (Baltimore). 2016. Vol. 95, № 8. P. e2877.</w:t>
      </w:r>
    </w:p>
    <w:p w14:paraId="4765CBBB" w14:textId="77777777" w:rsidR="00E91266" w:rsidRPr="00DF0D90" w:rsidRDefault="00E91266" w:rsidP="00542BA2">
      <w:pPr>
        <w:autoSpaceDE w:val="0"/>
        <w:autoSpaceDN w:val="0"/>
        <w:adjustRightInd w:val="0"/>
        <w:jc w:val="both"/>
        <w:rPr>
          <w:noProof/>
          <w:lang w:val="en-US"/>
        </w:rPr>
      </w:pPr>
      <w:r w:rsidRPr="00DF0D90">
        <w:rPr>
          <w:noProof/>
          <w:lang w:val="en-US"/>
        </w:rPr>
        <w:t>16.</w:t>
      </w:r>
      <w:r w:rsidRPr="00DF0D90">
        <w:rPr>
          <w:noProof/>
          <w:lang w:val="en-US"/>
        </w:rPr>
        <w:tab/>
        <w:t>Forner A. et al. Diagnosis of hepatic nodules 20 mm or smaller in cirrhosis: Prospective validation of the noninvasive diagnostic criteria for hepatocellular carcinoma // Hepatology. 2008. Vol. 47, № 1. P. 97–104.</w:t>
      </w:r>
    </w:p>
    <w:p w14:paraId="27459782" w14:textId="77777777" w:rsidR="00E91266" w:rsidRPr="00DF0D90" w:rsidRDefault="00E91266" w:rsidP="00542BA2">
      <w:pPr>
        <w:autoSpaceDE w:val="0"/>
        <w:autoSpaceDN w:val="0"/>
        <w:adjustRightInd w:val="0"/>
        <w:jc w:val="both"/>
        <w:rPr>
          <w:noProof/>
          <w:lang w:val="en-US"/>
        </w:rPr>
      </w:pPr>
      <w:r w:rsidRPr="00DF0D90">
        <w:rPr>
          <w:noProof/>
          <w:lang w:val="en-US"/>
        </w:rPr>
        <w:t>17.</w:t>
      </w:r>
      <w:r w:rsidRPr="00DF0D90">
        <w:rPr>
          <w:noProof/>
          <w:lang w:val="en-US"/>
        </w:rPr>
        <w:tab/>
        <w:t>Chou R. et al. Imaging Techniques for the Diagnosis of Hepatocellular Carcinoma // Ann. Intern. Med. 2015. Vol. 162, № 10.</w:t>
      </w:r>
    </w:p>
    <w:p w14:paraId="33D21026" w14:textId="77777777" w:rsidR="00E91266" w:rsidRPr="00DF0D90" w:rsidRDefault="00E91266" w:rsidP="00542BA2">
      <w:pPr>
        <w:autoSpaceDE w:val="0"/>
        <w:autoSpaceDN w:val="0"/>
        <w:adjustRightInd w:val="0"/>
        <w:jc w:val="both"/>
        <w:rPr>
          <w:noProof/>
          <w:lang w:val="en-US"/>
        </w:rPr>
      </w:pPr>
      <w:r w:rsidRPr="00DF0D90">
        <w:rPr>
          <w:noProof/>
          <w:lang w:val="en-US"/>
        </w:rPr>
        <w:t>18.</w:t>
      </w:r>
      <w:r w:rsidRPr="00DF0D90">
        <w:rPr>
          <w:noProof/>
          <w:lang w:val="en-US"/>
        </w:rPr>
        <w:tab/>
        <w:t>Lee Y.J. et al. Hepatocellular carcinoma: Diagnostic performance of multidetector CT and MR imaging-a systematic review and meta-analysis // Radiology. Radiological Society of North America Inc., 2015. Vol. 275, № 1. P. 97–109.</w:t>
      </w:r>
    </w:p>
    <w:p w14:paraId="1CC244F1" w14:textId="77777777" w:rsidR="00E91266" w:rsidRPr="00DF0D90" w:rsidRDefault="00E91266" w:rsidP="00542BA2">
      <w:pPr>
        <w:autoSpaceDE w:val="0"/>
        <w:autoSpaceDN w:val="0"/>
        <w:adjustRightInd w:val="0"/>
        <w:jc w:val="both"/>
        <w:rPr>
          <w:noProof/>
          <w:lang w:val="en-US"/>
        </w:rPr>
      </w:pPr>
      <w:r w:rsidRPr="00DF0D90">
        <w:rPr>
          <w:noProof/>
          <w:lang w:val="en-US"/>
        </w:rPr>
        <w:t>19.</w:t>
      </w:r>
      <w:r w:rsidRPr="00DF0D90">
        <w:rPr>
          <w:noProof/>
          <w:lang w:val="en-US"/>
        </w:rPr>
        <w:tab/>
        <w:t>Liu X. et al. Gadoxetic acid disodium–enhanced magnetic resonance imaging outperformed multidetector computed tomography in diagnosing small hepatocellular carcinoma: A meta-analysis // Liver Transplant. 2017. Vol. 23, № 12. P. 1505–1518.</w:t>
      </w:r>
    </w:p>
    <w:p w14:paraId="63DBA1CC" w14:textId="77777777" w:rsidR="00E91266" w:rsidRPr="00DF0D90" w:rsidRDefault="00E91266" w:rsidP="00542BA2">
      <w:pPr>
        <w:autoSpaceDE w:val="0"/>
        <w:autoSpaceDN w:val="0"/>
        <w:adjustRightInd w:val="0"/>
        <w:jc w:val="both"/>
        <w:rPr>
          <w:noProof/>
          <w:lang w:val="en-US"/>
        </w:rPr>
      </w:pPr>
      <w:r w:rsidRPr="00DF0D90">
        <w:rPr>
          <w:noProof/>
          <w:lang w:val="en-US"/>
        </w:rPr>
        <w:lastRenderedPageBreak/>
        <w:t>20.</w:t>
      </w:r>
      <w:r w:rsidRPr="00DF0D90">
        <w:rPr>
          <w:noProof/>
          <w:lang w:val="en-US"/>
        </w:rPr>
        <w:tab/>
        <w:t>Li J. et al. The diagnostic performance of gadoxetic acid disodium-enhanced magnetic resonance imaging and contrast-enhanced multi-detector computed tomography in detecting hepatocellular carcinoma: a meta-analysis of eight prospective studies // European Radiology. 2019. Vol. 29, № 12. P. 6519–6528.</w:t>
      </w:r>
    </w:p>
    <w:p w14:paraId="7BDAFD8D" w14:textId="77777777" w:rsidR="00E91266" w:rsidRPr="00DF0D90" w:rsidRDefault="00E91266" w:rsidP="00542BA2">
      <w:pPr>
        <w:autoSpaceDE w:val="0"/>
        <w:autoSpaceDN w:val="0"/>
        <w:adjustRightInd w:val="0"/>
        <w:jc w:val="both"/>
        <w:rPr>
          <w:noProof/>
          <w:lang w:val="en-US"/>
        </w:rPr>
      </w:pPr>
      <w:r w:rsidRPr="00DF0D90">
        <w:rPr>
          <w:noProof/>
          <w:lang w:val="en-US"/>
        </w:rPr>
        <w:t>21.</w:t>
      </w:r>
      <w:r w:rsidRPr="00DF0D90">
        <w:rPr>
          <w:noProof/>
          <w:lang w:val="en-US"/>
        </w:rPr>
        <w:tab/>
        <w:t>Guo J. et al. Diagnostic performance of contrast-enhanced multidetector computed tomography and gadoxetic acid disodium-enhanced magnetic resonance imaging in detecting hepatocellular carcinoma: direct comparison and a meta-analysis // Abdom. Radiol. Springer New York LLC, 2016. Vol. 41, № 10. P. 1960–1972.</w:t>
      </w:r>
    </w:p>
    <w:p w14:paraId="1B3E0063" w14:textId="77777777" w:rsidR="00E91266" w:rsidRPr="00DF0D90" w:rsidRDefault="00E91266" w:rsidP="00542BA2">
      <w:pPr>
        <w:autoSpaceDE w:val="0"/>
        <w:autoSpaceDN w:val="0"/>
        <w:adjustRightInd w:val="0"/>
        <w:jc w:val="both"/>
        <w:rPr>
          <w:noProof/>
          <w:lang w:val="en-US"/>
        </w:rPr>
      </w:pPr>
      <w:r w:rsidRPr="00DF0D90">
        <w:rPr>
          <w:noProof/>
          <w:lang w:val="en-US"/>
        </w:rPr>
        <w:t>22.</w:t>
      </w:r>
      <w:r w:rsidRPr="00DF0D90">
        <w:rPr>
          <w:noProof/>
          <w:lang w:val="en-US"/>
        </w:rPr>
        <w:tab/>
        <w:t>Kang T.W. et al. Use of gadoxetic acid–enhanced liver MRI and mortality in more than 30000 patients with hepatocellular Carcinoma: A nationwide analysis // Radiology. 2020. Vol. 295, № 1. P. 114–124.</w:t>
      </w:r>
    </w:p>
    <w:p w14:paraId="34A19AAD" w14:textId="77777777" w:rsidR="00E91266" w:rsidRPr="00DF0D90" w:rsidRDefault="00E91266" w:rsidP="00542BA2">
      <w:pPr>
        <w:autoSpaceDE w:val="0"/>
        <w:autoSpaceDN w:val="0"/>
        <w:adjustRightInd w:val="0"/>
        <w:jc w:val="both"/>
        <w:rPr>
          <w:noProof/>
          <w:lang w:val="en-US"/>
        </w:rPr>
      </w:pPr>
      <w:r w:rsidRPr="00DF0D90">
        <w:rPr>
          <w:noProof/>
          <w:lang w:val="en-US"/>
        </w:rPr>
        <w:t>23.</w:t>
      </w:r>
      <w:r w:rsidRPr="00DF0D90">
        <w:rPr>
          <w:noProof/>
          <w:lang w:val="en-US"/>
        </w:rPr>
        <w:tab/>
        <w:t>Wang J.H. et al. Clinical Impact of Gadoxetic Acid-Enhanced Magnetic Resonance Imaging on Hepatoma Management: A Prospective Study // Dig. Dis. Sci. 2016. Vol. 61, № 4. P. 1197–1205.</w:t>
      </w:r>
    </w:p>
    <w:p w14:paraId="36B7A7FB" w14:textId="77777777" w:rsidR="00E91266" w:rsidRPr="00DF0D90" w:rsidRDefault="00E91266" w:rsidP="00542BA2">
      <w:pPr>
        <w:autoSpaceDE w:val="0"/>
        <w:autoSpaceDN w:val="0"/>
        <w:adjustRightInd w:val="0"/>
        <w:jc w:val="both"/>
        <w:rPr>
          <w:noProof/>
          <w:lang w:val="en-US"/>
        </w:rPr>
      </w:pPr>
      <w:r w:rsidRPr="00DF0D90">
        <w:rPr>
          <w:noProof/>
          <w:lang w:val="en-US"/>
        </w:rPr>
        <w:t>24.</w:t>
      </w:r>
      <w:r w:rsidRPr="00DF0D90">
        <w:rPr>
          <w:noProof/>
          <w:lang w:val="en-US"/>
        </w:rPr>
        <w:tab/>
        <w:t>Cerny M. et al. LI-RADS version 2018 ancillary features at MRI // Radiographics. Radiological Society of North America Inc., 2018. Vol. 38, № 7. P. 1973–2001.</w:t>
      </w:r>
    </w:p>
    <w:p w14:paraId="3EB40673" w14:textId="77777777" w:rsidR="00E91266" w:rsidRPr="00DF0D90" w:rsidRDefault="00E91266" w:rsidP="00542BA2">
      <w:pPr>
        <w:autoSpaceDE w:val="0"/>
        <w:autoSpaceDN w:val="0"/>
        <w:adjustRightInd w:val="0"/>
        <w:jc w:val="both"/>
        <w:rPr>
          <w:noProof/>
          <w:lang w:val="en-US"/>
        </w:rPr>
      </w:pPr>
      <w:r w:rsidRPr="00DF0D90">
        <w:rPr>
          <w:noProof/>
          <w:lang w:val="en-US"/>
        </w:rPr>
        <w:t>25.</w:t>
      </w:r>
      <w:r w:rsidRPr="00DF0D90">
        <w:rPr>
          <w:noProof/>
          <w:lang w:val="en-US"/>
        </w:rPr>
        <w:tab/>
        <w:t>Chernyak V. et al. LI-RADS ® algorithm: CT and MRI // Abdominal Radiology. Springer New York LLC, 2018. Vol. 43, № 1. P. 111–126.</w:t>
      </w:r>
    </w:p>
    <w:p w14:paraId="1B684172" w14:textId="77777777" w:rsidR="00E91266" w:rsidRPr="00DF0D90" w:rsidRDefault="00E91266" w:rsidP="00542BA2">
      <w:pPr>
        <w:autoSpaceDE w:val="0"/>
        <w:autoSpaceDN w:val="0"/>
        <w:adjustRightInd w:val="0"/>
        <w:jc w:val="both"/>
        <w:rPr>
          <w:noProof/>
          <w:lang w:val="en-US"/>
        </w:rPr>
      </w:pPr>
      <w:r w:rsidRPr="00DF0D90">
        <w:rPr>
          <w:noProof/>
          <w:lang w:val="en-US"/>
        </w:rPr>
        <w:t>26.</w:t>
      </w:r>
      <w:r w:rsidRPr="00DF0D90">
        <w:rPr>
          <w:noProof/>
          <w:lang w:val="en-US"/>
        </w:rPr>
        <w:tab/>
        <w:t>Ludwig D.R. et al. Expanding the Liver Imaging Reporting and Data System (LI-RADS) v2018 diagnostic population: performance and reliability of LI-RADS for distinguishing hepatocellular carcinoma (HCC) from non-HCC primary liver carcinoma in patients who do not meet strict L // HPB. Elsevier B.V., 2019. Vol. 21, № 12. P. 1697–1706.</w:t>
      </w:r>
    </w:p>
    <w:p w14:paraId="09A379D3" w14:textId="77777777" w:rsidR="00E91266" w:rsidRPr="00DF0D90" w:rsidRDefault="00E91266" w:rsidP="00542BA2">
      <w:pPr>
        <w:autoSpaceDE w:val="0"/>
        <w:autoSpaceDN w:val="0"/>
        <w:adjustRightInd w:val="0"/>
        <w:jc w:val="both"/>
        <w:rPr>
          <w:noProof/>
          <w:lang w:val="en-US"/>
        </w:rPr>
      </w:pPr>
      <w:r w:rsidRPr="00DF0D90">
        <w:rPr>
          <w:noProof/>
          <w:lang w:val="en-US"/>
        </w:rPr>
        <w:t>27.</w:t>
      </w:r>
      <w:r w:rsidRPr="00DF0D90">
        <w:rPr>
          <w:noProof/>
          <w:lang w:val="en-US"/>
        </w:rPr>
        <w:tab/>
        <w:t>Choi J.Y., Lee J.M., Sirlin C.B. CT and MR imaging diagnosis and staging of hepatocellular carcinoma. Part II. Extracellular agents, hepatobiliary agents, and ancillary imaging features // Radiology. 2014. Vol. 273, № 1. P. 30–50.</w:t>
      </w:r>
    </w:p>
    <w:p w14:paraId="5F854B19" w14:textId="77777777" w:rsidR="00E91266" w:rsidRPr="00DF0D90" w:rsidRDefault="00E91266" w:rsidP="00542BA2">
      <w:pPr>
        <w:autoSpaceDE w:val="0"/>
        <w:autoSpaceDN w:val="0"/>
        <w:adjustRightInd w:val="0"/>
        <w:jc w:val="both"/>
        <w:rPr>
          <w:noProof/>
          <w:lang w:val="en-US"/>
        </w:rPr>
      </w:pPr>
      <w:r w:rsidRPr="00DF0D90">
        <w:rPr>
          <w:noProof/>
          <w:lang w:val="en-US"/>
        </w:rPr>
        <w:t>28.</w:t>
      </w:r>
      <w:r w:rsidRPr="00DF0D90">
        <w:rPr>
          <w:noProof/>
          <w:lang w:val="en-US"/>
        </w:rPr>
        <w:tab/>
        <w:t>Katyal S. et al. Extrahepatic Metastases of Hepatocellular Carcinoma // Radiology. 2000. Vol. 216, № 3. P. 698–703.</w:t>
      </w:r>
    </w:p>
    <w:p w14:paraId="179EE7CF" w14:textId="77777777" w:rsidR="00E91266" w:rsidRPr="00DF0D90" w:rsidRDefault="00E91266" w:rsidP="00542BA2">
      <w:pPr>
        <w:autoSpaceDE w:val="0"/>
        <w:autoSpaceDN w:val="0"/>
        <w:adjustRightInd w:val="0"/>
        <w:jc w:val="both"/>
        <w:rPr>
          <w:noProof/>
          <w:lang w:val="en-US"/>
        </w:rPr>
      </w:pPr>
      <w:r w:rsidRPr="00DF0D90">
        <w:rPr>
          <w:noProof/>
          <w:lang w:val="en-US"/>
        </w:rPr>
        <w:t>29.</w:t>
      </w:r>
      <w:r w:rsidRPr="00DF0D90">
        <w:rPr>
          <w:noProof/>
          <w:lang w:val="en-US"/>
        </w:rPr>
        <w:tab/>
        <w:t>Natsuizaka M. et al. Clinical features of hepatocellular carcinoma with extrahepatic metastases // J. Gastroenterol. Hepatol. Blackwell Publishing, 2005. Vol. 20, № 11. P. 1781–1787.</w:t>
      </w:r>
    </w:p>
    <w:p w14:paraId="462FAEFD" w14:textId="77777777" w:rsidR="00E91266" w:rsidRPr="00DF0D90" w:rsidRDefault="00E91266" w:rsidP="00542BA2">
      <w:pPr>
        <w:autoSpaceDE w:val="0"/>
        <w:autoSpaceDN w:val="0"/>
        <w:adjustRightInd w:val="0"/>
        <w:jc w:val="both"/>
        <w:rPr>
          <w:noProof/>
          <w:lang w:val="en-US"/>
        </w:rPr>
      </w:pPr>
      <w:r w:rsidRPr="00DF0D90">
        <w:rPr>
          <w:noProof/>
          <w:lang w:val="en-US"/>
        </w:rPr>
        <w:t>30.</w:t>
      </w:r>
      <w:r w:rsidRPr="00DF0D90">
        <w:rPr>
          <w:noProof/>
          <w:lang w:val="en-US"/>
        </w:rPr>
        <w:tab/>
        <w:t>Stewart C.J.R., Coldewey J., Stewart I.S. Comparison of fine needle aspiration cytology and needle core biopsy in the diagnosis of radiologically detected abdominal lesions // J. Clin. Pathol. 2002. Vol. 55, № 2. P. 93–97.</w:t>
      </w:r>
    </w:p>
    <w:p w14:paraId="2E5901FE" w14:textId="77777777" w:rsidR="00E91266" w:rsidRPr="00DF0D90" w:rsidRDefault="00E91266" w:rsidP="00542BA2">
      <w:pPr>
        <w:autoSpaceDE w:val="0"/>
        <w:autoSpaceDN w:val="0"/>
        <w:adjustRightInd w:val="0"/>
        <w:jc w:val="both"/>
        <w:rPr>
          <w:noProof/>
          <w:lang w:val="en-US"/>
        </w:rPr>
      </w:pPr>
      <w:r w:rsidRPr="00DF0D90">
        <w:rPr>
          <w:noProof/>
          <w:lang w:val="en-US"/>
        </w:rPr>
        <w:t>31.</w:t>
      </w:r>
      <w:r w:rsidRPr="00DF0D90">
        <w:rPr>
          <w:noProof/>
          <w:lang w:val="en-US"/>
        </w:rPr>
        <w:tab/>
        <w:t>Sangiovanni A. et al. The diagnostic and economic impact of contrast imaging techniques in the diagnosis of small hepatocellular carcinoma in cirrhosis // Gut. 2010. Vol. 59, № 5. P. 638–644.</w:t>
      </w:r>
    </w:p>
    <w:p w14:paraId="27AE3E33" w14:textId="77777777" w:rsidR="00E91266" w:rsidRPr="00DF0D90" w:rsidRDefault="00E91266" w:rsidP="00542BA2">
      <w:pPr>
        <w:autoSpaceDE w:val="0"/>
        <w:autoSpaceDN w:val="0"/>
        <w:adjustRightInd w:val="0"/>
        <w:jc w:val="both"/>
        <w:rPr>
          <w:noProof/>
          <w:lang w:val="en-US"/>
        </w:rPr>
      </w:pPr>
      <w:r w:rsidRPr="00DF0D90">
        <w:rPr>
          <w:noProof/>
          <w:lang w:val="en-US"/>
        </w:rPr>
        <w:t>32.</w:t>
      </w:r>
      <w:r w:rsidRPr="00DF0D90">
        <w:rPr>
          <w:noProof/>
          <w:lang w:val="en-US"/>
        </w:rPr>
        <w:tab/>
        <w:t>Intenzo C., Kim S., Lakhani P. Utility of FDG-PET/CT in Detecting Metastases from Hepatocellular Carcinoma // J. Nucl. Med. 2017. Vol. 58, Issue. P. 427.</w:t>
      </w:r>
    </w:p>
    <w:p w14:paraId="6294E498" w14:textId="77777777" w:rsidR="00E91266" w:rsidRPr="00DF0D90" w:rsidRDefault="00E91266" w:rsidP="00542BA2">
      <w:pPr>
        <w:autoSpaceDE w:val="0"/>
        <w:autoSpaceDN w:val="0"/>
        <w:adjustRightInd w:val="0"/>
        <w:jc w:val="both"/>
        <w:rPr>
          <w:noProof/>
          <w:lang w:val="en-US"/>
        </w:rPr>
      </w:pPr>
      <w:r w:rsidRPr="00DF0D90">
        <w:rPr>
          <w:noProof/>
          <w:lang w:val="en-US"/>
        </w:rPr>
        <w:t>33.</w:t>
      </w:r>
      <w:r w:rsidRPr="00DF0D90">
        <w:rPr>
          <w:noProof/>
          <w:lang w:val="en-US"/>
        </w:rPr>
        <w:tab/>
        <w:t>Marrero J.A. et al. Prognosis of hepatocellular carcinoma: Comparison of 7 staging systems in an American cohort // Hepatology. 2005. Vol. 41, № 4. P. 707–715.</w:t>
      </w:r>
    </w:p>
    <w:p w14:paraId="051292A9" w14:textId="77777777" w:rsidR="00E91266" w:rsidRPr="00DF0D90" w:rsidRDefault="00E91266" w:rsidP="00542BA2">
      <w:pPr>
        <w:autoSpaceDE w:val="0"/>
        <w:autoSpaceDN w:val="0"/>
        <w:adjustRightInd w:val="0"/>
        <w:jc w:val="both"/>
        <w:rPr>
          <w:noProof/>
          <w:lang w:val="en-US"/>
        </w:rPr>
      </w:pPr>
      <w:r w:rsidRPr="00DF0D90">
        <w:rPr>
          <w:noProof/>
          <w:lang w:val="en-US"/>
        </w:rPr>
        <w:t>34.</w:t>
      </w:r>
      <w:r w:rsidRPr="00DF0D90">
        <w:rPr>
          <w:noProof/>
          <w:lang w:val="en-US"/>
        </w:rPr>
        <w:tab/>
        <w:t>Cillo U. et al. Prospective validation of the Barcelona Clinic Liver Cancer staging system // J. Hepatol. 2006. Vol. 44, № 4. P. 723–731.</w:t>
      </w:r>
    </w:p>
    <w:p w14:paraId="3490FF0A" w14:textId="77777777" w:rsidR="00E91266" w:rsidRPr="00DF0D90" w:rsidRDefault="00E91266" w:rsidP="00542BA2">
      <w:pPr>
        <w:autoSpaceDE w:val="0"/>
        <w:autoSpaceDN w:val="0"/>
        <w:adjustRightInd w:val="0"/>
        <w:jc w:val="both"/>
        <w:rPr>
          <w:noProof/>
          <w:lang w:val="en-US"/>
        </w:rPr>
      </w:pPr>
      <w:r w:rsidRPr="00DF0D90">
        <w:rPr>
          <w:noProof/>
          <w:lang w:val="en-US"/>
        </w:rPr>
        <w:t>35.</w:t>
      </w:r>
      <w:r w:rsidRPr="00DF0D90">
        <w:rPr>
          <w:noProof/>
          <w:lang w:val="en-US"/>
        </w:rPr>
        <w:tab/>
        <w:t>Chen C.-H. et al. Applicability of staging systems for patients with hepatocellular carcinoma is dependent on treatment method – Analysis of 2010 Taiwanese patients // Eur. J. Cancer. 2009. Vol. 45, № 9. P. 1630–1639.</w:t>
      </w:r>
    </w:p>
    <w:p w14:paraId="3994EB77" w14:textId="77777777" w:rsidR="00E91266" w:rsidRPr="00DF0D90" w:rsidRDefault="00E91266" w:rsidP="00542BA2">
      <w:pPr>
        <w:autoSpaceDE w:val="0"/>
        <w:autoSpaceDN w:val="0"/>
        <w:adjustRightInd w:val="0"/>
        <w:jc w:val="both"/>
        <w:rPr>
          <w:noProof/>
          <w:lang w:val="en-US"/>
        </w:rPr>
      </w:pPr>
      <w:r w:rsidRPr="00DF0D90">
        <w:rPr>
          <w:noProof/>
          <w:lang w:val="en-US"/>
        </w:rPr>
        <w:t>36.</w:t>
      </w:r>
      <w:r w:rsidRPr="00DF0D90">
        <w:rPr>
          <w:noProof/>
          <w:lang w:val="en-US"/>
        </w:rPr>
        <w:tab/>
        <w:t>Kumar A. et al. Hepatic arteriovenous fistulae: Role of interventional radiology // Dig. Dis. Sci. 2012. Vol. 57, № 10. P. 2703–2712.</w:t>
      </w:r>
    </w:p>
    <w:p w14:paraId="2119FCFD" w14:textId="77777777" w:rsidR="00E91266" w:rsidRPr="00DF0D90" w:rsidRDefault="00E91266" w:rsidP="00542BA2">
      <w:pPr>
        <w:autoSpaceDE w:val="0"/>
        <w:autoSpaceDN w:val="0"/>
        <w:adjustRightInd w:val="0"/>
        <w:jc w:val="both"/>
        <w:rPr>
          <w:noProof/>
          <w:lang w:val="en-US"/>
        </w:rPr>
      </w:pPr>
      <w:r w:rsidRPr="00DF0D90">
        <w:rPr>
          <w:noProof/>
          <w:lang w:val="en-US"/>
        </w:rPr>
        <w:t>37.</w:t>
      </w:r>
      <w:r w:rsidRPr="00DF0D90">
        <w:rPr>
          <w:noProof/>
          <w:lang w:val="en-US"/>
        </w:rPr>
        <w:tab/>
        <w:t>Wu H. et al. Clinical characteristics of hepatic Arterioportal shunts associated with hepatocellular carcinoma // BMC Gastroenterol. 2018. Vol. 18, № 1.</w:t>
      </w:r>
    </w:p>
    <w:p w14:paraId="7D0B37B2" w14:textId="77777777" w:rsidR="00E91266" w:rsidRPr="00DF0D90" w:rsidRDefault="00E91266" w:rsidP="00542BA2">
      <w:pPr>
        <w:autoSpaceDE w:val="0"/>
        <w:autoSpaceDN w:val="0"/>
        <w:adjustRightInd w:val="0"/>
        <w:jc w:val="both"/>
        <w:rPr>
          <w:noProof/>
          <w:lang w:val="en-US"/>
        </w:rPr>
      </w:pPr>
      <w:r w:rsidRPr="00DF0D90">
        <w:rPr>
          <w:noProof/>
          <w:lang w:val="en-US"/>
        </w:rPr>
        <w:t>38.</w:t>
      </w:r>
      <w:r w:rsidRPr="00DF0D90">
        <w:rPr>
          <w:noProof/>
          <w:lang w:val="en-US"/>
        </w:rPr>
        <w:tab/>
        <w:t>Truty M.J., Vauthey J.-N. Surgical Resection of High-Risk Hepatocellular Carcinoma: Patient Selection, Preoperative Considerations, and Operative Technique // Ann. Surg. Oncol. 2010. Vol. 17, № 5. P. 1219–1225.</w:t>
      </w:r>
    </w:p>
    <w:p w14:paraId="326493F0" w14:textId="77777777" w:rsidR="00E91266" w:rsidRPr="00DF0D90" w:rsidRDefault="00E91266" w:rsidP="00542BA2">
      <w:pPr>
        <w:autoSpaceDE w:val="0"/>
        <w:autoSpaceDN w:val="0"/>
        <w:adjustRightInd w:val="0"/>
        <w:jc w:val="both"/>
        <w:rPr>
          <w:noProof/>
          <w:lang w:val="en-US"/>
        </w:rPr>
      </w:pPr>
      <w:r w:rsidRPr="00DF0D90">
        <w:rPr>
          <w:noProof/>
          <w:lang w:val="en-US"/>
        </w:rPr>
        <w:lastRenderedPageBreak/>
        <w:t>39.</w:t>
      </w:r>
      <w:r w:rsidRPr="00DF0D90">
        <w:rPr>
          <w:noProof/>
          <w:lang w:val="en-US"/>
        </w:rPr>
        <w:tab/>
        <w:t>Pawlik T.M. Critical Appraisal of the Clinical and Pathologic Predictors of Survival After Resection of Large Hepatocellular Carcinoma // Arch. Surg. 2005. Vol. 140, № 5. P. 450.</w:t>
      </w:r>
    </w:p>
    <w:p w14:paraId="578C23CB" w14:textId="77777777" w:rsidR="00E91266" w:rsidRPr="00DF0D90" w:rsidRDefault="00E91266" w:rsidP="00542BA2">
      <w:pPr>
        <w:autoSpaceDE w:val="0"/>
        <w:autoSpaceDN w:val="0"/>
        <w:adjustRightInd w:val="0"/>
        <w:jc w:val="both"/>
        <w:rPr>
          <w:noProof/>
          <w:lang w:val="en-US"/>
        </w:rPr>
      </w:pPr>
      <w:r w:rsidRPr="00DF0D90">
        <w:rPr>
          <w:noProof/>
          <w:lang w:val="en-US"/>
        </w:rPr>
        <w:t>40.</w:t>
      </w:r>
      <w:r w:rsidRPr="00DF0D90">
        <w:rPr>
          <w:noProof/>
          <w:lang w:val="en-US"/>
        </w:rPr>
        <w:tab/>
        <w:t>Chok K.S. et al. Impact of postoperative complications on long-term outcome of curative resection for hepatocellular carcinoma // Br. J. Surg. 2009. Vol. 96, № 1. P. 81–87.</w:t>
      </w:r>
    </w:p>
    <w:p w14:paraId="36461922" w14:textId="77777777" w:rsidR="00E91266" w:rsidRPr="00DF0D90" w:rsidRDefault="00E91266" w:rsidP="00542BA2">
      <w:pPr>
        <w:autoSpaceDE w:val="0"/>
        <w:autoSpaceDN w:val="0"/>
        <w:adjustRightInd w:val="0"/>
        <w:jc w:val="both"/>
        <w:rPr>
          <w:noProof/>
          <w:lang w:val="en-US"/>
        </w:rPr>
      </w:pPr>
      <w:r w:rsidRPr="00DF0D90">
        <w:rPr>
          <w:noProof/>
          <w:lang w:val="en-US"/>
        </w:rPr>
        <w:t>41.</w:t>
      </w:r>
      <w:r w:rsidRPr="00DF0D90">
        <w:rPr>
          <w:noProof/>
          <w:lang w:val="en-US"/>
        </w:rPr>
        <w:tab/>
        <w:t>Ribero D. et al. Selection for resection of hepatocellular carcinoma and surgical strategy: Indications for resection, evaluation of liver function, portal vein embolization, and resection // Annals of Surgical Oncology. 2008. Vol. 15, № 4. P. 986–992.</w:t>
      </w:r>
    </w:p>
    <w:p w14:paraId="3A3F06E4" w14:textId="77777777" w:rsidR="00E91266" w:rsidRPr="00DF0D90" w:rsidRDefault="00E91266" w:rsidP="00542BA2">
      <w:pPr>
        <w:autoSpaceDE w:val="0"/>
        <w:autoSpaceDN w:val="0"/>
        <w:adjustRightInd w:val="0"/>
        <w:jc w:val="both"/>
        <w:rPr>
          <w:noProof/>
          <w:lang w:val="en-US"/>
        </w:rPr>
      </w:pPr>
      <w:r w:rsidRPr="00DF0D90">
        <w:rPr>
          <w:noProof/>
          <w:lang w:val="en-US"/>
        </w:rPr>
        <w:t>42.</w:t>
      </w:r>
      <w:r w:rsidRPr="00DF0D90">
        <w:rPr>
          <w:noProof/>
          <w:lang w:val="en-US"/>
        </w:rPr>
        <w:tab/>
        <w:t>Berzigotti A. et al. Portal hypertension and the outcome of surgery for hepatocellular carcinoma in compensated cirrhosis: A systematic review and meta-analysis // Hepatology. John Wiley and Sons Inc., 2015. Vol. 61, № 2. P. 526–536.</w:t>
      </w:r>
    </w:p>
    <w:p w14:paraId="1EF834FE" w14:textId="77777777" w:rsidR="00E91266" w:rsidRPr="00DF0D90" w:rsidRDefault="00E91266" w:rsidP="00542BA2">
      <w:pPr>
        <w:autoSpaceDE w:val="0"/>
        <w:autoSpaceDN w:val="0"/>
        <w:adjustRightInd w:val="0"/>
        <w:jc w:val="both"/>
        <w:rPr>
          <w:noProof/>
          <w:lang w:val="en-US"/>
        </w:rPr>
      </w:pPr>
      <w:r w:rsidRPr="00DF0D90">
        <w:rPr>
          <w:noProof/>
          <w:lang w:val="en-US"/>
        </w:rPr>
        <w:t>43.</w:t>
      </w:r>
      <w:r w:rsidRPr="00DF0D90">
        <w:rPr>
          <w:noProof/>
          <w:lang w:val="en-US"/>
        </w:rPr>
        <w:tab/>
        <w:t>Mazzaferro V. et al. The long-term benefit of liver transplantation for hepatic metastases from neuroendocrine tumors // Am. J. Transplant. 2016. Vol. 16, № 10. P. 2892–2902.</w:t>
      </w:r>
    </w:p>
    <w:p w14:paraId="3315B7C9" w14:textId="77777777" w:rsidR="00E91266" w:rsidRPr="00DF0D90" w:rsidRDefault="00E91266" w:rsidP="00542BA2">
      <w:pPr>
        <w:autoSpaceDE w:val="0"/>
        <w:autoSpaceDN w:val="0"/>
        <w:adjustRightInd w:val="0"/>
        <w:jc w:val="both"/>
        <w:rPr>
          <w:noProof/>
          <w:lang w:val="en-US"/>
        </w:rPr>
      </w:pPr>
      <w:r w:rsidRPr="00DF0D90">
        <w:rPr>
          <w:noProof/>
          <w:lang w:val="en-US"/>
        </w:rPr>
        <w:t>44.</w:t>
      </w:r>
      <w:r w:rsidRPr="00DF0D90">
        <w:rPr>
          <w:noProof/>
          <w:lang w:val="en-US"/>
        </w:rPr>
        <w:tab/>
        <w:t>Mazzaferro V., Battiston C., Sposito C. Pro (With Caution): Extended oncologic indications in liver transplantation // Liver Transplant. 2018. Vol. 24, № 1. P. 98–103.</w:t>
      </w:r>
    </w:p>
    <w:p w14:paraId="633866BF" w14:textId="77777777" w:rsidR="00E91266" w:rsidRPr="00DF0D90" w:rsidRDefault="00E91266" w:rsidP="00542BA2">
      <w:pPr>
        <w:autoSpaceDE w:val="0"/>
        <w:autoSpaceDN w:val="0"/>
        <w:adjustRightInd w:val="0"/>
        <w:jc w:val="both"/>
        <w:rPr>
          <w:noProof/>
          <w:lang w:val="en-US"/>
        </w:rPr>
      </w:pPr>
      <w:r w:rsidRPr="00DF0D90">
        <w:rPr>
          <w:noProof/>
          <w:lang w:val="en-US"/>
        </w:rPr>
        <w:t>45.</w:t>
      </w:r>
      <w:r w:rsidRPr="00DF0D90">
        <w:rPr>
          <w:noProof/>
          <w:lang w:val="en-US"/>
        </w:rPr>
        <w:tab/>
        <w:t>Mazzaferro V. et al. Liver transplantation in hepatocellular carcinoma after tumour downstaging (XXL): a randomised, controlled, phase 2b/3 trial // Lancet Oncol. 2020. Vol. 21, № 7. P. 947–956.</w:t>
      </w:r>
    </w:p>
    <w:p w14:paraId="05CA873B" w14:textId="77777777" w:rsidR="00E91266" w:rsidRPr="00DF0D90" w:rsidRDefault="00E91266" w:rsidP="00542BA2">
      <w:pPr>
        <w:autoSpaceDE w:val="0"/>
        <w:autoSpaceDN w:val="0"/>
        <w:adjustRightInd w:val="0"/>
        <w:jc w:val="both"/>
        <w:rPr>
          <w:noProof/>
        </w:rPr>
      </w:pPr>
      <w:r w:rsidRPr="00DF0D90">
        <w:rPr>
          <w:noProof/>
          <w:lang w:val="en-US"/>
        </w:rPr>
        <w:t>46.</w:t>
      </w:r>
      <w:r w:rsidRPr="00DF0D90">
        <w:rPr>
          <w:noProof/>
          <w:lang w:val="en-US"/>
        </w:rPr>
        <w:tab/>
        <w:t xml:space="preserve">Clavien P.A. et al. Recommendations for liver transplantation for hepatocellular carcinoma: An international consensus conference report // The Lancet Oncology. </w:t>
      </w:r>
      <w:r w:rsidRPr="00DF0D90">
        <w:rPr>
          <w:noProof/>
        </w:rPr>
        <w:t>2012. Vol. 13, № 1.</w:t>
      </w:r>
    </w:p>
    <w:p w14:paraId="45B28DBE" w14:textId="77777777" w:rsidR="00E91266" w:rsidRPr="00DF0D90" w:rsidRDefault="00E91266" w:rsidP="00542BA2">
      <w:pPr>
        <w:autoSpaceDE w:val="0"/>
        <w:autoSpaceDN w:val="0"/>
        <w:adjustRightInd w:val="0"/>
        <w:jc w:val="both"/>
        <w:rPr>
          <w:noProof/>
        </w:rPr>
      </w:pPr>
      <w:r w:rsidRPr="00DF0D90">
        <w:rPr>
          <w:noProof/>
        </w:rPr>
        <w:t>47.</w:t>
      </w:r>
      <w:r w:rsidRPr="00DF0D90">
        <w:rPr>
          <w:noProof/>
        </w:rPr>
        <w:tab/>
        <w:t>Олисов О.Д. et al. Трансплантация печени в лечении нерезектабельной гепатоцеллюлярной карциномы в отсутствие цирроза печени. // Российский журнал гастроэнтерологии, гепатологии, колопроктологии. 2018. Vol. 28, № 4. P. 76–83.</w:t>
      </w:r>
    </w:p>
    <w:p w14:paraId="6DF48B69" w14:textId="50A1E25C" w:rsidR="00E91266" w:rsidRPr="00DF0D90" w:rsidRDefault="00E91266" w:rsidP="00542BA2">
      <w:pPr>
        <w:autoSpaceDE w:val="0"/>
        <w:autoSpaceDN w:val="0"/>
        <w:adjustRightInd w:val="0"/>
        <w:jc w:val="both"/>
        <w:rPr>
          <w:noProof/>
          <w:lang w:val="en-US"/>
        </w:rPr>
      </w:pPr>
      <w:r w:rsidRPr="00DF0D90">
        <w:rPr>
          <w:noProof/>
        </w:rPr>
        <w:t>48.</w:t>
      </w:r>
      <w:r w:rsidRPr="00DF0D90">
        <w:rPr>
          <w:noProof/>
        </w:rPr>
        <w:tab/>
        <w:t>Нов</w:t>
      </w:r>
      <w:r w:rsidR="00C0142B" w:rsidRPr="00DF0D90">
        <w:rPr>
          <w:noProof/>
        </w:rPr>
        <w:t>р</w:t>
      </w:r>
      <w:r w:rsidRPr="00DF0D90">
        <w:rPr>
          <w:noProof/>
        </w:rPr>
        <w:t>у</w:t>
      </w:r>
      <w:r w:rsidR="00C0142B" w:rsidRPr="00DF0D90">
        <w:rPr>
          <w:noProof/>
        </w:rPr>
        <w:t>з</w:t>
      </w:r>
      <w:r w:rsidRPr="00DF0D90">
        <w:rPr>
          <w:noProof/>
        </w:rPr>
        <w:t xml:space="preserve">беков М.С. et al. Трансплантация и аутотрансплантация как радикальный метод лечения нерезектабельных опухолевых и паразитарных заболеваний печени // Анналы хирургической гепатологии. </w:t>
      </w:r>
      <w:r w:rsidRPr="00DF0D90">
        <w:rPr>
          <w:noProof/>
          <w:lang w:val="en-US"/>
        </w:rPr>
        <w:t>2020. Vol. 25, № 4. P. 49–59.</w:t>
      </w:r>
    </w:p>
    <w:p w14:paraId="59952FBB" w14:textId="77777777" w:rsidR="00E91266" w:rsidRPr="00DF0D90" w:rsidRDefault="00E91266" w:rsidP="00542BA2">
      <w:pPr>
        <w:autoSpaceDE w:val="0"/>
        <w:autoSpaceDN w:val="0"/>
        <w:adjustRightInd w:val="0"/>
        <w:jc w:val="both"/>
        <w:rPr>
          <w:noProof/>
          <w:lang w:val="en-US"/>
        </w:rPr>
      </w:pPr>
      <w:r w:rsidRPr="00DF0D90">
        <w:rPr>
          <w:noProof/>
          <w:lang w:val="en-US"/>
        </w:rPr>
        <w:t>49.</w:t>
      </w:r>
      <w:r w:rsidRPr="00DF0D90">
        <w:rPr>
          <w:noProof/>
          <w:lang w:val="en-US"/>
        </w:rPr>
        <w:tab/>
        <w:t>Decaens T., Laurent A., Luciani A. Liver transplantation for hepatocellular carcinoma in non-cirrhotic livers regardless of the number and size of tumours? // Journal of Hepatology. 2012. Vol. 57, № 2. P. 235–236.</w:t>
      </w:r>
    </w:p>
    <w:p w14:paraId="4B550B0D" w14:textId="77777777" w:rsidR="00E91266" w:rsidRPr="00DF0D90" w:rsidRDefault="00E91266" w:rsidP="00542BA2">
      <w:pPr>
        <w:autoSpaceDE w:val="0"/>
        <w:autoSpaceDN w:val="0"/>
        <w:adjustRightInd w:val="0"/>
        <w:jc w:val="both"/>
        <w:rPr>
          <w:noProof/>
          <w:lang w:val="en-US"/>
        </w:rPr>
      </w:pPr>
      <w:r w:rsidRPr="00DF0D90">
        <w:rPr>
          <w:noProof/>
          <w:lang w:val="en-US"/>
        </w:rPr>
        <w:t>50.</w:t>
      </w:r>
      <w:r w:rsidRPr="00DF0D90">
        <w:rPr>
          <w:noProof/>
          <w:lang w:val="en-US"/>
        </w:rPr>
        <w:tab/>
        <w:t>Fujiki M., Aucejo F., Kim R. General overview of neo-adjuvant therapy for hepatocellular carcinoma before liver transplantation: Necessity or option? // Liver International. 2011. Vol. 31, № 8. P. 1081–1089.</w:t>
      </w:r>
    </w:p>
    <w:p w14:paraId="1895BDB4" w14:textId="77777777" w:rsidR="00E91266" w:rsidRPr="00DF0D90" w:rsidRDefault="00E91266" w:rsidP="00542BA2">
      <w:pPr>
        <w:autoSpaceDE w:val="0"/>
        <w:autoSpaceDN w:val="0"/>
        <w:adjustRightInd w:val="0"/>
        <w:jc w:val="both"/>
        <w:rPr>
          <w:noProof/>
          <w:lang w:val="en-US"/>
        </w:rPr>
      </w:pPr>
      <w:r w:rsidRPr="00DF0D90">
        <w:rPr>
          <w:noProof/>
          <w:lang w:val="en-US"/>
        </w:rPr>
        <w:t>51.</w:t>
      </w:r>
      <w:r w:rsidRPr="00DF0D90">
        <w:rPr>
          <w:noProof/>
          <w:lang w:val="en-US"/>
        </w:rPr>
        <w:tab/>
        <w:t>Majno P., Giostra E., Mentha G. Management of hepatocellular carcinoma on the waitng list before liver transplantation: Time for controlled trials? // Liver Transplant. 2007. Vol. 13, № 11 SUPPL. 2.</w:t>
      </w:r>
    </w:p>
    <w:p w14:paraId="439B5CE9" w14:textId="77777777" w:rsidR="00E91266" w:rsidRPr="00DF0D90" w:rsidRDefault="00E91266" w:rsidP="00542BA2">
      <w:pPr>
        <w:autoSpaceDE w:val="0"/>
        <w:autoSpaceDN w:val="0"/>
        <w:adjustRightInd w:val="0"/>
        <w:jc w:val="both"/>
        <w:rPr>
          <w:noProof/>
          <w:lang w:val="en-US"/>
        </w:rPr>
      </w:pPr>
      <w:r w:rsidRPr="00DF0D90">
        <w:rPr>
          <w:noProof/>
          <w:lang w:val="en-US"/>
        </w:rPr>
        <w:t>52.</w:t>
      </w:r>
      <w:r w:rsidRPr="00DF0D90">
        <w:rPr>
          <w:noProof/>
          <w:lang w:val="en-US"/>
        </w:rPr>
        <w:tab/>
        <w:t>Yin J. et al. Effect of antiviral treatment with nucleotide/nucleoside analogs on postoperative prognosis of hepatitis B virus-related hepatocellular carcinoma: A two-stage longitudinal clinical study // J. Clin. Oncol. 2013. Vol. 31, № 29. P. 3647–3655.</w:t>
      </w:r>
    </w:p>
    <w:p w14:paraId="3A482B2A" w14:textId="77777777" w:rsidR="00E91266" w:rsidRPr="00DF0D90" w:rsidRDefault="00E91266" w:rsidP="00542BA2">
      <w:pPr>
        <w:autoSpaceDE w:val="0"/>
        <w:autoSpaceDN w:val="0"/>
        <w:adjustRightInd w:val="0"/>
        <w:jc w:val="both"/>
        <w:rPr>
          <w:noProof/>
          <w:lang w:val="en-US"/>
        </w:rPr>
      </w:pPr>
      <w:r w:rsidRPr="00DF0D90">
        <w:rPr>
          <w:noProof/>
          <w:lang w:val="en-US"/>
        </w:rPr>
        <w:t>53.</w:t>
      </w:r>
      <w:r w:rsidRPr="00DF0D90">
        <w:rPr>
          <w:noProof/>
          <w:lang w:val="en-US"/>
        </w:rPr>
        <w:tab/>
        <w:t>Huang G. et al. Antiviral therapy improves postoperative survival in patients with hepatocellular carcinoma // Ann. Surg. Lippincott Williams and Wilkins, 2015. Vol. 261, № 1. P. 56–66.</w:t>
      </w:r>
    </w:p>
    <w:p w14:paraId="7DACBFE6" w14:textId="77777777" w:rsidR="00E91266" w:rsidRPr="00DF0D90" w:rsidRDefault="00E91266" w:rsidP="00542BA2">
      <w:pPr>
        <w:autoSpaceDE w:val="0"/>
        <w:autoSpaceDN w:val="0"/>
        <w:adjustRightInd w:val="0"/>
        <w:jc w:val="both"/>
        <w:rPr>
          <w:noProof/>
          <w:lang w:val="en-US"/>
        </w:rPr>
      </w:pPr>
      <w:r w:rsidRPr="00DF0D90">
        <w:rPr>
          <w:noProof/>
          <w:lang w:val="en-US"/>
        </w:rPr>
        <w:t>54.</w:t>
      </w:r>
      <w:r w:rsidRPr="00DF0D90">
        <w:rPr>
          <w:noProof/>
          <w:lang w:val="en-US"/>
        </w:rPr>
        <w:tab/>
        <w:t>Dang H. et al. Cure With Interferon-Free Direct-Acting Antiviral Is Associated With Increased Survival in Patients With Hepatitis C Virus-Related Hepatocellular Carcinoma From Both East and West // Hepatology. John Wiley and Sons Inc., 2020. Vol. 71, № 6. P. 1910–1922.</w:t>
      </w:r>
    </w:p>
    <w:p w14:paraId="674ACBFE" w14:textId="77777777" w:rsidR="00E91266" w:rsidRPr="00DF0D90" w:rsidRDefault="00E91266" w:rsidP="00542BA2">
      <w:pPr>
        <w:autoSpaceDE w:val="0"/>
        <w:autoSpaceDN w:val="0"/>
        <w:adjustRightInd w:val="0"/>
        <w:jc w:val="both"/>
        <w:rPr>
          <w:noProof/>
          <w:lang w:val="en-US"/>
        </w:rPr>
      </w:pPr>
      <w:r w:rsidRPr="00DF0D90">
        <w:rPr>
          <w:noProof/>
          <w:lang w:val="en-US"/>
        </w:rPr>
        <w:t>55.</w:t>
      </w:r>
      <w:r w:rsidRPr="00DF0D90">
        <w:rPr>
          <w:noProof/>
          <w:lang w:val="en-US"/>
        </w:rPr>
        <w:tab/>
        <w:t>Cabibbo G. et al. Direct-acting antivirals after successful treatment of early hepatocellular carcinoma improve survival in HCV-cirrhotic patients // J. Hepatol. 2019. Vol. 71, № 2. P. 265–273.</w:t>
      </w:r>
    </w:p>
    <w:p w14:paraId="3B80CFC7" w14:textId="77777777" w:rsidR="00E91266" w:rsidRPr="00DF0D90" w:rsidRDefault="00E91266" w:rsidP="00542BA2">
      <w:pPr>
        <w:autoSpaceDE w:val="0"/>
        <w:autoSpaceDN w:val="0"/>
        <w:adjustRightInd w:val="0"/>
        <w:jc w:val="both"/>
        <w:rPr>
          <w:noProof/>
          <w:lang w:val="en-US"/>
        </w:rPr>
      </w:pPr>
      <w:r w:rsidRPr="00DF0D90">
        <w:rPr>
          <w:noProof/>
          <w:lang w:val="en-US"/>
        </w:rPr>
        <w:t>56.</w:t>
      </w:r>
      <w:r w:rsidRPr="00DF0D90">
        <w:rPr>
          <w:noProof/>
          <w:lang w:val="en-US"/>
        </w:rPr>
        <w:tab/>
        <w:t>Lin W.C. et al. Impact of direct-acting antiviral therapy for hepatitis C–related hepatocellular carcinoma // PLoS One. 2020. Vol. 15, № 5.</w:t>
      </w:r>
    </w:p>
    <w:p w14:paraId="57AFCC79" w14:textId="77777777" w:rsidR="00E91266" w:rsidRPr="00DF0D90" w:rsidRDefault="00E91266" w:rsidP="00542BA2">
      <w:pPr>
        <w:autoSpaceDE w:val="0"/>
        <w:autoSpaceDN w:val="0"/>
        <w:adjustRightInd w:val="0"/>
        <w:jc w:val="both"/>
        <w:rPr>
          <w:noProof/>
          <w:lang w:val="en-US"/>
        </w:rPr>
      </w:pPr>
      <w:r w:rsidRPr="00DF0D90">
        <w:rPr>
          <w:noProof/>
          <w:lang w:val="en-US"/>
        </w:rPr>
        <w:t>57.</w:t>
      </w:r>
      <w:r w:rsidRPr="00DF0D90">
        <w:rPr>
          <w:noProof/>
          <w:lang w:val="en-US"/>
        </w:rPr>
        <w:tab/>
        <w:t>Tiong L., Maddern G.J. Systematic review and meta-analysis of survival and disease recurrence after radiofrequency ablation for hepatocellular carcinoma // Br. J. Surg. 2011. Vol. 98, № 9. P. 1210–1224.</w:t>
      </w:r>
    </w:p>
    <w:p w14:paraId="0E442D3B" w14:textId="77777777" w:rsidR="00E91266" w:rsidRPr="00DF0D90" w:rsidRDefault="00E91266" w:rsidP="00542BA2">
      <w:pPr>
        <w:autoSpaceDE w:val="0"/>
        <w:autoSpaceDN w:val="0"/>
        <w:adjustRightInd w:val="0"/>
        <w:jc w:val="both"/>
        <w:rPr>
          <w:noProof/>
          <w:lang w:val="en-US"/>
        </w:rPr>
      </w:pPr>
      <w:r w:rsidRPr="00DF0D90">
        <w:rPr>
          <w:noProof/>
          <w:lang w:val="en-US"/>
        </w:rPr>
        <w:lastRenderedPageBreak/>
        <w:t>58.</w:t>
      </w:r>
      <w:r w:rsidRPr="00DF0D90">
        <w:rPr>
          <w:noProof/>
          <w:lang w:val="en-US"/>
        </w:rPr>
        <w:tab/>
        <w:t>Germani G. et al. Clinical outcomes of radiofrequency ablation, percutaneous alcohol and acetic acid injection for hepatocelullar carcinoma: A meta-analysis // J. Hepatol. 2010. Vol. 52, № 3. P. 380–388.</w:t>
      </w:r>
    </w:p>
    <w:p w14:paraId="6887D9CB" w14:textId="77777777" w:rsidR="00E91266" w:rsidRPr="00DF0D90" w:rsidRDefault="00E91266" w:rsidP="00542BA2">
      <w:pPr>
        <w:autoSpaceDE w:val="0"/>
        <w:autoSpaceDN w:val="0"/>
        <w:adjustRightInd w:val="0"/>
        <w:jc w:val="both"/>
        <w:rPr>
          <w:noProof/>
          <w:lang w:val="en-US"/>
        </w:rPr>
      </w:pPr>
      <w:r w:rsidRPr="00DF0D90">
        <w:rPr>
          <w:noProof/>
          <w:lang w:val="en-US"/>
        </w:rPr>
        <w:t>59.</w:t>
      </w:r>
      <w:r w:rsidRPr="00DF0D90">
        <w:rPr>
          <w:noProof/>
          <w:lang w:val="en-US"/>
        </w:rPr>
        <w:tab/>
        <w:t>Zhu Z.X. et al. Radiofrequency ablation with or without ethanol injection for hepatocellular carcinoma: a systematic review and meta-analysis. // Minerva Med. 2016. Vol. 107, № 6. P. 381–391.</w:t>
      </w:r>
    </w:p>
    <w:p w14:paraId="3EBB24C7" w14:textId="77777777" w:rsidR="00E91266" w:rsidRPr="00DF0D90" w:rsidRDefault="00E91266" w:rsidP="00542BA2">
      <w:pPr>
        <w:autoSpaceDE w:val="0"/>
        <w:autoSpaceDN w:val="0"/>
        <w:adjustRightInd w:val="0"/>
        <w:jc w:val="both"/>
        <w:rPr>
          <w:noProof/>
          <w:lang w:val="en-US"/>
        </w:rPr>
      </w:pPr>
      <w:r w:rsidRPr="00DF0D90">
        <w:rPr>
          <w:noProof/>
          <w:lang w:val="en-US"/>
        </w:rPr>
        <w:t>60.</w:t>
      </w:r>
      <w:r w:rsidRPr="00DF0D90">
        <w:rPr>
          <w:noProof/>
          <w:lang w:val="en-US"/>
        </w:rPr>
        <w:tab/>
        <w:t>Wang W., Shi J., Xie W.-F. Transarterial chemoembolization in combination with percutaneous ablation therapy in unresectable hepatocellular carcinoma: a meta-analysis // Liver Int. 2010. Vol. 30, № 5. P. 741–749.</w:t>
      </w:r>
    </w:p>
    <w:p w14:paraId="2C7EAC94" w14:textId="77777777" w:rsidR="00E91266" w:rsidRPr="00DF0D90" w:rsidRDefault="00E91266" w:rsidP="00542BA2">
      <w:pPr>
        <w:autoSpaceDE w:val="0"/>
        <w:autoSpaceDN w:val="0"/>
        <w:adjustRightInd w:val="0"/>
        <w:jc w:val="both"/>
        <w:rPr>
          <w:noProof/>
          <w:lang w:val="en-US"/>
        </w:rPr>
      </w:pPr>
      <w:r w:rsidRPr="00DF0D90">
        <w:rPr>
          <w:noProof/>
          <w:lang w:val="en-US"/>
        </w:rPr>
        <w:t>61.</w:t>
      </w:r>
      <w:r w:rsidRPr="00DF0D90">
        <w:rPr>
          <w:noProof/>
          <w:lang w:val="en-US"/>
        </w:rPr>
        <w:tab/>
        <w:t>Ni J. et al. Transarterial chemoembolization combined with percutaneous radiofrequency ablation versus TACE and PRFA monotherapy in the treatment for hepatocellular carcinoma: a meta-analysis // J. Cancer Res. Clin. Oncol. 2013. Vol. 139, № 4. P. 653–659.</w:t>
      </w:r>
    </w:p>
    <w:p w14:paraId="12AF6BC8" w14:textId="77777777" w:rsidR="00E91266" w:rsidRPr="00DF0D90" w:rsidRDefault="00E91266" w:rsidP="00542BA2">
      <w:pPr>
        <w:autoSpaceDE w:val="0"/>
        <w:autoSpaceDN w:val="0"/>
        <w:adjustRightInd w:val="0"/>
        <w:jc w:val="both"/>
        <w:rPr>
          <w:noProof/>
          <w:lang w:val="en-US"/>
        </w:rPr>
      </w:pPr>
      <w:r w:rsidRPr="00DF0D90">
        <w:rPr>
          <w:noProof/>
          <w:lang w:val="en-US"/>
        </w:rPr>
        <w:t>62.</w:t>
      </w:r>
      <w:r w:rsidRPr="00DF0D90">
        <w:rPr>
          <w:noProof/>
          <w:lang w:val="en-US"/>
        </w:rPr>
        <w:tab/>
        <w:t>Tian G. et al. Comparative efficacy of treatment strategies for hepatocellular carcinoma: systematic review and network meta-analysis // BMJ Open. 2018. Vol. 8, № 10. P. e021269.</w:t>
      </w:r>
    </w:p>
    <w:p w14:paraId="6EC68C1B" w14:textId="77777777" w:rsidR="00E91266" w:rsidRPr="00DF0D90" w:rsidRDefault="00E91266" w:rsidP="00542BA2">
      <w:pPr>
        <w:autoSpaceDE w:val="0"/>
        <w:autoSpaceDN w:val="0"/>
        <w:adjustRightInd w:val="0"/>
        <w:jc w:val="both"/>
        <w:rPr>
          <w:noProof/>
          <w:lang w:val="en-US"/>
        </w:rPr>
      </w:pPr>
      <w:r w:rsidRPr="00DF0D90">
        <w:rPr>
          <w:noProof/>
          <w:lang w:val="en-US"/>
        </w:rPr>
        <w:t>63.</w:t>
      </w:r>
      <w:r w:rsidRPr="00DF0D90">
        <w:rPr>
          <w:noProof/>
          <w:lang w:val="en-US"/>
        </w:rPr>
        <w:tab/>
        <w:t>Erridge S. et al. Meta-analysis of determinants of survival following treatment of recurrent hepatocellular carcinoma // British Journal of Surgery. John Wiley and Sons Ltd, 2017. Vol. 104, № 11. P. 1433–1442.</w:t>
      </w:r>
    </w:p>
    <w:p w14:paraId="51F9C757" w14:textId="77777777" w:rsidR="00E91266" w:rsidRPr="00DF0D90" w:rsidRDefault="00E91266" w:rsidP="00542BA2">
      <w:pPr>
        <w:autoSpaceDE w:val="0"/>
        <w:autoSpaceDN w:val="0"/>
        <w:adjustRightInd w:val="0"/>
        <w:jc w:val="both"/>
        <w:rPr>
          <w:noProof/>
          <w:lang w:val="en-US"/>
        </w:rPr>
      </w:pPr>
      <w:r w:rsidRPr="00DF0D90">
        <w:rPr>
          <w:noProof/>
          <w:lang w:val="en-US"/>
        </w:rPr>
        <w:t>64.</w:t>
      </w:r>
      <w:r w:rsidRPr="00DF0D90">
        <w:rPr>
          <w:noProof/>
          <w:lang w:val="en-US"/>
        </w:rPr>
        <w:tab/>
        <w:t>Lencioni R.A. et al. Small hepatocellular carcinoma in cirrhosis: Randomized comparison of radio-frequency thermal ablation versus percutaneous ethanol injection // Radiology. 2003. Vol. 228, № 1. P. 235–240.</w:t>
      </w:r>
    </w:p>
    <w:p w14:paraId="76614538" w14:textId="77777777" w:rsidR="00E91266" w:rsidRPr="00DF0D90" w:rsidRDefault="00E91266" w:rsidP="00542BA2">
      <w:pPr>
        <w:autoSpaceDE w:val="0"/>
        <w:autoSpaceDN w:val="0"/>
        <w:adjustRightInd w:val="0"/>
        <w:jc w:val="both"/>
        <w:rPr>
          <w:noProof/>
          <w:lang w:val="en-US"/>
        </w:rPr>
      </w:pPr>
      <w:r w:rsidRPr="00DF0D90">
        <w:rPr>
          <w:noProof/>
          <w:lang w:val="en-US"/>
        </w:rPr>
        <w:t>65.</w:t>
      </w:r>
      <w:r w:rsidRPr="00DF0D90">
        <w:rPr>
          <w:noProof/>
          <w:lang w:val="en-US"/>
        </w:rPr>
        <w:tab/>
        <w:t>Lin S.M. et al. Randomised controlled trial comparing percutaneous radiofrequency thermal ablation, percutaneous ethanol injection, and percutaneous acetic acid injection to treat hepatocellular carcinoma of 3 cm or less // Gut. 2005. Vol. 54, № 8. P. 1151–1156.</w:t>
      </w:r>
    </w:p>
    <w:p w14:paraId="0CA975C6" w14:textId="77777777" w:rsidR="00E91266" w:rsidRPr="00DF0D90" w:rsidRDefault="00E91266" w:rsidP="00542BA2">
      <w:pPr>
        <w:autoSpaceDE w:val="0"/>
        <w:autoSpaceDN w:val="0"/>
        <w:adjustRightInd w:val="0"/>
        <w:jc w:val="both"/>
        <w:rPr>
          <w:noProof/>
          <w:lang w:val="en-US"/>
        </w:rPr>
      </w:pPr>
      <w:r w:rsidRPr="00DF0D90">
        <w:rPr>
          <w:noProof/>
          <w:lang w:val="en-US"/>
        </w:rPr>
        <w:t>66.</w:t>
      </w:r>
      <w:r w:rsidRPr="00DF0D90">
        <w:rPr>
          <w:noProof/>
          <w:lang w:val="en-US"/>
        </w:rPr>
        <w:tab/>
        <w:t>Cho Y.K. et al. Systematic review of randomized trials for hepatocellular carcinoma treated with percutaneous ablation therapies // Hepatology. 2009. Vol. 49, № 2. P. 453–459.</w:t>
      </w:r>
    </w:p>
    <w:p w14:paraId="5C17ED4B" w14:textId="77777777" w:rsidR="00E91266" w:rsidRPr="00DF0D90" w:rsidRDefault="00E91266" w:rsidP="00542BA2">
      <w:pPr>
        <w:autoSpaceDE w:val="0"/>
        <w:autoSpaceDN w:val="0"/>
        <w:adjustRightInd w:val="0"/>
        <w:jc w:val="both"/>
        <w:rPr>
          <w:noProof/>
          <w:lang w:val="en-US"/>
        </w:rPr>
      </w:pPr>
      <w:r w:rsidRPr="00DF0D90">
        <w:rPr>
          <w:noProof/>
          <w:lang w:val="en-US"/>
        </w:rPr>
        <w:t>67.</w:t>
      </w:r>
      <w:r w:rsidRPr="00DF0D90">
        <w:rPr>
          <w:noProof/>
          <w:lang w:val="en-US"/>
        </w:rPr>
        <w:tab/>
        <w:t>Luo W. et al. Effects of radiofrequency ablation versus other ablating techniques on hepatocellular carcinomas: a systematic review and meta-analysis // World J. Surg. Oncol. 2017. Vol. 15, № 1. P. 126.</w:t>
      </w:r>
    </w:p>
    <w:p w14:paraId="1CF73136" w14:textId="77777777" w:rsidR="00E91266" w:rsidRPr="00DF0D90" w:rsidRDefault="00E91266" w:rsidP="00542BA2">
      <w:pPr>
        <w:autoSpaceDE w:val="0"/>
        <w:autoSpaceDN w:val="0"/>
        <w:adjustRightInd w:val="0"/>
        <w:jc w:val="both"/>
        <w:rPr>
          <w:noProof/>
          <w:lang w:val="en-US"/>
        </w:rPr>
      </w:pPr>
      <w:r w:rsidRPr="00DF0D90">
        <w:rPr>
          <w:noProof/>
          <w:lang w:val="en-US"/>
        </w:rPr>
        <w:t>68.</w:t>
      </w:r>
      <w:r w:rsidRPr="00DF0D90">
        <w:rPr>
          <w:noProof/>
          <w:lang w:val="en-US"/>
        </w:rPr>
        <w:tab/>
        <w:t>Crocetti L. et al. CIRSE Standards of Practice on Thermal Ablation of Liver Tumours // Cardiovasc. Intervent. Radiol. Springer, 2020. Vol. 43, № 7. P. 951–962.</w:t>
      </w:r>
    </w:p>
    <w:p w14:paraId="5227ABB9" w14:textId="77777777" w:rsidR="00E91266" w:rsidRPr="00DF0D90" w:rsidRDefault="00E91266" w:rsidP="00542BA2">
      <w:pPr>
        <w:autoSpaceDE w:val="0"/>
        <w:autoSpaceDN w:val="0"/>
        <w:adjustRightInd w:val="0"/>
        <w:jc w:val="both"/>
        <w:rPr>
          <w:noProof/>
          <w:lang w:val="en-US"/>
        </w:rPr>
      </w:pPr>
      <w:r w:rsidRPr="00DF0D90">
        <w:rPr>
          <w:noProof/>
          <w:lang w:val="en-US"/>
        </w:rPr>
        <w:t>69.</w:t>
      </w:r>
      <w:r w:rsidRPr="00DF0D90">
        <w:rPr>
          <w:noProof/>
          <w:lang w:val="en-US"/>
        </w:rPr>
        <w:tab/>
        <w:t>Gupta P. et al. Overall survival and local recurrence following RFA, MWA, and cryoablation of very early and early HCC: a systematic review and Bayesian network meta-analysis // Eur. Radiol. Springer Science and Business Media Deutschland GmbH, 2021. Vol. 31, № 7. P. 5400–5408.</w:t>
      </w:r>
    </w:p>
    <w:p w14:paraId="56F3C082" w14:textId="77777777" w:rsidR="00E91266" w:rsidRPr="00DF0D90" w:rsidRDefault="00E91266" w:rsidP="00542BA2">
      <w:pPr>
        <w:autoSpaceDE w:val="0"/>
        <w:autoSpaceDN w:val="0"/>
        <w:adjustRightInd w:val="0"/>
        <w:jc w:val="both"/>
        <w:rPr>
          <w:noProof/>
          <w:lang w:val="en-US"/>
        </w:rPr>
      </w:pPr>
      <w:r w:rsidRPr="00DF0D90">
        <w:rPr>
          <w:noProof/>
          <w:lang w:val="en-US"/>
        </w:rPr>
        <w:t>70.</w:t>
      </w:r>
      <w:r w:rsidRPr="00DF0D90">
        <w:rPr>
          <w:noProof/>
          <w:lang w:val="en-US"/>
        </w:rPr>
        <w:tab/>
        <w:t>Weis S. et al. Percutaneous ethanol injection or percutaneous acetic acid injection for early hepatocellular carcinoma // Cochrane Database of Systematic Reviews. John Wiley and Sons Ltd, 2015. Vol. 2017, № 6.</w:t>
      </w:r>
    </w:p>
    <w:p w14:paraId="602D0F12" w14:textId="77777777" w:rsidR="00E91266" w:rsidRPr="00DF0D90" w:rsidRDefault="00E91266" w:rsidP="00542BA2">
      <w:pPr>
        <w:autoSpaceDE w:val="0"/>
        <w:autoSpaceDN w:val="0"/>
        <w:adjustRightInd w:val="0"/>
        <w:jc w:val="both"/>
        <w:rPr>
          <w:noProof/>
          <w:lang w:val="en-US"/>
        </w:rPr>
      </w:pPr>
      <w:r w:rsidRPr="00DF0D90">
        <w:rPr>
          <w:noProof/>
          <w:lang w:val="en-US"/>
        </w:rPr>
        <w:t>71.</w:t>
      </w:r>
      <w:r w:rsidRPr="00DF0D90">
        <w:rPr>
          <w:noProof/>
          <w:lang w:val="en-US"/>
        </w:rPr>
        <w:tab/>
        <w:t>Robbins J.R. et al. Stereotactic body radiation therapy for hepatocellular carcinoma: Practice patterns, dose selection and factors impacting survival // Cancer Med. 2019. Vol. 8, № 3. P. 928–938.</w:t>
      </w:r>
    </w:p>
    <w:p w14:paraId="3BA80932" w14:textId="77777777" w:rsidR="00E91266" w:rsidRPr="00DF0D90" w:rsidRDefault="00E91266" w:rsidP="00542BA2">
      <w:pPr>
        <w:autoSpaceDE w:val="0"/>
        <w:autoSpaceDN w:val="0"/>
        <w:adjustRightInd w:val="0"/>
        <w:jc w:val="both"/>
        <w:rPr>
          <w:noProof/>
          <w:lang w:val="en-US"/>
        </w:rPr>
      </w:pPr>
      <w:r w:rsidRPr="00DF0D90">
        <w:rPr>
          <w:noProof/>
          <w:lang w:val="en-US"/>
        </w:rPr>
        <w:t>72.</w:t>
      </w:r>
      <w:r w:rsidRPr="00DF0D90">
        <w:rPr>
          <w:noProof/>
          <w:lang w:val="en-US"/>
        </w:rPr>
        <w:tab/>
        <w:t>Zhang H. et al. Radiofrequency ablation versus stereotactic body radiotherapy for hepatocellular carcinoma: a meta-analysis // Futur. Oncol. Future Medicine Ltd, 2021.</w:t>
      </w:r>
    </w:p>
    <w:p w14:paraId="38758CF8" w14:textId="77777777" w:rsidR="00E91266" w:rsidRPr="00DF0D90" w:rsidRDefault="00E91266" w:rsidP="00542BA2">
      <w:pPr>
        <w:autoSpaceDE w:val="0"/>
        <w:autoSpaceDN w:val="0"/>
        <w:adjustRightInd w:val="0"/>
        <w:jc w:val="both"/>
        <w:rPr>
          <w:noProof/>
          <w:lang w:val="en-US"/>
        </w:rPr>
      </w:pPr>
      <w:r w:rsidRPr="00DF0D90">
        <w:rPr>
          <w:noProof/>
          <w:lang w:val="en-US"/>
        </w:rPr>
        <w:t>73.</w:t>
      </w:r>
      <w:r w:rsidRPr="00DF0D90">
        <w:rPr>
          <w:noProof/>
          <w:lang w:val="en-US"/>
        </w:rPr>
        <w:tab/>
        <w:t>Bruix J. et al. Adjuvant sorafenib for hepatocellular carcinoma after resection or ablation (STORM): A phase 3, randomised, double-blind, placebo-controlled trial // Lancet Oncol. 2015. Vol. 16, № 13. P. 1344–1354.</w:t>
      </w:r>
    </w:p>
    <w:p w14:paraId="10ADDCB7" w14:textId="77777777" w:rsidR="00E91266" w:rsidRPr="00DF0D90" w:rsidRDefault="00E91266" w:rsidP="00542BA2">
      <w:pPr>
        <w:autoSpaceDE w:val="0"/>
        <w:autoSpaceDN w:val="0"/>
        <w:adjustRightInd w:val="0"/>
        <w:jc w:val="both"/>
        <w:rPr>
          <w:noProof/>
          <w:lang w:val="en-US"/>
        </w:rPr>
      </w:pPr>
      <w:r w:rsidRPr="00DF0D90">
        <w:rPr>
          <w:noProof/>
          <w:lang w:val="en-US"/>
        </w:rPr>
        <w:t>74.</w:t>
      </w:r>
      <w:r w:rsidRPr="00DF0D90">
        <w:rPr>
          <w:noProof/>
          <w:lang w:val="en-US"/>
        </w:rPr>
        <w:tab/>
        <w:t>Rand T. et al. Arterial embolization of unresectable hepatocellular carcinoma with use of microspheres, lipiodol, and cyanoacrylate // Cardiovasc. Intervent. Radiol. 2005. Vol. 28, № 3. P. 313–318.</w:t>
      </w:r>
    </w:p>
    <w:p w14:paraId="78F90B0E" w14:textId="77777777" w:rsidR="00E91266" w:rsidRPr="00DF0D90" w:rsidRDefault="00E91266" w:rsidP="00542BA2">
      <w:pPr>
        <w:autoSpaceDE w:val="0"/>
        <w:autoSpaceDN w:val="0"/>
        <w:adjustRightInd w:val="0"/>
        <w:jc w:val="both"/>
        <w:rPr>
          <w:noProof/>
          <w:lang w:val="en-US"/>
        </w:rPr>
      </w:pPr>
      <w:r w:rsidRPr="00DF0D90">
        <w:rPr>
          <w:noProof/>
          <w:lang w:val="en-US"/>
        </w:rPr>
        <w:t>75.</w:t>
      </w:r>
      <w:r w:rsidRPr="00DF0D90">
        <w:rPr>
          <w:noProof/>
          <w:lang w:val="en-US"/>
        </w:rPr>
        <w:tab/>
        <w:t>Bonomo G. et al. Bland embolization in patients with unresectable hepatocellular carcinoma using precise, tightly size-calibrated, anti-inflammatory microparticles: First clinical experience and one-year follow-up // Cardiovasc. Intervent. Radiol. 2010. Vol. 33, № 3. P. 552–559.</w:t>
      </w:r>
    </w:p>
    <w:p w14:paraId="052A093B" w14:textId="77777777" w:rsidR="00E91266" w:rsidRPr="00DF0D90" w:rsidRDefault="00E91266" w:rsidP="00542BA2">
      <w:pPr>
        <w:autoSpaceDE w:val="0"/>
        <w:autoSpaceDN w:val="0"/>
        <w:adjustRightInd w:val="0"/>
        <w:jc w:val="both"/>
        <w:rPr>
          <w:noProof/>
          <w:lang w:val="en-US"/>
        </w:rPr>
      </w:pPr>
      <w:r w:rsidRPr="00DF0D90">
        <w:rPr>
          <w:noProof/>
          <w:lang w:val="en-US"/>
        </w:rPr>
        <w:lastRenderedPageBreak/>
        <w:t>76.</w:t>
      </w:r>
      <w:r w:rsidRPr="00DF0D90">
        <w:rPr>
          <w:noProof/>
          <w:lang w:val="en-US"/>
        </w:rPr>
        <w:tab/>
        <w:t>Llovet J.M. et al. Arterial embolisation or chemoembolisation versus symptomatic treatment in patients with unresectable hepatocellular carcinoma: A randomised controlled trial // Lancet. 2002. Vol. 359, № 9319. P. 1734–1739.</w:t>
      </w:r>
    </w:p>
    <w:p w14:paraId="38B0DAB3" w14:textId="77777777" w:rsidR="00E91266" w:rsidRPr="00DF0D90" w:rsidRDefault="00E91266" w:rsidP="00542BA2">
      <w:pPr>
        <w:autoSpaceDE w:val="0"/>
        <w:autoSpaceDN w:val="0"/>
        <w:adjustRightInd w:val="0"/>
        <w:jc w:val="both"/>
        <w:rPr>
          <w:noProof/>
          <w:lang w:val="en-US"/>
        </w:rPr>
      </w:pPr>
      <w:r w:rsidRPr="00DF0D90">
        <w:rPr>
          <w:noProof/>
          <w:lang w:val="en-US"/>
        </w:rPr>
        <w:t>77.</w:t>
      </w:r>
      <w:r w:rsidRPr="00DF0D90">
        <w:rPr>
          <w:noProof/>
          <w:lang w:val="en-US"/>
        </w:rPr>
        <w:tab/>
        <w:t>Affonso B.B. et al. Long-term outcomes of hepatocellular carcinoma that underwent chemoembolization for bridging or downstaging // World J. Gastroenterol. Baishideng Publishing Group Co, 2019. Vol. 25, № 37. P. 5687–5701.</w:t>
      </w:r>
    </w:p>
    <w:p w14:paraId="73C2DCB1" w14:textId="77777777" w:rsidR="00E91266" w:rsidRPr="00DF0D90" w:rsidRDefault="00E91266" w:rsidP="00542BA2">
      <w:pPr>
        <w:autoSpaceDE w:val="0"/>
        <w:autoSpaceDN w:val="0"/>
        <w:adjustRightInd w:val="0"/>
        <w:jc w:val="both"/>
        <w:rPr>
          <w:noProof/>
          <w:lang w:val="en-US"/>
        </w:rPr>
      </w:pPr>
      <w:r w:rsidRPr="00DF0D90">
        <w:rPr>
          <w:noProof/>
          <w:lang w:val="en-US"/>
        </w:rPr>
        <w:t>78.</w:t>
      </w:r>
      <w:r w:rsidRPr="00DF0D90">
        <w:rPr>
          <w:noProof/>
          <w:lang w:val="en-US"/>
        </w:rPr>
        <w:tab/>
        <w:t>Lo C.M. et al. Randomized controlled trial of transarterial Lipiodol chemoembolization for unresectable hepatocellular carcinoma // Hepatology. 2002. Vol. 35, № 5. P. 1164–1171.</w:t>
      </w:r>
    </w:p>
    <w:p w14:paraId="15996013" w14:textId="77777777" w:rsidR="00E91266" w:rsidRPr="00DF0D90" w:rsidRDefault="00E91266" w:rsidP="00542BA2">
      <w:pPr>
        <w:autoSpaceDE w:val="0"/>
        <w:autoSpaceDN w:val="0"/>
        <w:adjustRightInd w:val="0"/>
        <w:jc w:val="both"/>
        <w:rPr>
          <w:noProof/>
          <w:lang w:val="en-US"/>
        </w:rPr>
      </w:pPr>
      <w:r w:rsidRPr="00DF0D90">
        <w:rPr>
          <w:noProof/>
          <w:lang w:val="en-US"/>
        </w:rPr>
        <w:t>79.</w:t>
      </w:r>
      <w:r w:rsidRPr="00DF0D90">
        <w:rPr>
          <w:noProof/>
          <w:lang w:val="en-US"/>
        </w:rPr>
        <w:tab/>
        <w:t>Cammà C. et al. Transarterial chemoembolization for unresectable hepatocellular carcinoma: Meta-analysis of randomized controlled trials // Radiology. 2002. Vol. 224, № 1. P. 47–54.</w:t>
      </w:r>
    </w:p>
    <w:p w14:paraId="3807706D" w14:textId="77777777" w:rsidR="00E91266" w:rsidRPr="00DF0D90" w:rsidRDefault="00E91266" w:rsidP="00542BA2">
      <w:pPr>
        <w:autoSpaceDE w:val="0"/>
        <w:autoSpaceDN w:val="0"/>
        <w:adjustRightInd w:val="0"/>
        <w:jc w:val="both"/>
        <w:rPr>
          <w:noProof/>
          <w:lang w:val="en-US"/>
        </w:rPr>
      </w:pPr>
      <w:r w:rsidRPr="00DF0D90">
        <w:rPr>
          <w:noProof/>
          <w:lang w:val="en-US"/>
        </w:rPr>
        <w:t>80.</w:t>
      </w:r>
      <w:r w:rsidRPr="00DF0D90">
        <w:rPr>
          <w:noProof/>
          <w:lang w:val="en-US"/>
        </w:rPr>
        <w:tab/>
        <w:t>Raoul J.L. et al. Evolving strategies for the management of intermediate-stage hepatocellular carcinoma: Available evidence and expert opinion on the use of transarterial chemoembolization // Cancer Treatment Reviews. 2011. Vol. 37, № 3. P. 212–220.</w:t>
      </w:r>
    </w:p>
    <w:p w14:paraId="1070CFEE" w14:textId="77777777" w:rsidR="00E91266" w:rsidRPr="00DF0D90" w:rsidRDefault="00E91266" w:rsidP="00542BA2">
      <w:pPr>
        <w:autoSpaceDE w:val="0"/>
        <w:autoSpaceDN w:val="0"/>
        <w:adjustRightInd w:val="0"/>
        <w:jc w:val="both"/>
        <w:rPr>
          <w:noProof/>
          <w:lang w:val="en-US"/>
        </w:rPr>
      </w:pPr>
      <w:r w:rsidRPr="00DF0D90">
        <w:rPr>
          <w:noProof/>
          <w:lang w:val="en-US"/>
        </w:rPr>
        <w:t>81.</w:t>
      </w:r>
      <w:r w:rsidRPr="00DF0D90">
        <w:rPr>
          <w:noProof/>
          <w:lang w:val="en-US"/>
        </w:rPr>
        <w:tab/>
        <w:t>Forner A. et al. Treatment of intermediate-stage hepatocellular carcinoma // Nature Reviews Clinical Oncology. Nature Publishing Group, 2014. Vol. 11, № 9. P. 525–535.</w:t>
      </w:r>
    </w:p>
    <w:p w14:paraId="52E59821" w14:textId="77777777" w:rsidR="00E91266" w:rsidRPr="00DF0D90" w:rsidRDefault="00E91266" w:rsidP="00542BA2">
      <w:pPr>
        <w:autoSpaceDE w:val="0"/>
        <w:autoSpaceDN w:val="0"/>
        <w:adjustRightInd w:val="0"/>
        <w:jc w:val="both"/>
        <w:rPr>
          <w:noProof/>
          <w:lang w:val="en-US"/>
        </w:rPr>
      </w:pPr>
      <w:r w:rsidRPr="00DF0D90">
        <w:rPr>
          <w:noProof/>
          <w:lang w:val="en-US"/>
        </w:rPr>
        <w:t>82.</w:t>
      </w:r>
      <w:r w:rsidRPr="00DF0D90">
        <w:rPr>
          <w:noProof/>
          <w:lang w:val="en-US"/>
        </w:rPr>
        <w:tab/>
        <w:t>de Baere T. et al. Treatment of Liver Tumors with Lipiodol TACE: Technical Recommendations from Experts Opinion // Cardiovasc. Intervent. Radiol. 2016. Vol. 39, № 3. P. 334–343.</w:t>
      </w:r>
    </w:p>
    <w:p w14:paraId="4D0A0C72" w14:textId="77777777" w:rsidR="00E91266" w:rsidRPr="00DF0D90" w:rsidRDefault="00E91266" w:rsidP="00542BA2">
      <w:pPr>
        <w:autoSpaceDE w:val="0"/>
        <w:autoSpaceDN w:val="0"/>
        <w:adjustRightInd w:val="0"/>
        <w:jc w:val="both"/>
        <w:rPr>
          <w:noProof/>
          <w:lang w:val="en-US"/>
        </w:rPr>
      </w:pPr>
      <w:r w:rsidRPr="00DF0D90">
        <w:rPr>
          <w:noProof/>
          <w:lang w:val="en-US"/>
        </w:rPr>
        <w:t>83.</w:t>
      </w:r>
      <w:r w:rsidRPr="00DF0D90">
        <w:rPr>
          <w:noProof/>
          <w:lang w:val="en-US"/>
        </w:rPr>
        <w:tab/>
        <w:t>Silva J.P. et al. Transarterial chemoembolization in hepatocellular carcinoma with portal vein tumor thrombosis: a systematic review and meta-analysis // HPB. 2017. Vol. 19, № 8. P. 659–666.</w:t>
      </w:r>
    </w:p>
    <w:p w14:paraId="158C3ED1" w14:textId="77777777" w:rsidR="00E91266" w:rsidRPr="00DF0D90" w:rsidRDefault="00E91266" w:rsidP="00542BA2">
      <w:pPr>
        <w:autoSpaceDE w:val="0"/>
        <w:autoSpaceDN w:val="0"/>
        <w:adjustRightInd w:val="0"/>
        <w:jc w:val="both"/>
        <w:rPr>
          <w:noProof/>
          <w:lang w:val="en-US"/>
        </w:rPr>
      </w:pPr>
      <w:r w:rsidRPr="00DF0D90">
        <w:rPr>
          <w:noProof/>
          <w:lang w:val="en-US"/>
        </w:rPr>
        <w:t>84.</w:t>
      </w:r>
      <w:r w:rsidRPr="00DF0D90">
        <w:rPr>
          <w:noProof/>
          <w:lang w:val="en-US"/>
        </w:rPr>
        <w:tab/>
        <w:t>Lencioni R., Llovet J.M. Modified recist (mRECIST) assessment for hepatocellular carcinoma // Seminars in Liver Disease. 2010. Vol. 30, № 1. P. 52–60.</w:t>
      </w:r>
    </w:p>
    <w:p w14:paraId="4052A3C1" w14:textId="77777777" w:rsidR="00E91266" w:rsidRPr="00DF0D90" w:rsidRDefault="00E91266" w:rsidP="00542BA2">
      <w:pPr>
        <w:autoSpaceDE w:val="0"/>
        <w:autoSpaceDN w:val="0"/>
        <w:adjustRightInd w:val="0"/>
        <w:jc w:val="both"/>
        <w:rPr>
          <w:noProof/>
          <w:lang w:val="en-US"/>
        </w:rPr>
      </w:pPr>
      <w:r w:rsidRPr="00DF0D90">
        <w:rPr>
          <w:noProof/>
          <w:lang w:val="en-US"/>
        </w:rPr>
        <w:t>85.</w:t>
      </w:r>
      <w:r w:rsidRPr="00DF0D90">
        <w:rPr>
          <w:noProof/>
          <w:lang w:val="en-US"/>
        </w:rPr>
        <w:tab/>
        <w:t>Cerrito L. et al. Treatment of hepatocellular carcinoma in patients with portal vein tumor thrombosis: Beyond the known frontiers // World Journal of Gastroenterology. 2019. Vol. 25, № 31. P. 4360–4382.</w:t>
      </w:r>
    </w:p>
    <w:p w14:paraId="3D60F60F" w14:textId="77777777" w:rsidR="00E91266" w:rsidRPr="00DF0D90" w:rsidRDefault="00E91266" w:rsidP="00542BA2">
      <w:pPr>
        <w:autoSpaceDE w:val="0"/>
        <w:autoSpaceDN w:val="0"/>
        <w:adjustRightInd w:val="0"/>
        <w:jc w:val="both"/>
        <w:rPr>
          <w:noProof/>
          <w:lang w:val="en-US"/>
        </w:rPr>
      </w:pPr>
      <w:r w:rsidRPr="00DF0D90">
        <w:rPr>
          <w:noProof/>
          <w:lang w:val="en-US"/>
        </w:rPr>
        <w:t>86.</w:t>
      </w:r>
      <w:r w:rsidRPr="00DF0D90">
        <w:rPr>
          <w:noProof/>
          <w:lang w:val="en-US"/>
        </w:rPr>
        <w:tab/>
        <w:t>Chino F. et al. The role of external beam radiotherapy in the treatment of hepatocellular cancer // Cancer. 2018. Vol. 124, № 17. P. 3476–3489.</w:t>
      </w:r>
    </w:p>
    <w:p w14:paraId="4BCC7A36" w14:textId="77777777" w:rsidR="00E91266" w:rsidRPr="00DF0D90" w:rsidRDefault="00E91266" w:rsidP="00542BA2">
      <w:pPr>
        <w:autoSpaceDE w:val="0"/>
        <w:autoSpaceDN w:val="0"/>
        <w:adjustRightInd w:val="0"/>
        <w:jc w:val="both"/>
        <w:rPr>
          <w:noProof/>
          <w:lang w:val="en-US"/>
        </w:rPr>
      </w:pPr>
      <w:r w:rsidRPr="00DF0D90">
        <w:rPr>
          <w:noProof/>
          <w:lang w:val="en-US"/>
        </w:rPr>
        <w:t>87.</w:t>
      </w:r>
      <w:r w:rsidRPr="00DF0D90">
        <w:rPr>
          <w:noProof/>
          <w:lang w:val="en-US"/>
        </w:rPr>
        <w:tab/>
        <w:t>Llovet J.M. et al. Sorafenib in Advanced Hepatocellular Carcinoma // N. Engl. J. Med. 2008. Vol. 359, № 4. P. 378–390.</w:t>
      </w:r>
    </w:p>
    <w:p w14:paraId="7E793E82" w14:textId="77777777" w:rsidR="00E91266" w:rsidRPr="00DF0D90" w:rsidRDefault="00E91266" w:rsidP="00542BA2">
      <w:pPr>
        <w:autoSpaceDE w:val="0"/>
        <w:autoSpaceDN w:val="0"/>
        <w:adjustRightInd w:val="0"/>
        <w:jc w:val="both"/>
        <w:rPr>
          <w:noProof/>
          <w:lang w:val="en-US"/>
        </w:rPr>
      </w:pPr>
      <w:r w:rsidRPr="00DF0D90">
        <w:rPr>
          <w:noProof/>
          <w:lang w:val="en-US"/>
        </w:rPr>
        <w:t>88.</w:t>
      </w:r>
      <w:r w:rsidRPr="00DF0D90">
        <w:rPr>
          <w:noProof/>
          <w:lang w:val="en-US"/>
        </w:rPr>
        <w:tab/>
        <w:t>Cheng A.L. et al. Efficacy and safety of sorafenib in patients in the Asia-Pacific region with advanced hepatocellular carcinoma: a phase III randomised, double-blind, placebo-controlled trial // Lancet Oncol. 2009. Vol. 10, № 1. P. 25–34.</w:t>
      </w:r>
    </w:p>
    <w:p w14:paraId="0C5FF9B7" w14:textId="77777777" w:rsidR="00E91266" w:rsidRPr="00DF0D90" w:rsidRDefault="00E91266" w:rsidP="00542BA2">
      <w:pPr>
        <w:autoSpaceDE w:val="0"/>
        <w:autoSpaceDN w:val="0"/>
        <w:adjustRightInd w:val="0"/>
        <w:jc w:val="both"/>
        <w:rPr>
          <w:noProof/>
          <w:lang w:val="en-US"/>
        </w:rPr>
      </w:pPr>
      <w:r w:rsidRPr="00DF0D90">
        <w:rPr>
          <w:noProof/>
          <w:lang w:val="en-US"/>
        </w:rPr>
        <w:t>89.</w:t>
      </w:r>
      <w:r w:rsidRPr="00DF0D90">
        <w:rPr>
          <w:noProof/>
          <w:lang w:val="en-US"/>
        </w:rPr>
        <w:tab/>
        <w:t>Bruix J. et al. Efficacy and safety of sorafenib in patients with advanced hepatocellular carcinoma: Subanalyses of a phase III trial // J. Hepatol. 2012. Vol. 57, № 4. P. 821–829.</w:t>
      </w:r>
    </w:p>
    <w:p w14:paraId="58FB97F4" w14:textId="77777777" w:rsidR="00E91266" w:rsidRPr="00DF0D90" w:rsidRDefault="00E91266" w:rsidP="00542BA2">
      <w:pPr>
        <w:autoSpaceDE w:val="0"/>
        <w:autoSpaceDN w:val="0"/>
        <w:adjustRightInd w:val="0"/>
        <w:jc w:val="both"/>
        <w:rPr>
          <w:noProof/>
          <w:lang w:val="en-US"/>
        </w:rPr>
      </w:pPr>
      <w:r w:rsidRPr="00DF0D90">
        <w:rPr>
          <w:noProof/>
          <w:lang w:val="en-US"/>
        </w:rPr>
        <w:t>90.</w:t>
      </w:r>
      <w:r w:rsidRPr="00DF0D90">
        <w:rPr>
          <w:noProof/>
          <w:lang w:val="en-US"/>
        </w:rPr>
        <w:tab/>
        <w:t>Kudo M. et al. Lenvatinib versus sorafenib in first-line treatment of patients with unresectable hepatocellular carcinoma: a randomised phase 3 non-inferiority trial // Lancet. 2018. Vol. 391, № 10126. P. 1163–1173.</w:t>
      </w:r>
    </w:p>
    <w:p w14:paraId="47014781" w14:textId="77777777" w:rsidR="00E91266" w:rsidRPr="00DF0D90" w:rsidRDefault="00E91266" w:rsidP="00542BA2">
      <w:pPr>
        <w:autoSpaceDE w:val="0"/>
        <w:autoSpaceDN w:val="0"/>
        <w:adjustRightInd w:val="0"/>
        <w:jc w:val="both"/>
        <w:rPr>
          <w:noProof/>
          <w:lang w:val="en-US"/>
        </w:rPr>
      </w:pPr>
      <w:r w:rsidRPr="00DF0D90">
        <w:rPr>
          <w:noProof/>
          <w:lang w:val="en-US"/>
        </w:rPr>
        <w:t>91.</w:t>
      </w:r>
      <w:r w:rsidRPr="00DF0D90">
        <w:rPr>
          <w:noProof/>
          <w:lang w:val="en-US"/>
        </w:rPr>
        <w:tab/>
        <w:t>Bruix J. et al. Regorafenib for patients with hepatocellular carcinoma who progressed on sorafenib treatment (RESORCE): a randomised, double-blind, placebo-controlled, phase 3 trial // Lancet. Lancet Publishing Group, 2017. Vol. 389, № 10064. P. 56–66.</w:t>
      </w:r>
    </w:p>
    <w:p w14:paraId="1720EDDE" w14:textId="77777777" w:rsidR="00E91266" w:rsidRPr="00DF0D90" w:rsidRDefault="00E91266" w:rsidP="00542BA2">
      <w:pPr>
        <w:autoSpaceDE w:val="0"/>
        <w:autoSpaceDN w:val="0"/>
        <w:adjustRightInd w:val="0"/>
        <w:jc w:val="both"/>
        <w:rPr>
          <w:noProof/>
          <w:lang w:val="en-US"/>
        </w:rPr>
      </w:pPr>
      <w:r w:rsidRPr="00DF0D90">
        <w:rPr>
          <w:noProof/>
          <w:lang w:val="en-US"/>
        </w:rPr>
        <w:t>92.</w:t>
      </w:r>
      <w:r w:rsidRPr="00DF0D90">
        <w:rPr>
          <w:noProof/>
          <w:lang w:val="en-US"/>
        </w:rPr>
        <w:tab/>
        <w:t>Abou-Alfa G.K. et al. Cabozantinib in Patients with Advanced and Progressing Hepatocellular Carcinoma // N. Engl. J. Med. New England Journal of Medicine (NEJM/MMS), 2018. Vol. 379, № 1. P. 54–63.</w:t>
      </w:r>
    </w:p>
    <w:p w14:paraId="6552147E" w14:textId="77777777" w:rsidR="00E91266" w:rsidRPr="00DF0D90" w:rsidRDefault="00E91266" w:rsidP="00542BA2">
      <w:pPr>
        <w:autoSpaceDE w:val="0"/>
        <w:autoSpaceDN w:val="0"/>
        <w:adjustRightInd w:val="0"/>
        <w:jc w:val="both"/>
        <w:rPr>
          <w:noProof/>
          <w:lang w:val="en-US"/>
        </w:rPr>
      </w:pPr>
      <w:r w:rsidRPr="00DF0D90">
        <w:rPr>
          <w:noProof/>
          <w:lang w:val="en-US"/>
        </w:rPr>
        <w:t>93.</w:t>
      </w:r>
      <w:r w:rsidRPr="00DF0D90">
        <w:rPr>
          <w:noProof/>
          <w:lang w:val="en-US"/>
        </w:rPr>
        <w:tab/>
        <w:t>Finn R.S. et al. Atezolizumab plus Bevacizumab in Unresectable Hepatocellular Carcinoma // N. Engl. J. Med. 2020. Vol. 382, № 20. P. 1894–1905.</w:t>
      </w:r>
    </w:p>
    <w:p w14:paraId="18E9247B" w14:textId="77777777" w:rsidR="00E91266" w:rsidRPr="00DF0D90" w:rsidRDefault="00E91266" w:rsidP="00542BA2">
      <w:pPr>
        <w:autoSpaceDE w:val="0"/>
        <w:autoSpaceDN w:val="0"/>
        <w:adjustRightInd w:val="0"/>
        <w:jc w:val="both"/>
        <w:rPr>
          <w:noProof/>
          <w:lang w:val="en-US"/>
        </w:rPr>
      </w:pPr>
      <w:r w:rsidRPr="00DF0D90">
        <w:rPr>
          <w:noProof/>
          <w:lang w:val="en-US"/>
        </w:rPr>
        <w:t>94.</w:t>
      </w:r>
      <w:r w:rsidRPr="00DF0D90">
        <w:rPr>
          <w:noProof/>
          <w:lang w:val="en-US"/>
        </w:rPr>
        <w:tab/>
        <w:t>El-Khoueiry A.B. et al. Nivolumab in patients with advanced hepatocellular carcinoma (CheckMate 040): an open-label, non-comparative, phase 1/2 dose escalation and expansion trial // Lancet. 2017. Vol. 389, № 10088. P. 2492–2502.</w:t>
      </w:r>
    </w:p>
    <w:p w14:paraId="43293C14" w14:textId="77777777" w:rsidR="00E91266" w:rsidRPr="00DF0D90" w:rsidRDefault="00E91266" w:rsidP="00542BA2">
      <w:pPr>
        <w:autoSpaceDE w:val="0"/>
        <w:autoSpaceDN w:val="0"/>
        <w:adjustRightInd w:val="0"/>
        <w:jc w:val="both"/>
        <w:rPr>
          <w:noProof/>
          <w:lang w:val="en-US"/>
        </w:rPr>
      </w:pPr>
      <w:r w:rsidRPr="00DF0D90">
        <w:rPr>
          <w:noProof/>
          <w:lang w:val="en-US"/>
        </w:rPr>
        <w:lastRenderedPageBreak/>
        <w:t>95.</w:t>
      </w:r>
      <w:r w:rsidRPr="00DF0D90">
        <w:rPr>
          <w:noProof/>
          <w:lang w:val="en-US"/>
        </w:rPr>
        <w:tab/>
        <w:t xml:space="preserve">Zhu A.X. et al. Ramucirumab after sorafenib in patients with advanced hepatocellular carcinoma and increased </w:t>
      </w:r>
      <w:r w:rsidRPr="00DF0D90">
        <w:rPr>
          <w:noProof/>
        </w:rPr>
        <w:t>α</w:t>
      </w:r>
      <w:r w:rsidRPr="00DF0D90">
        <w:rPr>
          <w:noProof/>
          <w:lang w:val="en-US"/>
        </w:rPr>
        <w:t>-fetoprotein concentrations (REACH-2): a randomised, double-blind, placebo-controlled, phase 3 trial // Lancet Oncol. 2019. Vol. 20, № 2. P. 282–296.</w:t>
      </w:r>
    </w:p>
    <w:p w14:paraId="1FF2AA5A" w14:textId="77777777" w:rsidR="00E91266" w:rsidRPr="00DF0D90" w:rsidRDefault="00E91266" w:rsidP="00542BA2">
      <w:pPr>
        <w:autoSpaceDE w:val="0"/>
        <w:autoSpaceDN w:val="0"/>
        <w:adjustRightInd w:val="0"/>
        <w:jc w:val="both"/>
        <w:rPr>
          <w:noProof/>
          <w:lang w:val="en-US"/>
        </w:rPr>
      </w:pPr>
      <w:r w:rsidRPr="00DF0D90">
        <w:rPr>
          <w:noProof/>
          <w:lang w:val="en-US"/>
        </w:rPr>
        <w:t>96.</w:t>
      </w:r>
      <w:r w:rsidRPr="00DF0D90">
        <w:rPr>
          <w:noProof/>
          <w:lang w:val="en-US"/>
        </w:rPr>
        <w:tab/>
        <w:t>Finn R.S. et al. Results of KEYNOTE-240: phase 3 study of pembrolizumab (Pembro) vs best supportive care (BSC) for second line therapy in advanced hepatocellular carcinoma (HCC). // J. Clin. Oncol. 2019. Vol. 37, № 15_suppl. P. 4004–4004.</w:t>
      </w:r>
    </w:p>
    <w:p w14:paraId="3B7E056E" w14:textId="77777777" w:rsidR="00E91266" w:rsidRPr="00DF0D90" w:rsidRDefault="00E91266" w:rsidP="00542BA2">
      <w:pPr>
        <w:autoSpaceDE w:val="0"/>
        <w:autoSpaceDN w:val="0"/>
        <w:adjustRightInd w:val="0"/>
        <w:jc w:val="both"/>
        <w:rPr>
          <w:noProof/>
          <w:lang w:val="en-US"/>
        </w:rPr>
      </w:pPr>
      <w:r w:rsidRPr="00DF0D90">
        <w:rPr>
          <w:noProof/>
          <w:lang w:val="en-US"/>
        </w:rPr>
        <w:t>97.</w:t>
      </w:r>
      <w:r w:rsidRPr="00DF0D90">
        <w:rPr>
          <w:noProof/>
          <w:lang w:val="en-US"/>
        </w:rPr>
        <w:tab/>
        <w:t>Yau T. et al. Efficacy and Safety of Nivolumab plus Ipilimumab in Patients with Advanced Hepatocellular Carcinoma Previously Treated with Sorafenib: The CheckMate 040 Randomized Clinical Trial // JAMA Oncology. 2020. Vol. 6, № 11.</w:t>
      </w:r>
    </w:p>
    <w:p w14:paraId="6CA3126B" w14:textId="77777777" w:rsidR="00E91266" w:rsidRPr="00DF0D90" w:rsidRDefault="00E91266" w:rsidP="00542BA2">
      <w:pPr>
        <w:autoSpaceDE w:val="0"/>
        <w:autoSpaceDN w:val="0"/>
        <w:adjustRightInd w:val="0"/>
        <w:jc w:val="both"/>
        <w:rPr>
          <w:noProof/>
          <w:lang w:val="en-US"/>
        </w:rPr>
      </w:pPr>
      <w:r w:rsidRPr="00DF0D90">
        <w:rPr>
          <w:noProof/>
          <w:lang w:val="en-US"/>
        </w:rPr>
        <w:t>98.</w:t>
      </w:r>
      <w:r w:rsidRPr="00DF0D90">
        <w:rPr>
          <w:noProof/>
          <w:lang w:val="en-US"/>
        </w:rPr>
        <w:tab/>
        <w:t>Qin S. et al. Randomized, multicenter, open-label study of oxaliplatin plus fluorouracil/leucovorin versus doxorubicin as palliative chemotherapy in patients with advanced hepatocellular carcinoma from Asia // J. Clin. Oncol. 2013. Vol. 31, № 28. P. 3501–3508.</w:t>
      </w:r>
    </w:p>
    <w:p w14:paraId="47067B52" w14:textId="77777777" w:rsidR="00E91266" w:rsidRPr="00DF0D90" w:rsidRDefault="00E91266" w:rsidP="00542BA2">
      <w:pPr>
        <w:autoSpaceDE w:val="0"/>
        <w:autoSpaceDN w:val="0"/>
        <w:adjustRightInd w:val="0"/>
        <w:jc w:val="both"/>
        <w:rPr>
          <w:noProof/>
          <w:lang w:val="en-US"/>
        </w:rPr>
      </w:pPr>
      <w:r w:rsidRPr="00DF0D90">
        <w:rPr>
          <w:noProof/>
          <w:lang w:val="en-US"/>
        </w:rPr>
        <w:t>99.</w:t>
      </w:r>
      <w:r w:rsidRPr="00DF0D90">
        <w:rPr>
          <w:noProof/>
          <w:lang w:val="en-US"/>
        </w:rPr>
        <w:tab/>
        <w:t>Zaanan A. et al. Gemcitabine plus oxaliplatin in advanced hepatocellular carcinoma: A large multicenter AGEO study // J. Hepatol. 2013. Vol. 58, № 1. P. 81–88.</w:t>
      </w:r>
    </w:p>
    <w:p w14:paraId="5EB5DAB8" w14:textId="77777777" w:rsidR="00E91266" w:rsidRPr="00DF0D90" w:rsidRDefault="00E91266" w:rsidP="00542BA2">
      <w:pPr>
        <w:autoSpaceDE w:val="0"/>
        <w:autoSpaceDN w:val="0"/>
        <w:adjustRightInd w:val="0"/>
        <w:jc w:val="both"/>
        <w:rPr>
          <w:noProof/>
          <w:lang w:val="en-US"/>
        </w:rPr>
      </w:pPr>
      <w:r w:rsidRPr="00DF0D90">
        <w:rPr>
          <w:noProof/>
          <w:lang w:val="en-US"/>
        </w:rPr>
        <w:t>100.</w:t>
      </w:r>
      <w:r w:rsidRPr="00DF0D90">
        <w:rPr>
          <w:noProof/>
          <w:lang w:val="en-US"/>
        </w:rPr>
        <w:tab/>
        <w:t>Chakrabarti S. et al. Clinicopathological features and outcomes of fibrolamellar hepatocellular carcinoma. // J. Clin. Oncol. 2019. Vol. 37, № 4_suppl. P. 393–393.</w:t>
      </w:r>
    </w:p>
    <w:p w14:paraId="0194AE32" w14:textId="77777777" w:rsidR="00E91266" w:rsidRPr="00DF0D90" w:rsidRDefault="00E91266" w:rsidP="00542BA2">
      <w:pPr>
        <w:autoSpaceDE w:val="0"/>
        <w:autoSpaceDN w:val="0"/>
        <w:adjustRightInd w:val="0"/>
        <w:jc w:val="both"/>
        <w:rPr>
          <w:noProof/>
          <w:lang w:val="en-US"/>
        </w:rPr>
      </w:pPr>
      <w:r w:rsidRPr="00DF0D90">
        <w:rPr>
          <w:noProof/>
          <w:lang w:val="en-US"/>
        </w:rPr>
        <w:t>101.</w:t>
      </w:r>
      <w:r w:rsidRPr="00DF0D90">
        <w:rPr>
          <w:noProof/>
          <w:lang w:val="en-US"/>
        </w:rPr>
        <w:tab/>
        <w:t>Tovoli F. et al. Radiologic criteria of response to systemic treatments for hepatocellular carcinoma // Hepatic Oncol. Future Medicine Ltd, 2017. Vol. 4, № 4. P. 129–137.</w:t>
      </w:r>
    </w:p>
    <w:p w14:paraId="3FEB767A" w14:textId="77777777" w:rsidR="00E91266" w:rsidRPr="00DF0D90" w:rsidRDefault="00E91266" w:rsidP="00542BA2">
      <w:pPr>
        <w:autoSpaceDE w:val="0"/>
        <w:autoSpaceDN w:val="0"/>
        <w:adjustRightInd w:val="0"/>
        <w:jc w:val="both"/>
        <w:rPr>
          <w:noProof/>
          <w:lang w:val="en-US"/>
        </w:rPr>
      </w:pPr>
      <w:r w:rsidRPr="00DF0D90">
        <w:rPr>
          <w:noProof/>
          <w:lang w:val="en-US"/>
        </w:rPr>
        <w:t>102.</w:t>
      </w:r>
      <w:r w:rsidRPr="00DF0D90">
        <w:rPr>
          <w:noProof/>
          <w:lang w:val="en-US"/>
        </w:rPr>
        <w:tab/>
        <w:t>Angeli P. et al. EASL Clinical Practice Guidelines for the management of patients with decompensated cirrhosis // J. Hepatol. Elsevier B.V., 2018. Vol. 69, № 2. P. 406–460.</w:t>
      </w:r>
    </w:p>
    <w:p w14:paraId="472CF6A5" w14:textId="77777777" w:rsidR="00E91266" w:rsidRPr="00DF0D90" w:rsidRDefault="00E91266" w:rsidP="00542BA2">
      <w:pPr>
        <w:autoSpaceDE w:val="0"/>
        <w:autoSpaceDN w:val="0"/>
        <w:adjustRightInd w:val="0"/>
        <w:jc w:val="both"/>
        <w:rPr>
          <w:noProof/>
          <w:lang w:val="en-US"/>
        </w:rPr>
      </w:pPr>
      <w:r w:rsidRPr="00DF0D90">
        <w:rPr>
          <w:noProof/>
          <w:lang w:val="en-US"/>
        </w:rPr>
        <w:t>103.</w:t>
      </w:r>
      <w:r w:rsidRPr="00DF0D90">
        <w:rPr>
          <w:noProof/>
          <w:lang w:val="en-US"/>
        </w:rPr>
        <w:tab/>
        <w:t>Kim J.H. et al. Primary Prophylaxis for Variceal Bleeding and the Improved Survival of Patients with Newly Diagnosed Hepatocellular Carcinoma // Dig. Dis. Sci. 2016. Vol. 61, № 11. P. 3354–3362.</w:t>
      </w:r>
    </w:p>
    <w:p w14:paraId="22FEF275" w14:textId="77777777" w:rsidR="00E91266" w:rsidRPr="00DF0D90" w:rsidRDefault="00E91266" w:rsidP="00542BA2">
      <w:pPr>
        <w:autoSpaceDE w:val="0"/>
        <w:autoSpaceDN w:val="0"/>
        <w:adjustRightInd w:val="0"/>
        <w:jc w:val="both"/>
        <w:rPr>
          <w:noProof/>
          <w:lang w:val="en-US"/>
        </w:rPr>
      </w:pPr>
      <w:r w:rsidRPr="00DF0D90">
        <w:rPr>
          <w:noProof/>
          <w:lang w:val="en-US"/>
        </w:rPr>
        <w:t>104.</w:t>
      </w:r>
      <w:r w:rsidRPr="00DF0D90">
        <w:rPr>
          <w:noProof/>
          <w:lang w:val="en-US"/>
        </w:rPr>
        <w:tab/>
        <w:t>Gentilini P. et al. Albumin improves the response to diuretics in patients with cirrhosis and ascites: Results of a randomized, controlled trial // J. Hepatol. 1999. Vol. 30, № 4. P. 639–645.</w:t>
      </w:r>
    </w:p>
    <w:p w14:paraId="29A8362A" w14:textId="77777777" w:rsidR="00E91266" w:rsidRPr="00DF0D90" w:rsidRDefault="00E91266" w:rsidP="00542BA2">
      <w:pPr>
        <w:autoSpaceDE w:val="0"/>
        <w:autoSpaceDN w:val="0"/>
        <w:adjustRightInd w:val="0"/>
        <w:jc w:val="both"/>
        <w:rPr>
          <w:noProof/>
          <w:lang w:val="en-US"/>
        </w:rPr>
      </w:pPr>
      <w:r w:rsidRPr="00DF0D90">
        <w:rPr>
          <w:noProof/>
          <w:lang w:val="en-US"/>
        </w:rPr>
        <w:t>105.</w:t>
      </w:r>
      <w:r w:rsidRPr="00DF0D90">
        <w:rPr>
          <w:noProof/>
          <w:lang w:val="en-US"/>
        </w:rPr>
        <w:tab/>
        <w:t>Bernardi M. et al. Albumin infusion in patients undergoing large-volume paracentesis: A meta-analysis of randomized trials // Hepatology. 2012. Vol. 55, № 4. P. 1172–1181.</w:t>
      </w:r>
    </w:p>
    <w:p w14:paraId="3532C3EC" w14:textId="77777777" w:rsidR="00E91266" w:rsidRPr="00DF0D90" w:rsidRDefault="00E91266" w:rsidP="00542BA2">
      <w:pPr>
        <w:autoSpaceDE w:val="0"/>
        <w:autoSpaceDN w:val="0"/>
        <w:adjustRightInd w:val="0"/>
        <w:jc w:val="both"/>
        <w:rPr>
          <w:noProof/>
          <w:lang w:val="en-US"/>
        </w:rPr>
      </w:pPr>
      <w:r w:rsidRPr="00DF0D90">
        <w:rPr>
          <w:noProof/>
          <w:lang w:val="en-US"/>
        </w:rPr>
        <w:t>106.</w:t>
      </w:r>
      <w:r w:rsidRPr="00DF0D90">
        <w:rPr>
          <w:noProof/>
          <w:lang w:val="en-US"/>
        </w:rPr>
        <w:tab/>
        <w:t>Luther A. et al. The Impact of Total Body Prehabilitation on Post-Operative Outcomes After Major Abdominal Surgery: A Systematic Review // World Journal of Surgery. 2018. Vol. 42, № 9. P. 2781–2791.</w:t>
      </w:r>
    </w:p>
    <w:p w14:paraId="77930654" w14:textId="77777777" w:rsidR="00E91266" w:rsidRPr="00DF0D90" w:rsidRDefault="00E91266" w:rsidP="00542BA2">
      <w:pPr>
        <w:autoSpaceDE w:val="0"/>
        <w:autoSpaceDN w:val="0"/>
        <w:adjustRightInd w:val="0"/>
        <w:jc w:val="both"/>
        <w:rPr>
          <w:noProof/>
          <w:lang w:val="en-US"/>
        </w:rPr>
      </w:pPr>
      <w:r w:rsidRPr="00DF0D90">
        <w:rPr>
          <w:noProof/>
          <w:lang w:val="en-US"/>
        </w:rPr>
        <w:t>107.</w:t>
      </w:r>
      <w:r w:rsidRPr="00DF0D90">
        <w:rPr>
          <w:noProof/>
          <w:lang w:val="en-US"/>
        </w:rPr>
        <w:tab/>
        <w:t>Arends J. et al. ESPEN guidelines on nutrition in cancer patients // Clin. Nutr. Churchill Livingstone, 2017. Vol. 36, № 1. P. 11–48.</w:t>
      </w:r>
    </w:p>
    <w:p w14:paraId="5E66BD4C" w14:textId="77777777" w:rsidR="00E91266" w:rsidRPr="00DF0D90" w:rsidRDefault="00E91266" w:rsidP="00542BA2">
      <w:pPr>
        <w:autoSpaceDE w:val="0"/>
        <w:autoSpaceDN w:val="0"/>
        <w:adjustRightInd w:val="0"/>
        <w:jc w:val="both"/>
        <w:rPr>
          <w:noProof/>
          <w:lang w:val="en-US"/>
        </w:rPr>
      </w:pPr>
      <w:r w:rsidRPr="00DF0D90">
        <w:rPr>
          <w:noProof/>
          <w:lang w:val="en-US"/>
        </w:rPr>
        <w:t>108.</w:t>
      </w:r>
      <w:r w:rsidRPr="00DF0D90">
        <w:rPr>
          <w:noProof/>
          <w:lang w:val="en-US"/>
        </w:rPr>
        <w:tab/>
        <w:t>Possa S.S. et al. Implementation of a guideline for physical therapy in the postoperative period of upper abdominal surgery reduces the incidence of atelectasis and length of hospital stay // Rev. Port. Pneumol. 2014. Vol. 20, № 2. P. 69–77.</w:t>
      </w:r>
    </w:p>
    <w:p w14:paraId="26790552" w14:textId="77777777" w:rsidR="00E91266" w:rsidRPr="00DF0D90" w:rsidRDefault="00E91266" w:rsidP="00542BA2">
      <w:pPr>
        <w:autoSpaceDE w:val="0"/>
        <w:autoSpaceDN w:val="0"/>
        <w:adjustRightInd w:val="0"/>
        <w:jc w:val="both"/>
        <w:rPr>
          <w:noProof/>
          <w:lang w:val="en-US"/>
        </w:rPr>
      </w:pPr>
      <w:r w:rsidRPr="00DF0D90">
        <w:rPr>
          <w:noProof/>
          <w:lang w:val="en-US"/>
        </w:rPr>
        <w:t>109.</w:t>
      </w:r>
      <w:r w:rsidRPr="00DF0D90">
        <w:rPr>
          <w:noProof/>
          <w:lang w:val="en-US"/>
        </w:rPr>
        <w:tab/>
        <w:t>Lewis L.K., Williams M.T., Olds T.S. The active cycle of breathing technique: A systematic review and meta-analysis // Respiratory Medicine. 2012. Vol. 106, № 2. P. 155–172.</w:t>
      </w:r>
    </w:p>
    <w:p w14:paraId="0BCDE62C" w14:textId="77777777" w:rsidR="00E91266" w:rsidRPr="00DF0D90" w:rsidRDefault="00E91266" w:rsidP="00542BA2">
      <w:pPr>
        <w:autoSpaceDE w:val="0"/>
        <w:autoSpaceDN w:val="0"/>
        <w:adjustRightInd w:val="0"/>
        <w:jc w:val="both"/>
        <w:rPr>
          <w:noProof/>
          <w:lang w:val="en-US"/>
        </w:rPr>
      </w:pPr>
      <w:r w:rsidRPr="00DF0D90">
        <w:rPr>
          <w:noProof/>
          <w:lang w:val="en-US"/>
        </w:rPr>
        <w:t>110.</w:t>
      </w:r>
      <w:r w:rsidRPr="00DF0D90">
        <w:rPr>
          <w:noProof/>
          <w:lang w:val="en-US"/>
        </w:rPr>
        <w:tab/>
        <w:t>Cho I. et al. Feasibility and effects of a postoperative recovery exercise program developed specifically for gastric cancer patients (PREP-GC) undergoing minimally invasive gastrectomy // J. Gastric Cancer. 2018. Vol. 18, № 2. P. 118–133.</w:t>
      </w:r>
    </w:p>
    <w:p w14:paraId="7503CF1E" w14:textId="77777777" w:rsidR="00E91266" w:rsidRPr="00DF0D90" w:rsidRDefault="00E91266" w:rsidP="00542BA2">
      <w:pPr>
        <w:autoSpaceDE w:val="0"/>
        <w:autoSpaceDN w:val="0"/>
        <w:adjustRightInd w:val="0"/>
        <w:jc w:val="both"/>
        <w:rPr>
          <w:noProof/>
        </w:rPr>
      </w:pPr>
      <w:r w:rsidRPr="00DF0D90">
        <w:rPr>
          <w:noProof/>
          <w:lang w:val="en-US"/>
        </w:rPr>
        <w:t>111.</w:t>
      </w:r>
      <w:r w:rsidRPr="00DF0D90">
        <w:rPr>
          <w:noProof/>
          <w:lang w:val="en-US"/>
        </w:rPr>
        <w:tab/>
        <w:t xml:space="preserve">Hunter E.G., Baltisberger J. Functional outcomes by age for inpatient cancer rehabilitation: A retrospective chart review // Journal of Applied Gerontology. </w:t>
      </w:r>
      <w:r w:rsidRPr="00DF0D90">
        <w:rPr>
          <w:noProof/>
        </w:rPr>
        <w:t>2013. Vol. 32, № 4. P. 443–456.</w:t>
      </w:r>
    </w:p>
    <w:p w14:paraId="2E2DA763" w14:textId="77777777" w:rsidR="00E91266" w:rsidRPr="00DF0D90" w:rsidRDefault="00E91266" w:rsidP="00542BA2">
      <w:pPr>
        <w:autoSpaceDE w:val="0"/>
        <w:autoSpaceDN w:val="0"/>
        <w:adjustRightInd w:val="0"/>
        <w:jc w:val="both"/>
        <w:rPr>
          <w:noProof/>
          <w:lang w:val="en-US"/>
        </w:rPr>
      </w:pPr>
      <w:r w:rsidRPr="00DF0D90">
        <w:rPr>
          <w:noProof/>
        </w:rPr>
        <w:t>112.</w:t>
      </w:r>
      <w:r w:rsidRPr="00DF0D90">
        <w:rPr>
          <w:noProof/>
        </w:rPr>
        <w:tab/>
        <w:t>Грушина Т.И. Реабилитация в онкологии: физиотерапия. ГЭОТАР-Мед. Москва</w:t>
      </w:r>
      <w:r w:rsidRPr="00DF0D90">
        <w:rPr>
          <w:noProof/>
          <w:lang w:val="en-US"/>
        </w:rPr>
        <w:t>, 2006. 240 p.</w:t>
      </w:r>
    </w:p>
    <w:p w14:paraId="287B539D" w14:textId="77777777" w:rsidR="00E91266" w:rsidRPr="00DF0D90" w:rsidRDefault="00E91266" w:rsidP="00542BA2">
      <w:pPr>
        <w:autoSpaceDE w:val="0"/>
        <w:autoSpaceDN w:val="0"/>
        <w:adjustRightInd w:val="0"/>
        <w:jc w:val="both"/>
        <w:rPr>
          <w:noProof/>
          <w:lang w:val="en-US"/>
        </w:rPr>
      </w:pPr>
      <w:r w:rsidRPr="00DF0D90">
        <w:rPr>
          <w:noProof/>
          <w:lang w:val="en-US"/>
        </w:rPr>
        <w:t>113.</w:t>
      </w:r>
      <w:r w:rsidRPr="00DF0D90">
        <w:rPr>
          <w:noProof/>
          <w:lang w:val="en-US"/>
        </w:rPr>
        <w:tab/>
        <w:t>Ajani J.A. et al. Gastric Cancer, Version 3.2016; Clinical Practice Guidelines in Oncology // JNCCN Journal of the National Comprehensive Cancer Network. Harborside Press, 2016. Vol. 14, № 10. P. 1286–1312.</w:t>
      </w:r>
    </w:p>
    <w:p w14:paraId="1E436EED" w14:textId="77777777" w:rsidR="00E91266" w:rsidRPr="00DF0D90" w:rsidRDefault="00E91266" w:rsidP="00542BA2">
      <w:pPr>
        <w:autoSpaceDE w:val="0"/>
        <w:autoSpaceDN w:val="0"/>
        <w:adjustRightInd w:val="0"/>
        <w:jc w:val="both"/>
        <w:rPr>
          <w:noProof/>
          <w:lang w:val="en-US"/>
        </w:rPr>
      </w:pPr>
      <w:r w:rsidRPr="00DF0D90">
        <w:rPr>
          <w:noProof/>
          <w:lang w:val="en-US"/>
        </w:rPr>
        <w:t>114.</w:t>
      </w:r>
      <w:r w:rsidRPr="00DF0D90">
        <w:rPr>
          <w:noProof/>
          <w:lang w:val="en-US"/>
        </w:rPr>
        <w:tab/>
        <w:t>Bland K.A. et al. Impact of exercise on chemotherapy completion rate: A systematic review of the evidence and recommendations for future exercise oncology research // Critical Reviews in Oncology/Hematology. Elsevier Ireland Ltd, 2019. Vol. 136. P. 79–85.</w:t>
      </w:r>
    </w:p>
    <w:p w14:paraId="1C03391D" w14:textId="77777777" w:rsidR="00E91266" w:rsidRPr="00DF0D90" w:rsidRDefault="00E91266" w:rsidP="00542BA2">
      <w:pPr>
        <w:autoSpaceDE w:val="0"/>
        <w:autoSpaceDN w:val="0"/>
        <w:adjustRightInd w:val="0"/>
        <w:jc w:val="both"/>
        <w:rPr>
          <w:noProof/>
          <w:lang w:val="en-US"/>
        </w:rPr>
      </w:pPr>
      <w:r w:rsidRPr="00DF0D90">
        <w:rPr>
          <w:noProof/>
          <w:lang w:val="en-US"/>
        </w:rPr>
        <w:t>115.</w:t>
      </w:r>
      <w:r w:rsidRPr="00DF0D90">
        <w:rPr>
          <w:noProof/>
          <w:lang w:val="en-US"/>
        </w:rPr>
        <w:tab/>
        <w:t>Streckmann F. et al. Exercise intervention studies in patients with peripheral neuropathy: a systematic review // Sports medicine (Auckland, N.Z.). 2014. Vol. 44, № 9. P. 1289–1304.</w:t>
      </w:r>
    </w:p>
    <w:p w14:paraId="42B2DE28" w14:textId="77777777" w:rsidR="00E91266" w:rsidRPr="00DF0D90" w:rsidRDefault="00E91266" w:rsidP="00542BA2">
      <w:pPr>
        <w:autoSpaceDE w:val="0"/>
        <w:autoSpaceDN w:val="0"/>
        <w:adjustRightInd w:val="0"/>
        <w:jc w:val="both"/>
        <w:rPr>
          <w:noProof/>
          <w:lang w:val="en-US"/>
        </w:rPr>
      </w:pPr>
      <w:r w:rsidRPr="00DF0D90">
        <w:rPr>
          <w:noProof/>
          <w:lang w:val="en-US"/>
        </w:rPr>
        <w:lastRenderedPageBreak/>
        <w:t>116.</w:t>
      </w:r>
      <w:r w:rsidRPr="00DF0D90">
        <w:rPr>
          <w:noProof/>
          <w:lang w:val="en-US"/>
        </w:rPr>
        <w:tab/>
        <w:t>Westphal J.G., Schulze P.C. Exercise training in cancer related cardiomyopathy // J. Thorac. Dis. 2018. Vol. 10, № S35. P. S4391–S4399.</w:t>
      </w:r>
    </w:p>
    <w:p w14:paraId="63018F74" w14:textId="77777777" w:rsidR="00E91266" w:rsidRPr="00DF0D90" w:rsidRDefault="00E91266" w:rsidP="00542BA2">
      <w:pPr>
        <w:autoSpaceDE w:val="0"/>
        <w:autoSpaceDN w:val="0"/>
        <w:adjustRightInd w:val="0"/>
        <w:jc w:val="both"/>
        <w:rPr>
          <w:noProof/>
          <w:lang w:val="en-US"/>
        </w:rPr>
      </w:pPr>
      <w:r w:rsidRPr="00DF0D90">
        <w:rPr>
          <w:noProof/>
          <w:lang w:val="en-US"/>
        </w:rPr>
        <w:t>117.</w:t>
      </w:r>
      <w:r w:rsidRPr="00DF0D90">
        <w:rPr>
          <w:noProof/>
          <w:lang w:val="en-US"/>
        </w:rPr>
        <w:tab/>
        <w:t>Lee J.M. et al. Low-level laser therapy for chemotherapy-induced peripheral neuropathy. // J. Clin. Oncol. 2012. Vol. 30, № 15_suppl. P. 9019–9019.</w:t>
      </w:r>
    </w:p>
    <w:p w14:paraId="4DE936B2" w14:textId="77777777" w:rsidR="00E91266" w:rsidRPr="00DF0D90" w:rsidRDefault="00E91266" w:rsidP="00542BA2">
      <w:pPr>
        <w:autoSpaceDE w:val="0"/>
        <w:autoSpaceDN w:val="0"/>
        <w:adjustRightInd w:val="0"/>
        <w:jc w:val="both"/>
        <w:rPr>
          <w:noProof/>
          <w:lang w:val="en-US"/>
        </w:rPr>
      </w:pPr>
      <w:r w:rsidRPr="00DF0D90">
        <w:rPr>
          <w:noProof/>
          <w:lang w:val="en-US"/>
        </w:rPr>
        <w:t>118.</w:t>
      </w:r>
      <w:r w:rsidRPr="00DF0D90">
        <w:rPr>
          <w:noProof/>
          <w:lang w:val="en-US"/>
        </w:rPr>
        <w:tab/>
        <w:t>Rick O. et al. Magnetic field therapy in patients with cytostatics-induced polyneuropathy: A prospective randomized placebo-controlled phase-III study // Bioelectromagnetics. 2017. Vol. 38, № 2. P. 85–94.</w:t>
      </w:r>
    </w:p>
    <w:p w14:paraId="06E4378A" w14:textId="77777777" w:rsidR="00E91266" w:rsidRPr="00DF0D90" w:rsidRDefault="00E91266" w:rsidP="00542BA2">
      <w:pPr>
        <w:autoSpaceDE w:val="0"/>
        <w:autoSpaceDN w:val="0"/>
        <w:adjustRightInd w:val="0"/>
        <w:jc w:val="both"/>
        <w:rPr>
          <w:noProof/>
          <w:lang w:val="en-US"/>
        </w:rPr>
      </w:pPr>
      <w:r w:rsidRPr="00DF0D90">
        <w:rPr>
          <w:noProof/>
          <w:lang w:val="en-US"/>
        </w:rPr>
        <w:t>119.</w:t>
      </w:r>
      <w:r w:rsidRPr="00DF0D90">
        <w:rPr>
          <w:noProof/>
          <w:lang w:val="en-US"/>
        </w:rPr>
        <w:tab/>
        <w:t>Finkelmeier F., Waidmann O., Trojan J. Nivolumab for the treatment of hepatocellular carcinoma // Expert Rev. Anticancer Ther. 2018. Vol. 18, № 12. P. 1169–1175.</w:t>
      </w:r>
    </w:p>
    <w:p w14:paraId="7C3359AF" w14:textId="77777777" w:rsidR="00E91266" w:rsidRPr="00DF0D90" w:rsidRDefault="00E91266" w:rsidP="00542BA2">
      <w:pPr>
        <w:autoSpaceDE w:val="0"/>
        <w:autoSpaceDN w:val="0"/>
        <w:adjustRightInd w:val="0"/>
        <w:jc w:val="both"/>
        <w:rPr>
          <w:noProof/>
          <w:lang w:val="en-US"/>
        </w:rPr>
      </w:pPr>
      <w:r w:rsidRPr="00DF0D90">
        <w:rPr>
          <w:noProof/>
          <w:lang w:val="en-US"/>
        </w:rPr>
        <w:t>120.</w:t>
      </w:r>
      <w:r w:rsidRPr="00DF0D90">
        <w:rPr>
          <w:noProof/>
          <w:lang w:val="en-US"/>
        </w:rPr>
        <w:tab/>
        <w:t>Zhao X. et al. Abstract CT101: A model-based exposure-response (E-R) assessment of a nivolumab (NIVO) 4-weekly (Q4W) dosing schedule across multiple tumor types // Clinical Trials. American Association for Cancer Research, 2017. P. CT101–CT101.</w:t>
      </w:r>
    </w:p>
    <w:p w14:paraId="3E7FEC62" w14:textId="537BF559" w:rsidR="00C0142B" w:rsidRPr="00DF0D90" w:rsidRDefault="00E91266" w:rsidP="00F32797">
      <w:pPr>
        <w:rPr>
          <w:lang w:val="en-US"/>
        </w:rPr>
      </w:pPr>
      <w:r w:rsidRPr="00DF0D90">
        <w:rPr>
          <w:noProof/>
          <w:lang w:val="en-US"/>
        </w:rPr>
        <w:t>121.</w:t>
      </w:r>
      <w:r w:rsidRPr="00DF0D90">
        <w:rPr>
          <w:noProof/>
          <w:lang w:val="en-US"/>
        </w:rPr>
        <w:tab/>
      </w:r>
      <w:r w:rsidR="00163E66" w:rsidRPr="00DF0D90">
        <w:rPr>
          <w:color w:val="222222"/>
          <w:lang w:val="en-US"/>
        </w:rPr>
        <w:t xml:space="preserve">Chia W. K. et al. Phase II trial of gemcitabine in combination with cisplatin in inoperable or advanced hepatocellular carcinoma //Annals Academy of Medicine Singapore. – 2008. – </w:t>
      </w:r>
      <w:r w:rsidR="00163E66" w:rsidRPr="00DF0D90">
        <w:rPr>
          <w:color w:val="222222"/>
        </w:rPr>
        <w:t>Т</w:t>
      </w:r>
      <w:r w:rsidR="00163E66" w:rsidRPr="00DF0D90">
        <w:rPr>
          <w:color w:val="222222"/>
          <w:lang w:val="en-US"/>
        </w:rPr>
        <w:t xml:space="preserve">. 37. – №. 7. – </w:t>
      </w:r>
      <w:r w:rsidR="00163E66" w:rsidRPr="00DF0D90">
        <w:rPr>
          <w:color w:val="222222"/>
        </w:rPr>
        <w:t>С</w:t>
      </w:r>
      <w:r w:rsidR="00163E66" w:rsidRPr="00DF0D90">
        <w:rPr>
          <w:color w:val="222222"/>
          <w:lang w:val="en-US"/>
        </w:rPr>
        <w:t>. 554</w:t>
      </w:r>
    </w:p>
    <w:p w14:paraId="03B2E45D" w14:textId="1FC5D54C" w:rsidR="00A13A5C" w:rsidRPr="00DF0D90" w:rsidRDefault="009E467C" w:rsidP="00A13A5C">
      <w:pPr>
        <w:pStyle w:val="affc"/>
        <w:rPr>
          <w:noProof/>
          <w:lang w:val="en-US"/>
        </w:rPr>
      </w:pPr>
      <w:r w:rsidRPr="00DF0D90">
        <w:rPr>
          <w:bCs/>
          <w:noProof/>
          <w:lang w:val="en-US"/>
        </w:rPr>
        <w:t>122</w:t>
      </w:r>
      <w:r w:rsidR="006A33F8" w:rsidRPr="00DF0D90">
        <w:rPr>
          <w:bCs/>
          <w:noProof/>
          <w:lang w:val="en-US"/>
        </w:rPr>
        <w:t xml:space="preserve">. </w:t>
      </w:r>
      <w:r w:rsidR="00A13A5C" w:rsidRPr="00DF0D90">
        <w:rPr>
          <w:bCs/>
          <w:noProof/>
          <w:lang w:val="en-US"/>
        </w:rPr>
        <w:t>Fallon</w:t>
      </w:r>
      <w:r w:rsidR="006A33F8" w:rsidRPr="00DF0D90">
        <w:rPr>
          <w:bCs/>
          <w:noProof/>
          <w:lang w:val="en-US"/>
        </w:rPr>
        <w:t xml:space="preserve"> M.</w:t>
      </w:r>
      <w:r w:rsidR="00A13A5C" w:rsidRPr="00DF0D90">
        <w:rPr>
          <w:bCs/>
          <w:noProof/>
          <w:lang w:val="en-US"/>
        </w:rPr>
        <w:t>, Giusti</w:t>
      </w:r>
      <w:r w:rsidR="006A33F8" w:rsidRPr="00DF0D90">
        <w:rPr>
          <w:bCs/>
          <w:noProof/>
          <w:lang w:val="en-US"/>
        </w:rPr>
        <w:t xml:space="preserve"> R.</w:t>
      </w:r>
      <w:r w:rsidR="00A13A5C" w:rsidRPr="00DF0D90">
        <w:rPr>
          <w:bCs/>
          <w:noProof/>
          <w:lang w:val="en-US"/>
        </w:rPr>
        <w:t>, Aielli</w:t>
      </w:r>
      <w:r w:rsidR="006A33F8" w:rsidRPr="00DF0D90">
        <w:rPr>
          <w:bCs/>
          <w:noProof/>
          <w:lang w:val="en-US"/>
        </w:rPr>
        <w:t xml:space="preserve"> F.</w:t>
      </w:r>
      <w:r w:rsidR="00A13A5C" w:rsidRPr="00DF0D90">
        <w:rPr>
          <w:bCs/>
          <w:noProof/>
          <w:lang w:val="en-US"/>
        </w:rPr>
        <w:t xml:space="preserve">, </w:t>
      </w:r>
      <w:r w:rsidR="006A33F8" w:rsidRPr="00DF0D90">
        <w:rPr>
          <w:bCs/>
          <w:noProof/>
          <w:lang w:val="en-US"/>
        </w:rPr>
        <w:t>et al</w:t>
      </w:r>
      <w:r w:rsidR="00A13A5C" w:rsidRPr="00DF0D90">
        <w:rPr>
          <w:bCs/>
          <w:noProof/>
          <w:lang w:val="en-US"/>
        </w:rPr>
        <w:t>.</w:t>
      </w:r>
      <w:r w:rsidR="00A13A5C" w:rsidRPr="00DF0D90">
        <w:rPr>
          <w:noProof/>
          <w:lang w:val="en-US"/>
        </w:rPr>
        <w:t xml:space="preserve"> Management of Cancer Pain in Adult Patients</w:t>
      </w:r>
      <w:r w:rsidR="006A33F8" w:rsidRPr="00DF0D90">
        <w:rPr>
          <w:noProof/>
          <w:lang w:val="en-US"/>
        </w:rPr>
        <w:t xml:space="preserve"> //</w:t>
      </w:r>
      <w:r w:rsidR="00A13A5C" w:rsidRPr="00DF0D90">
        <w:rPr>
          <w:noProof/>
          <w:lang w:val="en-US"/>
        </w:rPr>
        <w:t xml:space="preserve"> </w:t>
      </w:r>
      <w:r w:rsidR="00A13A5C" w:rsidRPr="00DF0D90">
        <w:rPr>
          <w:i/>
          <w:iCs/>
          <w:noProof/>
          <w:lang w:val="en-US"/>
        </w:rPr>
        <w:t xml:space="preserve">ESMO Clinical Practice Guidelines Ann Oncol (2018) 29 (Suppl 4): iv166–iv191. </w:t>
      </w:r>
    </w:p>
    <w:p w14:paraId="00EF63A2" w14:textId="31E23C58" w:rsidR="00A13A5C" w:rsidRPr="00DF0D90" w:rsidRDefault="009E467C" w:rsidP="00A13A5C">
      <w:pPr>
        <w:autoSpaceDE w:val="0"/>
        <w:autoSpaceDN w:val="0"/>
        <w:adjustRightInd w:val="0"/>
        <w:jc w:val="both"/>
        <w:rPr>
          <w:i/>
          <w:iCs/>
          <w:noProof/>
          <w:lang w:val="en-US"/>
        </w:rPr>
      </w:pPr>
      <w:r w:rsidRPr="00DF0D90">
        <w:rPr>
          <w:noProof/>
          <w:lang w:val="en-US"/>
        </w:rPr>
        <w:t>123</w:t>
      </w:r>
      <w:r w:rsidR="00A13A5C" w:rsidRPr="00DF0D90">
        <w:rPr>
          <w:noProof/>
          <w:lang w:val="en-US"/>
        </w:rPr>
        <w:t xml:space="preserve">. </w:t>
      </w:r>
      <w:r w:rsidR="00A13A5C" w:rsidRPr="00DF0D90">
        <w:rPr>
          <w:bCs/>
          <w:noProof/>
          <w:lang w:val="en-US"/>
        </w:rPr>
        <w:t>Efthimiou</w:t>
      </w:r>
      <w:r w:rsidR="006A33F8" w:rsidRPr="00DF0D90">
        <w:rPr>
          <w:bCs/>
          <w:noProof/>
          <w:lang w:val="en-US"/>
        </w:rPr>
        <w:t xml:space="preserve"> O</w:t>
      </w:r>
      <w:r w:rsidR="00A13A5C" w:rsidRPr="00DF0D90">
        <w:rPr>
          <w:bCs/>
          <w:noProof/>
          <w:lang w:val="en-US"/>
        </w:rPr>
        <w:t>, Nikolakopoulou</w:t>
      </w:r>
      <w:r w:rsidR="006A33F8" w:rsidRPr="00DF0D90">
        <w:rPr>
          <w:bCs/>
          <w:noProof/>
          <w:lang w:val="en-US"/>
        </w:rPr>
        <w:t xml:space="preserve"> A</w:t>
      </w:r>
      <w:r w:rsidR="00A13A5C" w:rsidRPr="00DF0D90">
        <w:rPr>
          <w:bCs/>
          <w:noProof/>
          <w:lang w:val="en-US"/>
        </w:rPr>
        <w:t>, Salanti</w:t>
      </w:r>
      <w:r w:rsidR="006A33F8" w:rsidRPr="00DF0D90">
        <w:rPr>
          <w:bCs/>
          <w:noProof/>
          <w:lang w:val="en-US"/>
        </w:rPr>
        <w:t xml:space="preserve"> G</w:t>
      </w:r>
      <w:r w:rsidR="00A13A5C" w:rsidRPr="00DF0D90">
        <w:rPr>
          <w:bCs/>
          <w:noProof/>
          <w:lang w:val="en-US"/>
        </w:rPr>
        <w:t>.</w:t>
      </w:r>
      <w:r w:rsidR="00A13A5C" w:rsidRPr="00DF0D90">
        <w:rPr>
          <w:noProof/>
          <w:lang w:val="en-US"/>
        </w:rPr>
        <w:t xml:space="preserve"> Network Meta-Analysis of Evidence Comparing Analgesics for Cancer Pain Management Initiation &amp; Maintenance and for Breakthrough Cancer Pain. World Health Organization Guideline. </w:t>
      </w:r>
      <w:r w:rsidR="00A13A5C" w:rsidRPr="00DF0D90">
        <w:rPr>
          <w:i/>
          <w:iCs/>
          <w:noProof/>
          <w:lang w:val="en-US"/>
        </w:rPr>
        <w:t>https://www.who.int/ncds/management/palliative-care/Cancer-pain-guidelines-Annex-7.pdf.</w:t>
      </w:r>
    </w:p>
    <w:p w14:paraId="4472734B" w14:textId="10C5171C" w:rsidR="00AE64CA" w:rsidRPr="00DF0D90" w:rsidRDefault="005A6A41" w:rsidP="00AE64CA">
      <w:pPr>
        <w:shd w:val="clear" w:color="auto" w:fill="FFFFFF"/>
        <w:rPr>
          <w:i/>
          <w:lang w:val="en-US"/>
        </w:rPr>
      </w:pPr>
      <w:r w:rsidRPr="00DF0D90">
        <w:rPr>
          <w:iCs/>
          <w:noProof/>
          <w:lang w:val="en-US"/>
        </w:rPr>
        <w:t>124</w:t>
      </w:r>
      <w:r w:rsidR="00163E66" w:rsidRPr="00DF0D90">
        <w:rPr>
          <w:iCs/>
          <w:noProof/>
          <w:lang w:val="en-US"/>
        </w:rPr>
        <w:t xml:space="preserve">. </w:t>
      </w:r>
      <w:r w:rsidR="00AE64CA" w:rsidRPr="00DF0D90">
        <w:rPr>
          <w:rStyle w:val="authors-list-item"/>
          <w:lang w:val="en-US"/>
        </w:rPr>
        <w:t>Lin Liu</w:t>
      </w:r>
      <w:r w:rsidR="00163E66" w:rsidRPr="00DF0D90">
        <w:rPr>
          <w:rStyle w:val="author-sup-separator"/>
          <w:shd w:val="clear" w:color="auto" w:fill="FFFFFF"/>
          <w:vertAlign w:val="superscript"/>
          <w:lang w:val="en-US"/>
        </w:rPr>
        <w:t> </w:t>
      </w:r>
      <w:r w:rsidR="00163E66">
        <w:fldChar w:fldCharType="begin"/>
      </w:r>
      <w:r w:rsidR="00163E66" w:rsidRPr="005E59DF">
        <w:rPr>
          <w:lang w:val="en-US"/>
        </w:rPr>
        <w:instrText>HYPERLINK "https://pubmed.ncbi.nlm.nih.gov/27749557/" \l "affiliation-1" \o "Department of Oncology, Zhong-Da Hospital, School of Medicine, Southeast University Department of Oncology, 81st Hospital of the Chinese People's Liberation Army, Nanjing, Jiangsu, China."</w:instrText>
      </w:r>
      <w:r w:rsidR="00163E66">
        <w:fldChar w:fldCharType="separate"/>
      </w:r>
      <w:r w:rsidR="00163E66" w:rsidRPr="00DF0D90">
        <w:rPr>
          <w:rStyle w:val="aa"/>
          <w:color w:val="auto"/>
          <w:u w:val="none"/>
          <w:shd w:val="clear" w:color="auto" w:fill="F1F1F1"/>
          <w:vertAlign w:val="superscript"/>
          <w:lang w:val="en-US"/>
        </w:rPr>
        <w:t>1</w:t>
      </w:r>
      <w:r w:rsidR="00163E66">
        <w:fldChar w:fldCharType="end"/>
      </w:r>
      <w:r w:rsidR="00163E66" w:rsidRPr="00DF0D90">
        <w:rPr>
          <w:rStyle w:val="comma"/>
          <w:shd w:val="clear" w:color="auto" w:fill="FFFFFF"/>
          <w:lang w:val="en-US"/>
        </w:rPr>
        <w:t>, </w:t>
      </w:r>
      <w:r w:rsidR="00AE64CA" w:rsidRPr="00DF0D90">
        <w:rPr>
          <w:rStyle w:val="authors-list-item"/>
          <w:lang w:val="en-US"/>
        </w:rPr>
        <w:t>Ying-Hui Zheng</w:t>
      </w:r>
      <w:r w:rsidR="00163E66" w:rsidRPr="00DF0D90">
        <w:rPr>
          <w:rStyle w:val="comma"/>
          <w:shd w:val="clear" w:color="auto" w:fill="FFFFFF"/>
          <w:lang w:val="en-US"/>
        </w:rPr>
        <w:t>, </w:t>
      </w:r>
      <w:r w:rsidR="00AE64CA" w:rsidRPr="00DF0D90">
        <w:rPr>
          <w:rStyle w:val="authors-list-item"/>
          <w:lang w:val="en-US"/>
        </w:rPr>
        <w:t>Li Han</w:t>
      </w:r>
      <w:r w:rsidR="00163E66" w:rsidRPr="00DF0D90">
        <w:rPr>
          <w:rStyle w:val="comma"/>
          <w:shd w:val="clear" w:color="auto" w:fill="FFFFFF"/>
          <w:lang w:val="en-US"/>
        </w:rPr>
        <w:t>, </w:t>
      </w:r>
      <w:r w:rsidR="00AE64CA" w:rsidRPr="00DF0D90">
        <w:rPr>
          <w:rStyle w:val="authors-list-item"/>
          <w:lang w:val="en-US"/>
        </w:rPr>
        <w:t>Shu-Kui Qin</w:t>
      </w:r>
      <w:r w:rsidR="00AE64CA" w:rsidRPr="00DF0D90">
        <w:rPr>
          <w:rStyle w:val="authors-list-item"/>
          <w:rFonts w:eastAsia="MS Gothic"/>
          <w:color w:val="5B616B"/>
          <w:lang w:val="en-US"/>
        </w:rPr>
        <w:t xml:space="preserve">. </w:t>
      </w:r>
      <w:r w:rsidR="00163E66" w:rsidRPr="00DF0D90">
        <w:rPr>
          <w:color w:val="212121"/>
          <w:lang w:val="en-US"/>
        </w:rPr>
        <w:t>Efficacy and safety of the oxaliplatin-based chemotherapy in the treatment of advanced primary hepatocellular carcinoma: A meta-analysis of prospective studies</w:t>
      </w:r>
      <w:r w:rsidR="00AE64CA" w:rsidRPr="00DF0D90">
        <w:rPr>
          <w:color w:val="212121"/>
          <w:lang w:val="en-US"/>
        </w:rPr>
        <w:t xml:space="preserve"> //</w:t>
      </w:r>
      <w:r w:rsidR="00AE64CA" w:rsidRPr="00DF0D90">
        <w:rPr>
          <w:i/>
          <w:lang w:val="en-US"/>
        </w:rPr>
        <w:t xml:space="preserve"> Medicine (Baltimore) </w:t>
      </w:r>
      <w:r w:rsidR="00AE64CA" w:rsidRPr="00DF0D90">
        <w:rPr>
          <w:rStyle w:val="period"/>
          <w:i/>
          <w:lang w:val="en-US"/>
        </w:rPr>
        <w:t> </w:t>
      </w:r>
      <w:r w:rsidR="00AE64CA" w:rsidRPr="00DF0D90">
        <w:rPr>
          <w:rStyle w:val="cit"/>
          <w:i/>
          <w:lang w:val="en-US"/>
        </w:rPr>
        <w:t>2016 Oct; 95(40): e4993.</w:t>
      </w:r>
    </w:p>
    <w:p w14:paraId="6F03D9A3" w14:textId="75BDDE28" w:rsidR="00163E66" w:rsidRPr="00DF0D90" w:rsidRDefault="00AE64CA" w:rsidP="00801019">
      <w:pPr>
        <w:pStyle w:val="10"/>
        <w:rPr>
          <w:rStyle w:val="citation-doi"/>
          <w:shd w:val="clear" w:color="auto" w:fill="FFFFFF"/>
          <w:lang w:val="en-US"/>
        </w:rPr>
      </w:pPr>
      <w:r w:rsidRPr="00DF0D90">
        <w:rPr>
          <w:shd w:val="clear" w:color="auto" w:fill="FFFFFF"/>
        </w:rPr>
        <w:t> </w:t>
      </w:r>
      <w:r w:rsidRPr="00DF0D90">
        <w:rPr>
          <w:rStyle w:val="citation-doi"/>
          <w:i/>
          <w:shd w:val="clear" w:color="auto" w:fill="FFFFFF"/>
        </w:rPr>
        <w:t>doi: 10.1097/MD.0000000000004993.</w:t>
      </w:r>
    </w:p>
    <w:p w14:paraId="285AE63C" w14:textId="74145A0C" w:rsidR="001E1D85" w:rsidRPr="00DF0D90" w:rsidRDefault="005A6A41" w:rsidP="001E1D85">
      <w:pPr>
        <w:rPr>
          <w:bCs/>
          <w:noProof/>
          <w:lang w:val="en-US"/>
        </w:rPr>
      </w:pPr>
      <w:r w:rsidRPr="00DF0D90">
        <w:rPr>
          <w:lang w:val="en-US" w:eastAsia="ko-KR"/>
        </w:rPr>
        <w:t>125</w:t>
      </w:r>
      <w:r w:rsidR="001E1D85" w:rsidRPr="00DF0D90">
        <w:rPr>
          <w:lang w:val="en-US" w:eastAsia="ko-KR"/>
        </w:rPr>
        <w:t xml:space="preserve">. </w:t>
      </w:r>
      <w:r w:rsidR="001E1D85" w:rsidRPr="00DF0D90">
        <w:rPr>
          <w:bCs/>
          <w:noProof/>
          <w:lang w:val="en-US"/>
        </w:rPr>
        <w:t xml:space="preserve">Choi J.O. et al. </w:t>
      </w:r>
      <w:r w:rsidR="001E1D85" w:rsidRPr="00DF0D90">
        <w:rPr>
          <w:bCs/>
          <w:color w:val="1C1D1E"/>
          <w:shd w:val="clear" w:color="auto" w:fill="FFFFFF"/>
          <w:lang w:val="en-US"/>
        </w:rPr>
        <w:t>Tenofovir Versus Entecavir on Recurrence of Hepatitis B Virus–Related Hepatocellular Carcinoma After Surgical Resection //</w:t>
      </w:r>
      <w:r w:rsidR="001E1D85" w:rsidRPr="00DF0D90">
        <w:rPr>
          <w:rFonts w:ascii="Arial" w:hAnsi="Arial" w:cs="Arial"/>
          <w:b/>
          <w:bCs/>
          <w:color w:val="1C1D1E"/>
          <w:shd w:val="clear" w:color="auto" w:fill="FFFFFF"/>
          <w:lang w:val="en-US"/>
        </w:rPr>
        <w:t xml:space="preserve"> </w:t>
      </w:r>
      <w:r w:rsidR="001E1D85" w:rsidRPr="00DF0D90">
        <w:rPr>
          <w:bCs/>
          <w:i/>
          <w:noProof/>
          <w:lang w:val="en-US"/>
        </w:rPr>
        <w:t>Hepatology, Vol.73, No.2, 2021, 661-673</w:t>
      </w:r>
    </w:p>
    <w:p w14:paraId="16D897F6" w14:textId="4BCF6622" w:rsidR="001E1D85" w:rsidRPr="00DF0D90" w:rsidRDefault="005A6A41" w:rsidP="00801019">
      <w:pPr>
        <w:pStyle w:val="10"/>
        <w:rPr>
          <w:lang w:val="en-US"/>
        </w:rPr>
      </w:pPr>
      <w:r w:rsidRPr="00DF0D90">
        <w:rPr>
          <w:lang w:val="en-US"/>
        </w:rPr>
        <w:t>126</w:t>
      </w:r>
      <w:r w:rsidR="001E1D85" w:rsidRPr="00DF0D90">
        <w:rPr>
          <w:lang w:val="en-US"/>
        </w:rPr>
        <w:t xml:space="preserve">. Singal A. et al. </w:t>
      </w:r>
      <w:r w:rsidR="001E1D85" w:rsidRPr="00DF0D90">
        <w:t>Direct-Acting Antiviral Therapy for Hepatitis C Virus Infection Is Associated With Increased Survival in Patients With a History of Hepatocellular Carcinoma</w:t>
      </w:r>
      <w:r w:rsidR="001E1D85" w:rsidRPr="00DF0D90">
        <w:rPr>
          <w:lang w:val="en-US"/>
        </w:rPr>
        <w:t xml:space="preserve"> //</w:t>
      </w:r>
    </w:p>
    <w:p w14:paraId="202A920A" w14:textId="6133470E" w:rsidR="001E1D85" w:rsidRPr="00DF0D90" w:rsidRDefault="001E1D85" w:rsidP="001E1D85">
      <w:pPr>
        <w:rPr>
          <w:bCs/>
          <w:i/>
          <w:noProof/>
          <w:lang w:val="en-US"/>
        </w:rPr>
      </w:pPr>
      <w:r w:rsidRPr="00DF0D90">
        <w:rPr>
          <w:bCs/>
          <w:i/>
          <w:noProof/>
          <w:lang w:val="en-US"/>
        </w:rPr>
        <w:t>Gastroenterology 2019;157:1253–1263</w:t>
      </w:r>
    </w:p>
    <w:p w14:paraId="28409478" w14:textId="5BF74373" w:rsidR="00D77927" w:rsidRPr="00DF0D90" w:rsidRDefault="005A6A41" w:rsidP="001E1D85">
      <w:pPr>
        <w:rPr>
          <w:i/>
          <w:lang w:val="en-US"/>
        </w:rPr>
      </w:pPr>
      <w:r w:rsidRPr="00DF0D90">
        <w:rPr>
          <w:bCs/>
          <w:noProof/>
          <w:lang w:val="en-US"/>
        </w:rPr>
        <w:t>127</w:t>
      </w:r>
      <w:r w:rsidR="001E1D85" w:rsidRPr="00DF0D90">
        <w:rPr>
          <w:bCs/>
          <w:noProof/>
          <w:lang w:val="en-US"/>
        </w:rPr>
        <w:t xml:space="preserve">. </w:t>
      </w:r>
      <w:r w:rsidR="001E1D85" w:rsidRPr="00DF0D90">
        <w:rPr>
          <w:lang w:val="en-US"/>
        </w:rPr>
        <w:t>Zhou C, Peng Y, Zhou K, et al. Surgical resection plus radiofrequency ablation for the treatment of multifocal hepatocellular carcinoma</w:t>
      </w:r>
      <w:r w:rsidR="00C0142B" w:rsidRPr="00DF0D90">
        <w:rPr>
          <w:lang w:val="en-US"/>
        </w:rPr>
        <w:t xml:space="preserve"> </w:t>
      </w:r>
      <w:r w:rsidR="00C0142B" w:rsidRPr="00DF0D90">
        <w:rPr>
          <w:noProof/>
          <w:lang w:val="en-US"/>
        </w:rPr>
        <w:t>//</w:t>
      </w:r>
      <w:r w:rsidR="001E1D85" w:rsidRPr="00DF0D90">
        <w:rPr>
          <w:lang w:val="en-US"/>
        </w:rPr>
        <w:t xml:space="preserve"> </w:t>
      </w:r>
      <w:r w:rsidR="001E1D85" w:rsidRPr="00DF0D90">
        <w:rPr>
          <w:i/>
          <w:lang w:val="en-US"/>
        </w:rPr>
        <w:t xml:space="preserve">Hepatobiliary Surg Nutr. 2019 Feb;8(1):19-28. </w:t>
      </w:r>
    </w:p>
    <w:p w14:paraId="5B758D59" w14:textId="37E37C34" w:rsidR="00D77927" w:rsidRPr="00DF0D90" w:rsidRDefault="005A6A41" w:rsidP="00D77927">
      <w:pPr>
        <w:rPr>
          <w:lang w:val="en-US"/>
        </w:rPr>
      </w:pPr>
      <w:r w:rsidRPr="00DF0D90">
        <w:rPr>
          <w:iCs/>
          <w:lang w:val="en-US"/>
        </w:rPr>
        <w:t>128</w:t>
      </w:r>
      <w:r w:rsidR="00D77927" w:rsidRPr="00DF0D90">
        <w:rPr>
          <w:iCs/>
          <w:lang w:val="en-US"/>
        </w:rPr>
        <w:t>.</w:t>
      </w:r>
      <w:r w:rsidR="00D77927" w:rsidRPr="00DF0D90">
        <w:rPr>
          <w:rFonts w:ascii="Segoe UI" w:hAnsi="Segoe UI" w:cs="Segoe UI"/>
          <w:shd w:val="clear" w:color="auto" w:fill="FFFFFF"/>
          <w:lang w:val="en-US"/>
        </w:rPr>
        <w:t xml:space="preserve"> d</w:t>
      </w:r>
      <w:r w:rsidR="00D77927" w:rsidRPr="00DF0D90">
        <w:rPr>
          <w:shd w:val="clear" w:color="auto" w:fill="FFFFFF"/>
          <w:lang w:val="en-US"/>
        </w:rPr>
        <w:t>e Franchis R, Bosch J, Garcia-Tsao G, Reiberger T, Ripoll C; Baveno VII Faculty. Baveno VII - Renewing consensus in portal hypertension.</w:t>
      </w:r>
      <w:r w:rsidR="002127BA" w:rsidRPr="00DF0D90">
        <w:rPr>
          <w:noProof/>
          <w:lang w:val="en-US"/>
        </w:rPr>
        <w:t xml:space="preserve"> //</w:t>
      </w:r>
      <w:r w:rsidR="00D77927" w:rsidRPr="00DF0D90">
        <w:rPr>
          <w:shd w:val="clear" w:color="auto" w:fill="FFFFFF"/>
          <w:lang w:val="en-US"/>
        </w:rPr>
        <w:t xml:space="preserve"> </w:t>
      </w:r>
      <w:r w:rsidR="00D77927" w:rsidRPr="00DF0D90">
        <w:rPr>
          <w:i/>
          <w:iCs/>
          <w:shd w:val="clear" w:color="auto" w:fill="FFFFFF"/>
          <w:lang w:val="en-US"/>
        </w:rPr>
        <w:t>J Hepatol</w:t>
      </w:r>
      <w:r w:rsidR="00D77927" w:rsidRPr="00DF0D90">
        <w:rPr>
          <w:shd w:val="clear" w:color="auto" w:fill="FFFFFF"/>
          <w:lang w:val="en-US"/>
        </w:rPr>
        <w:t>. 2022 Apr;76(4):959-974. doi: 10.1016/j.jhep.2021.12.022. Epub 2021 Dec 30</w:t>
      </w:r>
    </w:p>
    <w:p w14:paraId="6B66EE92" w14:textId="2779E1C3" w:rsidR="00B2634C" w:rsidRPr="00DF0D90" w:rsidRDefault="00B2634C" w:rsidP="001D7B82">
      <w:pPr>
        <w:pStyle w:val="affd"/>
        <w:spacing w:before="0" w:beforeAutospacing="0" w:after="0" w:afterAutospacing="0"/>
      </w:pPr>
      <w:r w:rsidRPr="00DF0D90">
        <w:rPr>
          <w:lang w:val="en-US"/>
        </w:rPr>
        <w:t xml:space="preserve">129. </w:t>
      </w:r>
      <w:r w:rsidR="004F7795" w:rsidRPr="00DF0D90">
        <w:rPr>
          <w:lang w:val="en-US"/>
        </w:rPr>
        <w:t>Abou-Alfa GK, Lau G, Kudo M, et al. Tremelimumab plus durvalumab in unresectable hepatocellular carcinoma. NEJM</w:t>
      </w:r>
      <w:r w:rsidR="004F7795" w:rsidRPr="00DF0D90">
        <w:t xml:space="preserve"> </w:t>
      </w:r>
      <w:r w:rsidR="004F7795" w:rsidRPr="00DF0D90">
        <w:rPr>
          <w:lang w:val="en-US"/>
        </w:rPr>
        <w:t>Evid</w:t>
      </w:r>
      <w:r w:rsidR="004F7795" w:rsidRPr="00DF0D90">
        <w:t xml:space="preserve"> 2022;1: </w:t>
      </w:r>
      <w:r w:rsidR="004F7795" w:rsidRPr="00DF0D90">
        <w:rPr>
          <w:lang w:val="en-US"/>
        </w:rPr>
        <w:t>EVIDoa</w:t>
      </w:r>
      <w:r w:rsidR="004F7795" w:rsidRPr="00DF0D90">
        <w:t xml:space="preserve">2100070. </w:t>
      </w:r>
      <w:r w:rsidR="004F7795" w:rsidRPr="00A02649">
        <w:rPr>
          <w:lang w:val="en-US"/>
        </w:rPr>
        <w:t>https</w:t>
      </w:r>
      <w:r w:rsidR="004F7795" w:rsidRPr="00A02649">
        <w:t>://</w:t>
      </w:r>
      <w:r w:rsidR="004F7795" w:rsidRPr="00A02649">
        <w:rPr>
          <w:lang w:val="en-US"/>
        </w:rPr>
        <w:t>evidence</w:t>
      </w:r>
      <w:r w:rsidR="004F7795" w:rsidRPr="00A02649">
        <w:t>.</w:t>
      </w:r>
      <w:r w:rsidR="004F7795" w:rsidRPr="00A02649">
        <w:rPr>
          <w:lang w:val="en-US"/>
        </w:rPr>
        <w:t>nejm</w:t>
      </w:r>
      <w:r w:rsidR="004F7795" w:rsidRPr="00A02649">
        <w:t>.</w:t>
      </w:r>
      <w:r w:rsidR="004F7795" w:rsidRPr="00A02649">
        <w:rPr>
          <w:lang w:val="en-US"/>
        </w:rPr>
        <w:t>org</w:t>
      </w:r>
      <w:r w:rsidR="004F7795" w:rsidRPr="00A02649">
        <w:t>/</w:t>
      </w:r>
      <w:r w:rsidR="004F7795" w:rsidRPr="00A02649">
        <w:rPr>
          <w:lang w:val="en-US"/>
        </w:rPr>
        <w:t>doi</w:t>
      </w:r>
      <w:r w:rsidR="004F7795" w:rsidRPr="00A02649">
        <w:t>/</w:t>
      </w:r>
      <w:r w:rsidR="004F7795" w:rsidRPr="00A02649">
        <w:rPr>
          <w:lang w:val="en-US"/>
        </w:rPr>
        <w:t>abs</w:t>
      </w:r>
      <w:r w:rsidR="004F7795" w:rsidRPr="00A02649">
        <w:t>/10.1056/</w:t>
      </w:r>
      <w:r w:rsidR="004F7795" w:rsidRPr="00A02649">
        <w:rPr>
          <w:lang w:val="en-US"/>
        </w:rPr>
        <w:t>EVIDoa</w:t>
      </w:r>
      <w:r w:rsidR="004F7795" w:rsidRPr="00A02649">
        <w:t>2100070</w:t>
      </w:r>
      <w:r w:rsidR="004F7795" w:rsidRPr="00DF0D90">
        <w:rPr>
          <w:color w:val="005999"/>
        </w:rPr>
        <w:t xml:space="preserve"> </w:t>
      </w:r>
    </w:p>
    <w:p w14:paraId="25B49AB9" w14:textId="1CBE4A72" w:rsidR="002127BA" w:rsidRPr="00DF0D90" w:rsidRDefault="00B2634C" w:rsidP="00B2634C">
      <w:pPr>
        <w:rPr>
          <w:lang w:val="en-US" w:eastAsia="ko-KR"/>
        </w:rPr>
      </w:pPr>
      <w:r w:rsidRPr="00DF0D90">
        <w:rPr>
          <w:lang w:eastAsia="ko-KR"/>
        </w:rPr>
        <w:t>130. Антонова Е.Ю., Мороз Е.А., Джанян И.А., Волков А.Ю., Лактионов К.К., Бредер В.В. Оптимальный выбор лекарственного противоопухолевого лечения у пациентов с фиброламеллярной карциномой печени</w:t>
      </w:r>
      <w:r w:rsidR="00C0142B" w:rsidRPr="00DF0D90">
        <w:rPr>
          <w:lang w:eastAsia="ko-KR"/>
        </w:rPr>
        <w:t xml:space="preserve"> </w:t>
      </w:r>
      <w:r w:rsidR="00C0142B" w:rsidRPr="00DF0D90">
        <w:rPr>
          <w:noProof/>
        </w:rPr>
        <w:t>//</w:t>
      </w:r>
      <w:r w:rsidRPr="00DF0D90">
        <w:rPr>
          <w:lang w:eastAsia="ko-KR"/>
        </w:rPr>
        <w:t xml:space="preserve"> Медицинский совет. </w:t>
      </w:r>
      <w:r w:rsidRPr="00DF0D90">
        <w:rPr>
          <w:lang w:val="en-US" w:eastAsia="ko-KR"/>
        </w:rPr>
        <w:t>2022;16(22):96–101.</w:t>
      </w:r>
    </w:p>
    <w:p w14:paraId="16F01447" w14:textId="10DBB888" w:rsidR="002127BA" w:rsidRPr="00DF0D90" w:rsidRDefault="002127BA" w:rsidP="00B2634C">
      <w:pPr>
        <w:rPr>
          <w:rFonts w:eastAsia="Calibri"/>
          <w:color w:val="191919"/>
          <w:lang w:val="en-US"/>
        </w:rPr>
      </w:pPr>
      <w:r w:rsidRPr="00DF0D90">
        <w:rPr>
          <w:lang w:val="en-US" w:eastAsia="ko-KR"/>
        </w:rPr>
        <w:t>131.</w:t>
      </w:r>
      <w:r w:rsidRPr="00DF0D90">
        <w:rPr>
          <w:rFonts w:eastAsia="Calibri"/>
          <w:color w:val="191919"/>
          <w:lang w:val="en-US"/>
        </w:rPr>
        <w:t xml:space="preserve">Yeung CSY, Chiang CL, Wong NSM, Ha SK, Tsang KS, Ho CHM, </w:t>
      </w:r>
      <w:r w:rsidR="00C0142B" w:rsidRPr="00DF0D90">
        <w:rPr>
          <w:rFonts w:eastAsia="Calibri"/>
          <w:color w:val="191919"/>
          <w:lang w:val="en-US"/>
        </w:rPr>
        <w:t>et al.</w:t>
      </w:r>
      <w:r w:rsidRPr="00DF0D90">
        <w:rPr>
          <w:rFonts w:eastAsia="Calibri"/>
          <w:color w:val="191919"/>
          <w:lang w:val="en-US"/>
        </w:rPr>
        <w:t xml:space="preserve"> Palliative Liver Radiotherapy (RT) for Symptomatic Hepatocellular Carcinoma (HCC) </w:t>
      </w:r>
      <w:r w:rsidRPr="00DF0D90">
        <w:rPr>
          <w:noProof/>
          <w:lang w:val="en-US"/>
        </w:rPr>
        <w:t>//</w:t>
      </w:r>
      <w:r w:rsidRPr="00DF0D90">
        <w:rPr>
          <w:rFonts w:eastAsia="Calibri"/>
          <w:color w:val="191919"/>
          <w:lang w:val="en-US"/>
        </w:rPr>
        <w:t xml:space="preserve"> </w:t>
      </w:r>
      <w:r w:rsidRPr="00DF0D90">
        <w:rPr>
          <w:rFonts w:eastAsia="Calibri"/>
          <w:i/>
          <w:iCs/>
          <w:color w:val="191919"/>
          <w:lang w:val="en-US"/>
        </w:rPr>
        <w:t>Sci Report.</w:t>
      </w:r>
      <w:r w:rsidRPr="00DF0D90">
        <w:rPr>
          <w:rFonts w:eastAsia="Calibri"/>
          <w:color w:val="191919"/>
          <w:lang w:val="en-US"/>
        </w:rPr>
        <w:t xml:space="preserve"> 2020 Jan 27;10(1):1254. doi: 10.1038/s41598-020-58108-1. </w:t>
      </w:r>
    </w:p>
    <w:p w14:paraId="0A383ECB" w14:textId="2CFF0132" w:rsidR="002127BA" w:rsidRPr="00DF0D90" w:rsidRDefault="002127BA" w:rsidP="00B2634C">
      <w:pPr>
        <w:rPr>
          <w:rFonts w:eastAsia="Calibri"/>
          <w:color w:val="191919"/>
          <w:lang w:val="en-US"/>
        </w:rPr>
      </w:pPr>
      <w:r w:rsidRPr="00DF0D90">
        <w:rPr>
          <w:rFonts w:eastAsia="Calibri"/>
          <w:color w:val="191919"/>
          <w:lang w:val="en-US"/>
        </w:rPr>
        <w:t xml:space="preserve">132. Soliman, Hany et al. “Phase II trial of palliative radiotherapy for hepatocellular carcinoma and liver metastases.” </w:t>
      </w:r>
      <w:r w:rsidRPr="00DF0D90">
        <w:rPr>
          <w:noProof/>
          <w:lang w:val="en-US"/>
        </w:rPr>
        <w:t>//</w:t>
      </w:r>
      <w:r w:rsidRPr="00DF0D90">
        <w:rPr>
          <w:rFonts w:eastAsia="Calibri"/>
          <w:color w:val="191919"/>
          <w:lang w:val="en-US"/>
        </w:rPr>
        <w:t> </w:t>
      </w:r>
      <w:r w:rsidRPr="00DF0D90">
        <w:rPr>
          <w:rFonts w:eastAsia="Calibri"/>
          <w:i/>
          <w:iCs/>
          <w:color w:val="191919"/>
          <w:lang w:val="en-US"/>
        </w:rPr>
        <w:t>Journal of Clinical Oncology</w:t>
      </w:r>
      <w:r w:rsidRPr="00DF0D90">
        <w:rPr>
          <w:rFonts w:eastAsia="Calibri"/>
          <w:color w:val="191919"/>
          <w:lang w:val="en-US"/>
        </w:rPr>
        <w:t> vol. 31,31 (2013): 3980-6. doi:10.1200/JCO.2013.49.9202</w:t>
      </w:r>
    </w:p>
    <w:p w14:paraId="7C4073CB" w14:textId="58430109" w:rsidR="002127BA" w:rsidRPr="00DF0D90" w:rsidRDefault="002127BA" w:rsidP="00B2634C">
      <w:pPr>
        <w:rPr>
          <w:noProof/>
          <w:lang w:val="en-US"/>
        </w:rPr>
      </w:pPr>
      <w:r w:rsidRPr="00DF0D90">
        <w:rPr>
          <w:rFonts w:eastAsia="Calibri"/>
          <w:color w:val="191919"/>
          <w:lang w:val="en-US"/>
        </w:rPr>
        <w:t xml:space="preserve">133. </w:t>
      </w:r>
      <w:r w:rsidRPr="00DF0D90">
        <w:fldChar w:fldCharType="begin" w:fldLock="1"/>
      </w:r>
      <w:r w:rsidRPr="00DF0D90">
        <w:instrText>ADDIN CSL_CITATION {"citationItems":[{"id":"ITEM-1","itemData":{"DOI":"10.1016/j.jhep.2018.03.019","ISSN":"16000641","PMID":"29628281","author":[{"dropping-particle":"","family":"Galle","given":"Peter R.","non-dropping-particle":"","parse-names":false,"suffix":""},{"dropping-particle":"","family":"Forner","given":"Alejandro","non-dropping-particle":"","parse-names":false,"suffix":""},{"dropping-particle":"","family":"Llovet","given":"Josep M.","non-dropping-particle":"","parse-names":false,"suffix":""},{"dropping-particle":"","family":"Mazzaferro","given":"Vincenzo","non-dropping-particle":"","parse-names":false,"suffix":""},{"dropping-particle":"","family":"Piscaglia","given":"Fabio","non-dropping-particle":"","parse-names":false,"suffix":""},{"dropping-particle":"","family":"Raoul","given":"Jean Luc","non-dropping-particle":"","parse-names":false,"suffix":""},{"dropping-particle":"","family":"Schirmacher","given":"Peter","non-dropping-particle":"","parse-names":false,"suffix":""},{"dropping-particle":"","family":"Vilgrain","given":"Valérie","non-dropping-particle":"","parse-names":false,"suffix":""}],"container-title":"Journal of Hepatology","id":"ITEM-1","issue":"1","issued":{"date-parts":[["2018","7","1"]]},"page":"182-236","publisher":"Elsevier B.V.","title":"EASL Clinical Practice Guidelines: Management of hepatocellular carcinoma","type":"article-journal","volume":"69"},"uris":["http://www.mendeley.com/documents/?uuid=055ddbc3-5b48-34fb-b03b-bdc43880d69c"]},{"id":"ITEM-2","itemData":{"DOI":"10.1016/j.ctrv.2010.07.006","ISSN":"03057372","PMID":"20724077","abstract":"Transarterial chemoembolization (TACE) is considered the gold standard for treating intermediate-stage hepatocellular carcinoma (HCC). However, intermediate-stage HCC includes a heterogeneous population of patients with varying tumour burdens, liver function (Child-Pugh A or B) and disease aetiology. This suggests that not all patients with intermediate-stage HCC will derive similar benefit from TACE, and that some patients may benefit from other treatment options. Results of an extensive literature review into the treatment of unresectable HCC with TACE were combined with our own clinical experience to identify factors that may predict survival after TACE. We also report contraindications to TACE and propose a treatment algorithm for the repetition of TACE. In addition, we have constructed a number of expert opinions that may be used as a guide to help physicians make treatment decisions for their patients with intermediate-stage HCC. The data included in the literature review related almost exclusively to conventional TACE, rather than to TACE with drug-eluting beads. Therefore, the findings and conclusions of the literature review are only applicable to the treatment of HCC with conventional TACE. Treating physicians may want to consider other treatment options for patients with intermediate-stage HCC who are not suitable for or do not respond to TACE. By distinguishing those patients who represent good candidates for TACE from those where little or no benefit might be expected, it may be possible to make better use of current treatment options and improve outcomes for patients. © 2010.","author":[{"dropping-particle":"","family":"Raoul","given":"J. L.","non-dropping-particle":"","parse-names":false,"suffix":""},{"dropping-particle":"","family":"Sangro","given":"B.","non-dropping-particle":"","parse-names":false,"suffix":""},{"dropping-particle":"","family":"Forner","given":"A.","non-dropping-particle":"","parse-names":false,"suffix":""},{"dropping-particle":"","family":"Mazzaferro","given":"V.","non-dropping-particle":"","parse-names":false,"suffix":""},{"dropping-particle":"","family":"Piscaglia","given":"F.","non-dropping-particle":"","parse-names":false,"suffix":""},{"dropping-particle":"","family":"Bolondi","given":"L.","non-dropping-particle":"","parse-names":false,"suffix":""},{"dropping-particle":"","family":"Lencioni","given":"R.","non-dropping-particle":"","parse-names":false,"suffix":""}],"container-title":"Cancer Treatment Reviews","id":"ITEM-2","issue":"3","issued":{"date-parts":[["2011","5"]]},"page":"212-220","title":"Evolving strategies for the management of intermediate-stage hepatocellular carcinoma: Available evidence and expert opinion on the use of transarterial chemoembolization","type":"article","volume":"37"},"uris":["http://www.mendeley.com/documents/?uuid=821a4a6f-aa32-3d55-847b-60b7d8ce8b7c"]},{"id":"ITEM-3","itemData":{"DOI":"10.1038/nrclinonc.2014.122","ISSN":"17594782","PMID":"25091611","abstract":"Hepatocellular carcinoma (HCC) - closely associated with liver cirrhosis and, in fact, the main cause of death in patients with such disease - is now recognized as one of the most-prevalent and lethal neoplasms worldwide. Prognosis and allocation of the multiple available treatment options for patients with HCC are influenced not only by tumour stage, but also by the degree of liver-function impairment. Therefore, accurate assessment and classification of disease is important for patient management. According to the Barcelona Clinic Liver Cancer (BCLC) algorithm, intermediate-stage HCC is defined as extensive multifocal disease without vascular invasion in patients with preserved liver function and absence of cancer-related symptoms; in this context, transarterial chemoembolization (TACE) is considered the standard treatment. The use of drug-eluting beads has enabled standardization of this procedure, resulting in higher reproducibility and tolerability of the treatment. Nevertheless, not all patients with intermediate-stage HCC are good candidates for TACE and, for such patients in whom TACE is not appropriate or has failed, other treatments can be considered, including sorafenib. Radioembolization is a promising alternative that deserves further prospective studies. Herein, we review the current approaches used to accurately stratify patients with intermediate-stage HCC and subsequently allocate the most-appropriate treatments. The key developments in therapeutic strategies are also discussed. © 2014 Macmillan Publishers Limited.","author":[{"dropping-particle":"","family":"Forner","given":"Alejandro","non-dropping-particle":"","parse-names":false,"suffix":""},{"dropping-particle":"","family":"Gilabert","given":"Marine","non-dropping-particle":"","parse-names":false,"suffix":""},{"dropping-particle":"","family":"Bruix","given":"Jordi","non-dropping-particle":"","parse-names":false,"suffix":""},{"dropping-particle":"","family":"Raoul","given":"Jean Luc","non-dropping-particle":"","parse-names":false,"suffix":""}],"container-title":"Nature Reviews Clinical Oncology","id":"ITEM-3","issue":"9","issued":{"date-parts":[["2014"]]},"page":"525-535","publisher":"Nature Publishing Group","title":"Treatment of intermediate-stage hepatocellular carcinoma","type":"article","volume":"11"},"uris":["http://www.mendeley.com/documents/?uuid=2e574ae2-a836-3461-a1da-8f91e87785b2"]},{"id":"ITEM-4","itemData":{"DOI":"10.1007/s00270-015-1208-y","ISSN":"1432086X","PMID":"26390875","abstract":"Transarterial chemoembolization with Lipiodol (Lipiodol TACE), also called conventional TACE, was developed in the early 1980s and widely adopted worldwide after randomized control trials and meta-analysis demonstrated superiority of Lipiodol TACE to best supportive care. Presently, there is no level one evidence that other TACE techniques are superior to Lipiodol TACE for intermediate stage hepatocellular carcinoma (HCC), which includes patients with preserved liver function and nonsurgical large or multinodular HCC without distant metastases. In addition, TACE is part of the treatment for progressive or symptomatic liver metastases from gastroenteropancreatic neuroendocrine tumors. When injected into the hepatic artery, Lipiodol has the unique property of selective uptake and retention in hyperarterialyzed liver tumors. Lipiodol/drug emulsion followed by particle embolization has been demonstrated to improve the pharmacokinetic of the drug and tumor response. Radio opacity of Lipiodol helps to monitor treatment delivery, with retention of Lipiodol serving as an imaging biomarker for tumor response. For 30 years, Lipiodol TACE has been inconsistently referenced in many publications with various levels of details for the method of preparation and administration, with reported progressive outcomes following improvements in the technique and the devices used to deliver the treatment and better patient selection. Consequently, there is no consensus on the standard method of TACE regarding the use of anticancer agents, embolic material, technical details, and the treatment schedule. In order to develop an internationally validated technical recommendation to standardize the Lipiodol TACE procedure, a worldwide panel of experts participated in a consensus meeting held on May 10, 2014.","author":[{"dropping-particle":"","family":"Baere","given":"Thierry","non-dropping-particle":"de","parse-names":false,"suffix":""},{"dropping-particle":"","family":"Arai","given":"Yasuaki","non-dropping-particle":"","parse-names":false,"suffix":""},{"dropping-particle":"","family":"Lencioni","given":"Riccardo","non-dropping-particle":"","parse-names":false,"suffix":""},{"dropping-particle":"","family":"Geschwind","given":"Jean Francois","non-dropping-particle":"","parse-names":false,"suffix":""},{"dropping-particle":"","family":"Rilling","given":"William","non-dropping-particle":"","parse-names":false,"suffix":""},{"dropping-particle":"","family":"Salem","given":"Riad","non-dropping-particle":"","parse-names":false,"suffix":""},{"dropping-particle":"","family":"Matsui","given":"Osamu","non-dropping-particle":"","parse-names":false,"suffix":""},{"dropping-particle":"","family":"Soulen","given":"Michael C.","non-dropping-particle":"","parse-names":false,"suffix":""}],"container-title":"CardioVascular and Interventional Radiology","id":"ITEM-4","issue":"3","issued":{"date-parts":[["2016","3","21"]]},"page":"334-343","title":"Treatment of Liver Tumors with Lipiodol TACE: Technical Recommendations from Experts Opinion","type":"article-journal","volume":"39"},"uris":["http://www.mendeley.com/documents/?uuid=ed36d445-dedb-39ac-a3c3-bf4041b35bb5"]},{"id":"ITEM-5","itemData":{"DOI":"10.1016/j.hpb.2017.04.016","ISSN":"14772574","PMID":"28552299","abstract":"Background Transarterial chemoembolization (TACE) for hepatocellular carcinoma (HCC) with portal vein thrombosis (PVT) remains controversial. This systematic review sought to examine the role of TACE in the treatment of HCC with PVT in either the main portal vein (MPV) or portal vein branches (PVB). Methods PubMed was searched for “hepatocellular carcinoma” and “transarterial chemoembolization” from January 1, 2006 to August 31, 2016. Cohorts treated with TACE for HCC with PVT were included. Meta-analysis of overall survival (OS), mRECIST response, and complication incidence was performed. MPV and PVB subgroups were compared. Results Of 136 search results, 13 studies with 1933 TACE patients were included. Median OS (95% CI) was eight (5–15) months. Survival rates after one, three, and five years were 29% (20%–40%), 4% (1%–11%), and 1% (0%–5%), respectively. Only 1% experienced liver failure and 18% had post-treatment complications. Patients with MPV thrombosis had worse survival than PVB patients (p &lt; 0.001), but similar mRECIST response rates (14% vs. 16%, p = 0.238). Conclusion TACE is a safe treatment for a highly selected population of HCC patients with PVT. Despite worse survival rates compared to PVB thrombosis, PVT in the MPV should not be considered an absolute contraindication to TACE.","author":[{"dropping-particle":"","family":"Silva","given":"Jack P.","non-dropping-particle":"","parse-names":false,"suffix":""},{"dropping-particle":"","family":"Berger","given":"Nicholas G.","non-dropping-particle":"","parse-nam</w:instrText>
      </w:r>
      <w:r w:rsidRPr="00DF0D90">
        <w:rPr>
          <w:lang w:val="en-US"/>
        </w:rPr>
        <w:instrText>es":false,"suffix":""},{"dropping-particle":"","family":"Tsai","given":"Susan","non-dropping-particle":"","parse-names":false,"suffix":""},{"dropping-particle":"","family":"Christians","given":"Kathleen K.","non-dropping-particle":"","parse-names":false,"suffix":""},{"dropping-particle":"","family":"Clarke","given":"Callisia N.","non-dropping-particle":"","parse-names":false,"suffix":""},{"dropping-particle":"","family":"Mogal","given":"Harveshp","non-dropping-particle":"","parse-names":false,"suffix":""},{"dropping-particle":"","family":"White","given":"Sarah","non-dropping-particle":"","parse-names":false,"suffix":""},{"dropping-particle":"","family":"Rilling","given":"William","non-dropping-particle":"","parse-names":false,"suffix":""},{"dropping-particle":"","family":"Gamblin","given":"T. Clark","non-dropping-particle":"","parse-names":false,"suffix":""}],"container-title":"HPB","id":"ITEM-5","issue":"8","issued":{"date-parts":[["2017","8"]]},"page":"659-666","title":"Transarterial chemoembolization in hepatocellular carcinoma with portal vein tumor thrombosis: a systematic review and meta-analysis","type":"paper-conference","volume":"19"},"uris":["http://www.mendeley.com/documents/?uuid=680bd629-9ca9-32a0-a5e5-4d79373f9ff0"]}],"mendeley":{"formattedCitation":"[6,80–83]","plainTextFormattedCitation":"[6,80–83]","previouslyFormattedCitation":"[6,80–83]"},"properties":{"noteIndex":0},"schema":"https://github.com/citation-style-language/schema/raw/master/csl-citation.json"}</w:instrText>
      </w:r>
      <w:r w:rsidRPr="00DF0D90">
        <w:fldChar w:fldCharType="separate"/>
      </w:r>
      <w:r w:rsidRPr="00DF0D90">
        <w:rPr>
          <w:noProof/>
          <w:lang w:val="en-US"/>
        </w:rPr>
        <w:t>Lucatelli, P., Burrel, M., Guiu, B. et al. CIRSE Standards of Practice on Hepatic Transarterial Chemoembolisation</w:t>
      </w:r>
      <w:r w:rsidR="00C0142B" w:rsidRPr="00DF0D90">
        <w:rPr>
          <w:noProof/>
          <w:lang w:val="en-US"/>
        </w:rPr>
        <w:t xml:space="preserve"> //</w:t>
      </w:r>
      <w:r w:rsidRPr="00DF0D90">
        <w:rPr>
          <w:noProof/>
          <w:lang w:val="en-US"/>
        </w:rPr>
        <w:t xml:space="preserve"> </w:t>
      </w:r>
      <w:r w:rsidRPr="00DF0D90">
        <w:rPr>
          <w:i/>
          <w:iCs/>
          <w:noProof/>
          <w:lang w:val="en-US"/>
        </w:rPr>
        <w:t>Cardiovasc Intervent Radiol</w:t>
      </w:r>
      <w:r w:rsidRPr="00DF0D90">
        <w:rPr>
          <w:noProof/>
          <w:lang w:val="en-US"/>
        </w:rPr>
        <w:t xml:space="preserve"> 44, 1851–1867 (2021). https://doi.org/10.1007/s00270-021-02968-1 </w:t>
      </w:r>
    </w:p>
    <w:p w14:paraId="7AC88288" w14:textId="2F7C6D6E" w:rsidR="00D77927" w:rsidRPr="00DF0D90" w:rsidRDefault="002127BA" w:rsidP="001E1D85">
      <w:pPr>
        <w:rPr>
          <w:iCs/>
          <w:lang w:val="en-US"/>
        </w:rPr>
      </w:pPr>
      <w:r w:rsidRPr="00DF0D90">
        <w:rPr>
          <w:noProof/>
          <w:lang w:val="en-US"/>
        </w:rPr>
        <w:lastRenderedPageBreak/>
        <w:t xml:space="preserve">134. de Baere T. et al. Treatment of Liver Tumors with Lipiodol TACE: Technical Recommendations from Experts Opinion // </w:t>
      </w:r>
      <w:r w:rsidRPr="00DF0D90">
        <w:rPr>
          <w:i/>
          <w:iCs/>
          <w:noProof/>
          <w:lang w:val="en-US"/>
        </w:rPr>
        <w:t xml:space="preserve">Cardiovasc. Intervent. Radiol. </w:t>
      </w:r>
      <w:r w:rsidRPr="00DF0D90">
        <w:rPr>
          <w:noProof/>
          <w:lang w:val="en-US"/>
        </w:rPr>
        <w:t>2016. Vol. 39, № 3. P. 334–343.]</w:t>
      </w:r>
      <w:r w:rsidRPr="00DF0D90">
        <w:fldChar w:fldCharType="end"/>
      </w:r>
      <w:r w:rsidRPr="00DF0D90">
        <w:rPr>
          <w:lang w:val="en-US"/>
        </w:rPr>
        <w:t>.</w:t>
      </w:r>
    </w:p>
    <w:p w14:paraId="5B0A5EBB" w14:textId="1D8BA8FD" w:rsidR="002127BA" w:rsidRPr="00DF0D90" w:rsidRDefault="002127BA" w:rsidP="00A13A5C">
      <w:pPr>
        <w:autoSpaceDE w:val="0"/>
        <w:autoSpaceDN w:val="0"/>
        <w:adjustRightInd w:val="0"/>
        <w:jc w:val="both"/>
        <w:rPr>
          <w:iCs/>
          <w:lang w:val="en-US"/>
        </w:rPr>
      </w:pPr>
      <w:r w:rsidRPr="00DF0D90">
        <w:rPr>
          <w:iCs/>
          <w:lang w:val="en-US"/>
        </w:rPr>
        <w:t xml:space="preserve">135.de Baere T, Ronot M, Chung JW, Golfieri R, Kloeckner R, Park JW, </w:t>
      </w:r>
      <w:r w:rsidR="000B32B8" w:rsidRPr="00DF0D90">
        <w:rPr>
          <w:iCs/>
          <w:lang w:val="en-US"/>
        </w:rPr>
        <w:t>et al.</w:t>
      </w:r>
      <w:r w:rsidRPr="00DF0D90">
        <w:rPr>
          <w:iCs/>
          <w:lang w:val="en-US"/>
        </w:rPr>
        <w:t xml:space="preserve"> Initiative on Superselective Conventional Transarterial Chemoembolization Results (INSPIRE)</w:t>
      </w:r>
      <w:r w:rsidR="00C0142B" w:rsidRPr="00DF0D90">
        <w:rPr>
          <w:iCs/>
          <w:lang w:val="en-US"/>
        </w:rPr>
        <w:t xml:space="preserve"> </w:t>
      </w:r>
      <w:r w:rsidR="00C0142B" w:rsidRPr="00DF0D90">
        <w:rPr>
          <w:noProof/>
          <w:lang w:val="en-US"/>
        </w:rPr>
        <w:t>//</w:t>
      </w:r>
      <w:r w:rsidRPr="00DF0D90">
        <w:rPr>
          <w:iCs/>
          <w:lang w:val="en-US"/>
        </w:rPr>
        <w:t xml:space="preserve"> </w:t>
      </w:r>
      <w:r w:rsidRPr="00DF0D90">
        <w:rPr>
          <w:i/>
          <w:lang w:val="en-US"/>
        </w:rPr>
        <w:t>Cardiovasc Intervent Radiol.</w:t>
      </w:r>
      <w:r w:rsidRPr="00DF0D90">
        <w:rPr>
          <w:iCs/>
          <w:lang w:val="en-US"/>
        </w:rPr>
        <w:t xml:space="preserve"> 2022 Oct;45(10):1430-1440. doi: 10.1007/s00270-022-03233-9. </w:t>
      </w:r>
    </w:p>
    <w:p w14:paraId="3267A4E7" w14:textId="11DEA8E9" w:rsidR="002127BA" w:rsidRPr="00DF0D90" w:rsidRDefault="002127BA" w:rsidP="00A13A5C">
      <w:pPr>
        <w:autoSpaceDE w:val="0"/>
        <w:autoSpaceDN w:val="0"/>
        <w:adjustRightInd w:val="0"/>
        <w:jc w:val="both"/>
        <w:rPr>
          <w:iCs/>
          <w:lang w:val="en-US"/>
        </w:rPr>
      </w:pPr>
      <w:r w:rsidRPr="00DF0D90">
        <w:rPr>
          <w:lang w:val="en-US"/>
        </w:rPr>
        <w:t xml:space="preserve">136. </w:t>
      </w:r>
      <w:r w:rsidRPr="00DF0D90">
        <w:rPr>
          <w:iCs/>
          <w:lang w:val="en-US"/>
        </w:rPr>
        <w:t>Pung L, Ahmad M, Mueller K, et al. The Role of Cone-Beam CT in Transcatheter Arterial Chemoembolization for Hepatocellular Carcinoma: A Systematic Review and Meta-analysis</w:t>
      </w:r>
      <w:r w:rsidR="00C0142B" w:rsidRPr="00DF0D90">
        <w:rPr>
          <w:iCs/>
          <w:lang w:val="en-US"/>
        </w:rPr>
        <w:t xml:space="preserve"> </w:t>
      </w:r>
      <w:r w:rsidR="00C0142B" w:rsidRPr="00DF0D90">
        <w:rPr>
          <w:noProof/>
          <w:lang w:val="en-US"/>
        </w:rPr>
        <w:t>//</w:t>
      </w:r>
      <w:r w:rsidRPr="00DF0D90">
        <w:rPr>
          <w:iCs/>
          <w:lang w:val="en-US"/>
        </w:rPr>
        <w:t xml:space="preserve"> J </w:t>
      </w:r>
      <w:r w:rsidRPr="00DF0D90">
        <w:rPr>
          <w:i/>
          <w:lang w:val="en-US"/>
        </w:rPr>
        <w:t>Vasc Interv Radiol.</w:t>
      </w:r>
      <w:r w:rsidRPr="00DF0D90">
        <w:rPr>
          <w:iCs/>
          <w:lang w:val="en-US"/>
        </w:rPr>
        <w:t xml:space="preserve"> 2017;28(3):334–41. </w:t>
      </w:r>
    </w:p>
    <w:p w14:paraId="4AD18C30" w14:textId="0ADB0CB9" w:rsidR="002127BA" w:rsidRPr="00DF0D90" w:rsidRDefault="002127BA" w:rsidP="00A13A5C">
      <w:pPr>
        <w:autoSpaceDE w:val="0"/>
        <w:autoSpaceDN w:val="0"/>
        <w:adjustRightInd w:val="0"/>
        <w:jc w:val="both"/>
        <w:rPr>
          <w:iCs/>
          <w:lang w:val="en-US"/>
        </w:rPr>
      </w:pPr>
      <w:r w:rsidRPr="00DF0D90">
        <w:rPr>
          <w:iCs/>
          <w:lang w:val="en-US"/>
        </w:rPr>
        <w:t>137.Lucatelli P, De Rubeis G, Ginnani Corradini L, et al. Intraprocedural dual phase cone beam computed tomography has a better diagnostic accuracy over pre-procedural MRI and MDCT in detection and characterization of HCC in cirrhotic patients undergoing TACE procedure</w:t>
      </w:r>
      <w:r w:rsidR="00C0142B" w:rsidRPr="00DF0D90">
        <w:rPr>
          <w:iCs/>
          <w:lang w:val="en-US"/>
        </w:rPr>
        <w:t xml:space="preserve"> </w:t>
      </w:r>
      <w:r w:rsidR="00C0142B" w:rsidRPr="00DF0D90">
        <w:rPr>
          <w:noProof/>
          <w:lang w:val="en-US"/>
        </w:rPr>
        <w:t>//</w:t>
      </w:r>
      <w:r w:rsidRPr="00DF0D90">
        <w:rPr>
          <w:iCs/>
          <w:lang w:val="en-US"/>
        </w:rPr>
        <w:t xml:space="preserve"> </w:t>
      </w:r>
      <w:r w:rsidRPr="00DF0D90">
        <w:rPr>
          <w:i/>
          <w:lang w:val="en-US"/>
        </w:rPr>
        <w:t>Eur J Radiol.</w:t>
      </w:r>
      <w:r w:rsidRPr="00DF0D90">
        <w:rPr>
          <w:iCs/>
          <w:lang w:val="en-US"/>
        </w:rPr>
        <w:t xml:space="preserve"> 2020;124:108806. </w:t>
      </w:r>
    </w:p>
    <w:p w14:paraId="548F71CE" w14:textId="2602B28F" w:rsidR="002127BA" w:rsidRPr="00DF0D90" w:rsidRDefault="002127BA" w:rsidP="00A13A5C">
      <w:pPr>
        <w:autoSpaceDE w:val="0"/>
        <w:autoSpaceDN w:val="0"/>
        <w:adjustRightInd w:val="0"/>
        <w:jc w:val="both"/>
        <w:rPr>
          <w:iCs/>
          <w:lang w:val="en-US"/>
        </w:rPr>
      </w:pPr>
      <w:r w:rsidRPr="00DF0D90">
        <w:rPr>
          <w:iCs/>
          <w:lang w:val="en-US"/>
        </w:rPr>
        <w:t>138.Lucatelli P, Argiro R, Bascetta S, et al. Single injection dual phase CBCT technique ameliorates results of transarterial chemoembolization for hepatocellular cancer</w:t>
      </w:r>
      <w:r w:rsidR="00C0142B" w:rsidRPr="00DF0D90">
        <w:rPr>
          <w:iCs/>
          <w:lang w:val="en-US"/>
        </w:rPr>
        <w:t xml:space="preserve"> </w:t>
      </w:r>
      <w:r w:rsidR="00C0142B" w:rsidRPr="00DF0D90">
        <w:rPr>
          <w:noProof/>
          <w:lang w:val="en-US"/>
        </w:rPr>
        <w:t>//</w:t>
      </w:r>
      <w:r w:rsidRPr="00DF0D90">
        <w:rPr>
          <w:iCs/>
          <w:lang w:val="en-US"/>
        </w:rPr>
        <w:t xml:space="preserve"> </w:t>
      </w:r>
      <w:r w:rsidRPr="00DF0D90">
        <w:rPr>
          <w:i/>
          <w:lang w:val="en-US"/>
        </w:rPr>
        <w:t>Transl Gastroenterol Hepatol.</w:t>
      </w:r>
      <w:r w:rsidRPr="00DF0D90">
        <w:rPr>
          <w:iCs/>
          <w:lang w:val="en-US"/>
        </w:rPr>
        <w:t xml:space="preserve"> 2017;2:83. </w:t>
      </w:r>
    </w:p>
    <w:p w14:paraId="40ABB39D" w14:textId="77777777" w:rsidR="002127BA" w:rsidRPr="00DF0D90" w:rsidRDefault="002127BA" w:rsidP="00A13A5C">
      <w:pPr>
        <w:autoSpaceDE w:val="0"/>
        <w:autoSpaceDN w:val="0"/>
        <w:adjustRightInd w:val="0"/>
        <w:jc w:val="both"/>
        <w:rPr>
          <w:iCs/>
          <w:lang w:val="en-US"/>
        </w:rPr>
      </w:pPr>
      <w:r w:rsidRPr="00DF0D90">
        <w:rPr>
          <w:iCs/>
          <w:lang w:val="en-US"/>
        </w:rPr>
        <w:t xml:space="preserve">139.Wang Z, et al. Three-dimensional evaluation of lipiodol retention in HCC after chemoembolization: a quantitative comparison between CBCT and MDCT. </w:t>
      </w:r>
      <w:r w:rsidRPr="00DF0D90">
        <w:rPr>
          <w:i/>
          <w:lang w:val="en-US"/>
        </w:rPr>
        <w:t xml:space="preserve">Acad Radiol. </w:t>
      </w:r>
      <w:r w:rsidRPr="00DF0D90">
        <w:rPr>
          <w:iCs/>
          <w:lang w:val="en-US"/>
        </w:rPr>
        <w:t xml:space="preserve">2014;21(3):393–9. </w:t>
      </w:r>
    </w:p>
    <w:p w14:paraId="3DEDA78A" w14:textId="0135F47C" w:rsidR="00163E66" w:rsidRPr="00DF0D90" w:rsidRDefault="002127BA" w:rsidP="00A13A5C">
      <w:pPr>
        <w:autoSpaceDE w:val="0"/>
        <w:autoSpaceDN w:val="0"/>
        <w:adjustRightInd w:val="0"/>
        <w:jc w:val="both"/>
        <w:rPr>
          <w:iCs/>
          <w:lang w:val="en-US"/>
        </w:rPr>
      </w:pPr>
      <w:r w:rsidRPr="00DF0D90">
        <w:rPr>
          <w:iCs/>
          <w:lang w:val="en-US"/>
        </w:rPr>
        <w:t>140. Diab, I.A., Hassanein, S.Ah. &amp; Mohamed, H.H. Comparison between C-arm cone beam computed tomography and interventional angiography in transarterial chemoembolization of hepatocellular carcinoma. Egypt J Radiol Nucl Med 50, 64 (2019)</w:t>
      </w:r>
    </w:p>
    <w:p w14:paraId="181FB989" w14:textId="3AA65283" w:rsidR="002127BA" w:rsidRPr="00A02649" w:rsidRDefault="002127BA" w:rsidP="00A13A5C">
      <w:pPr>
        <w:autoSpaceDE w:val="0"/>
        <w:autoSpaceDN w:val="0"/>
        <w:adjustRightInd w:val="0"/>
        <w:jc w:val="both"/>
        <w:rPr>
          <w:noProof/>
          <w:sz w:val="44"/>
          <w:szCs w:val="44"/>
          <w:lang w:val="x-none"/>
        </w:rPr>
      </w:pPr>
      <w:r w:rsidRPr="00DF0D90">
        <w:rPr>
          <w:lang w:val="en-US"/>
        </w:rPr>
        <w:t xml:space="preserve">141 </w:t>
      </w:r>
      <w:r w:rsidRPr="00DF0D90">
        <w:rPr>
          <w:iCs/>
          <w:lang w:val="en-US"/>
        </w:rPr>
        <w:t xml:space="preserve">Cho Y, Choi JW, Kwon H, </w:t>
      </w:r>
      <w:r w:rsidR="00B74391" w:rsidRPr="00DF0D90">
        <w:rPr>
          <w:iCs/>
          <w:lang w:val="en-US"/>
        </w:rPr>
        <w:t>et al.</w:t>
      </w:r>
      <w:r w:rsidRPr="00DF0D90">
        <w:rPr>
          <w:iCs/>
          <w:lang w:val="en-US"/>
        </w:rPr>
        <w:t xml:space="preserve"> Research Committee of the Korean Liver Cancer Association. Transarterial Chemoembolization for Hepatocellular Carcinoma: 2023 Expert Consensus-Based Practical Recommendations of the Korean Liver Cancer Association </w:t>
      </w:r>
      <w:r w:rsidRPr="00DF0D90">
        <w:rPr>
          <w:i/>
          <w:lang w:val="en-US"/>
        </w:rPr>
        <w:t>// Korean J Radiol. 2023 Jul;24(7):606-625.</w:t>
      </w:r>
      <w:r w:rsidRPr="00A02649">
        <w:rPr>
          <w:i/>
          <w:lang w:val="en-US"/>
        </w:rPr>
        <w:t xml:space="preserve"> </w:t>
      </w:r>
      <w:hyperlink r:id="rId10" w:history="1">
        <w:r w:rsidRPr="00A02649">
          <w:rPr>
            <w:rStyle w:val="aa"/>
            <w:color w:val="auto"/>
            <w:lang w:val="en-US"/>
          </w:rPr>
          <w:t>https://doi.org/10.3348/kjr.2023.0385</w:t>
        </w:r>
      </w:hyperlink>
    </w:p>
    <w:p w14:paraId="61356F39" w14:textId="77777777" w:rsidR="008C7E55" w:rsidRPr="00DF0D90" w:rsidRDefault="007A1ACD" w:rsidP="00542BA2">
      <w:pPr>
        <w:jc w:val="both"/>
        <w:rPr>
          <w:i/>
          <w:lang w:val="en-US"/>
        </w:rPr>
      </w:pPr>
      <w:r w:rsidRPr="00DF0D90">
        <w:rPr>
          <w:lang w:val="x-none" w:eastAsia="ko-KR"/>
        </w:rPr>
        <w:fldChar w:fldCharType="end"/>
      </w:r>
      <w:r w:rsidR="008C7E55" w:rsidRPr="00DF0D90">
        <w:rPr>
          <w:lang w:val="en-US"/>
        </w:rPr>
        <w:t xml:space="preserve">142. Takayasu K, Arii S, Kudo M, Ichida T, Matsui O, Izumi N, et al. </w:t>
      </w:r>
      <w:proofErr w:type="spellStart"/>
      <w:r w:rsidR="008C7E55" w:rsidRPr="00DF0D90">
        <w:rPr>
          <w:lang w:val="en-US"/>
        </w:rPr>
        <w:t>Superselective</w:t>
      </w:r>
      <w:proofErr w:type="spellEnd"/>
      <w:r w:rsidR="008C7E55" w:rsidRPr="00DF0D90">
        <w:rPr>
          <w:lang w:val="en-US"/>
        </w:rPr>
        <w:t xml:space="preserve"> </w:t>
      </w:r>
      <w:proofErr w:type="spellStart"/>
      <w:r w:rsidR="008C7E55" w:rsidRPr="00DF0D90">
        <w:rPr>
          <w:lang w:val="en-US"/>
        </w:rPr>
        <w:t>transarterial</w:t>
      </w:r>
      <w:proofErr w:type="spellEnd"/>
      <w:r w:rsidR="008C7E55" w:rsidRPr="00DF0D90">
        <w:rPr>
          <w:lang w:val="en-US"/>
        </w:rPr>
        <w:t xml:space="preserve"> chemoembolization for hepatocellular carcinoma. Validation of treatment algorithm proposed by Japanese guidelines. </w:t>
      </w:r>
      <w:r w:rsidR="008C7E55" w:rsidRPr="00DF0D90">
        <w:rPr>
          <w:i/>
          <w:iCs/>
          <w:lang w:val="en-US"/>
        </w:rPr>
        <w:t>J Hepatol</w:t>
      </w:r>
      <w:r w:rsidR="008C7E55" w:rsidRPr="00DF0D90">
        <w:rPr>
          <w:lang w:val="en-US"/>
        </w:rPr>
        <w:t xml:space="preserve"> </w:t>
      </w:r>
      <w:proofErr w:type="gramStart"/>
      <w:r w:rsidR="008C7E55" w:rsidRPr="00DF0D90">
        <w:rPr>
          <w:lang w:val="en-US"/>
        </w:rPr>
        <w:t>2012;56:886</w:t>
      </w:r>
      <w:proofErr w:type="gramEnd"/>
      <w:r w:rsidR="008C7E55" w:rsidRPr="00DF0D90">
        <w:rPr>
          <w:lang w:val="en-US"/>
        </w:rPr>
        <w:t>- 892</w:t>
      </w:r>
      <w:r w:rsidR="008C7E55" w:rsidRPr="00DF0D90">
        <w:rPr>
          <w:i/>
          <w:lang w:val="en-US"/>
        </w:rPr>
        <w:t xml:space="preserve">. </w:t>
      </w:r>
    </w:p>
    <w:p w14:paraId="54DC5168" w14:textId="1B7E8EB5" w:rsidR="008C7E55" w:rsidRPr="00DF0D90" w:rsidRDefault="008C7E55" w:rsidP="00542BA2">
      <w:pPr>
        <w:jc w:val="both"/>
        <w:rPr>
          <w:lang w:val="en-US"/>
        </w:rPr>
      </w:pPr>
      <w:r w:rsidRPr="00DF0D90">
        <w:rPr>
          <w:lang w:val="en-US"/>
        </w:rPr>
        <w:t xml:space="preserve">143. Matsuo N, Uchida H, </w:t>
      </w:r>
      <w:proofErr w:type="spellStart"/>
      <w:r w:rsidRPr="00DF0D90">
        <w:rPr>
          <w:lang w:val="en-US"/>
        </w:rPr>
        <w:t>Nishimine</w:t>
      </w:r>
      <w:proofErr w:type="spellEnd"/>
      <w:r w:rsidRPr="00DF0D90">
        <w:rPr>
          <w:lang w:val="en-US"/>
        </w:rPr>
        <w:t xml:space="preserve"> K, Soda S, Oshima M, Nakano H, et al. Segmental transcatheter hepatic artery chemoembolization with iodized oil for hepatocellular carcinoma: antitumor effect and influence on normal tissue. </w:t>
      </w:r>
      <w:r w:rsidRPr="00DF0D90">
        <w:rPr>
          <w:i/>
          <w:iCs/>
          <w:lang w:val="en-US"/>
        </w:rPr>
        <w:t xml:space="preserve">J </w:t>
      </w:r>
      <w:proofErr w:type="spellStart"/>
      <w:r w:rsidRPr="00DF0D90">
        <w:rPr>
          <w:i/>
          <w:iCs/>
          <w:lang w:val="en-US"/>
        </w:rPr>
        <w:t>Vasc</w:t>
      </w:r>
      <w:proofErr w:type="spellEnd"/>
      <w:r w:rsidRPr="00DF0D90">
        <w:rPr>
          <w:i/>
          <w:iCs/>
          <w:lang w:val="en-US"/>
        </w:rPr>
        <w:t xml:space="preserve"> </w:t>
      </w:r>
      <w:proofErr w:type="spellStart"/>
      <w:r w:rsidRPr="00DF0D90">
        <w:rPr>
          <w:i/>
          <w:iCs/>
          <w:lang w:val="en-US"/>
        </w:rPr>
        <w:t>Interv</w:t>
      </w:r>
      <w:proofErr w:type="spellEnd"/>
      <w:r w:rsidRPr="00DF0D90">
        <w:rPr>
          <w:i/>
          <w:iCs/>
          <w:lang w:val="en-US"/>
        </w:rPr>
        <w:t xml:space="preserve"> </w:t>
      </w:r>
      <w:proofErr w:type="spellStart"/>
      <w:r w:rsidRPr="00DF0D90">
        <w:rPr>
          <w:i/>
          <w:iCs/>
          <w:lang w:val="en-US"/>
        </w:rPr>
        <w:t>Radiol</w:t>
      </w:r>
      <w:proofErr w:type="spellEnd"/>
      <w:r w:rsidRPr="00DF0D90">
        <w:rPr>
          <w:lang w:val="en-US"/>
        </w:rPr>
        <w:t xml:space="preserve"> </w:t>
      </w:r>
      <w:proofErr w:type="gramStart"/>
      <w:r w:rsidRPr="00DF0D90">
        <w:rPr>
          <w:lang w:val="en-US"/>
        </w:rPr>
        <w:t>1993;4:543</w:t>
      </w:r>
      <w:proofErr w:type="gramEnd"/>
      <w:r w:rsidRPr="00DF0D90">
        <w:rPr>
          <w:lang w:val="en-US"/>
        </w:rPr>
        <w:t xml:space="preserve">-549 </w:t>
      </w:r>
    </w:p>
    <w:p w14:paraId="3B287565" w14:textId="77777777" w:rsidR="008C7E55" w:rsidRPr="00DF0D90" w:rsidRDefault="008C7E55" w:rsidP="00542BA2">
      <w:pPr>
        <w:jc w:val="both"/>
        <w:rPr>
          <w:lang w:val="en-US"/>
        </w:rPr>
      </w:pPr>
      <w:r w:rsidRPr="00DF0D90">
        <w:rPr>
          <w:lang w:val="en-US"/>
        </w:rPr>
        <w:t xml:space="preserve">144. Matsui O, Kadoya M, Yoshikawa J, </w:t>
      </w:r>
      <w:proofErr w:type="spellStart"/>
      <w:r w:rsidRPr="00DF0D90">
        <w:rPr>
          <w:lang w:val="en-US"/>
        </w:rPr>
        <w:t>Gabata</w:t>
      </w:r>
      <w:proofErr w:type="spellEnd"/>
      <w:r w:rsidRPr="00DF0D90">
        <w:rPr>
          <w:lang w:val="en-US"/>
        </w:rPr>
        <w:t xml:space="preserve"> T, Arai K, </w:t>
      </w:r>
      <w:proofErr w:type="spellStart"/>
      <w:r w:rsidRPr="00DF0D90">
        <w:rPr>
          <w:lang w:val="en-US"/>
        </w:rPr>
        <w:t>Demachi</w:t>
      </w:r>
      <w:proofErr w:type="spellEnd"/>
      <w:r w:rsidRPr="00DF0D90">
        <w:rPr>
          <w:lang w:val="en-US"/>
        </w:rPr>
        <w:t xml:space="preserve"> H, et al. Small hepatocellular carcinoma: treatment with subsegmental transcatheter arterial embolization. </w:t>
      </w:r>
      <w:r w:rsidRPr="00DF0D90">
        <w:rPr>
          <w:i/>
          <w:iCs/>
          <w:lang w:val="en-US"/>
        </w:rPr>
        <w:t>Radiology</w:t>
      </w:r>
      <w:r w:rsidRPr="00DF0D90">
        <w:rPr>
          <w:lang w:val="en-US"/>
        </w:rPr>
        <w:t xml:space="preserve"> </w:t>
      </w:r>
      <w:proofErr w:type="gramStart"/>
      <w:r w:rsidRPr="00DF0D90">
        <w:rPr>
          <w:lang w:val="en-US"/>
        </w:rPr>
        <w:t>1993;188:79</w:t>
      </w:r>
      <w:proofErr w:type="gramEnd"/>
      <w:r w:rsidRPr="00DF0D90">
        <w:rPr>
          <w:lang w:val="en-US"/>
        </w:rPr>
        <w:t xml:space="preserve">-83 </w:t>
      </w:r>
    </w:p>
    <w:p w14:paraId="362E35A5" w14:textId="77777777" w:rsidR="008C7E55" w:rsidRPr="00DF0D90" w:rsidRDefault="008C7E55" w:rsidP="00542BA2">
      <w:pPr>
        <w:jc w:val="both"/>
        <w:rPr>
          <w:lang w:val="en-US"/>
        </w:rPr>
      </w:pPr>
      <w:r w:rsidRPr="00DF0D90">
        <w:rPr>
          <w:lang w:val="en-US"/>
        </w:rPr>
        <w:t xml:space="preserve">145. Golfieri R, Cappelli A, </w:t>
      </w:r>
      <w:proofErr w:type="spellStart"/>
      <w:r w:rsidRPr="00DF0D90">
        <w:rPr>
          <w:lang w:val="en-US"/>
        </w:rPr>
        <w:t>Cucchetti</w:t>
      </w:r>
      <w:proofErr w:type="spellEnd"/>
      <w:r w:rsidRPr="00DF0D90">
        <w:rPr>
          <w:lang w:val="en-US"/>
        </w:rPr>
        <w:t xml:space="preserve"> A, </w:t>
      </w:r>
      <w:proofErr w:type="spellStart"/>
      <w:r w:rsidRPr="00DF0D90">
        <w:rPr>
          <w:lang w:val="en-US"/>
        </w:rPr>
        <w:t>Piscaglia</w:t>
      </w:r>
      <w:proofErr w:type="spellEnd"/>
      <w:r w:rsidRPr="00DF0D90">
        <w:rPr>
          <w:lang w:val="en-US"/>
        </w:rPr>
        <w:t xml:space="preserve"> F, </w:t>
      </w:r>
      <w:proofErr w:type="spellStart"/>
      <w:r w:rsidRPr="00DF0D90">
        <w:rPr>
          <w:lang w:val="en-US"/>
        </w:rPr>
        <w:t>Carpenzano</w:t>
      </w:r>
      <w:proofErr w:type="spellEnd"/>
      <w:r w:rsidRPr="00DF0D90">
        <w:rPr>
          <w:lang w:val="en-US"/>
        </w:rPr>
        <w:t xml:space="preserve"> M, Peri E, et al. Efficacy of selective </w:t>
      </w:r>
      <w:proofErr w:type="spellStart"/>
      <w:r w:rsidRPr="00DF0D90">
        <w:rPr>
          <w:lang w:val="en-US"/>
        </w:rPr>
        <w:t>transarterial</w:t>
      </w:r>
      <w:proofErr w:type="spellEnd"/>
      <w:r w:rsidRPr="00DF0D90">
        <w:rPr>
          <w:lang w:val="en-US"/>
        </w:rPr>
        <w:t xml:space="preserve"> chemoembolization in inducing tumor necrosis in small (&lt;5cm) hepatocellular carcinomas. </w:t>
      </w:r>
      <w:r w:rsidRPr="00DF0D90">
        <w:rPr>
          <w:i/>
          <w:iCs/>
          <w:lang w:val="en-US"/>
        </w:rPr>
        <w:t xml:space="preserve">Hepatology </w:t>
      </w:r>
      <w:proofErr w:type="gramStart"/>
      <w:r w:rsidRPr="00DF0D90">
        <w:rPr>
          <w:i/>
          <w:iCs/>
          <w:lang w:val="en-US"/>
        </w:rPr>
        <w:t>2011</w:t>
      </w:r>
      <w:r w:rsidRPr="00DF0D90">
        <w:rPr>
          <w:lang w:val="en-US"/>
        </w:rPr>
        <w:t>;53:1580</w:t>
      </w:r>
      <w:proofErr w:type="gramEnd"/>
      <w:r w:rsidRPr="00DF0D90">
        <w:rPr>
          <w:lang w:val="en-US"/>
        </w:rPr>
        <w:t xml:space="preserve">-1589 </w:t>
      </w:r>
    </w:p>
    <w:p w14:paraId="7ACDF8E4" w14:textId="59E19875" w:rsidR="006B4DBC" w:rsidRPr="00DF0D90" w:rsidRDefault="008C7E55" w:rsidP="00542BA2">
      <w:pPr>
        <w:jc w:val="both"/>
        <w:rPr>
          <w:lang w:val="en-US"/>
        </w:rPr>
      </w:pPr>
      <w:r w:rsidRPr="00DF0D90">
        <w:rPr>
          <w:lang w:val="en-US"/>
        </w:rPr>
        <w:t xml:space="preserve">146. </w:t>
      </w:r>
      <w:proofErr w:type="spellStart"/>
      <w:r w:rsidRPr="00DF0D90">
        <w:rPr>
          <w:lang w:val="en-US"/>
        </w:rPr>
        <w:t>Yamakado</w:t>
      </w:r>
      <w:proofErr w:type="spellEnd"/>
      <w:r w:rsidRPr="00DF0D90">
        <w:rPr>
          <w:lang w:val="en-US"/>
        </w:rPr>
        <w:t xml:space="preserve"> K, </w:t>
      </w:r>
      <w:proofErr w:type="spellStart"/>
      <w:r w:rsidRPr="00DF0D90">
        <w:rPr>
          <w:lang w:val="en-US"/>
        </w:rPr>
        <w:t>Miyayama</w:t>
      </w:r>
      <w:proofErr w:type="spellEnd"/>
      <w:r w:rsidRPr="00DF0D90">
        <w:rPr>
          <w:lang w:val="en-US"/>
        </w:rPr>
        <w:t xml:space="preserve"> S, Hirota S, Mizunuma K, Nakamura K, Inaba Y, et al. Hepatic arterial embolization for unresectable hepatocellular carcinomas: do technical factors affect prognosis? </w:t>
      </w:r>
      <w:proofErr w:type="spellStart"/>
      <w:r w:rsidRPr="00DF0D90">
        <w:rPr>
          <w:i/>
          <w:iCs/>
          <w:lang w:val="en-US"/>
        </w:rPr>
        <w:t>Jpn</w:t>
      </w:r>
      <w:proofErr w:type="spellEnd"/>
      <w:r w:rsidRPr="00DF0D90">
        <w:rPr>
          <w:i/>
          <w:iCs/>
          <w:lang w:val="en-US"/>
        </w:rPr>
        <w:t xml:space="preserve"> J </w:t>
      </w:r>
      <w:proofErr w:type="spellStart"/>
      <w:r w:rsidRPr="00DF0D90">
        <w:rPr>
          <w:i/>
          <w:iCs/>
          <w:lang w:val="en-US"/>
        </w:rPr>
        <w:t>Radiol</w:t>
      </w:r>
      <w:proofErr w:type="spellEnd"/>
      <w:r w:rsidRPr="00DF0D90">
        <w:rPr>
          <w:lang w:val="en-US"/>
        </w:rPr>
        <w:t xml:space="preserve"> </w:t>
      </w:r>
      <w:proofErr w:type="gramStart"/>
      <w:r w:rsidRPr="00DF0D90">
        <w:rPr>
          <w:lang w:val="en-US"/>
        </w:rPr>
        <w:t>2012;30:560</w:t>
      </w:r>
      <w:proofErr w:type="gramEnd"/>
      <w:r w:rsidRPr="00DF0D90">
        <w:rPr>
          <w:lang w:val="en-US"/>
        </w:rPr>
        <w:t>-566</w:t>
      </w:r>
    </w:p>
    <w:p w14:paraId="1693F04E" w14:textId="77A8D061" w:rsidR="000B32B8" w:rsidRPr="00DF0D90" w:rsidRDefault="000B32B8" w:rsidP="000B32B8">
      <w:pPr>
        <w:jc w:val="both"/>
        <w:rPr>
          <w:lang w:val="en-US" w:eastAsia="ko-KR"/>
        </w:rPr>
      </w:pPr>
      <w:r w:rsidRPr="00DF0D90">
        <w:rPr>
          <w:lang w:val="en-US"/>
        </w:rPr>
        <w:t>147. Lin, CY., Liu, YS., Pan, KT. et al. The short-term safety and efficacy of TANDEM microspheres of various sizes and doxorubicin loading concentrations for hepatocellular carcinoma treatment. Sci Rep 11, 12277 (2021). https://doi.org/10.1038/s41598-021-91021-9].</w:t>
      </w:r>
    </w:p>
    <w:p w14:paraId="2AD0E639" w14:textId="30578811" w:rsidR="000B32B8" w:rsidRPr="00DF0D90" w:rsidRDefault="000B32B8" w:rsidP="00C0142B">
      <w:pPr>
        <w:spacing w:after="120"/>
        <w:jc w:val="both"/>
        <w:rPr>
          <w:lang w:val="en-US"/>
        </w:rPr>
      </w:pPr>
      <w:r w:rsidRPr="00DF0D90">
        <w:rPr>
          <w:lang w:val="en-US"/>
        </w:rPr>
        <w:t>148.</w:t>
      </w:r>
      <w:r w:rsidR="00B74391" w:rsidRPr="00DF0D90">
        <w:rPr>
          <w:lang w:val="en-US"/>
        </w:rPr>
        <w:t xml:space="preserve"> D</w:t>
      </w:r>
      <w:r w:rsidRPr="00DF0D90">
        <w:rPr>
          <w:lang w:val="en-US"/>
        </w:rPr>
        <w:t xml:space="preserve">e </w:t>
      </w:r>
      <w:proofErr w:type="spellStart"/>
      <w:r w:rsidRPr="00DF0D90">
        <w:rPr>
          <w:lang w:val="en-US"/>
        </w:rPr>
        <w:t>Baere</w:t>
      </w:r>
      <w:proofErr w:type="spellEnd"/>
      <w:r w:rsidRPr="00DF0D90">
        <w:rPr>
          <w:lang w:val="en-US"/>
        </w:rPr>
        <w:t xml:space="preserve"> T, Arai Y, Lencioni R, et al. Treatment of Liver Tumors with Lipiodol TACE: Technical Recommendations from Experts Opinion. </w:t>
      </w:r>
      <w:r w:rsidRPr="00DF0D90">
        <w:rPr>
          <w:i/>
          <w:iCs/>
          <w:lang w:val="en-US"/>
        </w:rPr>
        <w:t xml:space="preserve">Cardiovasc </w:t>
      </w:r>
      <w:proofErr w:type="spellStart"/>
      <w:r w:rsidRPr="00DF0D90">
        <w:rPr>
          <w:i/>
          <w:iCs/>
          <w:lang w:val="en-US"/>
        </w:rPr>
        <w:t>Intervent</w:t>
      </w:r>
      <w:proofErr w:type="spellEnd"/>
      <w:r w:rsidRPr="00DF0D90">
        <w:rPr>
          <w:i/>
          <w:iCs/>
          <w:lang w:val="en-US"/>
        </w:rPr>
        <w:t xml:space="preserve"> </w:t>
      </w:r>
      <w:proofErr w:type="spellStart"/>
      <w:r w:rsidRPr="00DF0D90">
        <w:rPr>
          <w:i/>
          <w:iCs/>
          <w:lang w:val="en-US"/>
        </w:rPr>
        <w:t>Radiol</w:t>
      </w:r>
      <w:proofErr w:type="spellEnd"/>
      <w:r w:rsidRPr="00DF0D90">
        <w:rPr>
          <w:lang w:val="en-US"/>
        </w:rPr>
        <w:t xml:space="preserve">. 2016;39(3):334–43. </w:t>
      </w:r>
    </w:p>
    <w:p w14:paraId="526CF47E" w14:textId="4567666B" w:rsidR="000B32B8" w:rsidRPr="00DF0D90" w:rsidRDefault="000B32B8" w:rsidP="00C0142B">
      <w:pPr>
        <w:spacing w:after="120"/>
        <w:jc w:val="both"/>
        <w:rPr>
          <w:lang w:val="en-US"/>
        </w:rPr>
      </w:pPr>
      <w:r w:rsidRPr="00DF0D90">
        <w:rPr>
          <w:lang w:val="en-US"/>
        </w:rPr>
        <w:t>149.</w:t>
      </w:r>
      <w:r w:rsidRPr="00DF0D90">
        <w:rPr>
          <w:rFonts w:ascii="AdvPTimes" w:eastAsiaTheme="minorEastAsia" w:hAnsi="AdvPTimes" w:cstheme="minorBidi"/>
          <w:color w:val="000000" w:themeColor="text1"/>
          <w:kern w:val="24"/>
          <w:lang w:val="en-US"/>
        </w:rPr>
        <w:t xml:space="preserve"> </w:t>
      </w:r>
      <w:r w:rsidRPr="00DF0D90">
        <w:rPr>
          <w:lang w:val="en-US"/>
        </w:rPr>
        <w:t xml:space="preserve">Lencioni R, de </w:t>
      </w:r>
      <w:proofErr w:type="spellStart"/>
      <w:r w:rsidRPr="00DF0D90">
        <w:rPr>
          <w:lang w:val="en-US"/>
        </w:rPr>
        <w:t>Baere</w:t>
      </w:r>
      <w:proofErr w:type="spellEnd"/>
      <w:r w:rsidRPr="00DF0D90">
        <w:rPr>
          <w:lang w:val="en-US"/>
        </w:rPr>
        <w:t xml:space="preserve"> T, Burrel M, et al. Transcatheter treatment of hepatocellular carcinoma with Doxorubicin-loaded DC Bead </w:t>
      </w:r>
      <w:r w:rsidRPr="00DF0D90">
        <w:rPr>
          <w:lang w:val="fr-FR"/>
        </w:rPr>
        <w:t xml:space="preserve">(DEBDOX): technical recommendations. </w:t>
      </w:r>
      <w:r w:rsidRPr="00DF0D90">
        <w:rPr>
          <w:i/>
          <w:iCs/>
          <w:lang w:val="fr-FR"/>
        </w:rPr>
        <w:t xml:space="preserve">Cardiovasc Intervent </w:t>
      </w:r>
      <w:proofErr w:type="spellStart"/>
      <w:r w:rsidRPr="00DF0D90">
        <w:rPr>
          <w:i/>
          <w:iCs/>
          <w:lang w:val="en-US"/>
        </w:rPr>
        <w:t>Radiol</w:t>
      </w:r>
      <w:proofErr w:type="spellEnd"/>
      <w:r w:rsidRPr="00DF0D90">
        <w:rPr>
          <w:lang w:val="en-US"/>
        </w:rPr>
        <w:t>. 2012;35(5):980–5.</w:t>
      </w:r>
    </w:p>
    <w:p w14:paraId="7E2BE721" w14:textId="77777777" w:rsidR="000B32B8" w:rsidRPr="00DF0D90" w:rsidRDefault="000B32B8" w:rsidP="00C0142B">
      <w:pPr>
        <w:spacing w:after="120"/>
        <w:jc w:val="both"/>
        <w:rPr>
          <w:noProof/>
          <w:lang w:val="en-US"/>
        </w:rPr>
      </w:pPr>
      <w:r w:rsidRPr="00DF0D90">
        <w:lastRenderedPageBreak/>
        <w:fldChar w:fldCharType="begin" w:fldLock="1"/>
      </w:r>
      <w:r w:rsidRPr="00DF0D90">
        <w:instrText xml:space="preserve">ADDIN CSL_CITATION {"citationItems":[{"id":"ITEM-1","itemData":{"DOI":"10.1016/j.jhep.2018.03.019","ISSN":"16000641","PMID":"29628281","author":[{"dropping-particle":"","family":"Galle","given":"Peter R.","non-dropping-particle":"","parse-names":false,"suffix":""},{"dropping-particle":"","family":"Forner","given":"Alejandro","non-dropping-particle":"","parse-names":false,"suffix":""},{"dropping-particle":"","family":"Llovet","given":"Josep M.","non-dropping-particle":"","parse-names":false,"suffix":""},{"dropping-particle":"","family":"Mazzaferro","given":"Vincenzo","non-dropping-particle":"","parse-names":false,"suffix":""},{"dropping-particle":"","family":"Piscaglia","given":"Fabio","non-dropping-particle":"","parse-names":false,"suffix":""},{"dropping-particle":"","family":"Raoul","given":"Jean Luc","non-dropping-particle":"","parse-names":false,"suffix":""},{"dropping-particle":"","family":"Schirmacher","given":"Peter","non-dropping-particle":"","parse-names":false,"suffix":""},{"dropping-particle":"","family":"Vilgrain","given":"Valérie","non-dropping-particle":"","parse-names":false,"suffix":""}],"container-title":"Journal of Hepatology","id":"ITEM-1","issue":"1","issued":{"date-parts":[["2018","7","1"]]},"page":"182-236","publisher":"Elsevier B.V.","title":"EASL Clinical Practice Guidelines: Management of hepatocellular carcinoma","type":"article-journal","volume":"69"},"uris":["http://www.mendeley.com/documents/?uuid=055ddbc3-5b48-34fb-b03b-bdc43880d69c"]},{"id":"ITEM-2","itemData":{"DOI":"10.1055/s-0030-1247132","ISSN":"02728087","PMID":"20175033","abstract":"The endpoint in cancer research is overall survival. Nonetheless, other potential surrogate endpoints, such as response rate and time to progression, are currently used. Measurement of response rate in hepatocellular carcinoma (HCC) has become a controversial issue. The World Health Organization (WHO) criteria underestimate the actual response rate; thus, they were amended in 2000 by a panel of experts convened by the European Association for the Study of the Liver (EASL) to take into account treatment-induced tumor necrosis. Applying these guidelines, there was an association between response rate and outcome prediction. More recently, the Response Evaluation Criteria in Solid Tumors (RECIST) guideline was proposed as a method for measuring treatment response based on tumor shrinkage, which is a valuable measure of antitumor activity of cytotoxic drugs. This method was initially adopted by regulatory agencies, such as the U.S. Food and Drug Administration (FDA), for drug approval. However, anatomic tumor response metrics can be misleading when applied to molecular-targeted therapies or locoregional therapies in HCC. In 2008, a group of experts convened by the American Association for the Study of Liver Diseases (AASLD) developed a set </w:instrText>
      </w:r>
      <w:r w:rsidRPr="00DF0D90">
        <w:rPr>
          <w:lang w:val="en-US"/>
        </w:rPr>
        <w:instrText>of guidelines aimed at providing a common framework for the design of clinical trials in HCC and adapted the concept of viable tumortumoral tissue showing uptake in arterial phase of contrast-enhanced radiologic imaging techniquesto formally amend RECIST. These amendments conformed the AASLD-JNCI (Journal of the National Cancer Institute) guidelines and are summarized and clarified in the current article. They are referred to herein as the modified RECIST assessment (mRECIST). Further studies are needed to confirm the accuracy of this measurement compared with conventional gold standards such as pathologic studies of explanted livers. © 2010 by Thieme Medical Publishers, Inc.","author":[{"dropping-particle":"","family":"Lencioni","given":"Riccardo","non-dropping-particle":"","parse-names":false,"suffix":""},{"dropping-particle":"","family":"Llovet","given":"Josep M.","non-dropping-particle":"","parse-names":false,"suffix":""}],"container-title":"Seminars in Liver Disease","id":"ITEM-2","issue":"1","issued":{"date-parts":[["2010"]]},"page":"52-60","title":"Modified recist (mRECIST) assessment for hepatocellular carcinoma","type":"article","volume":"30"},"uris":["http://www.mendeley.com/documents/?uuid=a91f798f-c35a-3c75-abed-fe6caa0a4845"]}],"mendeley":{"formattedCitation":"[6,84]","plainTextFormattedCitation":"[6,84]","previouslyFormattedCitation":"[6,84]"},"properties":{"noteIndex":0},"schema":"https://github.com/citation-style-language/schema/raw/master/csl-citation.json"}</w:instrText>
      </w:r>
      <w:r w:rsidRPr="00DF0D90">
        <w:fldChar w:fldCharType="separate"/>
      </w:r>
      <w:r w:rsidRPr="00DF0D90">
        <w:rPr>
          <w:noProof/>
          <w:lang w:val="en-US"/>
        </w:rPr>
        <w:t xml:space="preserve">150.Arora A, Kumar A. Treatment Response Evaluation and Followup in Hepatocellular Carcinoma. </w:t>
      </w:r>
      <w:r w:rsidRPr="00DF0D90">
        <w:rPr>
          <w:i/>
          <w:iCs/>
          <w:noProof/>
          <w:lang w:val="en-US"/>
        </w:rPr>
        <w:t>J Clin Exp Hepatol</w:t>
      </w:r>
      <w:r w:rsidRPr="00DF0D90">
        <w:rPr>
          <w:noProof/>
          <w:lang w:val="en-US"/>
        </w:rPr>
        <w:t xml:space="preserve">. 2014;4(Suppl 3):S126-129. </w:t>
      </w:r>
    </w:p>
    <w:p w14:paraId="7B71A0A9" w14:textId="06802C30" w:rsidR="000B32B8" w:rsidRPr="00DF0D90" w:rsidRDefault="000B32B8" w:rsidP="00C0142B">
      <w:pPr>
        <w:spacing w:after="120"/>
        <w:jc w:val="both"/>
        <w:rPr>
          <w:lang w:val="en-US"/>
        </w:rPr>
      </w:pPr>
      <w:r w:rsidRPr="00DF0D90">
        <w:rPr>
          <w:noProof/>
          <w:lang w:val="en-US"/>
        </w:rPr>
        <w:t xml:space="preserve">151. Liu W, Zheng Y, Zou R, et al. Impact of follow-up interval on patients with hepatocellular carcinoma after curative ablation. </w:t>
      </w:r>
      <w:r w:rsidRPr="00DF0D90">
        <w:rPr>
          <w:i/>
          <w:iCs/>
          <w:noProof/>
          <w:lang w:val="en-US"/>
        </w:rPr>
        <w:t>BMC Cancer</w:t>
      </w:r>
      <w:r w:rsidRPr="00DF0D90">
        <w:rPr>
          <w:noProof/>
          <w:lang w:val="en-US"/>
        </w:rPr>
        <w:t>. 2018;18(1):1186.</w:t>
      </w:r>
      <w:r w:rsidRPr="00DF0D90">
        <w:fldChar w:fldCharType="end"/>
      </w:r>
    </w:p>
    <w:p w14:paraId="5A9987EB" w14:textId="4140AFBE" w:rsidR="004F7795" w:rsidRPr="00DF0D90" w:rsidRDefault="004F7795" w:rsidP="001D7B82">
      <w:pPr>
        <w:pStyle w:val="affd"/>
        <w:spacing w:before="0" w:beforeAutospacing="0" w:after="0" w:afterAutospacing="0"/>
        <w:rPr>
          <w:color w:val="000000" w:themeColor="text1"/>
          <w:lang w:val="en-US"/>
        </w:rPr>
      </w:pPr>
      <w:r w:rsidRPr="00DF0D90">
        <w:rPr>
          <w:color w:val="000000" w:themeColor="text1"/>
          <w:lang w:val="en-US"/>
        </w:rPr>
        <w:t xml:space="preserve">152. Oikonomou T, </w:t>
      </w:r>
      <w:proofErr w:type="spellStart"/>
      <w:r w:rsidRPr="00DF0D90">
        <w:rPr>
          <w:color w:val="000000" w:themeColor="text1"/>
          <w:lang w:val="en-US"/>
        </w:rPr>
        <w:t>Goulis</w:t>
      </w:r>
      <w:proofErr w:type="spellEnd"/>
      <w:r w:rsidRPr="00DF0D90">
        <w:rPr>
          <w:color w:val="000000" w:themeColor="text1"/>
          <w:lang w:val="en-US"/>
        </w:rPr>
        <w:t xml:space="preserve"> L, </w:t>
      </w:r>
      <w:proofErr w:type="spellStart"/>
      <w:r w:rsidRPr="00DF0D90">
        <w:rPr>
          <w:color w:val="000000" w:themeColor="text1"/>
          <w:lang w:val="en-US"/>
        </w:rPr>
        <w:t>Doumtsis</w:t>
      </w:r>
      <w:proofErr w:type="spellEnd"/>
      <w:r w:rsidRPr="00DF0D90">
        <w:rPr>
          <w:color w:val="000000" w:themeColor="text1"/>
          <w:lang w:val="en-US"/>
        </w:rPr>
        <w:t xml:space="preserve"> P, et al. ALBI and PALBI grades are associated with the outcome of patients with stable decompensated cirrhosis // Ann Hepatol 2019;18:126-136. https://www.ncbi.nlm.nih.gov/pubmed/31113581 </w:t>
      </w:r>
    </w:p>
    <w:p w14:paraId="6497F1C9" w14:textId="7B5E5998" w:rsidR="004F7795" w:rsidRPr="00DF0D90" w:rsidRDefault="00CD7F67" w:rsidP="00C0142B">
      <w:pPr>
        <w:spacing w:after="120"/>
        <w:jc w:val="both"/>
        <w:rPr>
          <w:color w:val="000000" w:themeColor="text1"/>
          <w:lang w:val="en-US"/>
        </w:rPr>
      </w:pPr>
      <w:r w:rsidRPr="00DF0D90">
        <w:rPr>
          <w:iCs/>
          <w:color w:val="000000" w:themeColor="text1"/>
          <w:lang w:val="en-US"/>
        </w:rPr>
        <w:t xml:space="preserve">153. </w:t>
      </w:r>
      <w:r w:rsidRPr="00DF0D90">
        <w:rPr>
          <w:color w:val="000000" w:themeColor="text1"/>
          <w:lang w:val="en-US"/>
        </w:rPr>
        <w:t xml:space="preserve">Korean Liver Cancer Association (KLCA) and National Cancer Center (NCC) Korea. 2022 KLCA-NCC Korea practice guidelines for the management of hepatocellular carcinoma. Clin Mol Hepatol </w:t>
      </w:r>
      <w:proofErr w:type="gramStart"/>
      <w:r w:rsidRPr="00DF0D90">
        <w:rPr>
          <w:color w:val="000000" w:themeColor="text1"/>
          <w:lang w:val="en-US"/>
        </w:rPr>
        <w:t>2022;28:583</w:t>
      </w:r>
      <w:proofErr w:type="gramEnd"/>
      <w:r w:rsidRPr="00DF0D90">
        <w:rPr>
          <w:color w:val="000000" w:themeColor="text1"/>
          <w:lang w:val="en-US"/>
        </w:rPr>
        <w:t>-705</w:t>
      </w:r>
    </w:p>
    <w:p w14:paraId="6DA01B98" w14:textId="3923D607" w:rsidR="00CD7F67" w:rsidRPr="00DF0D90" w:rsidRDefault="00CD7F67" w:rsidP="001D7B82">
      <w:pPr>
        <w:jc w:val="both"/>
        <w:rPr>
          <w:color w:val="000000" w:themeColor="text1"/>
          <w:lang w:val="en-US"/>
        </w:rPr>
      </w:pPr>
      <w:r w:rsidRPr="00DF0D90">
        <w:rPr>
          <w:color w:val="000000" w:themeColor="text1"/>
          <w:lang w:val="en-US"/>
        </w:rPr>
        <w:t>154. Kim BH, Park JW. Epidemiology of liver cancer in South Korea Clin Mol Hepatol 2018;</w:t>
      </w:r>
      <w:r w:rsidR="00B74391" w:rsidRPr="00DF0D90">
        <w:rPr>
          <w:color w:val="000000" w:themeColor="text1"/>
          <w:lang w:val="en-US"/>
        </w:rPr>
        <w:t xml:space="preserve"> </w:t>
      </w:r>
      <w:r w:rsidRPr="00DF0D90">
        <w:rPr>
          <w:color w:val="000000" w:themeColor="text1"/>
          <w:lang w:val="en-US"/>
        </w:rPr>
        <w:t>24:1-9.</w:t>
      </w:r>
    </w:p>
    <w:p w14:paraId="58FCAA32" w14:textId="3A2FE62C" w:rsidR="008C77D9" w:rsidRPr="00DF0D90" w:rsidRDefault="008C77D9" w:rsidP="00C0142B">
      <w:pPr>
        <w:spacing w:after="120"/>
        <w:jc w:val="both"/>
        <w:rPr>
          <w:noProof/>
          <w:color w:val="000000" w:themeColor="text1"/>
          <w:lang w:val="en-US"/>
        </w:rPr>
      </w:pPr>
      <w:r w:rsidRPr="00DF0D90">
        <w:rPr>
          <w:color w:val="000000" w:themeColor="text1"/>
          <w:lang w:val="en-US"/>
        </w:rPr>
        <w:t xml:space="preserve">155. </w:t>
      </w:r>
      <w:proofErr w:type="spellStart"/>
      <w:r w:rsidR="00E72450" w:rsidRPr="00DF0D90">
        <w:rPr>
          <w:color w:val="000000" w:themeColor="text1"/>
          <w:lang w:val="en-US"/>
        </w:rPr>
        <w:t>Ducreux</w:t>
      </w:r>
      <w:proofErr w:type="spellEnd"/>
      <w:r w:rsidR="00B74391" w:rsidRPr="00DF0D90">
        <w:rPr>
          <w:color w:val="000000" w:themeColor="text1"/>
          <w:lang w:val="en-US"/>
        </w:rPr>
        <w:t xml:space="preserve"> M.</w:t>
      </w:r>
      <w:r w:rsidR="00E72450" w:rsidRPr="00DF0D90">
        <w:rPr>
          <w:color w:val="000000" w:themeColor="text1"/>
          <w:lang w:val="en-US"/>
        </w:rPr>
        <w:t>, Abou-Alfa</w:t>
      </w:r>
      <w:r w:rsidR="00B74391" w:rsidRPr="00DF0D90">
        <w:rPr>
          <w:color w:val="000000" w:themeColor="text1"/>
          <w:lang w:val="en-US"/>
        </w:rPr>
        <w:t xml:space="preserve"> G.K.</w:t>
      </w:r>
      <w:r w:rsidR="00E72450" w:rsidRPr="00DF0D90">
        <w:rPr>
          <w:color w:val="000000" w:themeColor="text1"/>
          <w:lang w:val="en-US"/>
        </w:rPr>
        <w:t xml:space="preserve">, </w:t>
      </w:r>
      <w:proofErr w:type="spellStart"/>
      <w:r w:rsidR="00E72450" w:rsidRPr="00DF0D90">
        <w:rPr>
          <w:color w:val="000000" w:themeColor="text1"/>
          <w:lang w:val="en-US"/>
        </w:rPr>
        <w:t>Bekaii</w:t>
      </w:r>
      <w:proofErr w:type="spellEnd"/>
      <w:r w:rsidR="00E72450" w:rsidRPr="00DF0D90">
        <w:rPr>
          <w:color w:val="000000" w:themeColor="text1"/>
          <w:lang w:val="en-US"/>
        </w:rPr>
        <w:t>-Saab</w:t>
      </w:r>
      <w:r w:rsidR="00B74391" w:rsidRPr="00DF0D90">
        <w:rPr>
          <w:color w:val="000000" w:themeColor="text1"/>
          <w:lang w:val="en-US"/>
        </w:rPr>
        <w:t xml:space="preserve"> T.</w:t>
      </w:r>
      <w:r w:rsidR="00E72450" w:rsidRPr="00DF0D90">
        <w:rPr>
          <w:color w:val="000000" w:themeColor="text1"/>
          <w:lang w:val="en-US"/>
        </w:rPr>
        <w:t xml:space="preserve">, et al. The management of </w:t>
      </w:r>
      <w:r w:rsidR="00E72450" w:rsidRPr="00DF0D90">
        <w:rPr>
          <w:noProof/>
          <w:color w:val="000000" w:themeColor="text1"/>
          <w:lang w:val="en-US"/>
        </w:rPr>
        <w:t>Hepatocellular Carcinoma. Current expert opinion and reccomendations derived from the 24 th ESMO/World Congress on Gastrointestinal Cancer, Barselona, 2022. ESMO OPEN, Review, V.8, issue3, 101567, june 2023</w:t>
      </w:r>
    </w:p>
    <w:p w14:paraId="24C2E393" w14:textId="5A9E0AE9" w:rsidR="00B74391" w:rsidRPr="00DF0D90" w:rsidRDefault="00B74391" w:rsidP="00C0142B">
      <w:pPr>
        <w:spacing w:after="120"/>
        <w:jc w:val="both"/>
        <w:rPr>
          <w:rFonts w:eastAsia="Calibri"/>
          <w:color w:val="000000" w:themeColor="text1"/>
          <w:lang w:val="en-US"/>
        </w:rPr>
      </w:pPr>
      <w:r w:rsidRPr="00DF0D90">
        <w:rPr>
          <w:rFonts w:eastAsia="Calibri"/>
          <w:color w:val="000000" w:themeColor="text1"/>
          <w:lang w:val="en-US"/>
        </w:rPr>
        <w:t xml:space="preserve">156. Yeung CSY, Chiang CL, Wong NSM, Ha SK, Tsang KS, Ho CHM, Wang B, Lee VWY, Chan MKH, Lee FAS. Palliative Liver Radiotherapy (RT) for Symptomatic Hepatocellular Carcinoma (HCC). Sci Rep. 2020 Jan 27;10(1):1254. </w:t>
      </w:r>
      <w:proofErr w:type="spellStart"/>
      <w:r w:rsidRPr="00DF0D90">
        <w:rPr>
          <w:rFonts w:eastAsia="Calibri"/>
          <w:color w:val="000000" w:themeColor="text1"/>
          <w:lang w:val="en-US"/>
        </w:rPr>
        <w:t>doi</w:t>
      </w:r>
      <w:proofErr w:type="spellEnd"/>
      <w:r w:rsidRPr="00DF0D90">
        <w:rPr>
          <w:rFonts w:eastAsia="Calibri"/>
          <w:color w:val="000000" w:themeColor="text1"/>
          <w:lang w:val="en-US"/>
        </w:rPr>
        <w:t xml:space="preserve">: 10.1038/s41598-020-58108-1. </w:t>
      </w:r>
    </w:p>
    <w:p w14:paraId="363BEE2F" w14:textId="322770CF" w:rsidR="00B74391" w:rsidRPr="00DF0D90" w:rsidRDefault="00B74391" w:rsidP="00C0142B">
      <w:pPr>
        <w:spacing w:after="120"/>
        <w:jc w:val="both"/>
        <w:rPr>
          <w:noProof/>
          <w:color w:val="000000" w:themeColor="text1"/>
          <w:lang w:val="en-US"/>
        </w:rPr>
      </w:pPr>
      <w:r w:rsidRPr="00DF0D90">
        <w:rPr>
          <w:rFonts w:eastAsia="Calibri"/>
          <w:color w:val="000000" w:themeColor="text1"/>
          <w:lang w:val="en-US"/>
        </w:rPr>
        <w:t xml:space="preserve">157. Soliman, Hany et al. “Phase II trial of palliative radiotherapy for hepatocellular carcinoma and liver metastases.” // </w:t>
      </w:r>
      <w:r w:rsidRPr="00DF0D90">
        <w:rPr>
          <w:rFonts w:eastAsia="Calibri"/>
          <w:i/>
          <w:iCs/>
          <w:color w:val="000000" w:themeColor="text1"/>
          <w:lang w:val="en-US"/>
        </w:rPr>
        <w:t xml:space="preserve">Journal of </w:t>
      </w:r>
      <w:r w:rsidRPr="00DF0D90">
        <w:rPr>
          <w:rFonts w:eastAsia="Calibri"/>
          <w:i/>
          <w:iCs/>
          <w:color w:val="000000" w:themeColor="text1"/>
        </w:rPr>
        <w:t>С</w:t>
      </w:r>
      <w:proofErr w:type="spellStart"/>
      <w:r w:rsidRPr="00DF0D90">
        <w:rPr>
          <w:rFonts w:eastAsia="Calibri"/>
          <w:i/>
          <w:iCs/>
          <w:color w:val="000000" w:themeColor="text1"/>
          <w:lang w:val="en-US"/>
        </w:rPr>
        <w:t>linical</w:t>
      </w:r>
      <w:proofErr w:type="spellEnd"/>
      <w:r w:rsidRPr="00DF0D90">
        <w:rPr>
          <w:rFonts w:eastAsia="Calibri"/>
          <w:i/>
          <w:iCs/>
          <w:color w:val="000000" w:themeColor="text1"/>
          <w:lang w:val="en-US"/>
        </w:rPr>
        <w:t xml:space="preserve"> Oncology:</w:t>
      </w:r>
      <w:r w:rsidRPr="00DF0D90">
        <w:rPr>
          <w:rFonts w:eastAsia="Calibri"/>
          <w:color w:val="000000" w:themeColor="text1"/>
          <w:lang w:val="en-US"/>
        </w:rPr>
        <w:t> vol. 31,31 (2013): 3980-6. doi:10.1200/JCO.2013.49.9202</w:t>
      </w:r>
    </w:p>
    <w:p w14:paraId="5DA5F952" w14:textId="77777777" w:rsidR="003E3B30" w:rsidRPr="00DF0D90" w:rsidRDefault="003E3B30" w:rsidP="00C0142B">
      <w:pPr>
        <w:spacing w:after="120"/>
        <w:jc w:val="both"/>
        <w:rPr>
          <w:noProof/>
          <w:lang w:val="en-US"/>
        </w:rPr>
      </w:pPr>
    </w:p>
    <w:p w14:paraId="2C5739C1" w14:textId="77777777" w:rsidR="003E3B30" w:rsidRPr="00DF0D90" w:rsidRDefault="003E3B30" w:rsidP="00C0142B">
      <w:pPr>
        <w:spacing w:after="120"/>
        <w:jc w:val="both"/>
        <w:rPr>
          <w:lang w:val="en-US"/>
        </w:rPr>
      </w:pPr>
    </w:p>
    <w:p w14:paraId="13C50539" w14:textId="77777777" w:rsidR="00CD7F67" w:rsidRPr="00DF0D90" w:rsidRDefault="00CD7F67" w:rsidP="00C0142B">
      <w:pPr>
        <w:spacing w:after="120"/>
        <w:jc w:val="both"/>
        <w:rPr>
          <w:iCs/>
          <w:lang w:val="en-US"/>
        </w:rPr>
      </w:pPr>
    </w:p>
    <w:p w14:paraId="4AD24820" w14:textId="77777777" w:rsidR="006B4DBC" w:rsidRPr="00DF0D90" w:rsidRDefault="006B4DBC" w:rsidP="00C0142B">
      <w:pPr>
        <w:spacing w:after="120" w:line="360" w:lineRule="auto"/>
        <w:jc w:val="both"/>
        <w:rPr>
          <w:lang w:val="x-none" w:eastAsia="ko-KR"/>
        </w:rPr>
      </w:pPr>
    </w:p>
    <w:p w14:paraId="0025DE67" w14:textId="77777777" w:rsidR="006B4DBC" w:rsidRPr="00DF0D90" w:rsidRDefault="006B4DBC" w:rsidP="006D217F">
      <w:pPr>
        <w:spacing w:after="120" w:line="360" w:lineRule="auto"/>
        <w:ind w:firstLine="567"/>
        <w:jc w:val="both"/>
        <w:rPr>
          <w:lang w:val="x-none" w:eastAsia="ko-KR"/>
        </w:rPr>
      </w:pPr>
    </w:p>
    <w:p w14:paraId="47D1C2AD" w14:textId="77777777" w:rsidR="006B4DBC" w:rsidRPr="00DF0D90" w:rsidRDefault="006B4DBC" w:rsidP="006D217F">
      <w:pPr>
        <w:spacing w:after="120" w:line="360" w:lineRule="auto"/>
        <w:ind w:firstLine="567"/>
        <w:jc w:val="both"/>
        <w:rPr>
          <w:lang w:val="x-none" w:eastAsia="ko-KR"/>
        </w:rPr>
      </w:pPr>
    </w:p>
    <w:p w14:paraId="55263599" w14:textId="77777777" w:rsidR="006B4DBC" w:rsidRPr="00DF0D90" w:rsidRDefault="006B4DBC" w:rsidP="006D217F">
      <w:pPr>
        <w:spacing w:after="120" w:line="360" w:lineRule="auto"/>
        <w:ind w:firstLine="567"/>
        <w:jc w:val="both"/>
        <w:rPr>
          <w:lang w:val="x-none" w:eastAsia="ko-KR"/>
        </w:rPr>
      </w:pPr>
    </w:p>
    <w:p w14:paraId="35E31323" w14:textId="2E1F7171" w:rsidR="00630BAC" w:rsidRPr="00DF0D90" w:rsidRDefault="00BB6588" w:rsidP="00801019">
      <w:pPr>
        <w:pStyle w:val="42"/>
      </w:pPr>
      <w:r w:rsidRPr="00DF0D90">
        <w:br w:type="page"/>
      </w:r>
      <w:bookmarkStart w:id="135" w:name="_Toc83294000"/>
      <w:bookmarkStart w:id="136" w:name="_Toc98349302"/>
      <w:bookmarkEnd w:id="133"/>
      <w:bookmarkEnd w:id="134"/>
      <w:r w:rsidR="00630BAC" w:rsidRPr="00DF0D90">
        <w:lastRenderedPageBreak/>
        <w:t>Приложение</w:t>
      </w:r>
      <w:r w:rsidR="0053644B" w:rsidRPr="00DF0D90">
        <w:t xml:space="preserve"> </w:t>
      </w:r>
      <w:r w:rsidR="00630BAC" w:rsidRPr="00DF0D90">
        <w:t>А1. Состав рабочей группы</w:t>
      </w:r>
      <w:r w:rsidR="001A2966" w:rsidRPr="00DF0D90">
        <w:t xml:space="preserve"> </w:t>
      </w:r>
      <w:r w:rsidR="00630BAC" w:rsidRPr="00DF0D90">
        <w:t>по</w:t>
      </w:r>
      <w:r w:rsidR="001A2966" w:rsidRPr="00DF0D90">
        <w:t xml:space="preserve"> </w:t>
      </w:r>
      <w:r w:rsidR="00630BAC" w:rsidRPr="00DF0D90">
        <w:t>разработке</w:t>
      </w:r>
      <w:r w:rsidR="001A2966" w:rsidRPr="00DF0D90">
        <w:t xml:space="preserve"> </w:t>
      </w:r>
      <w:r w:rsidR="00630BAC" w:rsidRPr="00DF0D90">
        <w:t>и</w:t>
      </w:r>
      <w:r w:rsidR="001A2966" w:rsidRPr="00DF0D90">
        <w:t xml:space="preserve"> </w:t>
      </w:r>
      <w:r w:rsidR="00630BAC" w:rsidRPr="00DF0D90">
        <w:t>пересмотру клинических рекомендаций</w:t>
      </w:r>
      <w:bookmarkEnd w:id="135"/>
      <w:bookmarkEnd w:id="136"/>
    </w:p>
    <w:p w14:paraId="6361F669" w14:textId="5CD560DC" w:rsidR="00F15B12" w:rsidRDefault="00985B6A" w:rsidP="00542BA2">
      <w:pPr>
        <w:pStyle w:val="af2"/>
        <w:numPr>
          <w:ilvl w:val="0"/>
          <w:numId w:val="16"/>
        </w:numPr>
        <w:tabs>
          <w:tab w:val="left" w:pos="426"/>
          <w:tab w:val="left" w:pos="851"/>
        </w:tabs>
        <w:spacing w:line="360" w:lineRule="auto"/>
        <w:ind w:left="0" w:firstLine="0"/>
        <w:jc w:val="both"/>
      </w:pPr>
      <w:r w:rsidRPr="00985B6A">
        <w:rPr>
          <w:b/>
        </w:rPr>
        <w:t>Фалалеева Наталья Александровна</w:t>
      </w:r>
      <w:r>
        <w:rPr>
          <w:b/>
        </w:rPr>
        <w:t xml:space="preserve">, </w:t>
      </w:r>
      <w:r w:rsidRPr="00985B6A">
        <w:t>д.м.н., заведующ</w:t>
      </w:r>
      <w:r>
        <w:t>ая</w:t>
      </w:r>
      <w:r w:rsidRPr="00985B6A">
        <w:t xml:space="preserve"> отделом лекарственного лечения злокачественных новообразований МРНЦ им. А.Ф. Цыба</w:t>
      </w:r>
      <w:r>
        <w:t xml:space="preserve"> - </w:t>
      </w:r>
      <w:r w:rsidRPr="00985B6A">
        <w:t>филиал ФГБУ «НМИЦ радиологии» Минздрава России</w:t>
      </w:r>
      <w:r>
        <w:t>.</w:t>
      </w:r>
    </w:p>
    <w:p w14:paraId="5587BD21" w14:textId="66CE31B5" w:rsidR="00985B6A" w:rsidRDefault="00985B6A" w:rsidP="00542BA2">
      <w:pPr>
        <w:pStyle w:val="af2"/>
        <w:numPr>
          <w:ilvl w:val="0"/>
          <w:numId w:val="16"/>
        </w:numPr>
        <w:tabs>
          <w:tab w:val="left" w:pos="426"/>
          <w:tab w:val="left" w:pos="851"/>
        </w:tabs>
        <w:spacing w:line="360" w:lineRule="auto"/>
        <w:ind w:left="0" w:firstLine="0"/>
        <w:jc w:val="both"/>
      </w:pPr>
      <w:proofErr w:type="spellStart"/>
      <w:r w:rsidRPr="00985B6A">
        <w:rPr>
          <w:b/>
          <w:bCs/>
        </w:rPr>
        <w:t>Агабабян</w:t>
      </w:r>
      <w:proofErr w:type="spellEnd"/>
      <w:r w:rsidRPr="00985B6A">
        <w:rPr>
          <w:b/>
          <w:bCs/>
        </w:rPr>
        <w:t xml:space="preserve"> </w:t>
      </w:r>
      <w:proofErr w:type="spellStart"/>
      <w:r w:rsidRPr="00985B6A">
        <w:rPr>
          <w:b/>
          <w:bCs/>
        </w:rPr>
        <w:t>Татев</w:t>
      </w:r>
      <w:proofErr w:type="spellEnd"/>
      <w:r w:rsidRPr="00985B6A">
        <w:rPr>
          <w:b/>
          <w:bCs/>
        </w:rPr>
        <w:t xml:space="preserve"> </w:t>
      </w:r>
      <w:proofErr w:type="spellStart"/>
      <w:r w:rsidRPr="00985B6A">
        <w:rPr>
          <w:b/>
          <w:bCs/>
        </w:rPr>
        <w:t>Артаковна</w:t>
      </w:r>
      <w:proofErr w:type="spellEnd"/>
      <w:r w:rsidRPr="00985B6A">
        <w:rPr>
          <w:b/>
          <w:bCs/>
        </w:rPr>
        <w:t>,</w:t>
      </w:r>
      <w:r w:rsidRPr="00985B6A">
        <w:tab/>
        <w:t>к.м.н.,</w:t>
      </w:r>
      <w:r w:rsidR="00A02649">
        <w:t xml:space="preserve"> </w:t>
      </w:r>
      <w:r w:rsidRPr="00985B6A">
        <w:t>доцент, заведующая отделением лучевой диагностики МРНЦ им. А.Ф. Цыба</w:t>
      </w:r>
      <w:r>
        <w:t xml:space="preserve"> - </w:t>
      </w:r>
      <w:r w:rsidRPr="00985B6A">
        <w:t>филиал ФГБУ «НМИЦ радиологии» Минздрава России</w:t>
      </w:r>
      <w:r>
        <w:t>.</w:t>
      </w:r>
    </w:p>
    <w:p w14:paraId="1141709D" w14:textId="268DBE40" w:rsidR="0017591B" w:rsidRPr="00DF0D90" w:rsidRDefault="00985B6A" w:rsidP="00985B6A">
      <w:pPr>
        <w:pStyle w:val="af2"/>
        <w:numPr>
          <w:ilvl w:val="0"/>
          <w:numId w:val="16"/>
        </w:numPr>
        <w:tabs>
          <w:tab w:val="left" w:pos="426"/>
          <w:tab w:val="left" w:pos="851"/>
        </w:tabs>
        <w:spacing w:line="360" w:lineRule="auto"/>
        <w:ind w:left="0" w:firstLine="0"/>
        <w:jc w:val="both"/>
      </w:pPr>
      <w:r w:rsidRPr="00985B6A">
        <w:rPr>
          <w:b/>
          <w:bCs/>
        </w:rPr>
        <w:t>Болотина Лариса Владимировна,</w:t>
      </w:r>
      <w:r>
        <w:t xml:space="preserve"> </w:t>
      </w:r>
      <w:r w:rsidRPr="00985B6A">
        <w:t>д.м.н., заведующая отделением химиотерапии отдела лекарственного лечения опухолей МНИОИ им. П.А. Герцена</w:t>
      </w:r>
      <w:r w:rsidRPr="00985B6A">
        <w:tab/>
      </w:r>
      <w:r>
        <w:t xml:space="preserve">- </w:t>
      </w:r>
      <w:r w:rsidRPr="00985B6A">
        <w:t>филиал ФГБУ «НМИЦ радиологии» Минздрава России</w:t>
      </w:r>
      <w:r>
        <w:t>.</w:t>
      </w:r>
    </w:p>
    <w:p w14:paraId="1689F0E2" w14:textId="6C485D81" w:rsidR="00630BAC" w:rsidRPr="00DF0D90" w:rsidRDefault="00985B6A" w:rsidP="00542BA2">
      <w:pPr>
        <w:pStyle w:val="af2"/>
        <w:numPr>
          <w:ilvl w:val="0"/>
          <w:numId w:val="16"/>
        </w:numPr>
        <w:tabs>
          <w:tab w:val="left" w:pos="426"/>
        </w:tabs>
        <w:spacing w:line="360" w:lineRule="auto"/>
        <w:ind w:left="0" w:firstLine="0"/>
        <w:jc w:val="both"/>
      </w:pPr>
      <w:proofErr w:type="spellStart"/>
      <w:r w:rsidRPr="00985B6A">
        <w:rPr>
          <w:b/>
        </w:rPr>
        <w:t>Бредер</w:t>
      </w:r>
      <w:proofErr w:type="spellEnd"/>
      <w:r w:rsidRPr="00985B6A">
        <w:rPr>
          <w:b/>
        </w:rPr>
        <w:t xml:space="preserve"> Валерий Владимирович</w:t>
      </w:r>
      <w:r w:rsidR="001A2966" w:rsidRPr="00DF0D90">
        <w:rPr>
          <w:b/>
        </w:rPr>
        <w:t>,</w:t>
      </w:r>
      <w:r w:rsidR="00A02649">
        <w:t xml:space="preserve"> </w:t>
      </w:r>
      <w:r w:rsidRPr="00985B6A">
        <w:t>д.м.н., заведующий отделом лекарственного лечения, отделение противоопухолевой лекарственной терапии №3</w:t>
      </w:r>
      <w:r>
        <w:t xml:space="preserve"> </w:t>
      </w:r>
      <w:r w:rsidR="00630BAC" w:rsidRPr="00DF0D90">
        <w:t>ФГБУ «НМИЦ онкологии им. </w:t>
      </w:r>
      <w:r w:rsidR="001A2966" w:rsidRPr="00DF0D90">
        <w:t>Н. Н.</w:t>
      </w:r>
      <w:r w:rsidR="00630BAC" w:rsidRPr="00DF0D90">
        <w:t> Блохина» Минздрава России.</w:t>
      </w:r>
    </w:p>
    <w:p w14:paraId="44EACA45" w14:textId="0BF47CEC" w:rsidR="00630BAC" w:rsidRDefault="00630BAC" w:rsidP="00542BA2">
      <w:pPr>
        <w:pStyle w:val="af2"/>
        <w:numPr>
          <w:ilvl w:val="0"/>
          <w:numId w:val="16"/>
        </w:numPr>
        <w:tabs>
          <w:tab w:val="left" w:pos="426"/>
        </w:tabs>
        <w:spacing w:line="360" w:lineRule="auto"/>
        <w:ind w:left="0" w:firstLine="0"/>
        <w:jc w:val="both"/>
      </w:pPr>
      <w:proofErr w:type="spellStart"/>
      <w:r w:rsidRPr="00DF0D90">
        <w:rPr>
          <w:b/>
        </w:rPr>
        <w:t>Виршке</w:t>
      </w:r>
      <w:proofErr w:type="spellEnd"/>
      <w:r w:rsidRPr="00DF0D90">
        <w:rPr>
          <w:b/>
        </w:rPr>
        <w:t xml:space="preserve"> </w:t>
      </w:r>
      <w:r w:rsidR="00985B6A" w:rsidRPr="00985B6A">
        <w:rPr>
          <w:b/>
        </w:rPr>
        <w:t>Эдуард Рейнгольдович</w:t>
      </w:r>
      <w:r w:rsidR="001A2966" w:rsidRPr="00DF0D90">
        <w:rPr>
          <w:b/>
        </w:rPr>
        <w:t>,</w:t>
      </w:r>
      <w:r w:rsidR="001A2966" w:rsidRPr="00DF0D90">
        <w:t xml:space="preserve"> д.м.н.</w:t>
      </w:r>
      <w:r w:rsidRPr="00DF0D90">
        <w:t>, заведующий лабораторией интервенционной радиологии НИИ клинической и экспериментальной радиологии ФГБУ «НМИЦ онкологии им. Н.Н. Блохина» Минздрава России.</w:t>
      </w:r>
    </w:p>
    <w:p w14:paraId="2C0756C1" w14:textId="14AD1D88" w:rsidR="00985B6A" w:rsidRDefault="00985B6A" w:rsidP="00542BA2">
      <w:pPr>
        <w:pStyle w:val="af2"/>
        <w:numPr>
          <w:ilvl w:val="0"/>
          <w:numId w:val="16"/>
        </w:numPr>
        <w:tabs>
          <w:tab w:val="left" w:pos="426"/>
        </w:tabs>
        <w:spacing w:line="360" w:lineRule="auto"/>
        <w:ind w:left="0" w:firstLine="0"/>
        <w:jc w:val="both"/>
      </w:pPr>
      <w:r w:rsidRPr="00985B6A">
        <w:rPr>
          <w:b/>
          <w:bCs/>
        </w:rPr>
        <w:t>Дмитриев Вадим Николаевич</w:t>
      </w:r>
      <w:r>
        <w:t>,</w:t>
      </w:r>
      <w:r w:rsidR="00A02649">
        <w:t xml:space="preserve"> </w:t>
      </w:r>
      <w:r w:rsidRPr="00985B6A">
        <w:t>д.м.н., заведующий дневным стационаром противоопухолевой лекарственной терапии, врач-онколог отделения противоопухолевой лекарственной терапии МРНЦ им. А.Ф. Цыба</w:t>
      </w:r>
      <w:r>
        <w:t xml:space="preserve"> - </w:t>
      </w:r>
      <w:r w:rsidRPr="00985B6A">
        <w:t>филиал ФГБУ «НМИЦ радиологии» Минздрава России</w:t>
      </w:r>
      <w:r>
        <w:t>.</w:t>
      </w:r>
    </w:p>
    <w:p w14:paraId="44370339" w14:textId="0F067BAE" w:rsidR="00985B6A" w:rsidRDefault="00985B6A" w:rsidP="00542BA2">
      <w:pPr>
        <w:pStyle w:val="af2"/>
        <w:numPr>
          <w:ilvl w:val="0"/>
          <w:numId w:val="16"/>
        </w:numPr>
        <w:tabs>
          <w:tab w:val="left" w:pos="426"/>
        </w:tabs>
        <w:spacing w:line="360" w:lineRule="auto"/>
        <w:ind w:left="0" w:firstLine="0"/>
        <w:jc w:val="both"/>
      </w:pPr>
      <w:r w:rsidRPr="00985B6A">
        <w:rPr>
          <w:b/>
          <w:bCs/>
        </w:rPr>
        <w:t>Гриневич Вячеслав Николаевич</w:t>
      </w:r>
      <w:r>
        <w:t>,</w:t>
      </w:r>
      <w:r w:rsidR="00A02649">
        <w:t xml:space="preserve"> </w:t>
      </w:r>
      <w:r w:rsidRPr="00985B6A">
        <w:t>к.м.н., заведующий отделением онкопатологии МНИОИ им. П.А. Герцена</w:t>
      </w:r>
      <w:r w:rsidRPr="00985B6A">
        <w:tab/>
      </w:r>
      <w:r>
        <w:t xml:space="preserve">- </w:t>
      </w:r>
      <w:r w:rsidRPr="00985B6A">
        <w:t>филиал ФГБУ «НМИЦ радиологии» Минздрава России</w:t>
      </w:r>
      <w:r>
        <w:t>.</w:t>
      </w:r>
    </w:p>
    <w:p w14:paraId="095F2F37" w14:textId="5D388AFE" w:rsidR="00985B6A" w:rsidRDefault="00985B6A" w:rsidP="00542BA2">
      <w:pPr>
        <w:pStyle w:val="af2"/>
        <w:numPr>
          <w:ilvl w:val="0"/>
          <w:numId w:val="16"/>
        </w:numPr>
        <w:tabs>
          <w:tab w:val="left" w:pos="426"/>
        </w:tabs>
        <w:spacing w:line="360" w:lineRule="auto"/>
        <w:ind w:left="0" w:firstLine="0"/>
        <w:jc w:val="both"/>
      </w:pPr>
      <w:proofErr w:type="spellStart"/>
      <w:r w:rsidRPr="00985B6A">
        <w:rPr>
          <w:b/>
          <w:bCs/>
        </w:rPr>
        <w:t>Зуков</w:t>
      </w:r>
      <w:proofErr w:type="spellEnd"/>
      <w:r w:rsidRPr="00985B6A">
        <w:rPr>
          <w:b/>
          <w:bCs/>
        </w:rPr>
        <w:t xml:space="preserve"> Руслан Александрович</w:t>
      </w:r>
      <w:r>
        <w:t xml:space="preserve">, </w:t>
      </w:r>
      <w:r w:rsidRPr="00985B6A">
        <w:t>главный врач</w:t>
      </w:r>
      <w:r>
        <w:t xml:space="preserve"> </w:t>
      </w:r>
      <w:r w:rsidRPr="00985B6A">
        <w:t>КГБУЗ «Красноярский краевой клинический онкологический диспансер им. А.И. Крыжановского»</w:t>
      </w:r>
      <w:r>
        <w:t>.</w:t>
      </w:r>
    </w:p>
    <w:p w14:paraId="73896410" w14:textId="2345FBB9" w:rsidR="00985B6A" w:rsidRDefault="00985B6A" w:rsidP="00542BA2">
      <w:pPr>
        <w:pStyle w:val="af2"/>
        <w:numPr>
          <w:ilvl w:val="0"/>
          <w:numId w:val="16"/>
        </w:numPr>
        <w:tabs>
          <w:tab w:val="left" w:pos="426"/>
        </w:tabs>
        <w:spacing w:line="360" w:lineRule="auto"/>
        <w:ind w:left="0" w:firstLine="0"/>
        <w:jc w:val="both"/>
      </w:pPr>
      <w:r w:rsidRPr="00985B6A">
        <w:rPr>
          <w:b/>
          <w:bCs/>
        </w:rPr>
        <w:t xml:space="preserve">Исаева Аиша </w:t>
      </w:r>
      <w:proofErr w:type="spellStart"/>
      <w:r w:rsidRPr="00985B6A">
        <w:rPr>
          <w:b/>
          <w:bCs/>
        </w:rPr>
        <w:t>Гасановна</w:t>
      </w:r>
      <w:proofErr w:type="spellEnd"/>
      <w:r w:rsidRPr="00985B6A">
        <w:rPr>
          <w:b/>
          <w:bCs/>
        </w:rPr>
        <w:t>,</w:t>
      </w:r>
      <w:r>
        <w:t xml:space="preserve"> </w:t>
      </w:r>
      <w:r w:rsidRPr="00985B6A">
        <w:t>к.м.н., с.н.с. отделения лучевого и хирургического лечения заболеваний абдоминальной области МРНЦ им. А.Ф. Цыба</w:t>
      </w:r>
      <w:r>
        <w:t xml:space="preserve"> - </w:t>
      </w:r>
      <w:r w:rsidRPr="00985B6A">
        <w:t>филиал ФГБУ «НМИЦ радиологии» Минздрава России</w:t>
      </w:r>
      <w:r>
        <w:t>.</w:t>
      </w:r>
    </w:p>
    <w:p w14:paraId="740E960E" w14:textId="3B4CBF0F" w:rsidR="00630BAC" w:rsidRDefault="00985B6A" w:rsidP="00542BA2">
      <w:pPr>
        <w:pStyle w:val="af2"/>
        <w:numPr>
          <w:ilvl w:val="0"/>
          <w:numId w:val="16"/>
        </w:numPr>
        <w:tabs>
          <w:tab w:val="left" w:pos="426"/>
        </w:tabs>
        <w:spacing w:line="360" w:lineRule="auto"/>
        <w:ind w:left="0" w:firstLine="0"/>
        <w:jc w:val="both"/>
      </w:pPr>
      <w:r w:rsidRPr="00985B6A">
        <w:rPr>
          <w:b/>
          <w:bCs/>
        </w:rPr>
        <w:t>Киршин Александр Александрович,</w:t>
      </w:r>
      <w:r w:rsidR="00A02649">
        <w:t xml:space="preserve"> </w:t>
      </w:r>
      <w:r w:rsidRPr="00985B6A">
        <w:t>к.м.н.,</w:t>
      </w:r>
      <w:r>
        <w:t xml:space="preserve"> </w:t>
      </w:r>
      <w:r w:rsidRPr="00985B6A">
        <w:t>заместитель главного врача по медицинской части, главный внештатный специалист-трансплантолог МЗ РТ</w:t>
      </w:r>
      <w:r>
        <w:t xml:space="preserve">, </w:t>
      </w:r>
      <w:r w:rsidRPr="00985B6A">
        <w:t>ГАУЗ «Республиканский клинический онкологический диспансер МЗ РТ имени профессора М.З. Сигала</w:t>
      </w:r>
      <w:r>
        <w:t>.</w:t>
      </w:r>
    </w:p>
    <w:p w14:paraId="745E51C6" w14:textId="490EBE9B" w:rsidR="00985B6A" w:rsidRPr="00DF0D90" w:rsidRDefault="00985B6A" w:rsidP="00542BA2">
      <w:pPr>
        <w:pStyle w:val="af2"/>
        <w:numPr>
          <w:ilvl w:val="0"/>
          <w:numId w:val="16"/>
        </w:numPr>
        <w:tabs>
          <w:tab w:val="left" w:pos="426"/>
        </w:tabs>
        <w:spacing w:line="360" w:lineRule="auto"/>
        <w:ind w:left="0" w:firstLine="0"/>
        <w:jc w:val="both"/>
      </w:pPr>
      <w:proofErr w:type="spellStart"/>
      <w:r w:rsidRPr="00985B6A">
        <w:rPr>
          <w:b/>
          <w:bCs/>
        </w:rPr>
        <w:lastRenderedPageBreak/>
        <w:t>Левшакова</w:t>
      </w:r>
      <w:proofErr w:type="spellEnd"/>
      <w:r w:rsidRPr="00985B6A">
        <w:rPr>
          <w:b/>
          <w:bCs/>
        </w:rPr>
        <w:t xml:space="preserve"> Антонина Валерьевна,</w:t>
      </w:r>
      <w:r w:rsidRPr="00985B6A">
        <w:tab/>
        <w:t>д.м.н., заведующий отделением компьютерной и магнитно-резонансной томографии, врач-рентгенолог МНИОИ им. П.А. Герцена</w:t>
      </w:r>
      <w:r>
        <w:t xml:space="preserve"> - </w:t>
      </w:r>
      <w:r w:rsidRPr="00985B6A">
        <w:t>филиал ФГБУ «НМИЦ радиологии» Минздрава России</w:t>
      </w:r>
      <w:r>
        <w:t>.</w:t>
      </w:r>
    </w:p>
    <w:p w14:paraId="3504DE2D" w14:textId="3946E52E" w:rsidR="00985B6A" w:rsidRPr="00985B6A" w:rsidRDefault="00985B6A" w:rsidP="00542BA2">
      <w:pPr>
        <w:pStyle w:val="af2"/>
        <w:numPr>
          <w:ilvl w:val="0"/>
          <w:numId w:val="16"/>
        </w:numPr>
        <w:tabs>
          <w:tab w:val="left" w:pos="426"/>
        </w:tabs>
        <w:spacing w:line="360" w:lineRule="auto"/>
        <w:ind w:left="0" w:firstLine="0"/>
        <w:jc w:val="both"/>
      </w:pPr>
      <w:r w:rsidRPr="00985B6A">
        <w:rPr>
          <w:b/>
        </w:rPr>
        <w:t>Медведева Бэла Михайловна</w:t>
      </w:r>
      <w:r>
        <w:rPr>
          <w:b/>
        </w:rPr>
        <w:t>,</w:t>
      </w:r>
      <w:r w:rsidR="00A02649">
        <w:rPr>
          <w:bCs/>
        </w:rPr>
        <w:t xml:space="preserve"> </w:t>
      </w:r>
      <w:r w:rsidRPr="00985B6A">
        <w:rPr>
          <w:bCs/>
        </w:rPr>
        <w:t>д.м.н.,</w:t>
      </w:r>
      <w:r w:rsidR="00A02649">
        <w:rPr>
          <w:bCs/>
        </w:rPr>
        <w:t xml:space="preserve"> </w:t>
      </w:r>
      <w:r w:rsidRPr="00985B6A">
        <w:rPr>
          <w:bCs/>
        </w:rPr>
        <w:t>ведущий научный сотрудник рентгенодиагностического отделения, Научно-исследовательский институт клинической и экспериментальной радиологии</w:t>
      </w:r>
      <w:r w:rsidRPr="00985B6A">
        <w:rPr>
          <w:bCs/>
        </w:rPr>
        <w:tab/>
        <w:t>ФГБУ «НМИЦ онкологии им. Н.Н. Блохина» Минздрава России.</w:t>
      </w:r>
    </w:p>
    <w:p w14:paraId="6A33F5DD" w14:textId="1F53BC26" w:rsidR="00985B6A" w:rsidRDefault="00985B6A" w:rsidP="00542BA2">
      <w:pPr>
        <w:pStyle w:val="af2"/>
        <w:numPr>
          <w:ilvl w:val="0"/>
          <w:numId w:val="16"/>
        </w:numPr>
        <w:tabs>
          <w:tab w:val="left" w:pos="426"/>
        </w:tabs>
        <w:spacing w:line="360" w:lineRule="auto"/>
        <w:ind w:left="0" w:firstLine="0"/>
        <w:jc w:val="both"/>
      </w:pPr>
      <w:r w:rsidRPr="00985B6A">
        <w:rPr>
          <w:b/>
          <w:bCs/>
        </w:rPr>
        <w:t>Моисеенко Андрей Викторович,</w:t>
      </w:r>
      <w:r w:rsidRPr="00985B6A">
        <w:t xml:space="preserve"> </w:t>
      </w:r>
      <w:r w:rsidRPr="00985B6A">
        <w:tab/>
        <w:t xml:space="preserve">врач по рентгенэндоваскулярным диагностике и лечению хирургического отделения №2 (абдоминальной онкологии и рентгенохирургических методов диагностики и лечения) </w:t>
      </w:r>
      <w:r>
        <w:t>ФГБУ</w:t>
      </w:r>
      <w:r w:rsidRPr="00985B6A">
        <w:t xml:space="preserve"> РНЦРХТ им. акад. А.М. Гранова МЗ РФ</w:t>
      </w:r>
      <w:r>
        <w:t>.</w:t>
      </w:r>
    </w:p>
    <w:p w14:paraId="5F7C0D35" w14:textId="1032F874" w:rsidR="00985B6A" w:rsidRDefault="00985B6A" w:rsidP="00542BA2">
      <w:pPr>
        <w:pStyle w:val="af2"/>
        <w:numPr>
          <w:ilvl w:val="0"/>
          <w:numId w:val="16"/>
        </w:numPr>
        <w:tabs>
          <w:tab w:val="left" w:pos="426"/>
        </w:tabs>
        <w:spacing w:line="360" w:lineRule="auto"/>
        <w:ind w:left="0" w:firstLine="0"/>
        <w:jc w:val="both"/>
      </w:pPr>
      <w:r w:rsidRPr="00985B6A">
        <w:rPr>
          <w:b/>
          <w:bCs/>
        </w:rPr>
        <w:t>Поликарпов Алексей Александрович,</w:t>
      </w:r>
      <w:r>
        <w:t xml:space="preserve"> </w:t>
      </w:r>
      <w:r w:rsidRPr="00985B6A">
        <w:t>д.м.н., заслуженный врач России, главный научный сотрудник отдела интервенционной радиологии и оперативной хирургии, профессор кафедры радиологии, хирургии и онкологии</w:t>
      </w:r>
      <w:r>
        <w:t xml:space="preserve"> </w:t>
      </w:r>
      <w:r w:rsidRPr="00985B6A">
        <w:t>ФГБУ РНЦРХТ им. акад. А.М. Гранова МЗ РФ</w:t>
      </w:r>
      <w:r>
        <w:t>.</w:t>
      </w:r>
    </w:p>
    <w:p w14:paraId="4C97C038" w14:textId="51882DC5" w:rsidR="00985B6A" w:rsidRDefault="00985B6A" w:rsidP="00542BA2">
      <w:pPr>
        <w:pStyle w:val="af2"/>
        <w:numPr>
          <w:ilvl w:val="0"/>
          <w:numId w:val="16"/>
        </w:numPr>
        <w:tabs>
          <w:tab w:val="left" w:pos="426"/>
        </w:tabs>
        <w:spacing w:line="360" w:lineRule="auto"/>
        <w:ind w:left="0" w:firstLine="0"/>
        <w:jc w:val="both"/>
      </w:pPr>
      <w:r w:rsidRPr="00985B6A">
        <w:rPr>
          <w:b/>
          <w:bCs/>
        </w:rPr>
        <w:t>Петросян Артур Павлович</w:t>
      </w:r>
      <w:r>
        <w:t>, к</w:t>
      </w:r>
      <w:r w:rsidRPr="00985B6A">
        <w:t>.м.н., врач-рентгенохирург МРНЦ им. АФ Цыба</w:t>
      </w:r>
      <w:r w:rsidR="008E1809">
        <w:t xml:space="preserve"> - </w:t>
      </w:r>
      <w:r w:rsidRPr="00985B6A">
        <w:t>филиал ФГБУ «НМИЦ радиологии» Минздрава России</w:t>
      </w:r>
      <w:r w:rsidR="008E1809">
        <w:t>.</w:t>
      </w:r>
    </w:p>
    <w:p w14:paraId="096FB7AD" w14:textId="64CAE94D" w:rsidR="0017591B" w:rsidRPr="00DF0D90" w:rsidRDefault="0017591B" w:rsidP="008E1809">
      <w:pPr>
        <w:pStyle w:val="af2"/>
        <w:numPr>
          <w:ilvl w:val="0"/>
          <w:numId w:val="16"/>
        </w:numPr>
        <w:tabs>
          <w:tab w:val="left" w:pos="426"/>
        </w:tabs>
        <w:spacing w:line="360" w:lineRule="auto"/>
        <w:ind w:left="0" w:firstLine="0"/>
        <w:jc w:val="both"/>
      </w:pPr>
      <w:r w:rsidRPr="008E1809">
        <w:rPr>
          <w:b/>
          <w:bCs/>
        </w:rPr>
        <w:t xml:space="preserve">Петров </w:t>
      </w:r>
      <w:r w:rsidR="008E1809" w:rsidRPr="008E1809">
        <w:rPr>
          <w:b/>
          <w:bCs/>
        </w:rPr>
        <w:t>Леонид Олегович</w:t>
      </w:r>
      <w:r w:rsidRPr="008E1809">
        <w:rPr>
          <w:b/>
          <w:bCs/>
        </w:rPr>
        <w:t xml:space="preserve">, </w:t>
      </w:r>
      <w:r w:rsidRPr="008E1809">
        <w:rPr>
          <w:color w:val="000000"/>
        </w:rPr>
        <w:t xml:space="preserve">к.м.н., </w:t>
      </w:r>
      <w:r w:rsidRPr="00DF0D90">
        <w:t>заведующий отделени</w:t>
      </w:r>
      <w:r w:rsidR="00295DF5" w:rsidRPr="00DF0D90">
        <w:t>ем</w:t>
      </w:r>
      <w:r w:rsidRPr="00DF0D90">
        <w:t xml:space="preserve"> лучевого и хирургического лечения заболеваний абдоминальной области МРНЦ им. А.Ф. Цыба - филиал ФГБУ «НМИЦ радиологии» Минздрава России</w:t>
      </w:r>
      <w:r w:rsidR="008E1809">
        <w:t>.</w:t>
      </w:r>
    </w:p>
    <w:p w14:paraId="6667E83D" w14:textId="6146508B" w:rsidR="00C0142B" w:rsidRPr="008E1809" w:rsidRDefault="00C0142B" w:rsidP="00542BA2">
      <w:pPr>
        <w:pStyle w:val="af2"/>
        <w:numPr>
          <w:ilvl w:val="0"/>
          <w:numId w:val="16"/>
        </w:numPr>
        <w:tabs>
          <w:tab w:val="left" w:pos="426"/>
        </w:tabs>
        <w:spacing w:line="360" w:lineRule="auto"/>
        <w:ind w:left="0" w:firstLine="0"/>
        <w:jc w:val="both"/>
      </w:pPr>
      <w:r w:rsidRPr="00DF0D90">
        <w:rPr>
          <w:b/>
          <w:bCs/>
        </w:rPr>
        <w:t xml:space="preserve">Погребняков </w:t>
      </w:r>
      <w:r w:rsidR="008E1809" w:rsidRPr="008E1809">
        <w:rPr>
          <w:b/>
          <w:bCs/>
        </w:rPr>
        <w:t>Игорь Владимирович</w:t>
      </w:r>
      <w:r w:rsidR="004F7795" w:rsidRPr="00DF0D90">
        <w:rPr>
          <w:b/>
          <w:bCs/>
        </w:rPr>
        <w:t>,</w:t>
      </w:r>
      <w:r w:rsidRPr="00DF0D90">
        <w:rPr>
          <w:b/>
          <w:bCs/>
        </w:rPr>
        <w:t xml:space="preserve"> </w:t>
      </w:r>
      <w:r w:rsidRPr="008E1809">
        <w:t xml:space="preserve">к.м.н., </w:t>
      </w:r>
      <w:r w:rsidR="008E1809" w:rsidRPr="008E1809">
        <w:rPr>
          <w:color w:val="222222"/>
          <w:shd w:val="clear" w:color="auto" w:fill="FFFFFF"/>
        </w:rPr>
        <w:t xml:space="preserve">ведущий научный сотрудник отделения абдоминальной онкологии №2 (опухолей </w:t>
      </w:r>
      <w:proofErr w:type="spellStart"/>
      <w:r w:rsidR="008E1809" w:rsidRPr="008E1809">
        <w:rPr>
          <w:color w:val="222222"/>
          <w:shd w:val="clear" w:color="auto" w:fill="FFFFFF"/>
        </w:rPr>
        <w:t>гепатопанкреатобилиарной</w:t>
      </w:r>
      <w:proofErr w:type="spellEnd"/>
      <w:r w:rsidR="008E1809" w:rsidRPr="008E1809">
        <w:rPr>
          <w:color w:val="222222"/>
          <w:shd w:val="clear" w:color="auto" w:fill="FFFFFF"/>
        </w:rPr>
        <w:t xml:space="preserve"> зоны) </w:t>
      </w:r>
      <w:r w:rsidRPr="008E1809">
        <w:t>ФГБУ «НМИЦ онкологии им. Н.Н. Блохина» Минздрава России</w:t>
      </w:r>
      <w:r w:rsidR="008E1809">
        <w:t>.</w:t>
      </w:r>
    </w:p>
    <w:p w14:paraId="1DE62FA2" w14:textId="09D45E27" w:rsidR="00630BAC" w:rsidRPr="00DF0D90" w:rsidRDefault="00630BAC" w:rsidP="00542BA2">
      <w:pPr>
        <w:pStyle w:val="af2"/>
        <w:numPr>
          <w:ilvl w:val="0"/>
          <w:numId w:val="16"/>
        </w:numPr>
        <w:tabs>
          <w:tab w:val="left" w:pos="426"/>
        </w:tabs>
        <w:spacing w:line="360" w:lineRule="auto"/>
        <w:ind w:left="0" w:firstLine="0"/>
        <w:jc w:val="both"/>
      </w:pPr>
      <w:proofErr w:type="spellStart"/>
      <w:r w:rsidRPr="00DF0D90">
        <w:rPr>
          <w:b/>
        </w:rPr>
        <w:t>Подлужный</w:t>
      </w:r>
      <w:proofErr w:type="spellEnd"/>
      <w:r w:rsidRPr="00DF0D90">
        <w:rPr>
          <w:b/>
        </w:rPr>
        <w:t xml:space="preserve"> </w:t>
      </w:r>
      <w:r w:rsidR="008E1809" w:rsidRPr="008E1809">
        <w:rPr>
          <w:b/>
        </w:rPr>
        <w:t>Данил Викторович</w:t>
      </w:r>
      <w:r w:rsidRPr="00DF0D90">
        <w:rPr>
          <w:b/>
        </w:rPr>
        <w:t>,</w:t>
      </w:r>
      <w:r w:rsidR="0053644B" w:rsidRPr="00DF0D90">
        <w:rPr>
          <w:b/>
        </w:rPr>
        <w:t xml:space="preserve"> </w:t>
      </w:r>
      <w:r w:rsidRPr="00DF0D90">
        <w:t xml:space="preserve">к.м.н., заведующий отделением </w:t>
      </w:r>
      <w:r w:rsidRPr="00DF0D90">
        <w:rPr>
          <w:color w:val="181716"/>
        </w:rPr>
        <w:t xml:space="preserve">опухолей печени и поджелудочной железы </w:t>
      </w:r>
      <w:r w:rsidRPr="00DF0D90">
        <w:t>ФГБУ «НМИЦ онкологии им. Н.Н. Блохина» Минздрава России.</w:t>
      </w:r>
    </w:p>
    <w:p w14:paraId="22BE0DC7" w14:textId="36E17E22" w:rsidR="00630BAC" w:rsidRDefault="00630BAC" w:rsidP="00542BA2">
      <w:pPr>
        <w:pStyle w:val="af2"/>
        <w:numPr>
          <w:ilvl w:val="0"/>
          <w:numId w:val="16"/>
        </w:numPr>
        <w:tabs>
          <w:tab w:val="left" w:pos="426"/>
        </w:tabs>
        <w:spacing w:line="360" w:lineRule="auto"/>
        <w:ind w:left="0" w:firstLine="0"/>
        <w:jc w:val="both"/>
      </w:pPr>
      <w:r w:rsidRPr="00DF0D90">
        <w:rPr>
          <w:b/>
        </w:rPr>
        <w:t xml:space="preserve">Сагайдак </w:t>
      </w:r>
      <w:r w:rsidR="008E1809" w:rsidRPr="008E1809">
        <w:rPr>
          <w:b/>
        </w:rPr>
        <w:t>Игорь Всеволодович</w:t>
      </w:r>
      <w:r w:rsidRPr="00DF0D90">
        <w:rPr>
          <w:b/>
        </w:rPr>
        <w:t>,</w:t>
      </w:r>
      <w:r w:rsidRPr="00DF0D90">
        <w:t xml:space="preserve"> д.м.н., профессор, </w:t>
      </w:r>
      <w:r w:rsidR="008E1809" w:rsidRPr="008E1809">
        <w:t xml:space="preserve">ведущий научный сотрудник отделения абдоминальной онкологии №2 (опухолей </w:t>
      </w:r>
      <w:proofErr w:type="spellStart"/>
      <w:r w:rsidR="008E1809" w:rsidRPr="008E1809">
        <w:t>гепатопанкреатобилиарной</w:t>
      </w:r>
      <w:proofErr w:type="spellEnd"/>
      <w:r w:rsidR="008E1809" w:rsidRPr="008E1809">
        <w:t xml:space="preserve"> зоны) </w:t>
      </w:r>
      <w:r w:rsidR="008E1809" w:rsidRPr="00DF0D90">
        <w:t>ФГБУ</w:t>
      </w:r>
      <w:r w:rsidRPr="00DF0D90">
        <w:t xml:space="preserve"> «НМИЦ онкологии им. Н.Н. Блохина» Минздрава России.</w:t>
      </w:r>
    </w:p>
    <w:p w14:paraId="58ECA388" w14:textId="137637F3" w:rsidR="008E1809" w:rsidRDefault="008E1809" w:rsidP="00542BA2">
      <w:pPr>
        <w:pStyle w:val="af2"/>
        <w:numPr>
          <w:ilvl w:val="0"/>
          <w:numId w:val="16"/>
        </w:numPr>
        <w:tabs>
          <w:tab w:val="left" w:pos="426"/>
        </w:tabs>
        <w:spacing w:line="360" w:lineRule="auto"/>
        <w:ind w:left="0" w:firstLine="0"/>
        <w:jc w:val="both"/>
      </w:pPr>
      <w:proofErr w:type="spellStart"/>
      <w:r w:rsidRPr="008E1809">
        <w:rPr>
          <w:b/>
          <w:bCs/>
        </w:rPr>
        <w:t>Смолярчук</w:t>
      </w:r>
      <w:proofErr w:type="spellEnd"/>
      <w:r w:rsidRPr="008E1809">
        <w:rPr>
          <w:b/>
          <w:bCs/>
        </w:rPr>
        <w:t xml:space="preserve"> Максим Ярославович</w:t>
      </w:r>
      <w:r>
        <w:t xml:space="preserve">, </w:t>
      </w:r>
      <w:r w:rsidRPr="008E1809">
        <w:t>врач-радиолог, научный сотрудник отделения радиохирургического лечения открытыми радионуклидами МРНЦ им. А.Ф. Цыба</w:t>
      </w:r>
      <w:r w:rsidRPr="008E1809">
        <w:tab/>
      </w:r>
      <w:r>
        <w:t xml:space="preserve">- </w:t>
      </w:r>
      <w:r w:rsidRPr="008E1809">
        <w:t>филиал ФГБУ «НМИЦ радиологии» Минздрава России</w:t>
      </w:r>
      <w:r>
        <w:t>.</w:t>
      </w:r>
    </w:p>
    <w:p w14:paraId="41BC9758" w14:textId="37E8890C" w:rsidR="000E129D" w:rsidRDefault="008E1809" w:rsidP="008E1809">
      <w:pPr>
        <w:pStyle w:val="af2"/>
        <w:numPr>
          <w:ilvl w:val="0"/>
          <w:numId w:val="16"/>
        </w:numPr>
        <w:tabs>
          <w:tab w:val="left" w:pos="426"/>
        </w:tabs>
        <w:spacing w:line="360" w:lineRule="auto"/>
        <w:ind w:left="0" w:firstLine="0"/>
        <w:jc w:val="both"/>
      </w:pPr>
      <w:r w:rsidRPr="008E1809">
        <w:rPr>
          <w:b/>
          <w:bCs/>
        </w:rPr>
        <w:t>Чжао Алексей Владимирович,</w:t>
      </w:r>
      <w:r>
        <w:t xml:space="preserve"> </w:t>
      </w:r>
      <w:r w:rsidRPr="008E1809">
        <w:t>д.м.н., профессор, заместитель директора ФГБУ «Институт хирургии имени А. В. Вишневского» по научной работе</w:t>
      </w:r>
      <w:r>
        <w:t xml:space="preserve"> </w:t>
      </w:r>
      <w:r w:rsidRPr="008E1809">
        <w:t>ФГБУ</w:t>
      </w:r>
      <w:r>
        <w:t xml:space="preserve"> </w:t>
      </w:r>
      <w:r w:rsidRPr="008E1809">
        <w:t>«Институт хирургии имени А. В. Вишневского»</w:t>
      </w:r>
      <w:r>
        <w:t>.</w:t>
      </w:r>
      <w:bookmarkStart w:id="137" w:name="_Toc467601723"/>
      <w:bookmarkStart w:id="138" w:name="_Toc470722691"/>
      <w:bookmarkStart w:id="139" w:name="_Toc470722800"/>
    </w:p>
    <w:p w14:paraId="6250DCE7" w14:textId="77777777" w:rsidR="008E1809" w:rsidRPr="008E1809" w:rsidRDefault="008E1809" w:rsidP="008E1809">
      <w:pPr>
        <w:pStyle w:val="af2"/>
        <w:tabs>
          <w:tab w:val="left" w:pos="426"/>
        </w:tabs>
        <w:spacing w:line="360" w:lineRule="auto"/>
        <w:ind w:left="0"/>
        <w:jc w:val="both"/>
      </w:pPr>
    </w:p>
    <w:p w14:paraId="7B06DC30" w14:textId="77777777" w:rsidR="00630BAC" w:rsidRPr="00DF0D90" w:rsidRDefault="00630BAC" w:rsidP="00542BA2">
      <w:pPr>
        <w:spacing w:line="360" w:lineRule="auto"/>
        <w:jc w:val="both"/>
        <w:rPr>
          <w:b/>
          <w:bCs/>
          <w:iCs/>
          <w:color w:val="000000"/>
        </w:rPr>
      </w:pPr>
      <w:r w:rsidRPr="00DF0D90">
        <w:rPr>
          <w:b/>
          <w:bCs/>
          <w:iCs/>
          <w:color w:val="000000"/>
        </w:rPr>
        <w:lastRenderedPageBreak/>
        <w:t>Блок по организации медицинской помощи:</w:t>
      </w:r>
    </w:p>
    <w:p w14:paraId="513A19BE" w14:textId="68D1F4A6" w:rsidR="00630BAC" w:rsidRPr="00DF0D90" w:rsidRDefault="001D7B82" w:rsidP="00542BA2">
      <w:pPr>
        <w:pStyle w:val="af2"/>
        <w:numPr>
          <w:ilvl w:val="0"/>
          <w:numId w:val="18"/>
        </w:numPr>
        <w:tabs>
          <w:tab w:val="left" w:pos="426"/>
        </w:tabs>
        <w:spacing w:line="360" w:lineRule="auto"/>
        <w:ind w:left="0" w:firstLine="0"/>
        <w:jc w:val="both"/>
      </w:pPr>
      <w:r w:rsidRPr="001D7B82">
        <w:rPr>
          <w:b/>
        </w:rPr>
        <w:t>Фоменко Юрий Александрович</w:t>
      </w:r>
      <w:r w:rsidR="008E1809">
        <w:rPr>
          <w:b/>
        </w:rPr>
        <w:t xml:space="preserve">, </w:t>
      </w:r>
      <w:r w:rsidRPr="001D7B82">
        <w:t>к.м.н., заместитель генерального директора по клинико-экспертной работе ФГБУ "НМИЦ онкологии" Минздрава России</w:t>
      </w:r>
      <w:r w:rsidR="00630BAC" w:rsidRPr="00DF0D90">
        <w:t>.</w:t>
      </w:r>
    </w:p>
    <w:p w14:paraId="3CFA750D" w14:textId="7F6F9B4E" w:rsidR="00630BAC" w:rsidRPr="00DF0D90" w:rsidRDefault="00630BAC" w:rsidP="00542BA2">
      <w:pPr>
        <w:pStyle w:val="af2"/>
        <w:numPr>
          <w:ilvl w:val="0"/>
          <w:numId w:val="18"/>
        </w:numPr>
        <w:tabs>
          <w:tab w:val="left" w:pos="426"/>
          <w:tab w:val="left" w:pos="851"/>
        </w:tabs>
        <w:spacing w:line="360" w:lineRule="auto"/>
        <w:ind w:left="0" w:firstLine="0"/>
        <w:jc w:val="both"/>
      </w:pPr>
      <w:r w:rsidRPr="00DF0D90">
        <w:rPr>
          <w:b/>
        </w:rPr>
        <w:t xml:space="preserve">Иванов </w:t>
      </w:r>
      <w:r w:rsidR="008E1809" w:rsidRPr="008E1809">
        <w:rPr>
          <w:b/>
        </w:rPr>
        <w:t>Сергей Анатольевич</w:t>
      </w:r>
      <w:r w:rsidRPr="00DF0D90">
        <w:rPr>
          <w:b/>
        </w:rPr>
        <w:t>,</w:t>
      </w:r>
      <w:r w:rsidR="001A2966" w:rsidRPr="00DF0D90">
        <w:rPr>
          <w:b/>
        </w:rPr>
        <w:t xml:space="preserve"> </w:t>
      </w:r>
      <w:r w:rsidR="008E1809" w:rsidRPr="008E1809">
        <w:t>д.м.н., профессор, член-корреспондент РАН, заслуженный врач РФ, директор МРНЦ им. А.Ф. Цыба — филиала ФГБУ «НМИЦ радиологии» Минздрава России, главный внештатный специалист-онколог ЦФО Минздрава России</w:t>
      </w:r>
      <w:r w:rsidRPr="00DF0D90">
        <w:t>.</w:t>
      </w:r>
    </w:p>
    <w:p w14:paraId="6F694431" w14:textId="358DD20D" w:rsidR="00630BAC" w:rsidRPr="00DF0D90" w:rsidRDefault="00630BAC" w:rsidP="00542BA2">
      <w:pPr>
        <w:pStyle w:val="af2"/>
        <w:numPr>
          <w:ilvl w:val="0"/>
          <w:numId w:val="18"/>
        </w:numPr>
        <w:tabs>
          <w:tab w:val="left" w:pos="426"/>
          <w:tab w:val="left" w:pos="851"/>
        </w:tabs>
        <w:spacing w:line="360" w:lineRule="auto"/>
        <w:ind w:left="0" w:firstLine="0"/>
        <w:jc w:val="both"/>
      </w:pPr>
      <w:r w:rsidRPr="00DF0D90">
        <w:rPr>
          <w:b/>
        </w:rPr>
        <w:t xml:space="preserve">Хайлова </w:t>
      </w:r>
      <w:r w:rsidR="008E1809" w:rsidRPr="008E1809">
        <w:rPr>
          <w:b/>
        </w:rPr>
        <w:t>Жанна Владимировна</w:t>
      </w:r>
      <w:r w:rsidRPr="00DF0D90">
        <w:rPr>
          <w:b/>
        </w:rPr>
        <w:t>,</w:t>
      </w:r>
      <w:r w:rsidRPr="00DF0D90">
        <w:t xml:space="preserve"> к.м.н., заместитель директора по организационно-методической работе МРНЦ им. А.Ф. Цыба – филиала ФГБУ «НМИЦ радиологии» Минздрава России.</w:t>
      </w:r>
    </w:p>
    <w:p w14:paraId="346A0F27" w14:textId="39047433" w:rsidR="00630BAC" w:rsidRDefault="00630BAC" w:rsidP="00542BA2">
      <w:pPr>
        <w:pStyle w:val="af2"/>
        <w:numPr>
          <w:ilvl w:val="0"/>
          <w:numId w:val="18"/>
        </w:numPr>
        <w:tabs>
          <w:tab w:val="left" w:pos="426"/>
          <w:tab w:val="left" w:pos="851"/>
        </w:tabs>
        <w:spacing w:line="360" w:lineRule="auto"/>
        <w:ind w:left="0" w:firstLine="0"/>
        <w:jc w:val="both"/>
      </w:pPr>
      <w:r w:rsidRPr="00DF0D90">
        <w:rPr>
          <w:b/>
        </w:rPr>
        <w:t xml:space="preserve">Геворкян </w:t>
      </w:r>
      <w:r w:rsidR="008E1809" w:rsidRPr="008E1809">
        <w:rPr>
          <w:b/>
        </w:rPr>
        <w:t>Тигран Гагикович</w:t>
      </w:r>
      <w:r w:rsidRPr="00DF0D90">
        <w:rPr>
          <w:b/>
        </w:rPr>
        <w:t>,</w:t>
      </w:r>
      <w:r w:rsidRPr="00DF0D90">
        <w:t xml:space="preserve"> заместитель директора</w:t>
      </w:r>
      <w:r w:rsidR="000D4215" w:rsidRPr="00DF0D90">
        <w:t xml:space="preserve"> по реализации федеральных проектов</w:t>
      </w:r>
      <w:r w:rsidRPr="00DF0D90">
        <w:t xml:space="preserve"> ФГБУ «НМИЦ онкологии им. Н.Н. Блохина» Минздрава России.</w:t>
      </w:r>
    </w:p>
    <w:p w14:paraId="14DCD369" w14:textId="130C4151" w:rsidR="008E1809" w:rsidRDefault="008E1809" w:rsidP="00542BA2">
      <w:pPr>
        <w:pStyle w:val="af2"/>
        <w:numPr>
          <w:ilvl w:val="0"/>
          <w:numId w:val="18"/>
        </w:numPr>
        <w:tabs>
          <w:tab w:val="left" w:pos="426"/>
          <w:tab w:val="left" w:pos="851"/>
        </w:tabs>
        <w:spacing w:line="360" w:lineRule="auto"/>
        <w:ind w:left="0" w:firstLine="0"/>
        <w:jc w:val="both"/>
      </w:pPr>
      <w:r w:rsidRPr="008E1809">
        <w:rPr>
          <w:b/>
          <w:bCs/>
        </w:rPr>
        <w:t>Комаров Юрий Игоревич</w:t>
      </w:r>
      <w:r>
        <w:t>,</w:t>
      </w:r>
      <w:r w:rsidRPr="008E1809">
        <w:tab/>
        <w:t>к.м.н., заместитель директора по организационно-методической работе ФГБУ «НМИЦ онкологии им. Н. Н. Петрова» Минздрава России</w:t>
      </w:r>
      <w:r>
        <w:t>.</w:t>
      </w:r>
    </w:p>
    <w:p w14:paraId="38EE7C38" w14:textId="77777777" w:rsidR="00A02649" w:rsidRPr="00DF0D90" w:rsidRDefault="00A02649" w:rsidP="00A02649">
      <w:pPr>
        <w:tabs>
          <w:tab w:val="left" w:pos="426"/>
          <w:tab w:val="left" w:pos="851"/>
        </w:tabs>
        <w:spacing w:line="360" w:lineRule="auto"/>
        <w:jc w:val="both"/>
      </w:pPr>
    </w:p>
    <w:p w14:paraId="63D40EAD" w14:textId="77777777" w:rsidR="000E129D" w:rsidRPr="00DF0D90" w:rsidRDefault="000E129D" w:rsidP="006D217F">
      <w:pPr>
        <w:spacing w:after="120" w:line="360" w:lineRule="auto"/>
        <w:ind w:firstLine="567"/>
        <w:jc w:val="both"/>
        <w:rPr>
          <w:b/>
        </w:rPr>
      </w:pPr>
    </w:p>
    <w:p w14:paraId="5943F5F0" w14:textId="77777777" w:rsidR="00630BAC" w:rsidRPr="00DF0D90" w:rsidRDefault="00630BAC" w:rsidP="00FE4F7D">
      <w:pPr>
        <w:spacing w:after="120" w:line="360" w:lineRule="auto"/>
        <w:jc w:val="both"/>
        <w:rPr>
          <w:b/>
        </w:rPr>
      </w:pPr>
      <w:r w:rsidRPr="00DF0D90">
        <w:rPr>
          <w:b/>
        </w:rPr>
        <w:t>Конфликта интересов нет.</w:t>
      </w:r>
    </w:p>
    <w:p w14:paraId="1F3ED207" w14:textId="77777777" w:rsidR="000E129D" w:rsidRPr="0043377B" w:rsidRDefault="000E129D" w:rsidP="006E7DE5"/>
    <w:p w14:paraId="480C2837" w14:textId="77777777" w:rsidR="000E129D" w:rsidRPr="00DF0D90" w:rsidRDefault="000E129D" w:rsidP="006E7DE5"/>
    <w:p w14:paraId="4131620F" w14:textId="5B279856" w:rsidR="00630BAC" w:rsidRPr="00DF0D90" w:rsidRDefault="00630BAC" w:rsidP="00801019">
      <w:pPr>
        <w:pStyle w:val="42"/>
      </w:pPr>
      <w:bookmarkStart w:id="140" w:name="_Toc98349303"/>
      <w:bookmarkStart w:id="141" w:name="_Toc83294001"/>
      <w:r w:rsidRPr="00DF0D90">
        <w:t>Приложение</w:t>
      </w:r>
      <w:r w:rsidR="00FE4F7D" w:rsidRPr="00DF0D90">
        <w:t xml:space="preserve"> </w:t>
      </w:r>
      <w:r w:rsidRPr="00DF0D90">
        <w:t>А2. Методология разработки клинических рекомендаций</w:t>
      </w:r>
      <w:bookmarkEnd w:id="137"/>
      <w:bookmarkEnd w:id="138"/>
      <w:bookmarkEnd w:id="139"/>
      <w:bookmarkEnd w:id="140"/>
      <w:bookmarkEnd w:id="141"/>
    </w:p>
    <w:p w14:paraId="1E8BC234" w14:textId="77777777" w:rsidR="00630BAC" w:rsidRPr="00DF0D90" w:rsidRDefault="00630BAC" w:rsidP="003003F4">
      <w:pPr>
        <w:spacing w:after="120" w:line="360" w:lineRule="auto"/>
        <w:jc w:val="both"/>
        <w:rPr>
          <w:b/>
        </w:rPr>
      </w:pPr>
      <w:r w:rsidRPr="00DF0D90">
        <w:rPr>
          <w:b/>
        </w:rPr>
        <w:t>Целевая аудитория данных клинических рекомендаций:</w:t>
      </w:r>
    </w:p>
    <w:p w14:paraId="72A5F5D1" w14:textId="77777777" w:rsidR="00630BAC" w:rsidRPr="00DF0D90" w:rsidRDefault="00630BAC" w:rsidP="006D217F">
      <w:pPr>
        <w:pStyle w:val="-11"/>
        <w:numPr>
          <w:ilvl w:val="0"/>
          <w:numId w:val="19"/>
        </w:numPr>
        <w:spacing w:after="120" w:line="360" w:lineRule="auto"/>
        <w:ind w:firstLine="567"/>
        <w:jc w:val="both"/>
      </w:pPr>
      <w:r w:rsidRPr="00DF0D90">
        <w:t xml:space="preserve">врачи-онкологи; </w:t>
      </w:r>
    </w:p>
    <w:p w14:paraId="63D44437" w14:textId="77777777" w:rsidR="00630BAC" w:rsidRPr="00DF0D90" w:rsidRDefault="00630BAC" w:rsidP="006D217F">
      <w:pPr>
        <w:pStyle w:val="-11"/>
        <w:numPr>
          <w:ilvl w:val="0"/>
          <w:numId w:val="19"/>
        </w:numPr>
        <w:spacing w:after="120" w:line="360" w:lineRule="auto"/>
        <w:ind w:firstLine="567"/>
        <w:jc w:val="both"/>
      </w:pPr>
      <w:r w:rsidRPr="00DF0D90">
        <w:t>врачи-хирурги;</w:t>
      </w:r>
    </w:p>
    <w:p w14:paraId="6149E465" w14:textId="77777777" w:rsidR="00630BAC" w:rsidRPr="00DF0D90" w:rsidRDefault="00630BAC" w:rsidP="006D217F">
      <w:pPr>
        <w:pStyle w:val="-11"/>
        <w:numPr>
          <w:ilvl w:val="0"/>
          <w:numId w:val="19"/>
        </w:numPr>
        <w:spacing w:after="120" w:line="360" w:lineRule="auto"/>
        <w:ind w:firstLine="567"/>
        <w:jc w:val="both"/>
      </w:pPr>
      <w:r w:rsidRPr="00DF0D90">
        <w:t>врачи-радиологи;</w:t>
      </w:r>
    </w:p>
    <w:p w14:paraId="6ACBDE8A" w14:textId="3F0E0EF4" w:rsidR="00630BAC" w:rsidRPr="00DF0D90" w:rsidRDefault="009F4ACF" w:rsidP="006D217F">
      <w:pPr>
        <w:pStyle w:val="-11"/>
        <w:numPr>
          <w:ilvl w:val="0"/>
          <w:numId w:val="19"/>
        </w:numPr>
        <w:spacing w:after="120" w:line="360" w:lineRule="auto"/>
        <w:ind w:firstLine="567"/>
        <w:jc w:val="both"/>
      </w:pPr>
      <w:r w:rsidRPr="00DF0D90">
        <w:rPr>
          <w:color w:val="464C55"/>
          <w:shd w:val="clear" w:color="auto" w:fill="FFFFFF"/>
        </w:rPr>
        <w:t xml:space="preserve">врачи по </w:t>
      </w:r>
      <w:proofErr w:type="spellStart"/>
      <w:r w:rsidR="0082371E" w:rsidRPr="00DF0D90">
        <w:rPr>
          <w:color w:val="464C55"/>
          <w:shd w:val="clear" w:color="auto" w:fill="FFFFFF"/>
        </w:rPr>
        <w:t>рентгеноэндоваскулярным</w:t>
      </w:r>
      <w:proofErr w:type="spellEnd"/>
      <w:r w:rsidRPr="00DF0D90">
        <w:rPr>
          <w:color w:val="464C55"/>
          <w:shd w:val="clear" w:color="auto" w:fill="FFFFFF"/>
        </w:rPr>
        <w:t xml:space="preserve"> диагностике и лечению</w:t>
      </w:r>
      <w:r w:rsidR="00630BAC" w:rsidRPr="00DF0D90">
        <w:t>;</w:t>
      </w:r>
    </w:p>
    <w:p w14:paraId="2A254AE5" w14:textId="77777777" w:rsidR="00630BAC" w:rsidRPr="00DF0D90" w:rsidRDefault="00630BAC" w:rsidP="006D217F">
      <w:pPr>
        <w:pStyle w:val="-11"/>
        <w:numPr>
          <w:ilvl w:val="0"/>
          <w:numId w:val="19"/>
        </w:numPr>
        <w:spacing w:after="120" w:line="360" w:lineRule="auto"/>
        <w:ind w:firstLine="567"/>
        <w:jc w:val="both"/>
      </w:pPr>
      <w:r w:rsidRPr="00DF0D90">
        <w:t>студенты медицинских вузов, ординаторы и аспиранты.</w:t>
      </w:r>
    </w:p>
    <w:p w14:paraId="73B70948" w14:textId="77777777" w:rsidR="00630BAC" w:rsidRPr="00DF0D90" w:rsidRDefault="00630BAC" w:rsidP="003003F4">
      <w:pPr>
        <w:spacing w:after="120" w:line="360" w:lineRule="auto"/>
        <w:jc w:val="both"/>
      </w:pPr>
      <w:r w:rsidRPr="00DF0D90">
        <w:rPr>
          <w:b/>
        </w:rPr>
        <w:t xml:space="preserve">Методы, использованные для сбора/селекции доказательств: </w:t>
      </w:r>
      <w:r w:rsidRPr="00DF0D90">
        <w:t>поиск в электронных базах данных; анализ современных научных разработок по проблеме ГЦР в РФ и за рубежом; обобщение практического опыта российских и зарубежных специалистов.</w:t>
      </w:r>
    </w:p>
    <w:p w14:paraId="4FEC040B" w14:textId="77777777" w:rsidR="00630BAC" w:rsidRPr="00DF0D90" w:rsidRDefault="00630BAC" w:rsidP="003003F4">
      <w:pPr>
        <w:spacing w:after="120" w:line="360" w:lineRule="auto"/>
        <w:jc w:val="both"/>
        <w:rPr>
          <w:b/>
          <w:bCs/>
        </w:rPr>
      </w:pPr>
      <w:r w:rsidRPr="00DF0D90">
        <w:rPr>
          <w:b/>
          <w:bCs/>
        </w:rPr>
        <w:t>Шкала оценки уровней достоверности доказательств для методов диагностики (диагностических вмешательств)</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3"/>
        <w:gridCol w:w="7546"/>
      </w:tblGrid>
      <w:tr w:rsidR="00630BAC" w:rsidRPr="00DF0D90" w14:paraId="589A19C7" w14:textId="77777777">
        <w:trPr>
          <w:trHeight w:val="58"/>
        </w:trPr>
        <w:tc>
          <w:tcPr>
            <w:tcW w:w="427" w:type="pct"/>
            <w:vAlign w:val="center"/>
          </w:tcPr>
          <w:p w14:paraId="2C6401A0" w14:textId="77777777" w:rsidR="00630BAC" w:rsidRPr="00DF0D90" w:rsidRDefault="00630BAC" w:rsidP="00542BA2">
            <w:pPr>
              <w:spacing w:after="100" w:afterAutospacing="1"/>
              <w:ind w:firstLine="567"/>
              <w:jc w:val="both"/>
              <w:rPr>
                <w:b/>
                <w:bCs/>
              </w:rPr>
            </w:pPr>
            <w:r w:rsidRPr="00DF0D90">
              <w:rPr>
                <w:b/>
                <w:bCs/>
                <w:szCs w:val="22"/>
              </w:rPr>
              <w:lastRenderedPageBreak/>
              <w:t>Уровень достоверности доказательств</w:t>
            </w:r>
          </w:p>
        </w:tc>
        <w:tc>
          <w:tcPr>
            <w:tcW w:w="4573" w:type="pct"/>
            <w:vAlign w:val="center"/>
          </w:tcPr>
          <w:p w14:paraId="139F129F" w14:textId="77777777" w:rsidR="00630BAC" w:rsidRPr="00DF0D90" w:rsidRDefault="00630BAC" w:rsidP="00542BA2">
            <w:pPr>
              <w:spacing w:after="100" w:afterAutospacing="1"/>
              <w:ind w:firstLine="567"/>
              <w:jc w:val="both"/>
              <w:rPr>
                <w:b/>
                <w:bCs/>
              </w:rPr>
            </w:pPr>
            <w:r w:rsidRPr="00DF0D90">
              <w:rPr>
                <w:b/>
                <w:bCs/>
                <w:szCs w:val="22"/>
              </w:rPr>
              <w:t>Расшифровка</w:t>
            </w:r>
          </w:p>
        </w:tc>
      </w:tr>
      <w:tr w:rsidR="00630BAC" w:rsidRPr="00DF0D90" w14:paraId="77E9F0E7" w14:textId="77777777">
        <w:tc>
          <w:tcPr>
            <w:tcW w:w="427" w:type="pct"/>
          </w:tcPr>
          <w:p w14:paraId="2ADBD417" w14:textId="77777777" w:rsidR="00630BAC" w:rsidRPr="00DF0D90" w:rsidRDefault="00630BAC" w:rsidP="00542BA2">
            <w:pPr>
              <w:spacing w:after="100" w:afterAutospacing="1"/>
              <w:ind w:firstLine="567"/>
              <w:jc w:val="both"/>
            </w:pPr>
            <w:r w:rsidRPr="00DF0D90">
              <w:rPr>
                <w:szCs w:val="22"/>
              </w:rPr>
              <w:t>1</w:t>
            </w:r>
          </w:p>
        </w:tc>
        <w:tc>
          <w:tcPr>
            <w:tcW w:w="4573" w:type="pct"/>
          </w:tcPr>
          <w:p w14:paraId="4E64464E" w14:textId="77777777" w:rsidR="00630BAC" w:rsidRPr="00DF0D90" w:rsidRDefault="00630BAC" w:rsidP="00542BA2">
            <w:pPr>
              <w:spacing w:after="100" w:afterAutospacing="1"/>
              <w:jc w:val="both"/>
            </w:pPr>
            <w:r w:rsidRPr="00DF0D90">
              <w:rPr>
                <w:szCs w:val="22"/>
              </w:rPr>
              <w:t>Систематические обзоры исследований с контролем референсным методом или систематический обзор рандомизированных клинических исследований с применением метаанализа</w:t>
            </w:r>
          </w:p>
        </w:tc>
      </w:tr>
      <w:tr w:rsidR="00630BAC" w:rsidRPr="00DF0D90" w14:paraId="60D1B8AE" w14:textId="77777777">
        <w:tc>
          <w:tcPr>
            <w:tcW w:w="427" w:type="pct"/>
          </w:tcPr>
          <w:p w14:paraId="64CBD490" w14:textId="77777777" w:rsidR="00630BAC" w:rsidRPr="00DF0D90" w:rsidRDefault="00630BAC" w:rsidP="00542BA2">
            <w:pPr>
              <w:spacing w:after="100" w:afterAutospacing="1"/>
              <w:ind w:firstLine="567"/>
              <w:jc w:val="both"/>
            </w:pPr>
            <w:r w:rsidRPr="00DF0D90">
              <w:rPr>
                <w:szCs w:val="22"/>
              </w:rPr>
              <w:t>2</w:t>
            </w:r>
          </w:p>
        </w:tc>
        <w:tc>
          <w:tcPr>
            <w:tcW w:w="4573" w:type="pct"/>
          </w:tcPr>
          <w:p w14:paraId="7AA681E2" w14:textId="77777777" w:rsidR="00630BAC" w:rsidRPr="00DF0D90" w:rsidRDefault="00630BAC" w:rsidP="00542BA2">
            <w:pPr>
              <w:spacing w:after="100" w:afterAutospacing="1"/>
              <w:jc w:val="both"/>
            </w:pPr>
            <w:r w:rsidRPr="00DF0D90">
              <w:rPr>
                <w:szCs w:val="22"/>
              </w:rPr>
              <w:t>Отдельные исследования с контролем референсным методом или отдельные рандомизированные клинические исследования и систематические обзоры исследований любого дизайна, за исключением рандомизированных клинических исследований, с применением метаанализа</w:t>
            </w:r>
          </w:p>
        </w:tc>
      </w:tr>
      <w:tr w:rsidR="00630BAC" w:rsidRPr="00DF0D90" w14:paraId="2A75DD07" w14:textId="77777777">
        <w:tc>
          <w:tcPr>
            <w:tcW w:w="427" w:type="pct"/>
          </w:tcPr>
          <w:p w14:paraId="68A6D588" w14:textId="77777777" w:rsidR="00630BAC" w:rsidRPr="00DF0D90" w:rsidRDefault="00630BAC" w:rsidP="00542BA2">
            <w:pPr>
              <w:spacing w:after="100" w:afterAutospacing="1"/>
              <w:ind w:firstLine="567"/>
              <w:jc w:val="both"/>
            </w:pPr>
            <w:r w:rsidRPr="00DF0D90">
              <w:rPr>
                <w:szCs w:val="22"/>
              </w:rPr>
              <w:t>3</w:t>
            </w:r>
          </w:p>
        </w:tc>
        <w:tc>
          <w:tcPr>
            <w:tcW w:w="4573" w:type="pct"/>
          </w:tcPr>
          <w:p w14:paraId="635AB8F1" w14:textId="77777777" w:rsidR="00630BAC" w:rsidRPr="00DF0D90" w:rsidRDefault="00630BAC" w:rsidP="00542BA2">
            <w:pPr>
              <w:spacing w:after="100" w:afterAutospacing="1"/>
              <w:jc w:val="both"/>
            </w:pPr>
            <w:r w:rsidRPr="00DF0D90">
              <w:rPr>
                <w:szCs w:val="22"/>
              </w:rPr>
              <w:t xml:space="preserve">Исследования без последовательного контроля референсным методом, или исследования с контролем референсным методом, не являющимся независимым от исследуемого метода, или </w:t>
            </w:r>
            <w:proofErr w:type="spellStart"/>
            <w:r w:rsidRPr="00DF0D90">
              <w:rPr>
                <w:szCs w:val="22"/>
              </w:rPr>
              <w:t>нерандомизированные</w:t>
            </w:r>
            <w:proofErr w:type="spellEnd"/>
            <w:r w:rsidRPr="00DF0D90">
              <w:rPr>
                <w:szCs w:val="22"/>
              </w:rPr>
              <w:t xml:space="preserve"> сравнительные исследования, в том числе </w:t>
            </w:r>
            <w:proofErr w:type="spellStart"/>
            <w:r w:rsidRPr="00DF0D90">
              <w:rPr>
                <w:szCs w:val="22"/>
              </w:rPr>
              <w:t>когортные</w:t>
            </w:r>
            <w:proofErr w:type="spellEnd"/>
            <w:r w:rsidRPr="00DF0D90">
              <w:rPr>
                <w:szCs w:val="22"/>
              </w:rPr>
              <w:t xml:space="preserve"> исследования</w:t>
            </w:r>
          </w:p>
        </w:tc>
      </w:tr>
      <w:tr w:rsidR="00630BAC" w:rsidRPr="00DF0D90" w14:paraId="2C2D6D75" w14:textId="77777777">
        <w:tc>
          <w:tcPr>
            <w:tcW w:w="427" w:type="pct"/>
          </w:tcPr>
          <w:p w14:paraId="06AD2977" w14:textId="77777777" w:rsidR="00630BAC" w:rsidRPr="00DF0D90" w:rsidRDefault="00630BAC" w:rsidP="00542BA2">
            <w:pPr>
              <w:spacing w:after="100" w:afterAutospacing="1"/>
              <w:ind w:firstLine="567"/>
              <w:jc w:val="both"/>
            </w:pPr>
            <w:r w:rsidRPr="00DF0D90">
              <w:rPr>
                <w:szCs w:val="22"/>
              </w:rPr>
              <w:t>4</w:t>
            </w:r>
          </w:p>
        </w:tc>
        <w:tc>
          <w:tcPr>
            <w:tcW w:w="4573" w:type="pct"/>
          </w:tcPr>
          <w:p w14:paraId="3C1C7E7E" w14:textId="77777777" w:rsidR="00630BAC" w:rsidRPr="00DF0D90" w:rsidRDefault="00630BAC" w:rsidP="00542BA2">
            <w:pPr>
              <w:spacing w:after="100" w:afterAutospacing="1"/>
              <w:jc w:val="both"/>
            </w:pPr>
            <w:proofErr w:type="spellStart"/>
            <w:r w:rsidRPr="00DF0D90">
              <w:rPr>
                <w:szCs w:val="22"/>
              </w:rPr>
              <w:t>Несравнительные</w:t>
            </w:r>
            <w:proofErr w:type="spellEnd"/>
            <w:r w:rsidRPr="00DF0D90">
              <w:rPr>
                <w:szCs w:val="22"/>
              </w:rPr>
              <w:t xml:space="preserve"> исследования, описание клинического случая</w:t>
            </w:r>
          </w:p>
        </w:tc>
      </w:tr>
      <w:tr w:rsidR="00630BAC" w:rsidRPr="00DF0D90" w14:paraId="798A251F" w14:textId="77777777">
        <w:tc>
          <w:tcPr>
            <w:tcW w:w="427" w:type="pct"/>
          </w:tcPr>
          <w:p w14:paraId="65CCF87E" w14:textId="77777777" w:rsidR="00630BAC" w:rsidRPr="00DF0D90" w:rsidRDefault="00630BAC" w:rsidP="00542BA2">
            <w:pPr>
              <w:spacing w:after="100" w:afterAutospacing="1"/>
              <w:ind w:firstLine="567"/>
              <w:jc w:val="both"/>
            </w:pPr>
            <w:r w:rsidRPr="00DF0D90">
              <w:rPr>
                <w:szCs w:val="22"/>
              </w:rPr>
              <w:t>5</w:t>
            </w:r>
          </w:p>
        </w:tc>
        <w:tc>
          <w:tcPr>
            <w:tcW w:w="4573" w:type="pct"/>
          </w:tcPr>
          <w:p w14:paraId="0365F58F" w14:textId="77777777" w:rsidR="00630BAC" w:rsidRPr="00DF0D90" w:rsidRDefault="00630BAC" w:rsidP="00542BA2">
            <w:pPr>
              <w:spacing w:after="100" w:afterAutospacing="1"/>
              <w:jc w:val="both"/>
            </w:pPr>
            <w:r w:rsidRPr="00DF0D90">
              <w:rPr>
                <w:szCs w:val="22"/>
              </w:rPr>
              <w:t>Имеется лишь обоснование механизма действия или мнение экспертов</w:t>
            </w:r>
          </w:p>
        </w:tc>
      </w:tr>
    </w:tbl>
    <w:p w14:paraId="43BEFC9D" w14:textId="77777777" w:rsidR="00630BAC" w:rsidRPr="00DF0D90" w:rsidRDefault="00630BAC" w:rsidP="006D217F">
      <w:pPr>
        <w:pStyle w:val="af6"/>
        <w:spacing w:after="120" w:line="360" w:lineRule="auto"/>
        <w:ind w:firstLine="567"/>
        <w:jc w:val="both"/>
        <w:rPr>
          <w:rStyle w:val="ab"/>
          <w:bCs/>
          <w:szCs w:val="24"/>
        </w:rPr>
      </w:pPr>
    </w:p>
    <w:p w14:paraId="10EDF1AC" w14:textId="77777777" w:rsidR="00630BAC" w:rsidRPr="00DF0D90" w:rsidRDefault="00630BAC" w:rsidP="00542BA2">
      <w:pPr>
        <w:spacing w:after="120" w:line="360" w:lineRule="auto"/>
        <w:jc w:val="both"/>
        <w:rPr>
          <w:b/>
          <w:bCs/>
        </w:rPr>
      </w:pPr>
      <w:r w:rsidRPr="00DF0D90">
        <w:rPr>
          <w:b/>
          <w:bCs/>
        </w:rPr>
        <w:t>Шкала оценки уровней достоверности доказательств для методов профилактики, лечения и реабилитации (профилактических, лечебных, реабилитационных вмешательств)</w:t>
      </w:r>
    </w:p>
    <w:tbl>
      <w:tblPr>
        <w:tblW w:w="5074"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3"/>
        <w:gridCol w:w="7684"/>
      </w:tblGrid>
      <w:tr w:rsidR="00630BAC" w:rsidRPr="00DF0D90" w14:paraId="1B95E8F4" w14:textId="77777777">
        <w:tc>
          <w:tcPr>
            <w:tcW w:w="360" w:type="pct"/>
            <w:vAlign w:val="center"/>
          </w:tcPr>
          <w:p w14:paraId="135D16C6" w14:textId="77777777" w:rsidR="00630BAC" w:rsidRPr="00DF0D90" w:rsidRDefault="00630BAC" w:rsidP="00542BA2">
            <w:pPr>
              <w:jc w:val="both"/>
              <w:rPr>
                <w:b/>
                <w:bCs/>
              </w:rPr>
            </w:pPr>
            <w:r w:rsidRPr="00DF0D90">
              <w:rPr>
                <w:b/>
                <w:bCs/>
                <w:szCs w:val="22"/>
              </w:rPr>
              <w:t>Уровень достоверности доказательств</w:t>
            </w:r>
          </w:p>
        </w:tc>
        <w:tc>
          <w:tcPr>
            <w:tcW w:w="4640" w:type="pct"/>
            <w:vAlign w:val="center"/>
          </w:tcPr>
          <w:p w14:paraId="753F61C0" w14:textId="77777777" w:rsidR="00630BAC" w:rsidRPr="00DF0D90" w:rsidRDefault="00630BAC" w:rsidP="00542BA2">
            <w:pPr>
              <w:jc w:val="center"/>
              <w:rPr>
                <w:b/>
                <w:bCs/>
              </w:rPr>
            </w:pPr>
            <w:r w:rsidRPr="00DF0D90">
              <w:rPr>
                <w:b/>
                <w:bCs/>
                <w:szCs w:val="22"/>
              </w:rPr>
              <w:t>Расшифровка</w:t>
            </w:r>
          </w:p>
        </w:tc>
      </w:tr>
      <w:tr w:rsidR="00630BAC" w:rsidRPr="00DF0D90" w14:paraId="79153401" w14:textId="77777777">
        <w:tc>
          <w:tcPr>
            <w:tcW w:w="360" w:type="pct"/>
          </w:tcPr>
          <w:p w14:paraId="6116A930" w14:textId="77777777" w:rsidR="00630BAC" w:rsidRPr="00DF0D90" w:rsidRDefault="00630BAC" w:rsidP="00542BA2">
            <w:pPr>
              <w:jc w:val="both"/>
            </w:pPr>
            <w:r w:rsidRPr="00DF0D90">
              <w:rPr>
                <w:szCs w:val="22"/>
              </w:rPr>
              <w:t>1</w:t>
            </w:r>
          </w:p>
        </w:tc>
        <w:tc>
          <w:tcPr>
            <w:tcW w:w="4640" w:type="pct"/>
          </w:tcPr>
          <w:p w14:paraId="3D657A64" w14:textId="77777777" w:rsidR="00630BAC" w:rsidRPr="00DF0D90" w:rsidRDefault="00630BAC" w:rsidP="00542BA2">
            <w:pPr>
              <w:jc w:val="both"/>
            </w:pPr>
            <w:r w:rsidRPr="00DF0D90">
              <w:rPr>
                <w:szCs w:val="22"/>
              </w:rPr>
              <w:t>Систематический обзор рандомизированных контролируемых исследований с применением метаанализа</w:t>
            </w:r>
          </w:p>
        </w:tc>
      </w:tr>
      <w:tr w:rsidR="00630BAC" w:rsidRPr="00DF0D90" w14:paraId="63831C7A" w14:textId="77777777">
        <w:tc>
          <w:tcPr>
            <w:tcW w:w="360" w:type="pct"/>
          </w:tcPr>
          <w:p w14:paraId="3D78F6DC" w14:textId="77777777" w:rsidR="00630BAC" w:rsidRPr="00DF0D90" w:rsidRDefault="00630BAC" w:rsidP="00542BA2">
            <w:pPr>
              <w:jc w:val="both"/>
              <w:rPr>
                <w:lang w:val="en-US"/>
              </w:rPr>
            </w:pPr>
            <w:r w:rsidRPr="00DF0D90">
              <w:rPr>
                <w:szCs w:val="22"/>
              </w:rPr>
              <w:t>2</w:t>
            </w:r>
          </w:p>
        </w:tc>
        <w:tc>
          <w:tcPr>
            <w:tcW w:w="4640" w:type="pct"/>
          </w:tcPr>
          <w:p w14:paraId="64A3305C" w14:textId="77777777" w:rsidR="00630BAC" w:rsidRPr="00DF0D90" w:rsidRDefault="00630BAC" w:rsidP="00542BA2">
            <w:pPr>
              <w:jc w:val="both"/>
            </w:pPr>
            <w:r w:rsidRPr="00DF0D90">
              <w:rPr>
                <w:szCs w:val="22"/>
              </w:rPr>
              <w:t>Отдельные рандомизированные контролируемые исследования и систематические обзоры исследований любого дизайна, за исключением рандомизированных контролируемых исследований, с применением метаанализа</w:t>
            </w:r>
          </w:p>
        </w:tc>
      </w:tr>
      <w:tr w:rsidR="00630BAC" w:rsidRPr="00DF0D90" w14:paraId="48AC7CD9" w14:textId="77777777">
        <w:tc>
          <w:tcPr>
            <w:tcW w:w="360" w:type="pct"/>
          </w:tcPr>
          <w:p w14:paraId="37E8531B" w14:textId="77777777" w:rsidR="00630BAC" w:rsidRPr="00DF0D90" w:rsidRDefault="00630BAC" w:rsidP="00542BA2">
            <w:pPr>
              <w:jc w:val="both"/>
            </w:pPr>
            <w:r w:rsidRPr="00DF0D90">
              <w:rPr>
                <w:szCs w:val="22"/>
              </w:rPr>
              <w:t>3</w:t>
            </w:r>
          </w:p>
        </w:tc>
        <w:tc>
          <w:tcPr>
            <w:tcW w:w="4640" w:type="pct"/>
          </w:tcPr>
          <w:p w14:paraId="66C90407" w14:textId="77777777" w:rsidR="00630BAC" w:rsidRPr="00DF0D90" w:rsidRDefault="00630BAC" w:rsidP="00542BA2">
            <w:pPr>
              <w:jc w:val="both"/>
            </w:pPr>
            <w:proofErr w:type="spellStart"/>
            <w:r w:rsidRPr="00DF0D90">
              <w:rPr>
                <w:szCs w:val="22"/>
              </w:rPr>
              <w:t>Нерандомизированные</w:t>
            </w:r>
            <w:proofErr w:type="spellEnd"/>
            <w:r w:rsidRPr="00DF0D90">
              <w:rPr>
                <w:szCs w:val="22"/>
              </w:rPr>
              <w:t xml:space="preserve"> сравнительные исследования, в том числе </w:t>
            </w:r>
            <w:proofErr w:type="spellStart"/>
            <w:r w:rsidRPr="00DF0D90">
              <w:rPr>
                <w:szCs w:val="22"/>
              </w:rPr>
              <w:t>когортные</w:t>
            </w:r>
            <w:proofErr w:type="spellEnd"/>
            <w:r w:rsidRPr="00DF0D90">
              <w:rPr>
                <w:szCs w:val="22"/>
              </w:rPr>
              <w:t xml:space="preserve"> исследования</w:t>
            </w:r>
          </w:p>
        </w:tc>
      </w:tr>
      <w:tr w:rsidR="00630BAC" w:rsidRPr="00DF0D90" w14:paraId="6C0DACC9" w14:textId="77777777">
        <w:tc>
          <w:tcPr>
            <w:tcW w:w="360" w:type="pct"/>
          </w:tcPr>
          <w:p w14:paraId="1C3E77C9" w14:textId="77777777" w:rsidR="00630BAC" w:rsidRPr="00DF0D90" w:rsidRDefault="00630BAC" w:rsidP="00542BA2">
            <w:pPr>
              <w:jc w:val="both"/>
            </w:pPr>
            <w:r w:rsidRPr="00DF0D90">
              <w:rPr>
                <w:szCs w:val="22"/>
              </w:rPr>
              <w:t>4</w:t>
            </w:r>
          </w:p>
        </w:tc>
        <w:tc>
          <w:tcPr>
            <w:tcW w:w="4640" w:type="pct"/>
          </w:tcPr>
          <w:p w14:paraId="23862387" w14:textId="77777777" w:rsidR="00630BAC" w:rsidRPr="00DF0D90" w:rsidRDefault="00630BAC" w:rsidP="00542BA2">
            <w:pPr>
              <w:jc w:val="both"/>
            </w:pPr>
            <w:proofErr w:type="spellStart"/>
            <w:r w:rsidRPr="00DF0D90">
              <w:rPr>
                <w:szCs w:val="22"/>
              </w:rPr>
              <w:t>Несравнительные</w:t>
            </w:r>
            <w:proofErr w:type="spellEnd"/>
            <w:r w:rsidRPr="00DF0D90">
              <w:rPr>
                <w:szCs w:val="22"/>
              </w:rPr>
              <w:t xml:space="preserve"> исследования, описание клинического случая или серии случаев, исследования «случай–контроль»</w:t>
            </w:r>
          </w:p>
        </w:tc>
      </w:tr>
      <w:tr w:rsidR="00630BAC" w:rsidRPr="00DF0D90" w14:paraId="044DA2BE" w14:textId="77777777">
        <w:tc>
          <w:tcPr>
            <w:tcW w:w="360" w:type="pct"/>
          </w:tcPr>
          <w:p w14:paraId="63AA8471" w14:textId="77777777" w:rsidR="00630BAC" w:rsidRPr="00DF0D90" w:rsidRDefault="00630BAC" w:rsidP="00542BA2">
            <w:pPr>
              <w:jc w:val="both"/>
            </w:pPr>
            <w:r w:rsidRPr="00DF0D90">
              <w:rPr>
                <w:szCs w:val="22"/>
              </w:rPr>
              <w:t>5</w:t>
            </w:r>
          </w:p>
        </w:tc>
        <w:tc>
          <w:tcPr>
            <w:tcW w:w="4640" w:type="pct"/>
          </w:tcPr>
          <w:p w14:paraId="1FA7D2C5" w14:textId="77777777" w:rsidR="00630BAC" w:rsidRPr="00DF0D90" w:rsidRDefault="00630BAC" w:rsidP="00542BA2">
            <w:pPr>
              <w:jc w:val="both"/>
            </w:pPr>
            <w:r w:rsidRPr="00DF0D90">
              <w:rPr>
                <w:szCs w:val="22"/>
              </w:rPr>
              <w:t>Имеется лишь обоснование механизма действия вмешательства (доклинические исследования) или мнение экспертов</w:t>
            </w:r>
          </w:p>
        </w:tc>
      </w:tr>
    </w:tbl>
    <w:p w14:paraId="3168F7F7" w14:textId="77777777" w:rsidR="00630BAC" w:rsidRPr="00DF0D90" w:rsidRDefault="00630BAC" w:rsidP="006D217F">
      <w:pPr>
        <w:pStyle w:val="af6"/>
        <w:spacing w:after="120" w:line="360" w:lineRule="auto"/>
        <w:ind w:firstLine="567"/>
        <w:jc w:val="both"/>
        <w:rPr>
          <w:rStyle w:val="ab"/>
          <w:bCs/>
          <w:szCs w:val="24"/>
        </w:rPr>
      </w:pPr>
    </w:p>
    <w:p w14:paraId="22FD8743" w14:textId="77777777" w:rsidR="00630BAC" w:rsidRPr="00DF0D90" w:rsidRDefault="00630BAC" w:rsidP="00542BA2">
      <w:pPr>
        <w:spacing w:after="120" w:line="360" w:lineRule="auto"/>
        <w:jc w:val="both"/>
        <w:rPr>
          <w:b/>
          <w:bCs/>
        </w:rPr>
      </w:pPr>
      <w:r w:rsidRPr="00DF0D90">
        <w:rPr>
          <w:b/>
          <w:bCs/>
        </w:rPr>
        <w:t>Шкала оценки уровней убедительности рекомендаций для методов профилактики, диагностики, лечения и реабилитации (профилактических, диагностических, лечебных, реабилитационных вмешательств)</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30"/>
        <w:gridCol w:w="7409"/>
      </w:tblGrid>
      <w:tr w:rsidR="00630BAC" w:rsidRPr="00DF0D90" w14:paraId="42CCE7C3" w14:textId="77777777">
        <w:tc>
          <w:tcPr>
            <w:tcW w:w="1008" w:type="pct"/>
            <w:vAlign w:val="center"/>
          </w:tcPr>
          <w:p w14:paraId="733AE895" w14:textId="77777777" w:rsidR="00630BAC" w:rsidRPr="00DF0D90" w:rsidRDefault="00630BAC" w:rsidP="00542BA2">
            <w:pPr>
              <w:jc w:val="both"/>
              <w:rPr>
                <w:b/>
                <w:bCs/>
              </w:rPr>
            </w:pPr>
            <w:r w:rsidRPr="00DF0D90">
              <w:rPr>
                <w:b/>
                <w:bCs/>
                <w:szCs w:val="22"/>
              </w:rPr>
              <w:t>Уровень убедительности рекомендаций</w:t>
            </w:r>
          </w:p>
        </w:tc>
        <w:tc>
          <w:tcPr>
            <w:tcW w:w="3992" w:type="pct"/>
            <w:vAlign w:val="center"/>
          </w:tcPr>
          <w:p w14:paraId="35F994C4" w14:textId="77777777" w:rsidR="00630BAC" w:rsidRPr="00DF0D90" w:rsidRDefault="00630BAC" w:rsidP="00542BA2">
            <w:pPr>
              <w:jc w:val="center"/>
              <w:rPr>
                <w:b/>
              </w:rPr>
            </w:pPr>
            <w:r w:rsidRPr="00DF0D90">
              <w:rPr>
                <w:b/>
                <w:szCs w:val="22"/>
              </w:rPr>
              <w:t>Расшифровка</w:t>
            </w:r>
          </w:p>
        </w:tc>
      </w:tr>
      <w:tr w:rsidR="00630BAC" w:rsidRPr="00DF0D90" w14:paraId="3546CB3B" w14:textId="77777777">
        <w:trPr>
          <w:trHeight w:val="1060"/>
        </w:trPr>
        <w:tc>
          <w:tcPr>
            <w:tcW w:w="1008" w:type="pct"/>
          </w:tcPr>
          <w:p w14:paraId="49E40565" w14:textId="77777777" w:rsidR="00630BAC" w:rsidRPr="00DF0D90" w:rsidRDefault="00630BAC" w:rsidP="00542BA2">
            <w:pPr>
              <w:jc w:val="both"/>
            </w:pPr>
            <w:r w:rsidRPr="00DF0D90">
              <w:rPr>
                <w:szCs w:val="22"/>
                <w:lang w:val="en-US"/>
              </w:rPr>
              <w:lastRenderedPageBreak/>
              <w:t>A</w:t>
            </w:r>
          </w:p>
        </w:tc>
        <w:tc>
          <w:tcPr>
            <w:tcW w:w="3992" w:type="pct"/>
          </w:tcPr>
          <w:p w14:paraId="4BAFE090" w14:textId="77777777" w:rsidR="00630BAC" w:rsidRPr="00DF0D90" w:rsidRDefault="00630BAC" w:rsidP="00542BA2">
            <w:pPr>
              <w:jc w:val="both"/>
            </w:pPr>
            <w:r w:rsidRPr="00DF0D90">
              <w:rPr>
                <w:szCs w:val="22"/>
              </w:rPr>
              <w:t xml:space="preserve">Сильная рекомендация (все рассматриваемые критерии эффективности (исходы) являются важными, все исследования имеют высокое или удовлетворительное методологическое качество, их выводы по интересующим исходам являются согласованными) </w:t>
            </w:r>
          </w:p>
        </w:tc>
      </w:tr>
      <w:tr w:rsidR="00630BAC" w:rsidRPr="00DF0D90" w14:paraId="6F22829A" w14:textId="77777777">
        <w:trPr>
          <w:trHeight w:val="558"/>
        </w:trPr>
        <w:tc>
          <w:tcPr>
            <w:tcW w:w="1008" w:type="pct"/>
          </w:tcPr>
          <w:p w14:paraId="77EF64E1" w14:textId="77777777" w:rsidR="00630BAC" w:rsidRPr="00DF0D90" w:rsidRDefault="00630BAC" w:rsidP="00542BA2">
            <w:pPr>
              <w:jc w:val="both"/>
            </w:pPr>
            <w:r w:rsidRPr="00DF0D90">
              <w:rPr>
                <w:szCs w:val="22"/>
              </w:rPr>
              <w:t>B</w:t>
            </w:r>
          </w:p>
        </w:tc>
        <w:tc>
          <w:tcPr>
            <w:tcW w:w="3992" w:type="pct"/>
          </w:tcPr>
          <w:p w14:paraId="35FE12C3" w14:textId="77777777" w:rsidR="00630BAC" w:rsidRPr="00DF0D90" w:rsidRDefault="00630BAC" w:rsidP="00542BA2">
            <w:pPr>
              <w:jc w:val="both"/>
            </w:pPr>
            <w:r w:rsidRPr="00DF0D90">
              <w:rPr>
                <w:szCs w:val="22"/>
              </w:rPr>
              <w:t xml:space="preserve">Условная рекомендация (не все рассматриваемые критерии эффективности (исходы) являются важными, не все исследования имеют высокое или удовлетворительное методологическое качество и/или их выводы по интересующим исходам не являются согласованными) </w:t>
            </w:r>
          </w:p>
        </w:tc>
      </w:tr>
      <w:tr w:rsidR="00630BAC" w:rsidRPr="00DF0D90" w14:paraId="5BF4F42D" w14:textId="77777777">
        <w:trPr>
          <w:trHeight w:val="798"/>
        </w:trPr>
        <w:tc>
          <w:tcPr>
            <w:tcW w:w="1008" w:type="pct"/>
          </w:tcPr>
          <w:p w14:paraId="19F93DE4" w14:textId="77777777" w:rsidR="00630BAC" w:rsidRPr="00DF0D90" w:rsidRDefault="00630BAC" w:rsidP="00542BA2">
            <w:pPr>
              <w:jc w:val="both"/>
            </w:pPr>
            <w:r w:rsidRPr="00DF0D90">
              <w:rPr>
                <w:szCs w:val="22"/>
              </w:rPr>
              <w:t>C</w:t>
            </w:r>
          </w:p>
        </w:tc>
        <w:tc>
          <w:tcPr>
            <w:tcW w:w="3992" w:type="pct"/>
          </w:tcPr>
          <w:p w14:paraId="09C815B2" w14:textId="77777777" w:rsidR="00630BAC" w:rsidRPr="00DF0D90" w:rsidRDefault="00630BAC" w:rsidP="00542BA2">
            <w:pPr>
              <w:jc w:val="both"/>
            </w:pPr>
            <w:r w:rsidRPr="00DF0D90">
              <w:rPr>
                <w:szCs w:val="22"/>
              </w:rPr>
              <w:t xml:space="preserve">Слабая рекомендация (отсутствие доказательств надлежащего качества (все рассматриваемые критерии эффективности (исходы) являются неважными, все исследования имеют низкое методологическое качество и их выводы по интересующим исходам не являются согласованными) </w:t>
            </w:r>
          </w:p>
        </w:tc>
      </w:tr>
    </w:tbl>
    <w:p w14:paraId="5F484A1F" w14:textId="77777777" w:rsidR="00E250EC" w:rsidRPr="00DF0D90" w:rsidRDefault="00E250EC" w:rsidP="006D217F">
      <w:pPr>
        <w:pStyle w:val="af6"/>
        <w:spacing w:after="120" w:line="360" w:lineRule="auto"/>
        <w:ind w:firstLine="567"/>
        <w:jc w:val="both"/>
        <w:rPr>
          <w:rStyle w:val="ab"/>
          <w:bCs/>
          <w:szCs w:val="24"/>
        </w:rPr>
      </w:pPr>
    </w:p>
    <w:p w14:paraId="7350770D" w14:textId="77777777" w:rsidR="00630BAC" w:rsidRPr="00DF0D90" w:rsidRDefault="00630BAC" w:rsidP="003003F4">
      <w:pPr>
        <w:pStyle w:val="af6"/>
        <w:spacing w:after="120" w:line="360" w:lineRule="auto"/>
        <w:jc w:val="both"/>
        <w:rPr>
          <w:rStyle w:val="ab"/>
          <w:bCs/>
          <w:szCs w:val="24"/>
        </w:rPr>
      </w:pPr>
      <w:r w:rsidRPr="00DF0D90">
        <w:rPr>
          <w:rStyle w:val="ab"/>
          <w:bCs/>
          <w:szCs w:val="24"/>
        </w:rPr>
        <w:t>Порядок обновления клинических рекомендаций</w:t>
      </w:r>
    </w:p>
    <w:p w14:paraId="70F42E39" w14:textId="77777777" w:rsidR="00630BAC" w:rsidRPr="00DF0D90" w:rsidRDefault="00630BAC" w:rsidP="006D217F">
      <w:pPr>
        <w:pStyle w:val="af6"/>
        <w:spacing w:after="120" w:line="360" w:lineRule="auto"/>
        <w:ind w:firstLine="567"/>
        <w:jc w:val="both"/>
        <w:rPr>
          <w:szCs w:val="24"/>
        </w:rPr>
      </w:pPr>
      <w:r w:rsidRPr="00DF0D90">
        <w:rPr>
          <w:szCs w:val="24"/>
        </w:rPr>
        <w:t xml:space="preserve">Механизм обновления клинических рекомендаций предусматривает их систематическую актуализацию – не реже чем 1 раз в 3 года, а также при появлении новых данных с позиции доказательной медицины по вопросам диагностики, лечения, профилактики и реабилитации конкретных заболеваний, при наличии обоснованных дополнений/замечаний к ранее утвержденным клиническим рекомендациям, но не чаще </w:t>
      </w:r>
      <w:r w:rsidRPr="00DF0D90">
        <w:rPr>
          <w:szCs w:val="24"/>
        </w:rPr>
        <w:br/>
        <w:t>1 раза в 6 мес.</w:t>
      </w:r>
    </w:p>
    <w:p w14:paraId="629E2E53" w14:textId="5236E85C" w:rsidR="00694E7A" w:rsidRPr="00DF0D90" w:rsidRDefault="00694E7A">
      <w:r w:rsidRPr="00DF0D90">
        <w:br w:type="page"/>
      </w:r>
    </w:p>
    <w:p w14:paraId="5152CD2C" w14:textId="77777777" w:rsidR="000D457F" w:rsidRPr="00DF0D90" w:rsidRDefault="000D457F" w:rsidP="00801019">
      <w:pPr>
        <w:pStyle w:val="42"/>
      </w:pPr>
      <w:bookmarkStart w:id="142" w:name="__RefHeading___doc_a3"/>
      <w:bookmarkStart w:id="143" w:name="_Toc18427821"/>
      <w:bookmarkStart w:id="144" w:name="_Toc98349304"/>
      <w:bookmarkStart w:id="145" w:name="_Toc83294002"/>
    </w:p>
    <w:p w14:paraId="40A4D3CD" w14:textId="77777777" w:rsidR="00630BAC" w:rsidRPr="00DF0D90" w:rsidRDefault="00630BAC" w:rsidP="00F32797">
      <w:pPr>
        <w:pStyle w:val="42"/>
      </w:pPr>
      <w:r w:rsidRPr="00DF0D90">
        <w:t>Приложение</w:t>
      </w:r>
      <w:r w:rsidR="004371B4" w:rsidRPr="00DF0D90">
        <w:rPr>
          <w:lang w:val="ru-RU"/>
        </w:rPr>
        <w:t xml:space="preserve"> </w:t>
      </w:r>
      <w:r w:rsidRPr="00DF0D90">
        <w:t>А3.</w:t>
      </w:r>
      <w:bookmarkEnd w:id="142"/>
      <w:r w:rsidR="00E250EC" w:rsidRPr="00DF0D90">
        <w:t xml:space="preserve"> </w:t>
      </w:r>
      <w:r w:rsidRPr="00DF0D90">
        <w:t xml:space="preserve">Справочные материалы, </w:t>
      </w:r>
      <w:r w:rsidRPr="00DF0D90">
        <w:br/>
        <w:t xml:space="preserve">включая соответствие показаний к применению и противопоказаний, способов применения и доз лекарственных препаратов, </w:t>
      </w:r>
      <w:r w:rsidRPr="00DF0D90">
        <w:br/>
        <w:t>инструкции по применению лекарственного препарата</w:t>
      </w:r>
      <w:bookmarkEnd w:id="143"/>
      <w:bookmarkEnd w:id="144"/>
      <w:bookmarkEnd w:id="145"/>
    </w:p>
    <w:p w14:paraId="0E5E3FC2" w14:textId="62F4180C" w:rsidR="000952B5" w:rsidRPr="00DF0D90" w:rsidRDefault="006912BD" w:rsidP="00F32797">
      <w:pPr>
        <w:spacing w:after="120" w:line="360" w:lineRule="auto"/>
        <w:jc w:val="both"/>
      </w:pPr>
      <w:r w:rsidRPr="00DF0D90">
        <w:rPr>
          <w:noProof/>
        </w:rPr>
        <w:drawing>
          <wp:inline distT="0" distB="0" distL="0" distR="0" wp14:anchorId="2093FD97" wp14:editId="28D93745">
            <wp:extent cx="5300546" cy="3390472"/>
            <wp:effectExtent l="0" t="0" r="0" b="63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98897" cy="3389417"/>
                    </a:xfrm>
                    <a:prstGeom prst="rect">
                      <a:avLst/>
                    </a:prstGeom>
                  </pic:spPr>
                </pic:pic>
              </a:graphicData>
            </a:graphic>
          </wp:inline>
        </w:drawing>
      </w:r>
    </w:p>
    <w:p w14:paraId="50C0B89D" w14:textId="77777777" w:rsidR="000952B5" w:rsidRPr="00DF0D90" w:rsidRDefault="000952B5" w:rsidP="00E250EC">
      <w:pPr>
        <w:autoSpaceDE w:val="0"/>
        <w:autoSpaceDN w:val="0"/>
        <w:adjustRightInd w:val="0"/>
        <w:spacing w:after="120" w:line="360" w:lineRule="auto"/>
        <w:jc w:val="both"/>
        <w:rPr>
          <w:bCs/>
        </w:rPr>
      </w:pPr>
      <w:r w:rsidRPr="00DF0D90">
        <w:rPr>
          <w:bCs/>
        </w:rPr>
        <w:t xml:space="preserve">Рисунок А1. Барселонская система стадирования гепатоцеллюлярного рака </w:t>
      </w:r>
      <w:r w:rsidR="00724742" w:rsidRPr="00DF0D90">
        <w:rPr>
          <w:bCs/>
        </w:rPr>
        <w:fldChar w:fldCharType="begin" w:fldLock="1"/>
      </w:r>
      <w:r w:rsidR="00724742" w:rsidRPr="00DF0D90">
        <w:rPr>
          <w:bCs/>
        </w:rPr>
        <w:instrText>ADDIN CSL_CITATION {"citationItems":[{"id":"ITEM-1","itemData":{"DOI":"10.1016/S0140-6736(18)30010-2","ISSN":"1474547X","PMID":"29307467","abstract":"Hepatocellular carcinoma appears frequently in patients with cirrhosis. Surveillance by biannual ultrasound is recommended for such patients because it allows diagnosis at an early stage, when effective therapies are feasible. The best candidates for resection are patients with a solitary tumour and preserved liver function. Liver transplantation benefits patients who are not good candidates for surgical resection, and the best candidates are those within Milan criteria (solitary tumour ≤5 cm or up to three nodules ≤3 cm). Image-guided ablation is the most frequently used therapeutic strategy, but its efficacy is limited by the size of the tumour and its localisation. Chemoembolisation has survival benefit in asymptomatic patients with multifocal disease without vascular invasion or extrahepatic spread. Finally, sorafenib, lenvatinib, which is non-inferior to sorafenib, and regorafenib increase survival and are the standard treatments in advanced hepatocellular carcinoma. This Seminar summarises the scientific evidence that supports the current recommendations for clinical practice, and discusses the areas in which more research is needed.","author":[{"dropping-particle":"","family":"Forner","given":"Alejandro","non-dropping-particle":"","parse-names":false,"suffix":""},{"dropping-particle":"","family":"Reig","given":"María","non-dropping-particle":"","parse-names":false,"suffix":""},{"dropping-particle":"","family":"Bruix","given":"Jordi","non-dropping-particle":"","parse-names":false,"suffix":""}],"container-title":"The Lancet","id":"ITEM-1","issue":"10127","issued":{"date-parts":[["2018","3","31"]]},"page":"1301-1314","publisher":"Lancet Publishing Group","title":"Hepatocellular carcinoma","type":"article","volume":"391"},"uris":["http://www.mendeley.com/documents/?uuid=37999be8-613d-3e3d-8060-e8b96c36e91d"]}],"mendeley":{"formattedCitation":"[7]","plainTextFormattedCitation":"[7]","previouslyFormattedCitation":"[7]"},"properties":{"noteIndex":0},"schema":"https://github.com/citation-style-language/schema/raw/master/csl-citation.json"}</w:instrText>
      </w:r>
      <w:r w:rsidR="00724742" w:rsidRPr="00DF0D90">
        <w:rPr>
          <w:bCs/>
        </w:rPr>
        <w:fldChar w:fldCharType="separate"/>
      </w:r>
      <w:r w:rsidR="00724742" w:rsidRPr="00DF0D90">
        <w:rPr>
          <w:bCs/>
          <w:noProof/>
        </w:rPr>
        <w:t>[7]</w:t>
      </w:r>
      <w:r w:rsidR="00724742" w:rsidRPr="00DF0D90">
        <w:rPr>
          <w:bCs/>
        </w:rPr>
        <w:fldChar w:fldCharType="end"/>
      </w:r>
      <w:r w:rsidRPr="00DF0D90">
        <w:rPr>
          <w:bCs/>
        </w:rPr>
        <w:t xml:space="preserve">. </w:t>
      </w:r>
      <w:r w:rsidRPr="00DF0D90">
        <w:rPr>
          <w:bCs/>
        </w:rPr>
        <w:br/>
        <w:t xml:space="preserve">ОВ – общая выживаемость; ОС – объективный статус </w:t>
      </w:r>
      <w:r w:rsidRPr="00DF0D90">
        <w:rPr>
          <w:bCs/>
        </w:rPr>
        <w:br/>
        <w:t xml:space="preserve">по шкале </w:t>
      </w:r>
      <w:r w:rsidRPr="00DF0D90">
        <w:rPr>
          <w:bCs/>
          <w:lang w:val="en-US"/>
        </w:rPr>
        <w:t>ECOG</w:t>
      </w:r>
      <w:r w:rsidRPr="00DF0D90">
        <w:rPr>
          <w:bCs/>
        </w:rPr>
        <w:t xml:space="preserve">; ТАХЭ – </w:t>
      </w:r>
      <w:proofErr w:type="spellStart"/>
      <w:r w:rsidRPr="00DF0D90">
        <w:rPr>
          <w:bCs/>
        </w:rPr>
        <w:t>трансартериальная</w:t>
      </w:r>
      <w:proofErr w:type="spellEnd"/>
      <w:r w:rsidRPr="00DF0D90">
        <w:rPr>
          <w:bCs/>
        </w:rPr>
        <w:t xml:space="preserve"> </w:t>
      </w:r>
      <w:proofErr w:type="spellStart"/>
      <w:r w:rsidRPr="00DF0D90">
        <w:rPr>
          <w:bCs/>
        </w:rPr>
        <w:t>химиоэмболизация</w:t>
      </w:r>
      <w:proofErr w:type="spellEnd"/>
    </w:p>
    <w:p w14:paraId="0C772F49" w14:textId="77777777" w:rsidR="000952B5" w:rsidRDefault="000952B5" w:rsidP="006D217F">
      <w:pPr>
        <w:spacing w:after="120" w:line="360" w:lineRule="auto"/>
        <w:ind w:firstLine="567"/>
        <w:jc w:val="both"/>
      </w:pPr>
    </w:p>
    <w:p w14:paraId="252F2F2E" w14:textId="77777777" w:rsidR="00C47CD1" w:rsidRDefault="00C47CD1" w:rsidP="006D217F">
      <w:pPr>
        <w:spacing w:after="120" w:line="360" w:lineRule="auto"/>
        <w:ind w:firstLine="567"/>
        <w:jc w:val="both"/>
      </w:pPr>
    </w:p>
    <w:p w14:paraId="0757BA61" w14:textId="77777777" w:rsidR="00C47CD1" w:rsidRDefault="00C47CD1" w:rsidP="006D217F">
      <w:pPr>
        <w:spacing w:after="120" w:line="360" w:lineRule="auto"/>
        <w:ind w:firstLine="567"/>
        <w:jc w:val="both"/>
      </w:pPr>
    </w:p>
    <w:p w14:paraId="370769ED" w14:textId="77777777" w:rsidR="00C47CD1" w:rsidRDefault="00C47CD1" w:rsidP="006D217F">
      <w:pPr>
        <w:spacing w:after="120" w:line="360" w:lineRule="auto"/>
        <w:ind w:firstLine="567"/>
        <w:jc w:val="both"/>
      </w:pPr>
    </w:p>
    <w:p w14:paraId="16AD6CC2" w14:textId="77777777" w:rsidR="00C47CD1" w:rsidRDefault="00C47CD1" w:rsidP="006D217F">
      <w:pPr>
        <w:spacing w:after="120" w:line="360" w:lineRule="auto"/>
        <w:ind w:firstLine="567"/>
        <w:jc w:val="both"/>
      </w:pPr>
    </w:p>
    <w:p w14:paraId="07F62310" w14:textId="77777777" w:rsidR="00C47CD1" w:rsidRDefault="00C47CD1" w:rsidP="006D217F">
      <w:pPr>
        <w:spacing w:after="120" w:line="360" w:lineRule="auto"/>
        <w:ind w:firstLine="567"/>
        <w:jc w:val="both"/>
      </w:pPr>
    </w:p>
    <w:p w14:paraId="3C04857A" w14:textId="77777777" w:rsidR="00C47CD1" w:rsidRDefault="00C47CD1" w:rsidP="006D217F">
      <w:pPr>
        <w:spacing w:after="120" w:line="360" w:lineRule="auto"/>
        <w:ind w:firstLine="567"/>
        <w:jc w:val="both"/>
      </w:pPr>
    </w:p>
    <w:p w14:paraId="7F5BF92B" w14:textId="77777777" w:rsidR="00C47CD1" w:rsidRDefault="00C47CD1" w:rsidP="006D217F">
      <w:pPr>
        <w:spacing w:after="120" w:line="360" w:lineRule="auto"/>
        <w:ind w:firstLine="567"/>
        <w:jc w:val="both"/>
      </w:pPr>
    </w:p>
    <w:p w14:paraId="6140D15D" w14:textId="59DC6EDB" w:rsidR="00C47CD1" w:rsidRDefault="00C47CD1" w:rsidP="006D217F">
      <w:pPr>
        <w:spacing w:after="120" w:line="360" w:lineRule="auto"/>
        <w:ind w:firstLine="567"/>
        <w:jc w:val="both"/>
      </w:pPr>
      <w:r>
        <w:rPr>
          <w:noProof/>
        </w:rPr>
        <w:lastRenderedPageBreak/>
        <w:drawing>
          <wp:inline distT="0" distB="0" distL="0" distR="0" wp14:anchorId="7895BE9E" wp14:editId="23BEA54B">
            <wp:extent cx="5714964" cy="3924573"/>
            <wp:effectExtent l="0" t="0" r="635" b="0"/>
            <wp:docPr id="26790769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7960" cy="3940365"/>
                    </a:xfrm>
                    <a:prstGeom prst="rect">
                      <a:avLst/>
                    </a:prstGeom>
                    <a:noFill/>
                  </pic:spPr>
                </pic:pic>
              </a:graphicData>
            </a:graphic>
          </wp:inline>
        </w:drawing>
      </w:r>
    </w:p>
    <w:p w14:paraId="366E70D1" w14:textId="7230BD19" w:rsidR="00C47CD1" w:rsidRDefault="00C47CD1" w:rsidP="006D217F">
      <w:pPr>
        <w:spacing w:after="120" w:line="360" w:lineRule="auto"/>
        <w:ind w:firstLine="567"/>
        <w:jc w:val="both"/>
      </w:pPr>
      <w:r>
        <w:t>Рисунок А2. Алгоритм лекарственного лечения гепатоцеллюлярного рака</w:t>
      </w:r>
      <w:r w:rsidR="006B66B1">
        <w:t>.</w:t>
      </w:r>
    </w:p>
    <w:p w14:paraId="535DCB9A" w14:textId="59A37A64" w:rsidR="00630BAC" w:rsidRPr="00DF0D90" w:rsidRDefault="00630BAC" w:rsidP="00E250EC">
      <w:pPr>
        <w:spacing w:after="120" w:line="360" w:lineRule="auto"/>
        <w:jc w:val="both"/>
      </w:pPr>
      <w:r w:rsidRPr="00DF0D90">
        <w:t>Актуальные инструкции к лекарственным препаратам, упоминаемым в данных клинических рекомендациях, можно найти на сайте</w:t>
      </w:r>
      <w:r w:rsidR="001D7B82">
        <w:t>:</w:t>
      </w:r>
      <w:r w:rsidRPr="00DF0D90">
        <w:t xml:space="preserve"> </w:t>
      </w:r>
      <w:hyperlink r:id="rId13" w:history="1">
        <w:r w:rsidR="00314A2B" w:rsidRPr="001D7B82">
          <w:rPr>
            <w:rStyle w:val="aa"/>
            <w:color w:val="auto"/>
            <w:u w:val="none"/>
            <w:lang w:val="en-US"/>
          </w:rPr>
          <w:t>http</w:t>
        </w:r>
        <w:r w:rsidR="00314A2B" w:rsidRPr="001D7B82">
          <w:rPr>
            <w:rStyle w:val="aa"/>
            <w:color w:val="auto"/>
            <w:u w:val="none"/>
          </w:rPr>
          <w:t>://</w:t>
        </w:r>
        <w:proofErr w:type="spellStart"/>
        <w:r w:rsidR="00314A2B" w:rsidRPr="001D7B82">
          <w:rPr>
            <w:rStyle w:val="aa"/>
            <w:color w:val="auto"/>
            <w:u w:val="none"/>
            <w:lang w:val="en-US"/>
          </w:rPr>
          <w:t>grls</w:t>
        </w:r>
        <w:proofErr w:type="spellEnd"/>
        <w:r w:rsidR="00314A2B" w:rsidRPr="001D7B82">
          <w:rPr>
            <w:rStyle w:val="aa"/>
            <w:color w:val="auto"/>
            <w:u w:val="none"/>
          </w:rPr>
          <w:t>.</w:t>
        </w:r>
        <w:proofErr w:type="spellStart"/>
        <w:r w:rsidR="00314A2B" w:rsidRPr="001D7B82">
          <w:rPr>
            <w:rStyle w:val="aa"/>
            <w:color w:val="auto"/>
            <w:u w:val="none"/>
            <w:lang w:val="en-US"/>
          </w:rPr>
          <w:t>rosminzdrav</w:t>
        </w:r>
        <w:proofErr w:type="spellEnd"/>
        <w:r w:rsidR="00314A2B" w:rsidRPr="001D7B82">
          <w:rPr>
            <w:rStyle w:val="aa"/>
            <w:color w:val="auto"/>
            <w:u w:val="none"/>
          </w:rPr>
          <w:t>.</w:t>
        </w:r>
        <w:proofErr w:type="spellStart"/>
        <w:r w:rsidR="00314A2B" w:rsidRPr="001D7B82">
          <w:rPr>
            <w:rStyle w:val="aa"/>
            <w:color w:val="auto"/>
            <w:u w:val="none"/>
            <w:lang w:val="en-US"/>
          </w:rPr>
          <w:t>ru</w:t>
        </w:r>
        <w:proofErr w:type="spellEnd"/>
      </w:hyperlink>
      <w:r w:rsidRPr="001D7B82">
        <w:t>.</w:t>
      </w:r>
    </w:p>
    <w:p w14:paraId="5058A2BE" w14:textId="68542924" w:rsidR="00314A2B" w:rsidRPr="00DF0D90" w:rsidRDefault="00314A2B" w:rsidP="00D65E84">
      <w:pPr>
        <w:pStyle w:val="a8"/>
      </w:pPr>
      <w:r w:rsidRPr="00DF0D90">
        <w:t xml:space="preserve">Таблица </w:t>
      </w:r>
      <w:r w:rsidR="007473C6" w:rsidRPr="00DF0D90">
        <w:rPr>
          <w:lang w:val="ru-RU"/>
        </w:rPr>
        <w:t>2</w:t>
      </w:r>
      <w:r w:rsidRPr="00DF0D90">
        <w:t>. Режимы лекарственного лечения гепатоцеллюлярного рака</w:t>
      </w:r>
    </w:p>
    <w:tbl>
      <w:tblPr>
        <w:tblpPr w:leftFromText="180" w:rightFromText="180" w:vertAnchor="text" w:horzAnchor="margin" w:tblpY="264"/>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2"/>
        <w:gridCol w:w="2097"/>
        <w:gridCol w:w="5245"/>
      </w:tblGrid>
      <w:tr w:rsidR="00314A2B" w:rsidRPr="00DF0D90" w14:paraId="43B06239" w14:textId="77777777" w:rsidTr="002A397A">
        <w:tc>
          <w:tcPr>
            <w:tcW w:w="2122" w:type="dxa"/>
          </w:tcPr>
          <w:p w14:paraId="73683E05" w14:textId="77777777" w:rsidR="00314A2B" w:rsidRPr="00DF0D90" w:rsidRDefault="00314A2B" w:rsidP="00E250EC">
            <w:pPr>
              <w:tabs>
                <w:tab w:val="left" w:pos="284"/>
                <w:tab w:val="left" w:pos="426"/>
                <w:tab w:val="left" w:pos="709"/>
                <w:tab w:val="left" w:pos="851"/>
              </w:tabs>
              <w:autoSpaceDE w:val="0"/>
              <w:autoSpaceDN w:val="0"/>
              <w:adjustRightInd w:val="0"/>
              <w:spacing w:before="100" w:beforeAutospacing="1" w:after="100" w:afterAutospacing="1"/>
              <w:jc w:val="both"/>
              <w:rPr>
                <w:b/>
              </w:rPr>
            </w:pPr>
            <w:r w:rsidRPr="00DF0D90">
              <w:rPr>
                <w:b/>
                <w:szCs w:val="22"/>
              </w:rPr>
              <w:t>Вид терапии</w:t>
            </w:r>
          </w:p>
        </w:tc>
        <w:tc>
          <w:tcPr>
            <w:tcW w:w="2097" w:type="dxa"/>
          </w:tcPr>
          <w:p w14:paraId="01202E58" w14:textId="77777777" w:rsidR="00314A2B" w:rsidRPr="00DF0D90" w:rsidRDefault="00314A2B" w:rsidP="00E250EC">
            <w:pPr>
              <w:tabs>
                <w:tab w:val="left" w:pos="284"/>
                <w:tab w:val="left" w:pos="426"/>
                <w:tab w:val="left" w:pos="709"/>
                <w:tab w:val="left" w:pos="851"/>
              </w:tabs>
              <w:autoSpaceDE w:val="0"/>
              <w:autoSpaceDN w:val="0"/>
              <w:adjustRightInd w:val="0"/>
              <w:spacing w:before="100" w:beforeAutospacing="1" w:after="100" w:afterAutospacing="1"/>
              <w:jc w:val="both"/>
              <w:rPr>
                <w:b/>
                <w:bCs/>
              </w:rPr>
            </w:pPr>
            <w:r w:rsidRPr="00DF0D90">
              <w:rPr>
                <w:b/>
                <w:bCs/>
                <w:szCs w:val="22"/>
              </w:rPr>
              <w:t>Препарат</w:t>
            </w:r>
          </w:p>
        </w:tc>
        <w:tc>
          <w:tcPr>
            <w:tcW w:w="5245" w:type="dxa"/>
          </w:tcPr>
          <w:p w14:paraId="4A9EA86E" w14:textId="77777777" w:rsidR="00314A2B" w:rsidRPr="00DF0D90" w:rsidRDefault="00314A2B" w:rsidP="00E250EC">
            <w:pPr>
              <w:tabs>
                <w:tab w:val="left" w:pos="284"/>
                <w:tab w:val="left" w:pos="426"/>
                <w:tab w:val="left" w:pos="709"/>
                <w:tab w:val="left" w:pos="851"/>
              </w:tabs>
              <w:autoSpaceDE w:val="0"/>
              <w:autoSpaceDN w:val="0"/>
              <w:adjustRightInd w:val="0"/>
              <w:spacing w:before="100" w:beforeAutospacing="1" w:after="100" w:afterAutospacing="1"/>
              <w:jc w:val="both"/>
              <w:rPr>
                <w:b/>
                <w:bCs/>
              </w:rPr>
            </w:pPr>
            <w:r w:rsidRPr="00DF0D90">
              <w:rPr>
                <w:b/>
                <w:bCs/>
                <w:szCs w:val="22"/>
              </w:rPr>
              <w:t>Схема приема</w:t>
            </w:r>
          </w:p>
        </w:tc>
      </w:tr>
      <w:tr w:rsidR="00314A2B" w:rsidRPr="00DF0D90" w14:paraId="30DBEFDB" w14:textId="77777777" w:rsidTr="002A397A">
        <w:tc>
          <w:tcPr>
            <w:tcW w:w="2122" w:type="dxa"/>
            <w:vMerge w:val="restart"/>
          </w:tcPr>
          <w:p w14:paraId="60B4F6FA" w14:textId="59E7F46B" w:rsidR="00314A2B" w:rsidRPr="00DF0D90" w:rsidRDefault="00314A2B" w:rsidP="006E7DE5">
            <w:pPr>
              <w:tabs>
                <w:tab w:val="left" w:pos="284"/>
                <w:tab w:val="left" w:pos="426"/>
                <w:tab w:val="left" w:pos="709"/>
                <w:tab w:val="left" w:pos="851"/>
              </w:tabs>
              <w:autoSpaceDE w:val="0"/>
              <w:autoSpaceDN w:val="0"/>
              <w:adjustRightInd w:val="0"/>
              <w:spacing w:before="100" w:beforeAutospacing="1" w:after="100" w:afterAutospacing="1"/>
              <w:jc w:val="both"/>
            </w:pPr>
            <w:r w:rsidRPr="00DF0D90">
              <w:rPr>
                <w:szCs w:val="22"/>
              </w:rPr>
              <w:t>Терапия ингибиторами</w:t>
            </w:r>
            <w:r w:rsidR="001A2966" w:rsidRPr="00DF0D90">
              <w:rPr>
                <w:szCs w:val="22"/>
              </w:rPr>
              <w:t xml:space="preserve"> </w:t>
            </w:r>
            <w:r w:rsidR="006E7DE5" w:rsidRPr="00DF0D90">
              <w:rPr>
                <w:szCs w:val="22"/>
              </w:rPr>
              <w:t>протеинкиназ</w:t>
            </w:r>
          </w:p>
        </w:tc>
        <w:tc>
          <w:tcPr>
            <w:tcW w:w="2097" w:type="dxa"/>
          </w:tcPr>
          <w:p w14:paraId="1973BF99" w14:textId="77777777" w:rsidR="00314A2B" w:rsidRPr="00DF0D90" w:rsidRDefault="00314A2B" w:rsidP="00E250EC">
            <w:pPr>
              <w:tabs>
                <w:tab w:val="left" w:pos="284"/>
                <w:tab w:val="left" w:pos="426"/>
                <w:tab w:val="left" w:pos="709"/>
                <w:tab w:val="left" w:pos="851"/>
              </w:tabs>
              <w:autoSpaceDE w:val="0"/>
              <w:autoSpaceDN w:val="0"/>
              <w:adjustRightInd w:val="0"/>
              <w:spacing w:before="100" w:beforeAutospacing="1" w:after="100" w:afterAutospacing="1"/>
              <w:jc w:val="both"/>
              <w:rPr>
                <w:bCs/>
                <w:i/>
              </w:rPr>
            </w:pPr>
            <w:r w:rsidRPr="00DF0D90">
              <w:rPr>
                <w:bCs/>
                <w:i/>
                <w:szCs w:val="22"/>
              </w:rPr>
              <w:t>Сорафениб**</w:t>
            </w:r>
          </w:p>
        </w:tc>
        <w:tc>
          <w:tcPr>
            <w:tcW w:w="5245" w:type="dxa"/>
          </w:tcPr>
          <w:p w14:paraId="0889FDD8" w14:textId="21019F74" w:rsidR="00314A2B" w:rsidRPr="00DF0D90" w:rsidRDefault="00314A2B" w:rsidP="00E250EC">
            <w:pPr>
              <w:tabs>
                <w:tab w:val="left" w:pos="284"/>
                <w:tab w:val="left" w:pos="426"/>
                <w:tab w:val="left" w:pos="709"/>
                <w:tab w:val="left" w:pos="851"/>
              </w:tabs>
              <w:autoSpaceDE w:val="0"/>
              <w:autoSpaceDN w:val="0"/>
              <w:adjustRightInd w:val="0"/>
              <w:spacing w:before="100" w:beforeAutospacing="1" w:after="100" w:afterAutospacing="1"/>
              <w:jc w:val="both"/>
            </w:pPr>
            <w:r w:rsidRPr="00DF0D90">
              <w:rPr>
                <w:bCs/>
                <w:szCs w:val="22"/>
              </w:rPr>
              <w:t xml:space="preserve">по 400 мг 2 раза в день </w:t>
            </w:r>
            <w:r w:rsidR="006E7DE5" w:rsidRPr="00DF0D90">
              <w:rPr>
                <w:bCs/>
                <w:szCs w:val="22"/>
              </w:rPr>
              <w:t xml:space="preserve">внутрь, </w:t>
            </w:r>
            <w:r w:rsidRPr="00DF0D90">
              <w:rPr>
                <w:bCs/>
                <w:szCs w:val="22"/>
              </w:rPr>
              <w:t>длительно</w:t>
            </w:r>
            <w:r w:rsidR="00CD71CF" w:rsidRPr="00DF0D90">
              <w:rPr>
                <w:bCs/>
                <w:szCs w:val="22"/>
              </w:rPr>
              <w:t xml:space="preserve"> </w:t>
            </w:r>
            <w:r w:rsidR="00CD71CF" w:rsidRPr="00DF0D90">
              <w:rPr>
                <w:bCs/>
                <w:szCs w:val="22"/>
              </w:rPr>
              <w:fldChar w:fldCharType="begin" w:fldLock="1"/>
            </w:r>
            <w:r w:rsidR="007335C5" w:rsidRPr="00DF0D90">
              <w:rPr>
                <w:bCs/>
                <w:szCs w:val="22"/>
              </w:rPr>
              <w:instrText>ADDIN CSL_CITATION {"citationItems":[{"id":"ITEM-1","itemData":{"DOI":"10.1056/nejmoa0708857","ISSN":"0028-4793","PMID":"18650514","abstract":"BACKGROUND No effective systemic therapy exists for patients with advanced hepatocellular carcinoma. A preliminary study suggested that sorafenib, an oral multikinase inhibitor of the vascular endothelial growth factor receptor, the platelet-derived growth factor receptor, and Raf may be effective in hepatocellular carcinoma. METHODS In this multicenter, phase 3, double-blind, placebo-controlled trial, we randomly assigned 602 patients with advanced hepatocellular carcinoma who had not received previous systemic treatment to receive either sorafenib (at a dose of 400 mg twice daily) or placebo. Primary outcomes were overall survival and the time to symptomatic progression. Secondary outcomes included the time to radiologic progression and safety. RESULTS At the second planned interim analysis, 321 deaths had occurred, and the study was stopped. Median overall survival was 10.7 months in the sorafenib group and 7.9 months in the placebo group (hazard ratio in the sorafenib group, 0.69; 95% confidence interval, 0.55 to 0.87; P&lt;0.001). There was no significant difference between the two groups in the median time to symptomatic progression (4.1 months vs. 4.9 months, respectively, P=0.77). The median time to radiologic progression was 5.5 months in the sorafenib group and 2.8 months in the placebo group (P&lt;0.001). Seven patients in the sorafenib group (2%) and two patients in the placebo group (1%) had a partial response; no patients had a complete response. Diarrhea, weight loss, hand-foot skin reaction, and hypophosphatemia were more frequent in the sorafenib group. CONCLUSIONS In patients with advanced hepatocellular carcinoma, median survival and the time to radiologic progression were nearly 3 months longer for patients treated with sorafenib than for those given placebo. (ClinicalTrials.gov number, NCT00105443.)","author":[{"dropping-particle":"","family":"Llovet","given":"Josep M.","non-dropping-particle":"","parse-names":false,"suffix":""},{"dropping-particle":"","family":"Ricci","given":"Sergio","non-dropping-particle":"","parse-names":false,"suffix":""},{"dropping-particle":"","family":"Mazzaferro","given":"Vincenzo","non-dropping-particle":"","parse-names":false,"suffix":""},{"dropping-particle":"","family":"Hilgard","given":"Philip","non-dropping-particle":"","parse-names":false,"suffix":""},{"dropping-particle":"","family":"Gane","given":"Edward","non-dropping-particle":"","parse-names":false,"suffix":""},{"dropping-particle":"","family":"Blanc","given":"Jean-Frédéric","non-dropping-particle":"","parse-names":false,"suffix":""},{"dropping-particle":"","family":"Oliveira","given":"Andre Cosme","non-dropping-particle":"de","parse-names":false,"suffix":""},{"dropping-particle":"","family":"Santoro","given":"Armando","non-dropping-particle":"","parse-names":false,"suffix":""},{"dropping-particle":"","family":"Raoul","given":"Jean-Luc","non-dropping-particle":"","parse-names":false,"suffix":""},{"dropping-particle":"","family":"Forner","given":"Alejandro","non-dropping-particle":"","parse-names":false,"suffix":""},{"dropping-particle":"","family":"Schwartz","given":"Myron","non-dropping-particle":"","parse-names":false,"suffix":""},{"dropping-particle":"","family":"Porta","given":"Camillo","non-dropping-particle":"","parse-names":false,"suffix":""},{"dropping-particle":"","family":"Zeuzem","given":"Stefan","non-dropping-particle":"","parse-names":false,"suffix":""},{"dropping-particle":"","family":"Bolondi","given":"Luigi","non-dropping-particle":"","parse-names":false,"suffix":""},{"dropping-particle":"","family":"Greten","given":"Tim F.","non-dropping-particle":"","parse-names":false,"suffix":""},{"dropping-particle":"","family":"Galle","given":"Peter R.","non-dropping-particle":"","parse-names":false,"suffix":""},{"dropping-particle":"","family":"Seitz","given":"Jean-François","non-dropping-particle":"","parse-names":false,"suffix":""},{"dropping-particle":"","family":"Borbath","given":"Ivan","non-dropping-particle":"","parse-names":false,"suffix":""},{"dropping-particle":"","family":"Häussinger","given":"Dieter","non-dropping-particle":"","parse-names":false,"suffix":""},{"dropping-particle":"","family":"Giannaris","given":"Tom","non-dropping-particle":"","parse-names":false,"suffix":""},{"dropping-particle":"","family":"Shan","given":"Minghua","non-dropping-particle":"","parse-names":false,"suffix":""},{"dropping-particle":"","family":"Moscovici","given":"Marius","non-dropping-particle":"","parse-names":false,"suffix":""},{"dropping-particle":"","family":"Voliotis","given":"Dimitris","non-dropping-particle":"","parse-names":false,"suffix":""},{"dropping-particle":"","family":"Bruix","given":"Jordi","non-dropping-particle":"","parse-names":false,"suffix":""}],"container-title":"New England Journal of Medicine","id":"ITEM-1","issue":"4","issued":{"date-parts":[["2008","7","24"]]},"page":"378-390","title":"Sorafenib in Advanced Hepatocellular Carcinoma","type":"article-journal","volume":"359"},"uris":["http://www.mendeley.com/documents/?uuid=811c05bd-809b-31fb-a255-4d87fe0e98c3"]}],"mendeley":{"formattedCitation":"[87]","plainTextFormattedCitation":"[87]","previouslyFormattedCitation":"[87]"},"properties":{"noteIndex":0},"schema":"https://github.com/citation-style-language/schema/raw/master/csl-citation.json"}</w:instrText>
            </w:r>
            <w:r w:rsidR="00CD71CF" w:rsidRPr="00DF0D90">
              <w:rPr>
                <w:bCs/>
                <w:szCs w:val="22"/>
              </w:rPr>
              <w:fldChar w:fldCharType="separate"/>
            </w:r>
            <w:r w:rsidR="007335C5" w:rsidRPr="00DF0D90">
              <w:rPr>
                <w:bCs/>
                <w:noProof/>
                <w:szCs w:val="22"/>
              </w:rPr>
              <w:t>[87]</w:t>
            </w:r>
            <w:r w:rsidR="00CD71CF" w:rsidRPr="00DF0D90">
              <w:rPr>
                <w:bCs/>
                <w:szCs w:val="22"/>
              </w:rPr>
              <w:fldChar w:fldCharType="end"/>
            </w:r>
          </w:p>
        </w:tc>
      </w:tr>
      <w:tr w:rsidR="00314A2B" w:rsidRPr="00DF0D90" w14:paraId="3827151F" w14:textId="77777777" w:rsidTr="002A397A">
        <w:trPr>
          <w:trHeight w:val="394"/>
        </w:trPr>
        <w:tc>
          <w:tcPr>
            <w:tcW w:w="2122" w:type="dxa"/>
            <w:vMerge/>
          </w:tcPr>
          <w:p w14:paraId="008D7ABB" w14:textId="77777777" w:rsidR="00314A2B" w:rsidRPr="00DF0D90" w:rsidRDefault="00314A2B" w:rsidP="00E250EC">
            <w:pPr>
              <w:tabs>
                <w:tab w:val="left" w:pos="284"/>
                <w:tab w:val="left" w:pos="426"/>
                <w:tab w:val="left" w:pos="709"/>
                <w:tab w:val="left" w:pos="851"/>
              </w:tabs>
              <w:autoSpaceDE w:val="0"/>
              <w:autoSpaceDN w:val="0"/>
              <w:adjustRightInd w:val="0"/>
              <w:spacing w:before="100" w:beforeAutospacing="1" w:after="100" w:afterAutospacing="1"/>
              <w:jc w:val="both"/>
            </w:pPr>
          </w:p>
        </w:tc>
        <w:tc>
          <w:tcPr>
            <w:tcW w:w="2097" w:type="dxa"/>
            <w:vMerge w:val="restart"/>
          </w:tcPr>
          <w:p w14:paraId="4EAA0710" w14:textId="77777777" w:rsidR="00314A2B" w:rsidRPr="00DF0D90" w:rsidRDefault="00314A2B" w:rsidP="00E250EC">
            <w:pPr>
              <w:tabs>
                <w:tab w:val="left" w:pos="284"/>
                <w:tab w:val="left" w:pos="426"/>
                <w:tab w:val="left" w:pos="709"/>
                <w:tab w:val="left" w:pos="851"/>
              </w:tabs>
              <w:autoSpaceDE w:val="0"/>
              <w:autoSpaceDN w:val="0"/>
              <w:adjustRightInd w:val="0"/>
              <w:spacing w:before="100" w:beforeAutospacing="1" w:after="100" w:afterAutospacing="1"/>
              <w:ind w:right="-108"/>
              <w:jc w:val="both"/>
              <w:rPr>
                <w:bCs/>
                <w:i/>
              </w:rPr>
            </w:pPr>
            <w:r w:rsidRPr="00DF0D90">
              <w:rPr>
                <w:bCs/>
                <w:i/>
                <w:szCs w:val="22"/>
              </w:rPr>
              <w:t>Ленватиниб**</w:t>
            </w:r>
          </w:p>
        </w:tc>
        <w:tc>
          <w:tcPr>
            <w:tcW w:w="5245" w:type="dxa"/>
          </w:tcPr>
          <w:p w14:paraId="6BDDD451" w14:textId="58C521E9" w:rsidR="00314A2B" w:rsidRPr="00DF0D90" w:rsidRDefault="00314A2B" w:rsidP="00E250EC">
            <w:pPr>
              <w:tabs>
                <w:tab w:val="left" w:pos="284"/>
                <w:tab w:val="left" w:pos="426"/>
                <w:tab w:val="left" w:pos="709"/>
                <w:tab w:val="left" w:pos="851"/>
              </w:tabs>
              <w:autoSpaceDE w:val="0"/>
              <w:autoSpaceDN w:val="0"/>
              <w:adjustRightInd w:val="0"/>
              <w:spacing w:before="100" w:beforeAutospacing="1" w:after="100" w:afterAutospacing="1"/>
              <w:jc w:val="both"/>
              <w:rPr>
                <w:bCs/>
              </w:rPr>
            </w:pPr>
            <w:r w:rsidRPr="00DF0D90">
              <w:rPr>
                <w:bCs/>
                <w:szCs w:val="22"/>
              </w:rPr>
              <w:t>8 мг (если масса тела &lt;60 кг) 1 раз в день</w:t>
            </w:r>
            <w:r w:rsidR="006E7DE5" w:rsidRPr="00DF0D90">
              <w:rPr>
                <w:bCs/>
                <w:szCs w:val="22"/>
              </w:rPr>
              <w:t xml:space="preserve"> внутрь, </w:t>
            </w:r>
            <w:r w:rsidRPr="00DF0D90">
              <w:rPr>
                <w:bCs/>
                <w:szCs w:val="22"/>
              </w:rPr>
              <w:t xml:space="preserve"> длительно</w:t>
            </w:r>
            <w:r w:rsidR="00CD71CF" w:rsidRPr="00DF0D90">
              <w:rPr>
                <w:bCs/>
                <w:szCs w:val="22"/>
              </w:rPr>
              <w:t xml:space="preserve"> </w:t>
            </w:r>
            <w:r w:rsidR="00CD71CF" w:rsidRPr="00DF0D90">
              <w:rPr>
                <w:bCs/>
                <w:szCs w:val="22"/>
              </w:rPr>
              <w:fldChar w:fldCharType="begin" w:fldLock="1"/>
            </w:r>
            <w:r w:rsidR="007335C5" w:rsidRPr="00DF0D90">
              <w:rPr>
                <w:bCs/>
                <w:szCs w:val="22"/>
              </w:rPr>
              <w:instrText>ADDIN CSL_CITATION {"citationItems":[{"id":"ITEM-1","itemData":{"DOI":"10.1016/S0140-6736(18)30207-1","ISSN":"1474547X","PMID":"29433850","abstract":"Background: In a phase 2 trial, lenvatinib, an inhibitor of VEGF receptors 1–3, FGF receptors 1–4, PDGF receptor α RET, and KIT, showed activity in hepatocellular carcinoma. We aimed to compare overall survival in patients treated with lenvatinib versus sorafenib as a first-line treatment for unresectable hepatocellular carcinoma. Methods: This was an open-label, phase 3, multicentre, non-inferiority trial that recruited patients with unresectable hepatocellular carcinoma, who had not received treatment for advanced disease, at 154 sites in 20 countries throughout the Asia-Pacific, European, and North American regions. Patients were randomly assigned (1:1) via an interactive voice–web response system—with region; macroscopic portal vein invasion, extrahepatic spread, or both; Eastern Cooperative Oncology Group performance status; and bodyweight as stratification factors—to receive oral lenvatinib (12 mg/day for bodyweight ≥60 kg or 8 mg/day for bodyweight &lt;60 kg) or sorafenib 400 mg twice-daily in 28-day cycles. The primary endpoint was overall survival, measured from the date of randomisation until the date of death from any cause. The efficacy analysis followed the intention-to-treat principle, and only patients who received treatment were included in the safety analysis. The non-inferiority margin was set at 1·08. The trial is registered with ClinicalTrials.gov, number NCT01761266. Findings: Between March 1, 2013 and July 30, 2015, 1492 patients were recruited. 954 eligible patients were randomly assigned to lenvatinib (n=478) or sorafenib (n=476). Median survival time for lenvatinib of 13·6 months (95% CI 12·1–14·9) was non-inferior to sorafenib (12·3 months, 10·4–13·9; hazard ratio 0·92, 95% CI 0·79–1·06), meeting criteria for non-inferiority. The most common any-grade adverse events were hypertension (201 [42%]), diarrhoea (184 [39%]), decreased appetite (162 [34%]), and decreased weight (147 [31%]) for lenvatinib, and palmar-plantar erythrodysaesthesia (249 [52%]), diarrhoea (220 [46%]), hypertension (144 [30%]), and decreased appetite (127 [27%]) for sorafenib. Interpretation: Lenvatinib was non-inferior to sorafenib in overall survival in untreated advanced hepatocellular carcinoma. The safety and tolerability profiles of lenvatinib were consistent with those previously observed. Funding: Eisai Inc.","author":[{"dropping-particle":"","family":"Kudo","given":"Masatoshi","non-dropping-particle":"","parse-names":false,"suffix":""},{"dropping-particle":"","family":"Finn","given":"Richard S","non-dropping-particle":"","parse-names":false,"suffix":""},{"dropping-particle":"","family":"Qin","given":"Shukui","non-dropping-particle":"","parse-names":false,"suffix":""},{"dropping-particle":"","family":"Han","given":"Kwang Hyub","non-dropping-particle":"","parse-names":false,"suffix":""},{"dropping-particle":"","family":"Ikeda","given":"Kenji","non-dropping-particle":"","parse-names":false,"suffix":""},{"dropping-particle":"","family":"Piscaglia","given":"Fabio","non-dropping-particle":"","parse-names":false,"suffix":""},{"dropping-particle":"","family":"Baron","given":"Ari","non-dropping-particle":"","parse-names":false,"suffix":""},{"dropping-particle":"","family":"Park","given":"Joong Won","non-dropping-particle":"","parse-names":false,"suffix":""},{"dropping-particle":"","family":"Han","given":"Guohong","non-dropping-particle":"","parse-names":false,"suffix":""},{"dropping-particle":"","family":"Jassem","given":"Jacek","non-dropping-particle":"","parse-names":false,"suffix":""},{"dropping-particle":"","family":"Blanc","given":"Jean Frederic","non-dropping-particle":"","parse-names":false,"suffix":""},{"dropping-particle":"","family":"Vogel","given":"Arndt","non-dropping-particle":"","parse-names":false,"suffix":""},{"dropping-particle":"","family":"Komov","given":"Dmitry","non-dropping-particle":"","parse-names":false,"suffix":""},{"dropping-particle":"","family":"Evans","given":"T. R.Jeffry","non-dropping-particle":"","parse-names":false,"suffix":""},{"dropping-particle":"","family":"Lopez","given":"Carlos","non-dropping-particle":"","parse-names":false,"suffix":""},{"dropping-particle":"","family":"Dutcus","given":"Corina","non-dropping-particle":"","parse-names":false,"suffix":""},{"dropping-particle":"","family":"Guo","given":"Matthew","non-dropping-particle":"","parse-names":false,"suffix":""},{"dropping-particle":"","family":"Saito","given":"Kenichi","non-dropping-particle":"","parse-names":false,"suffix":""},{"dropping-particle":"","family":"Kraljevic","given":"Silvija","non-dropping-particle":"","parse-names":false,"suffix":""},{"dropping-particle":"","family":"Tamai","given":"Toshiyuki","non-dropping-particle":"","parse-names":false,"suffix":""},{"dropping-particle":"","family":"Ren","given":"Min","non-dropping-particle":"","parse-names":false,"suffix":""},{"dropping-particle":"","family":"Cheng","given":"Ann Lii","non-dropping-particle":"","parse-names":false,"suffix":""}],"container-title":"The Lancet","id":"ITEM-1","issue":"10126","issued":{"date-parts":[["2018","3"]]},"page":"1163-1173","title":"Lenvatinib versus sorafenib in first-line treatment of patients with unresectable hepatocellular carcinoma: a randomised phase 3 non-inferiority trial","type":"article-journal","volume":"391"},"uris":["http://www.mendeley.com/documents/?uuid=cd09b9ac-55b0-3c51-8db3-e1f39b050af7"]}],"mendeley":{"formattedCitation":"[90]","plainTextFormattedCitation":"[90]","previouslyFormattedCitation":"[90]"},"properties":{"noteIndex":0},"schema":"https://github.com/citation-style-language/schema/raw/master/csl-citation.json"}</w:instrText>
            </w:r>
            <w:r w:rsidR="00CD71CF" w:rsidRPr="00DF0D90">
              <w:rPr>
                <w:bCs/>
                <w:szCs w:val="22"/>
              </w:rPr>
              <w:fldChar w:fldCharType="separate"/>
            </w:r>
            <w:r w:rsidR="007335C5" w:rsidRPr="00DF0D90">
              <w:rPr>
                <w:bCs/>
                <w:noProof/>
                <w:szCs w:val="22"/>
              </w:rPr>
              <w:t>[90]</w:t>
            </w:r>
            <w:r w:rsidR="00CD71CF" w:rsidRPr="00DF0D90">
              <w:rPr>
                <w:bCs/>
                <w:szCs w:val="22"/>
              </w:rPr>
              <w:fldChar w:fldCharType="end"/>
            </w:r>
          </w:p>
        </w:tc>
      </w:tr>
      <w:tr w:rsidR="00314A2B" w:rsidRPr="00DF0D90" w14:paraId="30ADA400" w14:textId="77777777" w:rsidTr="002A397A">
        <w:trPr>
          <w:trHeight w:val="429"/>
        </w:trPr>
        <w:tc>
          <w:tcPr>
            <w:tcW w:w="2122" w:type="dxa"/>
            <w:vMerge/>
          </w:tcPr>
          <w:p w14:paraId="4E621D1A" w14:textId="77777777" w:rsidR="00314A2B" w:rsidRPr="00DF0D90" w:rsidRDefault="00314A2B" w:rsidP="00E250EC">
            <w:pPr>
              <w:tabs>
                <w:tab w:val="left" w:pos="284"/>
                <w:tab w:val="left" w:pos="426"/>
                <w:tab w:val="left" w:pos="709"/>
                <w:tab w:val="left" w:pos="851"/>
              </w:tabs>
              <w:autoSpaceDE w:val="0"/>
              <w:autoSpaceDN w:val="0"/>
              <w:adjustRightInd w:val="0"/>
              <w:spacing w:before="100" w:beforeAutospacing="1" w:after="100" w:afterAutospacing="1"/>
              <w:jc w:val="both"/>
            </w:pPr>
          </w:p>
        </w:tc>
        <w:tc>
          <w:tcPr>
            <w:tcW w:w="2097" w:type="dxa"/>
            <w:vMerge/>
          </w:tcPr>
          <w:p w14:paraId="25035C4B" w14:textId="77777777" w:rsidR="00314A2B" w:rsidRPr="00DF0D90" w:rsidRDefault="00314A2B" w:rsidP="00E250EC">
            <w:pPr>
              <w:tabs>
                <w:tab w:val="left" w:pos="284"/>
                <w:tab w:val="left" w:pos="426"/>
                <w:tab w:val="left" w:pos="709"/>
                <w:tab w:val="left" w:pos="851"/>
              </w:tabs>
              <w:autoSpaceDE w:val="0"/>
              <w:autoSpaceDN w:val="0"/>
              <w:adjustRightInd w:val="0"/>
              <w:spacing w:before="100" w:beforeAutospacing="1" w:after="100" w:afterAutospacing="1"/>
              <w:jc w:val="both"/>
              <w:rPr>
                <w:bCs/>
                <w:i/>
              </w:rPr>
            </w:pPr>
          </w:p>
        </w:tc>
        <w:tc>
          <w:tcPr>
            <w:tcW w:w="5245" w:type="dxa"/>
          </w:tcPr>
          <w:p w14:paraId="0CF867AA" w14:textId="71057D91" w:rsidR="00314A2B" w:rsidRPr="00DF0D90" w:rsidRDefault="00314A2B" w:rsidP="00E250EC">
            <w:pPr>
              <w:tabs>
                <w:tab w:val="left" w:pos="284"/>
                <w:tab w:val="left" w:pos="426"/>
                <w:tab w:val="left" w:pos="709"/>
                <w:tab w:val="left" w:pos="851"/>
              </w:tabs>
              <w:autoSpaceDE w:val="0"/>
              <w:autoSpaceDN w:val="0"/>
              <w:adjustRightInd w:val="0"/>
              <w:spacing w:before="100" w:beforeAutospacing="1" w:after="100" w:afterAutospacing="1"/>
              <w:jc w:val="both"/>
              <w:rPr>
                <w:bCs/>
              </w:rPr>
            </w:pPr>
            <w:r w:rsidRPr="00DF0D90">
              <w:rPr>
                <w:bCs/>
                <w:szCs w:val="22"/>
              </w:rPr>
              <w:t>12 мг (если масса тела ≥60 кг) 1 раз в день</w:t>
            </w:r>
            <w:r w:rsidR="006E7DE5" w:rsidRPr="00DF0D90">
              <w:rPr>
                <w:bCs/>
                <w:szCs w:val="22"/>
              </w:rPr>
              <w:t xml:space="preserve"> внутрь, </w:t>
            </w:r>
            <w:r w:rsidRPr="00DF0D90">
              <w:rPr>
                <w:bCs/>
                <w:szCs w:val="22"/>
              </w:rPr>
              <w:t xml:space="preserve"> длительно</w:t>
            </w:r>
            <w:r w:rsidR="009E100A" w:rsidRPr="00DF0D90">
              <w:rPr>
                <w:bCs/>
                <w:szCs w:val="22"/>
              </w:rPr>
              <w:t xml:space="preserve"> </w:t>
            </w:r>
            <w:r w:rsidR="00CD71CF" w:rsidRPr="00DF0D90">
              <w:rPr>
                <w:bCs/>
                <w:szCs w:val="22"/>
              </w:rPr>
              <w:fldChar w:fldCharType="begin" w:fldLock="1"/>
            </w:r>
            <w:r w:rsidR="007335C5" w:rsidRPr="00DF0D90">
              <w:rPr>
                <w:bCs/>
                <w:szCs w:val="22"/>
              </w:rPr>
              <w:instrText>ADDIN CSL_CITATION {"citationItems":[{"id":"ITEM-1","itemData":{"DOI":"10.1016/S0140-6736(18)30207-1","ISSN":"1474547X","PMID":"29433850","abstract":"Background: In a phase 2 trial, lenvatinib, an inhibitor of VEGF receptors 1–3, FGF receptors 1–4, PDGF receptor α RET, and KIT, showed activity in hepatocellular carcinoma. We aimed to compare overall survival in patients treated with lenvatinib versus sorafenib as a first-line treatment for unresectable hepatocellular carcinoma. Methods: This was an open-label, phase 3, multicentre, non-inferiority trial that recruited patients with unresectable hepatocellular carcinoma, who had not received treatment for advanced disease, at 154 sites in 20 countries throughout the Asia-Pacific, European, and North American regions. Patients were randomly assigned (1:1) via an interactive voice–web response system—with region; macroscopic portal vein invasion, extrahepatic spread, or both; Eastern Cooperative Oncology Group performance status; and bodyweight as stratification factors—to receive oral lenvatinib (12 mg/day for bodyweight ≥60 kg or 8 mg/day for bodyweight &lt;60 kg) or sorafenib 400 mg twice-daily in 28-day cycles. The primary endpoint was overall survival, measured from the date of randomisation until the date of death from any cause. The efficacy analysis followed the intention-to-treat principle, and only patients who received treatment were included in the safety analysis. The non-inferiority margin was set at 1·08. The trial is registered with ClinicalTrials.gov, number NCT01761266. Findings: Between March 1, 2013 and July 30, 2015, 1492 patients were recruited. 954 eligible patients were randomly assigned to lenvatinib (n=478) or sorafenib (n=476). Median survival time for lenvatinib of 13·6 months (95% CI 12·1–14·9) was non-inferior to sorafenib (12·3 months, 10·4–13·9; hazard ratio 0·92, 95% CI 0·79–1·06), meeting criteria for non-inferiority. The most common any-grade adverse events were hypertension (201 [42%]), diarrhoea (184 [39%]), decreased appetite (162 [34%]), and decreased weight (147 [31%]) for lenvatinib, and palmar-plantar erythrodysaesthesia (249 [52%]), diarrhoea (220 [46%]), hypertension (144 [30%]), and decreased appetite (127 [27%]) for sorafenib. Interpretation: Lenvatinib was non-inferior to sorafenib in overall survival in untreated advanced hepatocellular carcinoma. The safety and tolerability profiles of lenvatinib were consistent with those previously observed. Funding: Eisai Inc.","author":[{"dropping-particle":"","family":"Kudo","given":"Masatoshi","non-dropping-particle":"","parse-names":false,"suffix":""},{"dropping-particle":"","family":"Finn","given":"Richard S","non-dropping-particle":"","parse-names":false,"suffix":""},{"dropping-particle":"","family":"Qin","given":"Shukui","non-dropping-particle":"","parse-names":false,"suffix":""},{"dropping-particle":"","family":"Han","given":"Kwang Hyub","non-dropping-particle":"","parse-names":false,"suffix":""},{"dropping-particle":"","family":"Ikeda","given":"Kenji","non-dropping-particle":"","parse-names":false,"suffix":""},{"dropping-particle":"","family":"Piscaglia","given":"Fabio","non-dropping-particle":"","parse-names":false,"suffix":""},{"dropping-particle":"","family":"Baron","given":"Ari","non-dropping-particle":"","parse-names":false,"suffix":""},{"dropping-particle":"","family":"Park","given":"Joong Won","non-dropping-particle":"","parse-names":false,"suffix":""},{"dropping-particle":"","family":"Han","given":"Guohong","non-dropping-particle":"","parse-names":false,"suffix":""},{"dropping-particle":"","family":"Jassem","given":"Jacek","non-dropping-particle":"","parse-names":false,"suffix":""},{"dropping-particle":"","family":"Blanc","given":"Jean Frederic","non-dropping-particle":"","parse-names":false,"suffix":""},{"dropping-particle":"","family":"Vogel","given":"Arndt","non-dropping-particle":"","parse-names":false,"suffix":""},{"dropping-particle":"","family":"Komov","given":"Dmitry","non-dropping-particle":"","parse-names":false,"suffix":""},{"dropping-particle":"","family":"Evans","given":"T. R.Jeffry","non-dropping-particle":"","parse-names":false,"suffix":""},{"dropping-particle":"","family":"Lopez","given":"Carlos","non-dropping-particle":"","parse-names":false,"suffix":""},{"dropping-particle":"","family":"Dutcus","given":"Corina","non-dropping-particle":"","parse-names":false,"suffix":""},{"dropping-particle":"","family":"Guo","given":"Matthew","non-dropping-particle":"","parse-names":false,"suffix":""},{"dropping-particle":"","family":"Saito","given":"Kenichi","non-dropping-particle":"","parse-names":false,"suffix":""},{"dropping-particle":"","family":"Kraljevic","given":"Silvija","non-dropping-particle":"","parse-names":false,"suffix":""},{"dropping-particle":"","family":"Tamai","given":"Toshiyuki","non-dropping-particle":"","parse-names":false,"suffix":""},{"dropping-particle":"","family":"Ren","given":"Min","non-dropping-particle":"","parse-names":false,"suffix":""},{"dropping-particle":"","family":"Cheng","given":"Ann Lii","non-dropping-particle":"","parse-names":false,"suffix":""}],"container-title":"The Lancet","id":"ITEM-1","issue":"10126","issued":{"date-parts":[["2018","3"]]},"page":"1163-1173","title":"Lenvatinib versus sorafenib in first-line treatment of patients with unresectable hepatocellular carcinoma: a randomised phase 3 non-inferiority trial","type":"article-journal","volume":"391"},"uris":["http://www.mendeley.com/documents/?uuid=cd09b9ac-55b0-3c51-8db3-e1f39b050af7"]}],"mendeley":{"formattedCitation":"[90]","plainTextFormattedCitation":"[90]","previouslyFormattedCitation":"[90]"},"properties":{"noteIndex":0},"schema":"https://github.com/citation-style-language/schema/raw/master/csl-citation.json"}</w:instrText>
            </w:r>
            <w:r w:rsidR="00CD71CF" w:rsidRPr="00DF0D90">
              <w:rPr>
                <w:bCs/>
                <w:szCs w:val="22"/>
              </w:rPr>
              <w:fldChar w:fldCharType="separate"/>
            </w:r>
            <w:r w:rsidR="007335C5" w:rsidRPr="00DF0D90">
              <w:rPr>
                <w:bCs/>
                <w:noProof/>
                <w:szCs w:val="22"/>
              </w:rPr>
              <w:t>[90]</w:t>
            </w:r>
            <w:r w:rsidR="00CD71CF" w:rsidRPr="00DF0D90">
              <w:rPr>
                <w:bCs/>
                <w:szCs w:val="22"/>
              </w:rPr>
              <w:fldChar w:fldCharType="end"/>
            </w:r>
          </w:p>
        </w:tc>
      </w:tr>
      <w:tr w:rsidR="00314A2B" w:rsidRPr="00DF0D90" w14:paraId="0C71D09E" w14:textId="77777777" w:rsidTr="002A397A">
        <w:trPr>
          <w:trHeight w:val="360"/>
        </w:trPr>
        <w:tc>
          <w:tcPr>
            <w:tcW w:w="2122" w:type="dxa"/>
            <w:vMerge/>
          </w:tcPr>
          <w:p w14:paraId="1079532B" w14:textId="77777777" w:rsidR="00314A2B" w:rsidRPr="00DF0D90" w:rsidRDefault="00314A2B" w:rsidP="00E250EC">
            <w:pPr>
              <w:tabs>
                <w:tab w:val="left" w:pos="284"/>
                <w:tab w:val="left" w:pos="426"/>
                <w:tab w:val="left" w:pos="709"/>
                <w:tab w:val="left" w:pos="851"/>
              </w:tabs>
              <w:autoSpaceDE w:val="0"/>
              <w:autoSpaceDN w:val="0"/>
              <w:adjustRightInd w:val="0"/>
              <w:spacing w:before="100" w:beforeAutospacing="1" w:after="100" w:afterAutospacing="1"/>
              <w:jc w:val="both"/>
            </w:pPr>
          </w:p>
        </w:tc>
        <w:tc>
          <w:tcPr>
            <w:tcW w:w="2097" w:type="dxa"/>
            <w:vMerge w:val="restart"/>
          </w:tcPr>
          <w:p w14:paraId="197850D2" w14:textId="77777777" w:rsidR="00314A2B" w:rsidRPr="00DF0D90" w:rsidRDefault="00314A2B" w:rsidP="00E250EC">
            <w:pPr>
              <w:tabs>
                <w:tab w:val="left" w:pos="284"/>
                <w:tab w:val="left" w:pos="426"/>
                <w:tab w:val="left" w:pos="709"/>
                <w:tab w:val="left" w:pos="851"/>
              </w:tabs>
              <w:autoSpaceDE w:val="0"/>
              <w:autoSpaceDN w:val="0"/>
              <w:adjustRightInd w:val="0"/>
              <w:spacing w:before="100" w:beforeAutospacing="1" w:after="100" w:afterAutospacing="1"/>
              <w:ind w:right="-108"/>
              <w:jc w:val="both"/>
              <w:rPr>
                <w:bCs/>
                <w:i/>
              </w:rPr>
            </w:pPr>
            <w:proofErr w:type="spellStart"/>
            <w:r w:rsidRPr="00DF0D90">
              <w:rPr>
                <w:bCs/>
                <w:i/>
                <w:szCs w:val="22"/>
              </w:rPr>
              <w:t>Регорафениб</w:t>
            </w:r>
            <w:proofErr w:type="spellEnd"/>
            <w:r w:rsidRPr="00DF0D90">
              <w:rPr>
                <w:bCs/>
                <w:i/>
                <w:szCs w:val="22"/>
              </w:rPr>
              <w:t>**</w:t>
            </w:r>
          </w:p>
        </w:tc>
        <w:tc>
          <w:tcPr>
            <w:tcW w:w="5245" w:type="dxa"/>
          </w:tcPr>
          <w:p w14:paraId="37C1449B" w14:textId="27F84ED7" w:rsidR="00314A2B" w:rsidRPr="00DF0D90" w:rsidRDefault="00314A2B" w:rsidP="00E250EC">
            <w:pPr>
              <w:tabs>
                <w:tab w:val="left" w:pos="284"/>
                <w:tab w:val="left" w:pos="426"/>
                <w:tab w:val="left" w:pos="709"/>
                <w:tab w:val="left" w:pos="851"/>
              </w:tabs>
              <w:autoSpaceDE w:val="0"/>
              <w:autoSpaceDN w:val="0"/>
              <w:adjustRightInd w:val="0"/>
              <w:spacing w:before="100" w:beforeAutospacing="1" w:after="100" w:afterAutospacing="1"/>
              <w:jc w:val="both"/>
              <w:rPr>
                <w:bCs/>
              </w:rPr>
            </w:pPr>
            <w:r w:rsidRPr="00DF0D90">
              <w:rPr>
                <w:bCs/>
                <w:szCs w:val="22"/>
              </w:rPr>
              <w:t>160 мг/сут в 1–21-й дни</w:t>
            </w:r>
            <w:r w:rsidR="006E7DE5" w:rsidRPr="00DF0D90">
              <w:rPr>
                <w:bCs/>
                <w:szCs w:val="22"/>
              </w:rPr>
              <w:t xml:space="preserve"> внутрь, </w:t>
            </w:r>
            <w:r w:rsidRPr="00DF0D90">
              <w:rPr>
                <w:bCs/>
                <w:szCs w:val="22"/>
              </w:rPr>
              <w:t xml:space="preserve"> каждые 4 нед.</w:t>
            </w:r>
            <w:r w:rsidR="00CD71CF" w:rsidRPr="00DF0D90">
              <w:rPr>
                <w:bCs/>
                <w:szCs w:val="22"/>
              </w:rPr>
              <w:fldChar w:fldCharType="begin" w:fldLock="1"/>
            </w:r>
            <w:r w:rsidR="007335C5" w:rsidRPr="00DF0D90">
              <w:rPr>
                <w:bCs/>
                <w:szCs w:val="22"/>
              </w:rPr>
              <w:instrText>ADDIN CSL_CITATION {"citationItems":[{"id":"ITEM-1","itemData":{"DOI":"10.1016/S0140-6736(16)32453-9","ISSN":"1474547X","PMID":"27932229","abstract":"Background There are no systemic treatments for patients with hepatocellular carcinoma (HCC) whose disease progresses during sorafenib treatment. We aimed to assess the efficacy and safety of regorafenib in patients with HCC who have progressed during sorafenib treatment. Methods In this randomised, double-blind, parallel-group, phase 3 trial done at 152 sites in 21 countries, adults with HCC who tolerated sorafenib (≥400 mg/day for ≥20 of last 28 days of treatment), progressed on sorafenib, and had Child-Pugh A liver function were enrolled. Participants were randomly assigned (2:1) by a computer-generated randomisation list and interactive voice response system and stratified by geographical region, Eastern Cooperative Oncology Group performance status, macrovascular invasion, extrahepatic disease, and α-fetoprotein level to best supportive care plus oral regorafenib 160 mg or placebo once daily during weeks 1–3 of each 4-week cycle. Investigators, patients, and the funder were masked to treatment assignment. The primary endpoint was overall survival (defined as time from randomisation to death due to any cause) and analysed by intention to treat. This trial is registered with ClinicalTrials.gov, number NCT01774344. Findings Between May 14, 2013, and Dec 31, 2015, 843 patients were screened, of whom 573 were enrolled and randomised (379 to regorafenib and 194 to placebo; population for efficacy analyses), and 567 initiated treatment (374 received regorafenib and 193 received placebo; population for safety analyses). Regorafenib improved overall survival with a hazard ratio of 0·63 (95% CI 0·50–0·79; one-sided p&lt;0·0001); median survival was 10·6 months (95% CI 9·1–12·1) for regorafenib versus 7·8 months (6·3–8·8) for placebo. Adverse events were reported in all regorafenib recipients (374 [100%] of 374) and 179 (93%) of 193 placebo recipients. The most common clinically relevant grade 3 or 4 treatment-emergent events were hypertension (57 patients [15%] in the regorafenib group vs nine patients [5%] in the placebo group), hand–foot skin reaction (47 patients [13%] vs one [1%]), fatigue (34 patients [9%] vs nine patients [5%]), and diarrhoea (12 patients [3%] vs no patients). Of the 88 deaths (grade 5 adverse events) reported during the study (50 patients [13%] assigned to regorafenib and 38 [20%] assigned to placebo), seven (2%) were considered by the investigator to be related to study drug in the regorafenib group and two (1%) in the placebo group, in…","author":[{"dropping-particle":"","family":"Bruix","given":"Jordi","non-dropping-particle":"","parse-names":false,"suffix":""},{"dropping-particle":"","family":"Qin","given":"Shukui","non-dropping-particle":"","parse-names":false,"suffix":""},{"dropping-particle":"","family":"Merle","given":"Philippe","non-dropping-particle":"","parse-names":false,"suffix":""},{"dropping-particle":"","family":"Granito","given":"Alessandro","non-dropping-particle":"","parse-names":false,"suffix":""},{"dropping-particle":"","family":"Huang","given":"Yi Hsiang","non-dropping-particle":"","parse-names":false,"suffix":""},{"dropping-particle":"","family":"Bodoky","given":"György","non-dropping-particle":"","parse-names":false,"suffix":""},{"dropping-particle":"","family":"Pracht","given":"Marc","non-dropping-particle":"","parse-names":false,"suffix":""},{"dropping-particle":"","family":"Yokosuka","given":"Osamu","non-dropping-particle":"","parse-names":false,"suffix":""},{"dropping-particle":"","family":"Rosmorduc","given":"Olivier","non-dropping-particle":"","parse-names":false,"suffix":""},{"dropping-particle":"","family":"Breder","given":"Valeriy","non-dropping-particle":"","parse-names":false,"suffix":""},{"dropping-particle":"","family":"Gerolami","given":"René","non-dropping-particle":"","parse-names":false,"suffix":""},{"dropping-particle":"","family":"Masi","given":"Gianluca","non-dropping-particle":"","parse-names":false,"suffix":""},{"dropping-particle":"","family":"Ross","given":"Paul J.","non-dropping-particle":"","parse-names":false,"suffix":""},{"dropping-particle":"","family":"Song","given":"Tianqiang","non-dropping-particle":"","parse-names":false,"suffix":""},{"dropping-particle":"","family":"Bronowicki","given":"Jean Pierre","non-dropping-particle":"","parse-names":false,"suffix":""},{"dropping-particle":"","family":"Ollivier-Hourmand","given":"Isabelle","non-dropping-particle":"","parse-names":false,"suffix":""},{"dropping-particle":"","family":"Kudo","given":"Masatoshi","non-dropping-particle":"","parse-names":false,"suffix":""},{"dropping-particle":"","family":"Cheng","given":"Ann Lii","non-dropping-particle":"","parse-names":false,"suffix":""},{"dropping-particle":"","family":"Llovet","given":"Josep M.","non-dropping-particle":"","parse-names":false,"suffix":""},{"dropping-particle":"","family":"Finn","given":"Richard S.","non-dropping-particle":"","parse-names":false,"suffix":""},{"dropping-particle":"","family":"LeBerre","given":"Marie Aude","non-dropping-particle":"","parse-names":false,"suffix":""},{"dropping-particle":"","family":"Baumhauer","given":"Annette","non-dropping-particle":"","parse-names":false,"suffix":""},{"dropping-particle":"","family":"Meinhardt","given":"Gerold","non-dropping-particle":"","parse-names":false,"suffix":""},{"dropping-particle":"","family":"Han","given":"Guohong","non-dropping-particle":"","parse-names":false,"suffix":""}],"container-title":"The Lancet","id":"ITEM-1","issue":"10064","issued":{"date-parts":[["2017","1","7"]]},"page":"56-66","publisher":"Lancet Publishing Group","title":"Regorafenib for patients with hepatocellular carcinoma who progressed on sorafenib treatment (RESORCE): a randomised, double-blind, placebo-controlled, phase 3 trial","type":"article-journal","volume":"389"},"uris":["http://www.mendeley.com/documents/?uuid=8ecc2c01-730a-3813-afa5-bcb25e2cc891"]}],"mendeley":{"formattedCitation":"[91]","plainTextFormattedCitation":"[91]","previouslyFormattedCitation":"[91]"},"properties":{"noteIndex":0},"schema":"https://github.com/citation-style-language/schema/raw/master/csl-citation.json"}</w:instrText>
            </w:r>
            <w:r w:rsidR="00CD71CF" w:rsidRPr="00DF0D90">
              <w:rPr>
                <w:bCs/>
                <w:szCs w:val="22"/>
              </w:rPr>
              <w:fldChar w:fldCharType="separate"/>
            </w:r>
            <w:r w:rsidR="007335C5" w:rsidRPr="00DF0D90">
              <w:rPr>
                <w:bCs/>
                <w:noProof/>
                <w:szCs w:val="22"/>
              </w:rPr>
              <w:t>[91]</w:t>
            </w:r>
            <w:r w:rsidR="00CD71CF" w:rsidRPr="00DF0D90">
              <w:rPr>
                <w:bCs/>
                <w:szCs w:val="22"/>
              </w:rPr>
              <w:fldChar w:fldCharType="end"/>
            </w:r>
          </w:p>
        </w:tc>
      </w:tr>
      <w:tr w:rsidR="00314A2B" w:rsidRPr="00DF0D90" w14:paraId="257F106B" w14:textId="77777777" w:rsidTr="002A397A">
        <w:trPr>
          <w:trHeight w:val="70"/>
        </w:trPr>
        <w:tc>
          <w:tcPr>
            <w:tcW w:w="2122" w:type="dxa"/>
            <w:vMerge/>
          </w:tcPr>
          <w:p w14:paraId="055CFCDE" w14:textId="77777777" w:rsidR="00314A2B" w:rsidRPr="00DF0D90" w:rsidRDefault="00314A2B" w:rsidP="00E250EC">
            <w:pPr>
              <w:tabs>
                <w:tab w:val="left" w:pos="284"/>
                <w:tab w:val="left" w:pos="426"/>
                <w:tab w:val="left" w:pos="709"/>
                <w:tab w:val="left" w:pos="851"/>
              </w:tabs>
              <w:autoSpaceDE w:val="0"/>
              <w:autoSpaceDN w:val="0"/>
              <w:adjustRightInd w:val="0"/>
              <w:spacing w:before="100" w:beforeAutospacing="1" w:after="100" w:afterAutospacing="1"/>
              <w:jc w:val="both"/>
            </w:pPr>
          </w:p>
        </w:tc>
        <w:tc>
          <w:tcPr>
            <w:tcW w:w="2097" w:type="dxa"/>
            <w:vMerge/>
          </w:tcPr>
          <w:p w14:paraId="5B5D7E5A" w14:textId="77777777" w:rsidR="00314A2B" w:rsidRPr="00DF0D90" w:rsidRDefault="00314A2B" w:rsidP="00E250EC">
            <w:pPr>
              <w:tabs>
                <w:tab w:val="left" w:pos="284"/>
                <w:tab w:val="left" w:pos="426"/>
                <w:tab w:val="left" w:pos="709"/>
                <w:tab w:val="left" w:pos="851"/>
              </w:tabs>
              <w:autoSpaceDE w:val="0"/>
              <w:autoSpaceDN w:val="0"/>
              <w:adjustRightInd w:val="0"/>
              <w:spacing w:before="100" w:beforeAutospacing="1" w:after="100" w:afterAutospacing="1"/>
              <w:jc w:val="both"/>
              <w:rPr>
                <w:bCs/>
                <w:i/>
              </w:rPr>
            </w:pPr>
          </w:p>
        </w:tc>
        <w:tc>
          <w:tcPr>
            <w:tcW w:w="5245" w:type="dxa"/>
          </w:tcPr>
          <w:p w14:paraId="2CC53B42" w14:textId="67CC16EA" w:rsidR="00314A2B" w:rsidRPr="00DF0D90" w:rsidRDefault="00314A2B" w:rsidP="00E250EC">
            <w:pPr>
              <w:tabs>
                <w:tab w:val="left" w:pos="284"/>
                <w:tab w:val="left" w:pos="426"/>
                <w:tab w:val="left" w:pos="709"/>
                <w:tab w:val="left" w:pos="851"/>
              </w:tabs>
              <w:autoSpaceDE w:val="0"/>
              <w:autoSpaceDN w:val="0"/>
              <w:adjustRightInd w:val="0"/>
              <w:spacing w:before="100" w:beforeAutospacing="1" w:after="100" w:afterAutospacing="1"/>
              <w:jc w:val="both"/>
              <w:rPr>
                <w:bCs/>
                <w:i/>
              </w:rPr>
            </w:pPr>
            <w:r w:rsidRPr="00DF0D90">
              <w:rPr>
                <w:bCs/>
                <w:szCs w:val="22"/>
              </w:rPr>
              <w:t xml:space="preserve">120 мг/сут в 1–21-й </w:t>
            </w:r>
            <w:r w:rsidR="001D7B82" w:rsidRPr="00DF0D90">
              <w:rPr>
                <w:bCs/>
                <w:szCs w:val="22"/>
              </w:rPr>
              <w:t>дни внутрь</w:t>
            </w:r>
            <w:r w:rsidR="006E7DE5" w:rsidRPr="00DF0D90">
              <w:rPr>
                <w:bCs/>
                <w:szCs w:val="22"/>
              </w:rPr>
              <w:t xml:space="preserve">, </w:t>
            </w:r>
            <w:r w:rsidRPr="00DF0D90">
              <w:rPr>
                <w:bCs/>
                <w:szCs w:val="22"/>
              </w:rPr>
              <w:t>каждые 4 нед.</w:t>
            </w:r>
          </w:p>
        </w:tc>
      </w:tr>
      <w:tr w:rsidR="00314A2B" w:rsidRPr="00DF0D90" w14:paraId="32B1238E" w14:textId="77777777" w:rsidTr="002A397A">
        <w:trPr>
          <w:trHeight w:val="70"/>
        </w:trPr>
        <w:tc>
          <w:tcPr>
            <w:tcW w:w="2122" w:type="dxa"/>
            <w:vMerge/>
          </w:tcPr>
          <w:p w14:paraId="16A5B09D" w14:textId="77777777" w:rsidR="00314A2B" w:rsidRPr="00DF0D90" w:rsidRDefault="00314A2B" w:rsidP="00E250EC">
            <w:pPr>
              <w:tabs>
                <w:tab w:val="left" w:pos="284"/>
                <w:tab w:val="left" w:pos="426"/>
                <w:tab w:val="left" w:pos="709"/>
                <w:tab w:val="left" w:pos="851"/>
              </w:tabs>
              <w:autoSpaceDE w:val="0"/>
              <w:autoSpaceDN w:val="0"/>
              <w:adjustRightInd w:val="0"/>
              <w:spacing w:before="100" w:beforeAutospacing="1" w:after="100" w:afterAutospacing="1"/>
              <w:jc w:val="both"/>
            </w:pPr>
          </w:p>
        </w:tc>
        <w:tc>
          <w:tcPr>
            <w:tcW w:w="2097" w:type="dxa"/>
          </w:tcPr>
          <w:p w14:paraId="6D754568" w14:textId="77777777" w:rsidR="00314A2B" w:rsidRPr="00DF0D90" w:rsidRDefault="00314A2B" w:rsidP="00E250EC">
            <w:pPr>
              <w:tabs>
                <w:tab w:val="left" w:pos="284"/>
                <w:tab w:val="left" w:pos="426"/>
                <w:tab w:val="left" w:pos="709"/>
                <w:tab w:val="left" w:pos="851"/>
              </w:tabs>
              <w:autoSpaceDE w:val="0"/>
              <w:autoSpaceDN w:val="0"/>
              <w:adjustRightInd w:val="0"/>
              <w:spacing w:before="100" w:beforeAutospacing="1" w:after="100" w:afterAutospacing="1"/>
              <w:jc w:val="both"/>
              <w:rPr>
                <w:bCs/>
                <w:i/>
              </w:rPr>
            </w:pPr>
            <w:proofErr w:type="spellStart"/>
            <w:r w:rsidRPr="00DF0D90">
              <w:rPr>
                <w:bCs/>
                <w:i/>
              </w:rPr>
              <w:t>Кабозантиниб</w:t>
            </w:r>
            <w:proofErr w:type="spellEnd"/>
            <w:r w:rsidR="00257072" w:rsidRPr="00DF0D90">
              <w:rPr>
                <w:bCs/>
                <w:i/>
              </w:rPr>
              <w:t>**</w:t>
            </w:r>
          </w:p>
        </w:tc>
        <w:tc>
          <w:tcPr>
            <w:tcW w:w="5245" w:type="dxa"/>
          </w:tcPr>
          <w:p w14:paraId="46F4A6D5" w14:textId="77777777" w:rsidR="00314A2B" w:rsidRPr="00DF0D90" w:rsidRDefault="00314A2B" w:rsidP="00E250EC">
            <w:pPr>
              <w:tabs>
                <w:tab w:val="left" w:pos="284"/>
                <w:tab w:val="left" w:pos="426"/>
                <w:tab w:val="left" w:pos="709"/>
                <w:tab w:val="left" w:pos="851"/>
              </w:tabs>
              <w:autoSpaceDE w:val="0"/>
              <w:autoSpaceDN w:val="0"/>
              <w:adjustRightInd w:val="0"/>
              <w:spacing w:before="100" w:beforeAutospacing="1" w:after="100" w:afterAutospacing="1"/>
              <w:jc w:val="both"/>
              <w:rPr>
                <w:bCs/>
                <w:szCs w:val="22"/>
              </w:rPr>
            </w:pPr>
            <w:r w:rsidRPr="00DF0D90">
              <w:rPr>
                <w:bCs/>
                <w:szCs w:val="22"/>
              </w:rPr>
              <w:t>60 мг 1 р/день длительно</w:t>
            </w:r>
            <w:r w:rsidR="009E100A" w:rsidRPr="00DF0D90">
              <w:rPr>
                <w:bCs/>
                <w:szCs w:val="22"/>
              </w:rPr>
              <w:t xml:space="preserve"> </w:t>
            </w:r>
            <w:r w:rsidR="00CD71CF" w:rsidRPr="00DF0D90">
              <w:rPr>
                <w:bCs/>
                <w:szCs w:val="22"/>
              </w:rPr>
              <w:fldChar w:fldCharType="begin" w:fldLock="1"/>
            </w:r>
            <w:r w:rsidR="007335C5" w:rsidRPr="00DF0D90">
              <w:rPr>
                <w:bCs/>
                <w:szCs w:val="22"/>
              </w:rPr>
              <w:instrText>ADDIN CSL_CITATION {"citationItems":[{"id":"ITEM-1","itemData":{"DOI":"10.1056/nejmoa1717002","ISSN":"0028-4793","PMID":"29972759","abstract":"BACKGROUND Cabozantinib inhibits tyrosine kinases, including vascular endothelial growth factor receptors 1, 2, and 3, MET, and AXL, which are implicated in the progression of hepatocellular carcinoma and the development of resistance to sorafenib, the standard initial treatment for advanced disease. This randomized, double-blind, phase 3 trial evaluated cabozantinib as compared with placebo in previously treated patients with advanced hepatocellular carcinoma. METHODS A total of 707 patients were randomly assigned in a 2:1 ratio to receive cabozantinib (60 mg once daily) or matching placebo. Eligible patients had received previous treatment with sorafenib, had disease progression after at least one systemic treatment for hepatocellular carcinoma, and may have received up to two previous systemic regimens for advanced hepatocellular carcinoma. The primary end point was overall survival. Secondary end points were progression-free survival and the objective response rate. RESULTS At the second planned interim analysis, the trial showed significantly longer overall survival with cabozantinib than with placebo. Median overall survival was 10.2 months with cabozantinib and 8.0 months with placebo (hazard ratio for death, 0.76; 95% confidence interval [CI], 0.63 to 0.92; P=0.005). Median progression-free survival was 5.2 months with cabozantinib and 1.9 months with placebo (hazard ratio for disease progression or death, 0.44; 95% CI, 0.36 to 0.52; P&lt;0.001), and the objective response rates were 4% and less than 1%, respectively (P=0.009). Grade 3 or 4 adverse events occurred in 68% of patients in the cabozantinib group and in 36% in the placebo group. The most common high-grade events were palmar-plantar erythrodysesthesia (17% with cabozantinib vs. 0% with placebo), hypertension (16% vs. 2%), increased aspartate aminotransferase level (12% vs. 7%), fatigue (10% vs. 4%), and diarrhea (10% vs. 2%). CONCLUSIONS Among patients with previously treated advanced hepatocellular carcinoma, treatment with cabozantinib resulted in longer overall survival and progression-free survival than placebo. The rate of high-grade adverse events in the cabozantinib group was approximately twice that observed in the placebo group. (Funded by Exelixis; CELESTIAL ClinicalTrials.gov number, NCT01908426 .).","author":[{"dropping-particle":"","family":"Abou-Alfa","given":"Ghassan K.","non-dropping-particle":"","parse-names":false,"suffix":""},{"dropping-particle":"","family":"Meyer","given":"Tim","non-dropping-particle":"","parse-names":false,"suffix":""},{"dropping-particle":"","family":"Cheng","given":"Ann-Lii","non-dropping-particle":"","parse-names":false,"suffix":""},{"dropping-particle":"","family":"El-Khoueiry","given":"Anthony B.","non-dropping-particle":"","parse-names":false,"suffix":""},{"dropping-particle":"","family":"Rimassa","given":"Lorenza","non-dropping-particle":"","parse-names":false,"suffix":""},{"dropping-particle":"","family":"Ryoo","given":"Baek-Yeol","non-dropping-particle":"","parse-names":false,"suffix":""},{"dropping-particle":"","family":"Cicin","given":"Irfan","non-dropping-particle":"","parse-names":false,"suffix":""},{"dropping-particle":"","family":"Merle","given":"Philippe","non-dropping-particle":"","parse-names":false,"suffix":""},{"dropping-particle":"","family":"Chen","given":"YenHsun","non-dropping-particle":"","parse-names":false,"suffix":""},{"dropping-particle":"","family":"Park","given":"Joong-Won","non-dropping-particle":"","parse-names":false,"suffix":""},{"dropping-particle":"","family":"Blanc","given":"Jean-Frederic","non-dropping-particle":"","parse-names":false,"suffix":""},{"dropping-particle":"","family":"Bolondi","given":"Luigi","non-dropping-particle":"","parse-names":false,"suffix":""},{"dropping-particle":"","family":"Klümpen","given":"Heinz-Josef","non-dropping-particle":"","parse-names":false,"suffix":""},{"dropping-particle":"","family":"Chan","given":"Stephen L.","non-dropping-particle":"","parse-names":false,"suffix":""},{"dropping-particle":"","family":"Zagonel","given":"Vittorina","non-dropping-particle":"","parse-names":false,"suffix":""},{"dropping-particle":"","family":"Pressiani","given":"Tiziana","non-dropping-particle":"","parse-names":false,"suffix":""},{"dropping-particle":"","family":"Ryu","given":"Min-Hee","non-dropping-particle":"","parse-names":false,"suffix":""},{"dropping-particle":"","family":"Venook","given":"Alan P.","non-dropping-particle":"","parse-names":false,"suffix":""},{"dropping-particle":"","family":"Hessel","given":"Colin","non-dropping-particle":"","parse-names":false,"suffix":""},{"dropping-particle":"","family":"Borgman-Hagey","given":"Anne E.","non-dropping-particle":"","parse-names":false,"suffix":""},{"dropping-particle":"","family":"Schwab","given":"Gisela","non-dropping-particle":"","parse-names":false,"suffix":""},{"dropping-particle":"","family":"Kelley","given":"Robin K.","non-dropping-particle":"","parse-names":false,"suffix":""}],"container-title":"New England Journal of Medicine","id":"ITEM-1","issue":"1","issued":{"date-parts":[["2018","7","5"]]},"page":"54-63","publisher":"New England Journal of Medicine (NEJM/MMS)","title":"Cabozantinib in Patients with Advanced and Progressing Hepatocellular Carcinoma","type":"article-journal","volume":"379"},"uris":["http://www.mendeley.com/documents/?uuid=82c19829-8797-34aa-bbe1-377e65ddcedb"]}],"mendeley":{"formattedCitation":"[92]","plainTextFormattedCitation":"[92]","previouslyFormattedCitation":"[92]"},"properties":{"noteIndex":0},"schema":"https://github.com/citation-style-language/schema/raw/master/csl-citation.json"}</w:instrText>
            </w:r>
            <w:r w:rsidR="00CD71CF" w:rsidRPr="00DF0D90">
              <w:rPr>
                <w:bCs/>
                <w:szCs w:val="22"/>
              </w:rPr>
              <w:fldChar w:fldCharType="separate"/>
            </w:r>
            <w:r w:rsidR="007335C5" w:rsidRPr="00DF0D90">
              <w:rPr>
                <w:bCs/>
                <w:noProof/>
                <w:szCs w:val="22"/>
              </w:rPr>
              <w:t>[92]</w:t>
            </w:r>
            <w:r w:rsidR="00CD71CF" w:rsidRPr="00DF0D90">
              <w:rPr>
                <w:bCs/>
                <w:szCs w:val="22"/>
              </w:rPr>
              <w:fldChar w:fldCharType="end"/>
            </w:r>
          </w:p>
        </w:tc>
      </w:tr>
      <w:tr w:rsidR="00C17782" w:rsidRPr="00DF0D90" w14:paraId="1504B421" w14:textId="77777777" w:rsidTr="00642B0C">
        <w:trPr>
          <w:trHeight w:val="579"/>
        </w:trPr>
        <w:tc>
          <w:tcPr>
            <w:tcW w:w="2122" w:type="dxa"/>
            <w:vMerge w:val="restart"/>
          </w:tcPr>
          <w:p w14:paraId="23449BE3" w14:textId="207F2A10" w:rsidR="00C17782" w:rsidRPr="00DF0D90" w:rsidRDefault="004F7795" w:rsidP="00E250EC">
            <w:pPr>
              <w:tabs>
                <w:tab w:val="left" w:pos="284"/>
                <w:tab w:val="left" w:pos="426"/>
                <w:tab w:val="left" w:pos="709"/>
                <w:tab w:val="left" w:pos="851"/>
              </w:tabs>
              <w:autoSpaceDE w:val="0"/>
              <w:autoSpaceDN w:val="0"/>
              <w:adjustRightInd w:val="0"/>
              <w:spacing w:before="100" w:beforeAutospacing="1" w:after="100" w:afterAutospacing="1"/>
              <w:jc w:val="both"/>
              <w:rPr>
                <w:szCs w:val="22"/>
              </w:rPr>
            </w:pPr>
            <w:r w:rsidRPr="00DF0D90">
              <w:rPr>
                <w:szCs w:val="22"/>
              </w:rPr>
              <w:t>Антитела моноклональные</w:t>
            </w:r>
          </w:p>
          <w:p w14:paraId="50ADC0D2" w14:textId="5E3985DC" w:rsidR="004F7795" w:rsidRPr="00DF0D90" w:rsidRDefault="004F7795" w:rsidP="00E250EC">
            <w:pPr>
              <w:tabs>
                <w:tab w:val="left" w:pos="284"/>
                <w:tab w:val="left" w:pos="426"/>
                <w:tab w:val="left" w:pos="709"/>
                <w:tab w:val="left" w:pos="851"/>
              </w:tabs>
              <w:autoSpaceDE w:val="0"/>
              <w:autoSpaceDN w:val="0"/>
              <w:adjustRightInd w:val="0"/>
              <w:spacing w:before="100" w:beforeAutospacing="1" w:after="100" w:afterAutospacing="1"/>
              <w:jc w:val="both"/>
            </w:pPr>
          </w:p>
        </w:tc>
        <w:tc>
          <w:tcPr>
            <w:tcW w:w="2097" w:type="dxa"/>
          </w:tcPr>
          <w:p w14:paraId="34CB2802" w14:textId="77777777" w:rsidR="00C17782" w:rsidRPr="00DF0D90" w:rsidRDefault="00C17782" w:rsidP="003B3F1C">
            <w:pPr>
              <w:tabs>
                <w:tab w:val="left" w:pos="284"/>
                <w:tab w:val="left" w:pos="426"/>
                <w:tab w:val="left" w:pos="709"/>
                <w:tab w:val="left" w:pos="851"/>
              </w:tabs>
              <w:autoSpaceDE w:val="0"/>
              <w:autoSpaceDN w:val="0"/>
              <w:adjustRightInd w:val="0"/>
              <w:jc w:val="both"/>
              <w:rPr>
                <w:i/>
                <w:iCs/>
                <w:spacing w:val="-4"/>
              </w:rPr>
            </w:pPr>
            <w:r w:rsidRPr="00DF0D90">
              <w:rPr>
                <w:i/>
                <w:iCs/>
                <w:spacing w:val="-4"/>
              </w:rPr>
              <w:t>Атезолизумаб**</w:t>
            </w:r>
          </w:p>
          <w:p w14:paraId="70CAA7E5" w14:textId="77777777" w:rsidR="00C17782" w:rsidRPr="00DF0D90" w:rsidRDefault="00C17782" w:rsidP="003B3F1C">
            <w:pPr>
              <w:tabs>
                <w:tab w:val="left" w:pos="284"/>
                <w:tab w:val="left" w:pos="426"/>
                <w:tab w:val="left" w:pos="709"/>
                <w:tab w:val="left" w:pos="851"/>
              </w:tabs>
              <w:autoSpaceDE w:val="0"/>
              <w:autoSpaceDN w:val="0"/>
              <w:adjustRightInd w:val="0"/>
              <w:jc w:val="center"/>
              <w:rPr>
                <w:i/>
                <w:iCs/>
                <w:spacing w:val="-4"/>
              </w:rPr>
            </w:pPr>
            <w:r w:rsidRPr="00DF0D90">
              <w:rPr>
                <w:i/>
                <w:iCs/>
                <w:spacing w:val="-4"/>
              </w:rPr>
              <w:t>+</w:t>
            </w:r>
          </w:p>
          <w:p w14:paraId="2997EDDC" w14:textId="5080B923" w:rsidR="00C17782" w:rsidRPr="00DF0D90" w:rsidRDefault="00C17782" w:rsidP="003B3F1C">
            <w:pPr>
              <w:tabs>
                <w:tab w:val="left" w:pos="284"/>
                <w:tab w:val="left" w:pos="426"/>
                <w:tab w:val="left" w:pos="709"/>
                <w:tab w:val="left" w:pos="851"/>
              </w:tabs>
              <w:autoSpaceDE w:val="0"/>
              <w:autoSpaceDN w:val="0"/>
              <w:adjustRightInd w:val="0"/>
              <w:jc w:val="both"/>
              <w:rPr>
                <w:i/>
                <w:iCs/>
                <w:spacing w:val="-4"/>
              </w:rPr>
            </w:pPr>
            <w:r w:rsidRPr="00DF0D90">
              <w:rPr>
                <w:i/>
                <w:iCs/>
                <w:spacing w:val="-4"/>
              </w:rPr>
              <w:t>бевацизумаб**</w:t>
            </w:r>
          </w:p>
        </w:tc>
        <w:tc>
          <w:tcPr>
            <w:tcW w:w="5245" w:type="dxa"/>
          </w:tcPr>
          <w:p w14:paraId="448CD987" w14:textId="77777777" w:rsidR="00C17782" w:rsidRPr="00DF0D90" w:rsidRDefault="00C17782" w:rsidP="00E250EC">
            <w:pPr>
              <w:tabs>
                <w:tab w:val="left" w:pos="284"/>
                <w:tab w:val="left" w:pos="426"/>
                <w:tab w:val="left" w:pos="709"/>
                <w:tab w:val="left" w:pos="851"/>
              </w:tabs>
              <w:autoSpaceDE w:val="0"/>
              <w:autoSpaceDN w:val="0"/>
              <w:adjustRightInd w:val="0"/>
              <w:spacing w:before="100" w:beforeAutospacing="1" w:after="100" w:afterAutospacing="1"/>
              <w:jc w:val="both"/>
              <w:rPr>
                <w:spacing w:val="-4"/>
              </w:rPr>
            </w:pPr>
            <w:r w:rsidRPr="00DF0D90">
              <w:rPr>
                <w:spacing w:val="-4"/>
              </w:rPr>
              <w:t>1200 мг внутривенно 1 раз в 3 недели</w:t>
            </w:r>
          </w:p>
          <w:p w14:paraId="6A81EA41" w14:textId="77777777" w:rsidR="00C17782" w:rsidRPr="00DF0D90" w:rsidRDefault="00C17782" w:rsidP="00642B0C">
            <w:pPr>
              <w:tabs>
                <w:tab w:val="left" w:pos="284"/>
                <w:tab w:val="left" w:pos="426"/>
                <w:tab w:val="left" w:pos="709"/>
                <w:tab w:val="left" w:pos="851"/>
              </w:tabs>
              <w:autoSpaceDE w:val="0"/>
              <w:autoSpaceDN w:val="0"/>
              <w:adjustRightInd w:val="0"/>
              <w:spacing w:before="100" w:beforeAutospacing="1" w:after="100" w:afterAutospacing="1"/>
              <w:jc w:val="both"/>
              <w:rPr>
                <w:spacing w:val="-4"/>
              </w:rPr>
            </w:pPr>
            <w:r w:rsidRPr="00DF0D90">
              <w:rPr>
                <w:spacing w:val="-4"/>
              </w:rPr>
              <w:t xml:space="preserve">15 мг/кг внутривенно 1 раз в 3 недели </w:t>
            </w:r>
            <w:r w:rsidRPr="00DF0D90">
              <w:rPr>
                <w:spacing w:val="-4"/>
              </w:rPr>
              <w:fldChar w:fldCharType="begin" w:fldLock="1"/>
            </w:r>
            <w:r w:rsidRPr="00DF0D90">
              <w:rPr>
                <w:spacing w:val="-4"/>
              </w:rPr>
              <w:instrText>ADDIN CSL_CITATION {"citationItems":[{"id":"ITEM-1","itemData":{"DOI":"10.1056/nejmoa1915745","ISSN":"0028-4793","PMID":"32402160","abstract":"BACKGROUND: The combination of atezolizumab and bevacizumab showed encouraging antitumor activity and safety in a phase 1b trial involving patients with unresectable hepatocellular carcinoma. METHODS: In a global, open-label, phase 3 trial, patients with unresectable hepatocellular carcinoma who had not previously received systemic treatment were randomly assigned in a 2:1 ratio to receive either atezolizumab plus bevacizumab or sorafenib until unacceptable toxic effects occurred or there was a loss of clinical benefit. The coprimary end points were overall survival and progression-free survival in the intention-to-treat population, as assessed at an independent review facility according to Response Evaluation Criteria in Solid Tumors, version 1.1 (RECIST 1.1). RESULTS: The intention-to-treat population included 336 patients in the atezolizumab-bevacizumab group and 165 patients in the sorafenib group. At the time of the primary analysis (August 29, 2019), the hazard ratio for death with atezolizumab-bevacizumab as compared with sorafenib was 0.58 (95% confidence interval [CI], 0.42 to 0.79; P&lt;0.001). Overall survival at 12 months was 67.2% (95% CI, 61.3 to 73.1) with atezolizumab-bevacizumab and 54.6% (95% CI, 45.2 to 64.0) with sorafenib. Median progression-free survival was 6.8 months (95% CI, 5.7 to 8.3) and 4.3 months (95% CI, 4.0 to 5.6) in the respective groups (hazard ratio for disease progression or death, 0.59; 95% CI, 0.47 to 0.76; P&lt;0.001). Grade 3 or 4 adverse events occurred in 56.5% of 329 patients who received at least one dose of atezolizumab-bevacizumab and in 55.1% of 156 patients who received at least one dose of sorafenib. Grade 3 or 4 hypertension occurred in 15.2% of patients in the atezolizumab-bevacizumab group; however, other high-grade toxic effects were infrequent. CONCLUSIONS: In patients with unresectable hepatocellular carcinoma, atezolizumab combined with bevacizumab resulted in better overall and progression-free survival outcomes than sorafenib. (Funded by F. Hoffmann-La Roche/Genentech; ClinicalTrials.gov number, NCT03434379.).","author":[{"dropping-particle":"","family":"Finn","given":"Richard S.","non-dropping-particle":"","parse-names":false,"suffix":""},{"dropping-particle":"","family":"Qin","given":"Shukui","non-dropping-particle":"","parse-names":false,"suffix":""},{"dropping-particle":"","family":"Ikeda","given":"Masafumi","non-dropping-particle":"","parse-names":false,"suffix":""},{"dropping-particle":"","family":"Galle","given":"Peter R.","non-dropping-particle":"","parse-names":false,"suffix":""},{"dropping-particle":"","family":"Ducreux","given":"Michel","non-dropping-particle":"","parse-names":false,"suffix":""},{"dropping-particle":"","family":"Kim","given":"Tae-You","non-dropping-particle":"","parse-names":false,"suffix":""},{"dropping-particle":"","family":"Kudo","given":"Masatoshi","non-dropping-particle":"","parse-names":false,"suffix":""},{"dropping-particle":"","family":"Breder","given":"Valeriy","non-dropping-particle":"","parse-names":false,"suffix":""},{"dropping-particle":"","family":"Merle","given":"Philippe","non-dropping-particle":"","parse-names":false,"suffix":""},{"dropping-particle":"","family":"Kaseb","given":"Ahmed O.","non-dropping-particle":"","parse-names":false,"suffix":""},{"dropping-particle":"","family":"Li","given":"Daneng","non-dropping-particle":"","parse-names":false,"suffix":""},{"dropping-particle":"","family":"Verret","given":"Wendy","non-dropping-particle":"","parse-names":false,"suffix":""},{"dropping-particle":"","family":"Xu","given":"Derek-Zhen","non-dropping-particle":"","parse-names":false,"suffix":""},{"dropping-particle":"","family":"Hernandez","given":"Sairy","non-dropping-particle":"","parse-names":false,"suffix":""},{"dropping-particle":"","family":"Liu","given":"Juan","non-dropping-particle":"","parse-names":false,"suffix":""},{"dropping-particle":"","family":"Huang","given":"Chen","non-dropping-particle":"","parse-names":false,"suffix":""},{"dropping-particle":"","family":"Mulla","given":"Sohail","non-dropping-particle":"","parse-names":false,"suffix":""},{"dropping-particle":"","family":"Wang","given":"Yulei","non-dropping-particle":"","parse-names":false,"suffix":""},{"dropping-particle":"","family":"Lim","given":"Ho Yeong","non-dropping-particle":"","parse-names":false,"suffix":""},{"dropping-particle":"","family":"Zhu","given":"Andrew X.","non-dropping-particle":"","parse-names":false,"suffix":""},{"dropping-particle":"","family":"Cheng","given":"Ann-Lii","non-dropping-particle":"","parse-names":false,"suffix":""}],"container-title":"New England Journal of Medicine","id":"ITEM-1","issue":"20","issued":{"date-parts":[["2020","5","14"]]},"page":"1894-1905","title":"Atezolizumab plus Bevacizumab in Unresectable Hepatocellular Carcinoma","type":"article-journal","volume":"382"},"uris":["http://www.mendeley.com/documents/?uuid=1485fc70-cf30-3239-a545-3b0ef8d9f02c"]}],"mendeley":{"formattedCitation":"[93]","plainTextFormattedCitation":"[93]","previouslyFormattedCitation":"[93]"},"properties":{"noteIndex":0},"schema":"https://github.com/citation-style-language/schema/raw/master/csl-citation.json"}</w:instrText>
            </w:r>
            <w:r w:rsidRPr="00DF0D90">
              <w:rPr>
                <w:spacing w:val="-4"/>
              </w:rPr>
              <w:fldChar w:fldCharType="separate"/>
            </w:r>
            <w:r w:rsidRPr="00DF0D90">
              <w:rPr>
                <w:noProof/>
                <w:spacing w:val="-4"/>
              </w:rPr>
              <w:t>[93]</w:t>
            </w:r>
            <w:r w:rsidRPr="00DF0D90">
              <w:rPr>
                <w:spacing w:val="-4"/>
              </w:rPr>
              <w:fldChar w:fldCharType="end"/>
            </w:r>
          </w:p>
        </w:tc>
      </w:tr>
      <w:tr w:rsidR="00C17782" w:rsidRPr="00DF0D90" w14:paraId="2301A1A3" w14:textId="77777777" w:rsidTr="002A397A">
        <w:trPr>
          <w:trHeight w:val="70"/>
        </w:trPr>
        <w:tc>
          <w:tcPr>
            <w:tcW w:w="2122" w:type="dxa"/>
            <w:vMerge/>
          </w:tcPr>
          <w:p w14:paraId="707F1AC5" w14:textId="77777777" w:rsidR="00C17782" w:rsidRPr="00DF0D90" w:rsidRDefault="00C17782" w:rsidP="00E250EC">
            <w:pPr>
              <w:tabs>
                <w:tab w:val="left" w:pos="284"/>
                <w:tab w:val="left" w:pos="426"/>
                <w:tab w:val="left" w:pos="709"/>
                <w:tab w:val="left" w:pos="851"/>
              </w:tabs>
              <w:autoSpaceDE w:val="0"/>
              <w:autoSpaceDN w:val="0"/>
              <w:adjustRightInd w:val="0"/>
              <w:spacing w:before="100" w:beforeAutospacing="1" w:after="100" w:afterAutospacing="1"/>
              <w:jc w:val="both"/>
            </w:pPr>
          </w:p>
        </w:tc>
        <w:tc>
          <w:tcPr>
            <w:tcW w:w="2097" w:type="dxa"/>
            <w:vMerge w:val="restart"/>
          </w:tcPr>
          <w:p w14:paraId="5732EE07" w14:textId="77777777" w:rsidR="00C17782" w:rsidRPr="00DF0D90" w:rsidRDefault="00C17782" w:rsidP="00E250EC">
            <w:pPr>
              <w:tabs>
                <w:tab w:val="left" w:pos="284"/>
                <w:tab w:val="left" w:pos="426"/>
                <w:tab w:val="left" w:pos="709"/>
                <w:tab w:val="left" w:pos="851"/>
              </w:tabs>
              <w:autoSpaceDE w:val="0"/>
              <w:autoSpaceDN w:val="0"/>
              <w:adjustRightInd w:val="0"/>
              <w:spacing w:before="100" w:beforeAutospacing="1" w:after="100" w:afterAutospacing="1"/>
              <w:jc w:val="both"/>
              <w:rPr>
                <w:bCs/>
                <w:i/>
              </w:rPr>
            </w:pPr>
            <w:proofErr w:type="spellStart"/>
            <w:r w:rsidRPr="00DF0D90">
              <w:rPr>
                <w:bCs/>
                <w:i/>
                <w:szCs w:val="22"/>
              </w:rPr>
              <w:t>Ниволумаб</w:t>
            </w:r>
            <w:proofErr w:type="spellEnd"/>
            <w:r w:rsidRPr="00DF0D90">
              <w:rPr>
                <w:bCs/>
                <w:i/>
                <w:szCs w:val="22"/>
              </w:rPr>
              <w:t>**</w:t>
            </w:r>
          </w:p>
        </w:tc>
        <w:tc>
          <w:tcPr>
            <w:tcW w:w="5245" w:type="dxa"/>
          </w:tcPr>
          <w:p w14:paraId="57E26320" w14:textId="77777777" w:rsidR="00C17782" w:rsidRPr="00DF0D90" w:rsidRDefault="00C17782" w:rsidP="00E250EC">
            <w:pPr>
              <w:tabs>
                <w:tab w:val="left" w:pos="284"/>
                <w:tab w:val="left" w:pos="426"/>
                <w:tab w:val="left" w:pos="709"/>
                <w:tab w:val="left" w:pos="851"/>
              </w:tabs>
              <w:autoSpaceDE w:val="0"/>
              <w:autoSpaceDN w:val="0"/>
              <w:adjustRightInd w:val="0"/>
              <w:spacing w:before="100" w:beforeAutospacing="1" w:after="100" w:afterAutospacing="1"/>
              <w:jc w:val="both"/>
              <w:rPr>
                <w:bCs/>
                <w:i/>
              </w:rPr>
            </w:pPr>
            <w:r w:rsidRPr="00DF0D90">
              <w:rPr>
                <w:bCs/>
                <w:szCs w:val="22"/>
              </w:rPr>
              <w:t xml:space="preserve">3 мг/кг в/в 1 раз в 2 нед. длительно </w:t>
            </w:r>
            <w:r w:rsidRPr="00DF0D90">
              <w:rPr>
                <w:bCs/>
                <w:szCs w:val="22"/>
              </w:rPr>
              <w:fldChar w:fldCharType="begin" w:fldLock="1"/>
            </w:r>
            <w:r w:rsidRPr="00DF0D90">
              <w:rPr>
                <w:bCs/>
                <w:szCs w:val="22"/>
              </w:rPr>
              <w:instrText>ADDIN CSL_CITATION {"citationItems":[{"id":"ITEM-1","itemData":{"DOI":"10.1016/S0140-6736(17)31046-2","ISSN":"1474547X","PMID":"28434648","abstract":"Background For patients with advanced hepatocellular carcinoma, sorafenib is the only approved drug worldwide, and outcomes remain poor. We aimed to assess the safety and efficacy of nivolumab, a programmed cell death protein-1 (PD-1) immune checkpoint inhibitor, in patients with advanced hepatocellular carcinoma with or without chronic viral hepatitis. Methods We did a phase 1/2, open-label, non-comparative, dose escalation and expansion trial (CheckMate 040) of nivolumab in adults (≥18 years) with histologically confirmed advanced hepatocellular carcinoma with or without hepatitis C or B (HCV or HBV) infection. Previous sorafenib treatment was allowed. A dose-escalation phase was conducted at seven hospitals or academic centres in four countries or territories (USA, Spain, Hong Kong, and Singapore) and a dose-expansion phase was conducted at an additional 39 sites in 11 countries (Canada, UK, Germany, Italy, Japan, South Korea, Taiwan). At screening, eligible patients had Child-Pugh scores of 7 or less (Child-Pugh A or B7) for the dose-escalation phase and 6 or less (Child-Pugh A) for the dose-expansion phase, and an Eastern Cooperative Oncology Group performance status of 1 or less. Patients with HBV infection had to be receiving effective antiviral therapy (viral load &lt;100 IU/mL); antiviral therapy was not required for patients with HCV infection. We excluded patients previously treated with an agent targeting T-cell costimulation or checkpoint pathways. Patients received intravenous nivolumab 0·1–10 mg/kg every 2 weeks in the dose-escalation phase (3+3 design). Nivolumab 3 mg/kg was given every 2 weeks in the dose-expansion phase to patients in four cohorts: sorafenib untreated or intolerant without viral hepatitis, sorafenib progressor without viral hepatitis, HCV infected, and HBV infected. Primary endpoints were safety and tolerability for the escalation phase and objective response rate (Response Evaluation Criteria In Solid Tumors version 1.1) for the expansion phase. This study is registered with ClinicalTrials.gov, number NCT01658878. Findings Between Nov 26, 2012, and Aug 8, 2016, 262 eligible patients were treated (48 patients in the dose-escalation phase and 214 in the dose-expansion phase). 202 (77%) of 262 patients have completed treatment and follow-up is ongoing. During dose escalation, nivolumab showed a manageable safety profile, including acceptable tolerability. In this phase, 46 (96%) of 48 patients discontinued treatment, 42 (88…","author":[{"dropping-particle":"","family":"El-Khoueiry","given":"Anthony B","non-dropping-particle":"","parse-names":false,"suffix":""},{"dropping-particle":"","family":"Sangro","given":"Bruno","non-dropping-particle":"","parse-names":false,"suffix":""},{"dropping-particle":"","family":"Yau","given":"Thomas","non-dropping-particle":"","parse-names":false,"suffix":""},{"dropping-particle":"","family":"Crocenzi","given":"Todd S","non-dropping-particle":"","parse-names":false,"suffix":""},{"dropping-particle":"","family":"Kudo","given":"Masatoshi","non-dropping-particle":"","parse-names":false,"suffix":""},{"dropping-particle":"","family":"Hsu","given":"Chiun","non-dropping-particle":"","parse-names":false,"suffix":""},{"dropping-particle":"","family":"Kim","given":"Tae You","non-dropping-particle":"","parse-names":false,"suffix":""},{"dropping-particle":"","family":"Choo","given":"Su Pin","non-dropping-particle":"","parse-names":false,"suffix":""},{"dropping-particle":"","family":"Trojan","given":"Jörg","non-dropping-particle":"","parse-names":false,"suffix":""},{"dropping-particle":"","family":"Welling","given":"Theodore H","non-dropping-particle":"","parse-names":false,"suffix":""},{"dropping-particle":"","family":"Meyer","given":"Tim","non-dropping-particle":"","parse-names":false,"suffix":""},{"dropping-particle":"","family":"Kang","given":"Yoon Koo","non-dropping-particle":"","parse-names":false,"suffix":""},{"dropping-particle":"","family":"Yeo","given":"Winnie","non-dropping-particle":"","parse-names":false,"suffix":""},{"dropping-particle":"","family":"Chopra","given":"Akhil","non-dropping-particle":"","parse-names":false,"suffix":""},{"dropping-particle":"","family":"Anderson","given":"Jeffrey","non-dropping-particle":"","parse-names":false,"suffix":""},{"dropping-particle":"","family":"Cruz","given":"Christine","non-dropping-particle":"dela","parse-names":false,"suffix":""},{"dropping-particle":"","family":"Lang","given":"Lixin","non-dropping-particle":"","parse-names":false,"suffix":""},{"dropping-particle":"","family":"Neely","given":"Jaclyn","non-dropping-particle":"","parse-names":false,"suffix":""},{"dropping-particle":"","family":"Tang","given":"Hao","non-dropping-particle":"","parse-names":false,"suffix":""},{"dropping-particle":"","family":"Dastani","given":"Homa B","non-dropping-particle":"","parse-names":false,"suffix":""},{"dropping-particle":"","family":"Melero","given":"Ignacio","non-dropping-particle":"","parse-names":false,"suffix":""}],"container-title":"The Lancet","id":"ITEM-1","issue":"10088","issued":{"date-parts":[["2017","6"]]},"page":"2492-2502","title":"Nivolumab in patients with advanced hepatocellular carcinoma (CheckMate 040): an open-label, non-comparative, phase 1/2 dose escalation and expansion trial","type":"article-journal","volume":"389"},"uris":["http://www.mendeley.com/documents/?uuid=50acbc45-26e7-3f55-8158-6cf74698d466"]}],"mendeley":{"formattedCitation":"[94]","plainTextFormattedCitation":"[94]","previouslyFormattedCitation":"[94]"},"properties":{"noteIndex":0},"schema":"https://github.com/citation-style-language/schema/raw/master/csl-citation.json"}</w:instrText>
            </w:r>
            <w:r w:rsidRPr="00DF0D90">
              <w:rPr>
                <w:bCs/>
                <w:szCs w:val="22"/>
              </w:rPr>
              <w:fldChar w:fldCharType="separate"/>
            </w:r>
            <w:r w:rsidRPr="00DF0D90">
              <w:rPr>
                <w:bCs/>
                <w:noProof/>
                <w:szCs w:val="22"/>
              </w:rPr>
              <w:t>[94]</w:t>
            </w:r>
            <w:r w:rsidRPr="00DF0D90">
              <w:rPr>
                <w:bCs/>
                <w:szCs w:val="22"/>
              </w:rPr>
              <w:fldChar w:fldCharType="end"/>
            </w:r>
          </w:p>
        </w:tc>
      </w:tr>
      <w:tr w:rsidR="00C17782" w:rsidRPr="00DF0D90" w14:paraId="1652F950" w14:textId="77777777" w:rsidTr="002A397A">
        <w:trPr>
          <w:trHeight w:val="79"/>
        </w:trPr>
        <w:tc>
          <w:tcPr>
            <w:tcW w:w="2122" w:type="dxa"/>
            <w:vMerge/>
          </w:tcPr>
          <w:p w14:paraId="10A2A9FB" w14:textId="77777777" w:rsidR="00C17782" w:rsidRPr="00DF0D90" w:rsidRDefault="00C17782" w:rsidP="00E250EC">
            <w:pPr>
              <w:tabs>
                <w:tab w:val="left" w:pos="284"/>
                <w:tab w:val="left" w:pos="426"/>
                <w:tab w:val="left" w:pos="709"/>
                <w:tab w:val="left" w:pos="851"/>
              </w:tabs>
              <w:autoSpaceDE w:val="0"/>
              <w:autoSpaceDN w:val="0"/>
              <w:adjustRightInd w:val="0"/>
              <w:spacing w:before="100" w:beforeAutospacing="1" w:after="100" w:afterAutospacing="1"/>
              <w:jc w:val="both"/>
            </w:pPr>
          </w:p>
        </w:tc>
        <w:tc>
          <w:tcPr>
            <w:tcW w:w="2097" w:type="dxa"/>
            <w:vMerge/>
          </w:tcPr>
          <w:p w14:paraId="4B5FCBC3" w14:textId="77777777" w:rsidR="00C17782" w:rsidRPr="00DF0D90" w:rsidRDefault="00C17782" w:rsidP="00E250EC">
            <w:pPr>
              <w:tabs>
                <w:tab w:val="left" w:pos="284"/>
                <w:tab w:val="left" w:pos="426"/>
                <w:tab w:val="left" w:pos="709"/>
                <w:tab w:val="left" w:pos="851"/>
              </w:tabs>
              <w:autoSpaceDE w:val="0"/>
              <w:autoSpaceDN w:val="0"/>
              <w:adjustRightInd w:val="0"/>
              <w:spacing w:before="100" w:beforeAutospacing="1" w:after="100" w:afterAutospacing="1"/>
              <w:jc w:val="both"/>
              <w:rPr>
                <w:bCs/>
                <w:i/>
              </w:rPr>
            </w:pPr>
          </w:p>
        </w:tc>
        <w:tc>
          <w:tcPr>
            <w:tcW w:w="5245" w:type="dxa"/>
          </w:tcPr>
          <w:p w14:paraId="3518DFEB" w14:textId="77777777" w:rsidR="00C17782" w:rsidRPr="00DF0D90" w:rsidRDefault="00C17782" w:rsidP="00E250EC">
            <w:pPr>
              <w:tabs>
                <w:tab w:val="left" w:pos="284"/>
                <w:tab w:val="left" w:pos="426"/>
                <w:tab w:val="left" w:pos="709"/>
                <w:tab w:val="left" w:pos="851"/>
              </w:tabs>
              <w:autoSpaceDE w:val="0"/>
              <w:autoSpaceDN w:val="0"/>
              <w:adjustRightInd w:val="0"/>
              <w:spacing w:before="100" w:beforeAutospacing="1" w:after="100" w:afterAutospacing="1"/>
              <w:jc w:val="both"/>
              <w:rPr>
                <w:bCs/>
                <w:i/>
              </w:rPr>
            </w:pPr>
            <w:r w:rsidRPr="00DF0D90">
              <w:rPr>
                <w:bCs/>
                <w:szCs w:val="22"/>
              </w:rPr>
              <w:t xml:space="preserve">240 мг в/в 1 раз в 2 нед. длительно </w:t>
            </w:r>
            <w:r w:rsidRPr="00DF0D90">
              <w:rPr>
                <w:bCs/>
                <w:szCs w:val="22"/>
              </w:rPr>
              <w:fldChar w:fldCharType="begin" w:fldLock="1"/>
            </w:r>
            <w:r w:rsidRPr="00DF0D90">
              <w:rPr>
                <w:bCs/>
                <w:szCs w:val="22"/>
              </w:rPr>
              <w:instrText>ADDIN CSL_CITATION {"citationItems":[{"id":"ITEM-1","itemData":{"DOI":"10.1080/14737140.2018.1535315","ISSN":"17448328","PMID":"30304963","abstract":"Introduction: T-cell checkpoint inhibition as a cancer treatment approach has been the main breakthrough in cancer treatment during the last years. Since the approval of the first commercial CTLA-4 antibody ipilimumab in 2011 for the treatment of melanoma, research and drug development in this field has accelerated massively. In 2014, the US Food and Drug Administration (FDA) approved the first PD-1 targeting agent, namely pembrolizumab, shortly followed by nivolumab. Areas covered: Nivolumab is a fully human immunoglobulin G4 anti-PD-1 monoclonal antibody which is approved for multiple advanced malignancies, including melanoma, non-small cell lung cancer, renal cell cancer, Hodgkin’s lymphoma, squamous head and neck cancer, and urothelial carcinoma. In September 2017, nivolumab was approved by the FDA for liver cancer as a second line treatment after failure of sorafenib based on the data of the multi-cohort phase 1/2 trial CheckMate-040. This article reviews the concept of immunotherapy in liver cancer with focus on nivolumab. Expert commentary: Immunotherapy in hepatocellular carcinoma is safe and is a new treatment option for patients with advanced stage disease besides sorafenib and regorafenib in the US. Randomized phase III trials of nivolumab, pembrolizumab, atezolizumab, durvalumab and tislelizumab as mono- or combination-therapy are ongoing.","author":[{"dropping-particle":"","family":"Finkelmeier","given":"Fabian","non-dropping-particle":"","parse-names":false,"suffix":""},{"dropping-particle":"","family":"Waidmann","given":"Oliver","non-dropping-particle":"","parse-names":false,"suffix":""},{"dropping-particle":"","family":"Trojan","given":"Joerg","non-dropping-particle":"","parse-names":false,"suffix":""}],"container-title":"Expert Review of Anticancer Therapy","id":"ITEM-1","issue":"12","issued":{"date-parts":[["2018","12","2"]]},"page":"1169-1175","title":"Nivolumab for the treatment of hepatocellular carcinoma","type":"article-journal","volume":"18"},"uris":["http://www.mendeley.com/documents/?uuid=29a31dac-e792-3464-9397-5dbdffc203b3"]}],"mendeley":{"formattedCitation":"[119]","plainTextFormattedCitation":"[119]","previouslyFormattedCitation":"[119]"},"properties":{"noteIndex":0},"schema":"https://github.com/citation-style-language/schema/raw/master/csl-citation.json"}</w:instrText>
            </w:r>
            <w:r w:rsidRPr="00DF0D90">
              <w:rPr>
                <w:bCs/>
                <w:szCs w:val="22"/>
              </w:rPr>
              <w:fldChar w:fldCharType="separate"/>
            </w:r>
            <w:r w:rsidRPr="00DF0D90">
              <w:rPr>
                <w:bCs/>
                <w:noProof/>
                <w:szCs w:val="22"/>
              </w:rPr>
              <w:t>[119]</w:t>
            </w:r>
            <w:r w:rsidRPr="00DF0D90">
              <w:rPr>
                <w:bCs/>
                <w:szCs w:val="22"/>
              </w:rPr>
              <w:fldChar w:fldCharType="end"/>
            </w:r>
          </w:p>
        </w:tc>
      </w:tr>
      <w:tr w:rsidR="00C17782" w:rsidRPr="00DF0D90" w14:paraId="2D7B8351" w14:textId="77777777" w:rsidTr="002A397A">
        <w:trPr>
          <w:trHeight w:val="79"/>
        </w:trPr>
        <w:tc>
          <w:tcPr>
            <w:tcW w:w="2122" w:type="dxa"/>
            <w:vMerge/>
          </w:tcPr>
          <w:p w14:paraId="08333BB9" w14:textId="77777777" w:rsidR="00C17782" w:rsidRPr="00DF0D90" w:rsidRDefault="00C17782" w:rsidP="00E250EC">
            <w:pPr>
              <w:tabs>
                <w:tab w:val="left" w:pos="284"/>
                <w:tab w:val="left" w:pos="426"/>
                <w:tab w:val="left" w:pos="709"/>
                <w:tab w:val="left" w:pos="851"/>
              </w:tabs>
              <w:autoSpaceDE w:val="0"/>
              <w:autoSpaceDN w:val="0"/>
              <w:adjustRightInd w:val="0"/>
              <w:spacing w:before="100" w:beforeAutospacing="1" w:after="100" w:afterAutospacing="1"/>
              <w:jc w:val="both"/>
            </w:pPr>
          </w:p>
        </w:tc>
        <w:tc>
          <w:tcPr>
            <w:tcW w:w="2097" w:type="dxa"/>
            <w:vMerge/>
          </w:tcPr>
          <w:p w14:paraId="3086CA87" w14:textId="77777777" w:rsidR="00C17782" w:rsidRPr="00DF0D90" w:rsidRDefault="00C17782" w:rsidP="00E250EC">
            <w:pPr>
              <w:tabs>
                <w:tab w:val="left" w:pos="284"/>
                <w:tab w:val="left" w:pos="426"/>
                <w:tab w:val="left" w:pos="709"/>
                <w:tab w:val="left" w:pos="851"/>
              </w:tabs>
              <w:autoSpaceDE w:val="0"/>
              <w:autoSpaceDN w:val="0"/>
              <w:adjustRightInd w:val="0"/>
              <w:spacing w:before="100" w:beforeAutospacing="1" w:after="100" w:afterAutospacing="1"/>
              <w:jc w:val="both"/>
              <w:rPr>
                <w:bCs/>
                <w:i/>
              </w:rPr>
            </w:pPr>
          </w:p>
        </w:tc>
        <w:tc>
          <w:tcPr>
            <w:tcW w:w="5245" w:type="dxa"/>
          </w:tcPr>
          <w:p w14:paraId="3E1457DD" w14:textId="77777777" w:rsidR="00C17782" w:rsidRPr="00DF0D90" w:rsidRDefault="00C17782" w:rsidP="00E250EC">
            <w:pPr>
              <w:tabs>
                <w:tab w:val="left" w:pos="284"/>
                <w:tab w:val="left" w:pos="426"/>
                <w:tab w:val="left" w:pos="709"/>
                <w:tab w:val="left" w:pos="851"/>
              </w:tabs>
              <w:autoSpaceDE w:val="0"/>
              <w:autoSpaceDN w:val="0"/>
              <w:adjustRightInd w:val="0"/>
              <w:spacing w:before="100" w:beforeAutospacing="1" w:after="100" w:afterAutospacing="1"/>
              <w:jc w:val="both"/>
              <w:rPr>
                <w:bCs/>
                <w:i/>
              </w:rPr>
            </w:pPr>
            <w:r w:rsidRPr="00DF0D90">
              <w:rPr>
                <w:bCs/>
                <w:szCs w:val="22"/>
              </w:rPr>
              <w:t xml:space="preserve">480 мг в/в 1 раз в 4 нед. длительно </w:t>
            </w:r>
            <w:r w:rsidRPr="00DF0D90">
              <w:rPr>
                <w:bCs/>
                <w:szCs w:val="22"/>
              </w:rPr>
              <w:fldChar w:fldCharType="begin" w:fldLock="1"/>
            </w:r>
            <w:r w:rsidRPr="00DF0D90">
              <w:rPr>
                <w:bCs/>
                <w:szCs w:val="22"/>
              </w:rPr>
              <w:instrText>ADDIN CSL_CITATION {"citationItems":[{"id":"ITEM-1","itemData":{"DOI":"10.1158/1538-7445.am2017-ct101","ISSN":"0008-5472","abstract":"Background: The feasibility of extending the dosing interval of nivo from Q2W to Q4W as well as flat based versus weight based dosing was investigated using a combination of quantitative clinical pharmacology analyses and safety assessments. The predicted benefit risk profile of nivo 480 mgQ4W relative to 3 mg/kgQ2W was assessed in melanoma, RCC, Urethral, Head&amp;Neck and cHL cancer patients. Study design/methods: Steady state peak, time averaged, and trough nivo concentrations predicted with 480 mg Q4W were approximately 44% higher, 4% higher, and 18% lower, respectively, compared with 3 mg/kgQ2W. The aggregate of safety data accumulated for nivo up to a dose level of 10 mg/kgQ2W in multiple tumor types provides a wide safety margin for the maximum concentration values expected with 480 mgQ4W. The predicted probabilities of achieving an objective response with nivo 480 mgQ4W were similar to those with 3 mg/kgQ2W (&lt;1% difference) across tumor types. Predicted 1&amp;2 year survival probabilities were also similar across tumor types independent of dosing. Conclusion/recommendations: With a well-established understanding of nivo clinical pharmacology, the differences in exposures produced by a nivo schedule of 480 mgQ4W relative to 3 mg/kgQ2W dosing schedule are not expected to result in clinically meaningful differences in the safety &amp;efficacy. The proposed 480 mgQ4W schedule has been incorporated into newer nivo clinical trials across multiple tumor-types.","author":[{"dropping-particle":"","family":"Zhao","given":"Xiaochen","non-dropping-particle":"","parse-names":false,"suffix":""},{"dropping-particle":"","family":"Ivaturi","given":"Vijay","non-dropping-particle":"","parse-names":false,"suffix":""},{"dropping-particle":"","family":"Gopalakrishnan","given":"Mathangi","non-dropping-particle":"","parse-names":false,"suffix":""},{"dropping-particle":"","family":"Shen","given":"Jun","non-dropping-particle":"","parse-names":false,"suffix":""},{"dropping-particle":"","family":"Feng","given":"Yan","non-dropping-particle":"","parse-names":false,"suffix":""},{"dropping-particle":"","family":"Statkevich","given":"Paul","non-dropping-particle":"","parse-names":false,"suffix":""},{"dropping-particle":"","family":"Richards","given":"Eric","non-dropping-particle":"","parse-names":false,"suffix":""},{"dropping-particle":"","family":"Rashford","given":"Michelle","non-dropping-particle":"","parse-names":false,"suffix":""},{"dropping-particle":"","family":"Goodman","given":"Vicki","non-dropping-particle":"","parse-names":false,"suffix":""},{"dropping-particle":"","family":"Gobburu","given":"Joga","non-dropping-particle":"","parse-names":false,"suffix":""},{"dropping-particle":"","family":"Bello","given":"Akintunde","non-dropping-particle":"","parse-names":false,"suffix":""},{"dropping-particle":"","family":"Roy","given":"Amit","non-dropping-particle":"","parse-names":false,"suffix":""},{"dropping-particle":"","family":"Agrawal","given":"Shruti","non-dropping-particle":"","parse-names":false,"suffix":""}],"container-title":"Clinical Trials","id":"ITEM-1","issued":{"date-parts":[["2017","7","1"]]},"page":"CT101-CT101","publisher":"American Association for Cancer Research","title":"Abstract CT101: A model-based exposure-response (E-R) assessment of a nivolumab (NIVO) 4-weekly (Q4W) dosing schedule across multiple tumor types","type":"paper-conference"},"uris":["http://www.mendeley.com/documents/?uuid=d4c343e8-b439-330b-8563-5ac5e1b25ea5"]}],"mendeley":{"formattedCitation":"[120]","plainTextFormattedCitation":"[120]","previouslyFormattedCitation":"[120]"},"properties":{"noteIndex":0},"schema":"https://github.com/citation-style-language/schema/raw/master/csl-citation.json"}</w:instrText>
            </w:r>
            <w:r w:rsidRPr="00DF0D90">
              <w:rPr>
                <w:bCs/>
                <w:szCs w:val="22"/>
              </w:rPr>
              <w:fldChar w:fldCharType="separate"/>
            </w:r>
            <w:r w:rsidRPr="00DF0D90">
              <w:rPr>
                <w:bCs/>
                <w:noProof/>
                <w:szCs w:val="22"/>
              </w:rPr>
              <w:t>[120]</w:t>
            </w:r>
            <w:r w:rsidRPr="00DF0D90">
              <w:rPr>
                <w:bCs/>
                <w:szCs w:val="22"/>
              </w:rPr>
              <w:fldChar w:fldCharType="end"/>
            </w:r>
          </w:p>
        </w:tc>
      </w:tr>
      <w:tr w:rsidR="00C17782" w:rsidRPr="00DF0D90" w14:paraId="77DD88B4" w14:textId="77777777" w:rsidTr="002A397A">
        <w:trPr>
          <w:trHeight w:val="70"/>
        </w:trPr>
        <w:tc>
          <w:tcPr>
            <w:tcW w:w="2122" w:type="dxa"/>
            <w:vMerge/>
          </w:tcPr>
          <w:p w14:paraId="76697F95" w14:textId="77777777" w:rsidR="00C17782" w:rsidRPr="00DF0D90" w:rsidRDefault="00C17782" w:rsidP="00E250EC">
            <w:pPr>
              <w:tabs>
                <w:tab w:val="left" w:pos="284"/>
                <w:tab w:val="left" w:pos="426"/>
                <w:tab w:val="left" w:pos="709"/>
                <w:tab w:val="left" w:pos="851"/>
              </w:tabs>
              <w:autoSpaceDE w:val="0"/>
              <w:autoSpaceDN w:val="0"/>
              <w:adjustRightInd w:val="0"/>
              <w:spacing w:before="100" w:beforeAutospacing="1" w:after="100" w:afterAutospacing="1"/>
              <w:ind w:right="-117"/>
              <w:jc w:val="both"/>
            </w:pPr>
          </w:p>
        </w:tc>
        <w:tc>
          <w:tcPr>
            <w:tcW w:w="2097" w:type="dxa"/>
          </w:tcPr>
          <w:p w14:paraId="48506A12" w14:textId="77777777" w:rsidR="00C17782" w:rsidRPr="00DF0D90" w:rsidRDefault="00C17782" w:rsidP="00E250EC">
            <w:pPr>
              <w:tabs>
                <w:tab w:val="left" w:pos="284"/>
                <w:tab w:val="left" w:pos="426"/>
                <w:tab w:val="left" w:pos="709"/>
                <w:tab w:val="left" w:pos="851"/>
              </w:tabs>
              <w:autoSpaceDE w:val="0"/>
              <w:autoSpaceDN w:val="0"/>
              <w:adjustRightInd w:val="0"/>
              <w:spacing w:before="100" w:beforeAutospacing="1" w:after="100" w:afterAutospacing="1"/>
              <w:ind w:right="-108"/>
              <w:jc w:val="both"/>
              <w:rPr>
                <w:i/>
              </w:rPr>
            </w:pPr>
            <w:proofErr w:type="spellStart"/>
            <w:r w:rsidRPr="00DF0D90">
              <w:rPr>
                <w:bCs/>
                <w:i/>
                <w:szCs w:val="22"/>
              </w:rPr>
              <w:t>Пембролизумаб</w:t>
            </w:r>
            <w:proofErr w:type="spellEnd"/>
            <w:r w:rsidRPr="00DF0D90">
              <w:rPr>
                <w:bCs/>
                <w:szCs w:val="22"/>
              </w:rPr>
              <w:t>**</w:t>
            </w:r>
          </w:p>
        </w:tc>
        <w:tc>
          <w:tcPr>
            <w:tcW w:w="5245" w:type="dxa"/>
          </w:tcPr>
          <w:p w14:paraId="50020097" w14:textId="77777777" w:rsidR="00C17782" w:rsidRPr="00DF0D90" w:rsidRDefault="00C17782" w:rsidP="00E250EC">
            <w:pPr>
              <w:tabs>
                <w:tab w:val="left" w:pos="284"/>
                <w:tab w:val="left" w:pos="426"/>
                <w:tab w:val="left" w:pos="709"/>
                <w:tab w:val="left" w:pos="851"/>
              </w:tabs>
              <w:autoSpaceDE w:val="0"/>
              <w:autoSpaceDN w:val="0"/>
              <w:adjustRightInd w:val="0"/>
              <w:spacing w:before="100" w:beforeAutospacing="1" w:after="100" w:afterAutospacing="1"/>
              <w:jc w:val="both"/>
              <w:rPr>
                <w:i/>
              </w:rPr>
            </w:pPr>
            <w:r w:rsidRPr="00DF0D90">
              <w:rPr>
                <w:bCs/>
                <w:szCs w:val="22"/>
              </w:rPr>
              <w:t xml:space="preserve">200 мг в/в 1 раз в 3 нед. длительно </w:t>
            </w:r>
            <w:r w:rsidRPr="00DF0D90">
              <w:rPr>
                <w:bCs/>
                <w:szCs w:val="22"/>
              </w:rPr>
              <w:fldChar w:fldCharType="begin" w:fldLock="1"/>
            </w:r>
            <w:r w:rsidRPr="00DF0D90">
              <w:rPr>
                <w:bCs/>
                <w:szCs w:val="22"/>
              </w:rPr>
              <w:instrText>ADDIN CSL_CITATION {"citationItems":[{"id":"ITEM-1","itemData":{"DOI":"10.1200/jco.2019.37.15_suppl.4004","ISSN":"0732-183X","abstract":"4004 Background: Pembro received accelerated approval based on results of KEYNOTE-224, a phase 2 trial in pts with advanced HCC in the second line setting. KEYNOTE-240 (NCT02702401) was a randomized, placebo (Pbo) controlled, phase 3 study of Pembro vs BSC in pts with previously treated advanced HCC. Methods: Eligible pts had a radiographic or pathologic diagnosis of HCC, radiographic progression on/intolerance to sorafenib, Child-Pugh A disease and ECOG PS 0-1. Pts were randomized 2:1 to receive Pembro 200 mg + BSC or Pbo + BSC IV every 3 wk, stratified by geographic region, macrovascular invasion and ɑ-fetoprotein levels for ≤35 cycles or until confirmed PD/unacceptable toxicity. Response was assessed every 6 wk per RECIST v1.1 by central imaging review. Co-primary endpoints were OS and PFS. Secondary endpoints included ORR, DOR and safety. Data cutoff was Jan 2 2019 for OS; Mar 26 2018 for PFS and ORR. Results: 413 patients were randomized; 278 to Pembro and 135 to Pbo. After a median follow up of 13.8 mo, 10.1% of pts remained on Pembro and 3.0% on Pbo. Pembro improved OS (HR: 0.78; one sided p = 0.0238) and PFS (HR: 0.78; one sided p = 0.0209) vs Pbo; these differences did not meet significance per the prespecified statistical plan. ORR was 16.9% (95% CI 12.7-21.8%) for Pembro vs 2.2% (95% CI 0.5-6.4%) for Pbo (nominal one sided p = 0.00001); responses on Pembro were durable (median DOR: 13.8 mo [1.5-23.6+]). Off study, new therapy use was 42% for Pembro and 47% for Pbo. The safety profile including incidence of hepatitis and other immune mediated events was generally consistent with that previously reported in Pembro studies; no cases of HBV/HCV flare were identified. Conclusions: Pembro reduced the risk of death by 22% and improved PFS over Pbo in pts with advanced HCC, although significance was not reached per prespecified statistical criteria. ORR in the Pembro arm was consistent with that of KEYNOTE-224. Subsequent anticancer therapy in the Pbo arm likely impacted the OS results. The safety profile was comparable to that established for Pembro monotherapy. These results are overall consistent with those of KEYNOTE-224 further supporting second line therapy with Pembro in HCC pts. Clinical trial information: NCT02702401.","author":[{"dropping-particle":"","family":"Finn","given":"Richard S.","non-dropping-particle":"","parse-names":false,"suffix":""},{"dropping-particle":"","family":"Ryoo","given":"Baek-Yeol","non-dropping-particle":"","parse-names":false,"suffix":""},{"dropping-particle":"","family":"Merle","given":"Philippe","non-dropping-particle":"","parse-names":false,"suffix":""},{"dropping-particle":"","family":"Kudo","given":"Masatoshi","non-dropping-particle":"","parse-names":false,"suffix":""},{"dropping-particle":"","family":"Bouattour","given":"Mohamed","non-dropping-particle":"","parse-names":false,"suffix":""},{"dropping-particle":"","family":"Lim","given":"Ho-Yeong","non-dropping-particle":"","parse-names":false,"suffix":""},{"dropping-particle":"","family":"Breder","given":"Valeriy Vladimirovich","non-dropping-particle":"","parse-names":false,"suffix":""},{"dropping-particle":"","family":"Edeline","given":"Julien","non-dropping-particle":"","parse-names":false,"suffix":""},{"dropping-particle":"","family":"Chao","given":"Yee","non-dropping-particle":"","parse-names":false,"suffix":""},{"dropping-particle":"","family":"Ogasawara","given":"Sadahisa","non-dropping-particle":"","parse-names":false,"suffix":""},{"dropping-particle":"","family":"Yau","given":"Thomas","non-dropping-particle":"","parse-names":false,"suffix":""},{"dropping-particle":"","family":"Garrido","given":"Marcelo","non-dropping-particle":"","parse-names":false,"suffix":""},{"dropping-particle":"","family":"Chan","given":"Stephen Lam","non-dropping-particle":"","parse-names":false,"suffix":""},{"dropping-particle":"","family":"Knox","given":"Jennifer J.","non-dropping-particle":"","parse-names":false,"suffix":""},{"dropping-particle":"","family":"Daniele","given":"Bruno","non-dropping-particle":"","parse-names":false,"suffix":""},{"dropping-particle":"","family":"Ebbinghaus","given":"Scot","non-dropping-particle":"","parse-names":false,"suffix":""},{"dropping-particle":"","family":"Chen","given":"Erluo","non-dropping-particle":"","parse-names":false,"suffix":""},{"dropping-particle":"","family":"Siegel","given":"Abby B.","non-dropping-particle":"","parse-names":false,"suffix":""},{"dropping-particle":"","family":"Zhu","given":"Andrew X.","non-dropping-particle":"","parse-names":false,"suffix":""},{"dropping-particle":"","family":"Cheng","given":"Ann-Lii","non-dropping-particle":"","parse-names":false,"suffix":""}],"container-title":"Journal of Clinical Oncology","id":"ITEM-1","issue":"15_suppl","issued":{"date-parts":[["2019","5","20"]]},"page":"4004-4004","title":"Results of KEYNOTE-240: phase 3 study of pembrolizumab (Pembro) vs best supportive care (BSC) for second line therapy in advanced hepatocellular carcinoma (HCC).","type":"article-journal","volume":"37"},"uris":["http://www.mendeley.com/documents/?uuid=8a9d8021-71fa-3189-873c-5a107b48c15c"]}],"mendeley":{"formattedCitation":"[96]","plainTextFormattedCitation":"[96]","previouslyFormattedCitation":"[96]"},"properties":{"noteIndex":0},"schema":"https://github.com/citation-style-language/schema/raw/master/csl-citation.json"}</w:instrText>
            </w:r>
            <w:r w:rsidRPr="00DF0D90">
              <w:rPr>
                <w:bCs/>
                <w:szCs w:val="22"/>
              </w:rPr>
              <w:fldChar w:fldCharType="separate"/>
            </w:r>
            <w:r w:rsidRPr="00DF0D90">
              <w:rPr>
                <w:bCs/>
                <w:noProof/>
                <w:szCs w:val="22"/>
              </w:rPr>
              <w:t>[96]</w:t>
            </w:r>
            <w:r w:rsidRPr="00DF0D90">
              <w:rPr>
                <w:bCs/>
                <w:szCs w:val="22"/>
              </w:rPr>
              <w:fldChar w:fldCharType="end"/>
            </w:r>
          </w:p>
        </w:tc>
      </w:tr>
      <w:tr w:rsidR="00C17782" w:rsidRPr="00DF0D90" w14:paraId="7FD1BF9B" w14:textId="77777777" w:rsidTr="002A397A">
        <w:trPr>
          <w:trHeight w:val="70"/>
        </w:trPr>
        <w:tc>
          <w:tcPr>
            <w:tcW w:w="2122" w:type="dxa"/>
            <w:vMerge/>
          </w:tcPr>
          <w:p w14:paraId="08D25828" w14:textId="77777777" w:rsidR="00C17782" w:rsidRPr="00DF0D90" w:rsidRDefault="00C17782" w:rsidP="00E250EC">
            <w:pPr>
              <w:tabs>
                <w:tab w:val="left" w:pos="284"/>
                <w:tab w:val="left" w:pos="426"/>
                <w:tab w:val="left" w:pos="709"/>
                <w:tab w:val="left" w:pos="851"/>
              </w:tabs>
              <w:autoSpaceDE w:val="0"/>
              <w:autoSpaceDN w:val="0"/>
              <w:adjustRightInd w:val="0"/>
              <w:spacing w:before="100" w:beforeAutospacing="1" w:after="100" w:afterAutospacing="1"/>
              <w:ind w:right="-117"/>
              <w:jc w:val="both"/>
            </w:pPr>
          </w:p>
        </w:tc>
        <w:tc>
          <w:tcPr>
            <w:tcW w:w="2097" w:type="dxa"/>
          </w:tcPr>
          <w:p w14:paraId="088CA644" w14:textId="77777777" w:rsidR="00C17782" w:rsidRPr="00DF0D90" w:rsidRDefault="00C17782" w:rsidP="00E250EC">
            <w:pPr>
              <w:tabs>
                <w:tab w:val="left" w:pos="284"/>
                <w:tab w:val="left" w:pos="426"/>
                <w:tab w:val="left" w:pos="709"/>
                <w:tab w:val="left" w:pos="851"/>
              </w:tabs>
              <w:autoSpaceDE w:val="0"/>
              <w:autoSpaceDN w:val="0"/>
              <w:adjustRightInd w:val="0"/>
              <w:spacing w:before="100" w:beforeAutospacing="1" w:after="100" w:afterAutospacing="1"/>
              <w:ind w:right="-108"/>
              <w:jc w:val="both"/>
              <w:rPr>
                <w:bCs/>
                <w:i/>
                <w:szCs w:val="22"/>
              </w:rPr>
            </w:pPr>
            <w:proofErr w:type="spellStart"/>
            <w:r w:rsidRPr="00DF0D90">
              <w:rPr>
                <w:bCs/>
                <w:i/>
                <w:szCs w:val="22"/>
              </w:rPr>
              <w:t>Ниволумаб</w:t>
            </w:r>
            <w:proofErr w:type="spellEnd"/>
            <w:r w:rsidRPr="00DF0D90">
              <w:rPr>
                <w:bCs/>
                <w:i/>
                <w:szCs w:val="22"/>
              </w:rPr>
              <w:t>**</w:t>
            </w:r>
          </w:p>
          <w:p w14:paraId="16D326DE" w14:textId="77777777" w:rsidR="00C17782" w:rsidRPr="00DF0D90" w:rsidRDefault="00C17782" w:rsidP="00E250EC">
            <w:pPr>
              <w:tabs>
                <w:tab w:val="left" w:pos="284"/>
                <w:tab w:val="left" w:pos="426"/>
                <w:tab w:val="left" w:pos="709"/>
                <w:tab w:val="left" w:pos="851"/>
              </w:tabs>
              <w:autoSpaceDE w:val="0"/>
              <w:autoSpaceDN w:val="0"/>
              <w:adjustRightInd w:val="0"/>
              <w:spacing w:before="100" w:beforeAutospacing="1" w:after="100" w:afterAutospacing="1"/>
              <w:ind w:right="-108"/>
              <w:jc w:val="both"/>
              <w:rPr>
                <w:bCs/>
                <w:i/>
                <w:szCs w:val="22"/>
              </w:rPr>
            </w:pPr>
            <w:r w:rsidRPr="00DF0D90">
              <w:rPr>
                <w:bCs/>
                <w:i/>
                <w:szCs w:val="22"/>
              </w:rPr>
              <w:t>+</w:t>
            </w:r>
          </w:p>
          <w:p w14:paraId="3D86D3E9" w14:textId="77777777" w:rsidR="00C17782" w:rsidRPr="00DF0D90" w:rsidRDefault="00C17782" w:rsidP="00E250EC">
            <w:pPr>
              <w:tabs>
                <w:tab w:val="left" w:pos="284"/>
                <w:tab w:val="left" w:pos="426"/>
                <w:tab w:val="left" w:pos="709"/>
                <w:tab w:val="left" w:pos="851"/>
              </w:tabs>
              <w:autoSpaceDE w:val="0"/>
              <w:autoSpaceDN w:val="0"/>
              <w:adjustRightInd w:val="0"/>
              <w:spacing w:before="100" w:beforeAutospacing="1" w:after="100" w:afterAutospacing="1"/>
              <w:ind w:right="-108"/>
              <w:jc w:val="both"/>
              <w:rPr>
                <w:bCs/>
                <w:i/>
                <w:szCs w:val="22"/>
              </w:rPr>
            </w:pPr>
            <w:proofErr w:type="spellStart"/>
            <w:r w:rsidRPr="00DF0D90">
              <w:rPr>
                <w:bCs/>
                <w:i/>
                <w:szCs w:val="22"/>
              </w:rPr>
              <w:t>Ипилимумаб</w:t>
            </w:r>
            <w:proofErr w:type="spellEnd"/>
            <w:r w:rsidRPr="00DF0D90">
              <w:rPr>
                <w:bCs/>
                <w:i/>
                <w:szCs w:val="22"/>
              </w:rPr>
              <w:t>**</w:t>
            </w:r>
          </w:p>
        </w:tc>
        <w:tc>
          <w:tcPr>
            <w:tcW w:w="5245" w:type="dxa"/>
          </w:tcPr>
          <w:p w14:paraId="787C737F" w14:textId="509AA7D7" w:rsidR="00C17782" w:rsidRPr="00DF0D90" w:rsidRDefault="00C17782" w:rsidP="003B3F1C">
            <w:pPr>
              <w:tabs>
                <w:tab w:val="left" w:pos="284"/>
                <w:tab w:val="left" w:pos="426"/>
                <w:tab w:val="left" w:pos="709"/>
                <w:tab w:val="left" w:pos="851"/>
              </w:tabs>
              <w:autoSpaceDE w:val="0"/>
              <w:autoSpaceDN w:val="0"/>
              <w:adjustRightInd w:val="0"/>
              <w:spacing w:before="100" w:beforeAutospacing="1" w:after="100" w:afterAutospacing="1"/>
              <w:jc w:val="both"/>
              <w:rPr>
                <w:bCs/>
                <w:szCs w:val="22"/>
              </w:rPr>
            </w:pPr>
            <w:r w:rsidRPr="00DF0D90">
              <w:rPr>
                <w:bCs/>
                <w:szCs w:val="22"/>
              </w:rPr>
              <w:t>1 мг/кг в/в 1 раз в 3 нед. 4 введения; далее по 240 мг 1 раз в 2 недели или по 480 мг 1 раз в 4 недели длительно</w:t>
            </w:r>
          </w:p>
          <w:p w14:paraId="5967D7E1" w14:textId="77777777" w:rsidR="00C17782" w:rsidRPr="00DF0D90" w:rsidRDefault="00C17782" w:rsidP="00E250EC">
            <w:pPr>
              <w:tabs>
                <w:tab w:val="left" w:pos="284"/>
                <w:tab w:val="left" w:pos="426"/>
                <w:tab w:val="left" w:pos="709"/>
                <w:tab w:val="left" w:pos="851"/>
              </w:tabs>
              <w:autoSpaceDE w:val="0"/>
              <w:autoSpaceDN w:val="0"/>
              <w:adjustRightInd w:val="0"/>
              <w:spacing w:before="100" w:beforeAutospacing="1" w:after="100" w:afterAutospacing="1"/>
              <w:jc w:val="both"/>
              <w:rPr>
                <w:bCs/>
                <w:szCs w:val="22"/>
              </w:rPr>
            </w:pPr>
            <w:r w:rsidRPr="00DF0D90">
              <w:rPr>
                <w:bCs/>
                <w:szCs w:val="22"/>
              </w:rPr>
              <w:t xml:space="preserve">3 мг/кг в/в 1 раз в 3 недели, 4 введения </w:t>
            </w:r>
            <w:r w:rsidRPr="00DF0D90">
              <w:rPr>
                <w:bCs/>
                <w:szCs w:val="22"/>
              </w:rPr>
              <w:fldChar w:fldCharType="begin" w:fldLock="1"/>
            </w:r>
            <w:r w:rsidRPr="00DF0D90">
              <w:rPr>
                <w:bCs/>
                <w:szCs w:val="22"/>
              </w:rPr>
              <w:instrText>ADDIN CSL_CITATION {"citationItems":[{"id":"ITEM-1","itemData":{"DOI":"10.1001/jamaoncol.2020.4564","ISSN":"23742445","PMID":"33001135","abstract":"Importance: Most patients with hepatocellular carcinoma (HCC) are diagnosed with advanced disease not eligible for potentially curative therapies; therefore, new treatment options are needed. Combining nivolumab with ipilimumab may improve clinical outcomes compared with nivolumab monotherapy. Objective: To assess efficacy and safety of nivolumab plus ipilimumab in patients with advanced HCC who were previously treated with sorafenib. Design, Setting, and Participants: CheckMate 040 is a multicenter, open-label, multicohort, phase 1/2 study. In the nivolumab plus ipilimumab cohort, patients were randomized between January 4 and September 26, 2016. Treatment group information was blinded after randomization. Median follow-up was 30.7 months. Data cutoff for this analysis was January 2019. Patients were recruited at 31 centers in 10 countries/territories in Asia, Europe, and North America. Eligible patients had advanced HCC (with/without hepatitis B or C) previously treated with sorafenib. A total of 148 patients were randomized (50 to arm A and 49 each to arms B and C). Interventions: Patients were randomized 1:1:1 to either nivolumab 1 mg/kg plus ipilimumab 3 mg/kg, administered every 3 weeks (4 doses), followed by nivolumab 240 mg every 2 weeks (arm A); nivolumab 3 mg/kg plus ipilimumab 1 mg/kg, administered every 3 weeks (4 doses), followed by nivolumab 240 mg every 2 weeks (arm B); or nivolumab 3 mg/kg every 2 weeks plus ipilimumab 1 mg/kg every 6 weeks (arm C). Main Outcomes and Measures: Coprimary end points were safety, tolerability, and objective response rate. Duration of response was also measured (investigator assessed with the Response Evaluation Criteria in Solid Tumors v1.1). Results: Of 148 total participants, 120 were male (81%). Median (IQR) age was 60 (52.5-66.5). At data cutoff (January 2019), the median follow-up was 30.7 months (IQR, 29.9-34.7). Investigator-assessed objective response rate was 32% (95% CI, 20%-47%) in arm A, 27% (95% CI, 15%-41%) in arm B, and 29% (95% CI, 17%-43%) in arm C. Median (range) duration of response was not reached (8.3-33.7+) in arm A and was 15.2 months (4.2-29.9+) in arm B and 21.7 months (2.8-32.7+) in arm C. Any-grade treatment-related adverse events were reported in 46 of 49 patients (94%) in arm A, 35 of 49 patients (71%) in arm B, and 38 of 48 patients (79%) in arm C; there was 1 treatment-related death (arm A; grade 5 pneumonitis). Conclusions and Relevance: In this randomized clinical trial, niv…","author":[{"dropping-particle":"","family":"Yau","given":"Thomas","non-dropping-particle":"","parse-names":false,"suffix":""},{"dropping-particle":"","family":"Kang","given":"Yoon Koo","non-dropping-particle":"","parse-names":false,"suffix":""},{"dropping-particle":"","family":"Kim","given":"Tae You","non-dropping-particle":"","parse-names":false,"suffix":""},{"dropping-particle":"","family":"El-Khoueiry","given":"Anthony B.","non-dropping-particle":"","parse-names":false,"suffix":""},{"dropping-particle":"","family":"Santoro","given":"Armando","non-dropping-particle":"","parse-names":false,"suffix":""},{"dropping-particle":"","family":"Sangro","given":"Bruno","non-dropping-particle":"","parse-names":false,"suffix":""},{"dropping-particle":"","family":"Melero","given":"Ignacio","non-dropping-particle":"","parse-names":false,"suffix":""},{"dropping-particle":"","family":"Kudo","given":"Masatoshi","non-dropping-particle":"","parse-names":false,"suffix":""},{"dropping-particle":"","family":"Hou","given":"Ming Mo","non-dropping-particle":"","parse-names":false,"suffix":""},{"dropping-particle":"","family":"Matilla","given":"Ana","non-dropping-particle":"","parse-names":false,"suffix":""},{"dropping-particle":"","family":"Tovoli","given":"Francesco","non-dropping-particle":"","parse-names":false,"suffix":""},{"dropping-particle":"","family":"Knox","given":"Jennifer J.","non-dropping-particle":"","parse-names":false,"suffix":""},{"dropping-particle":"","family":"Ruth He","given":"Aiwu","non-dropping-particle":"","parse-names":false,"suffix":""},{"dropping-particle":"","family":"El-Rayes","given":"Bassel F.","non-dropping-particle":"","parse-names":false,"suffix":""},{"dropping-particle":"","family":"Acosta-Rivera","given":"Mirelis","non-dropping-particle":"","parse-names":false,"suffix":""},{"dropping-particle":"","family":"Lim","given":"Ho Yeong","non-dropping-particle":"","parse-names":false,"suffix":""},{"dropping-particle":"","family":"Neely","given":"Jaclyn","non-dropping-particle":"","parse-names":false,"suffix":""},{"dropping-particle":"","family":"Shen","given":"Yun","non-dropping-particle":"","parse-names":false,"suffix":""},{"dropping-particle":"","family":"Wisniewski","given":"Tami","non-dropping-particle":"","parse-names":false,"suffix":""},{"dropping-particle":"","family":"Anderson","given":"Jeffrey","non-dropping-particle":"","parse-names":false,"suffix":""},{"dropping-particle":"","family":"Hsu","given":"Chiun","non-dropping-particle":"","parse-names":false,"suffix":""}],"container-title":"JAMA Oncology","id":"ITEM-1","issue":"11","issued":{"date-parts":[["2020","11","12"]]},"title":"Efficacy and Safety of Nivolumab plus Ipilimumab in Patients with Advanced Hepatocellular Carcinoma Previously Treated with Sorafenib: The CheckMate 040 Randomized Clinical Trial","type":"paper-conference","volume":"6"},"uris":["http://www.mendeley.com/documents/?uuid=005a706c-9611-39aa-aa75-9e245233a7d6"]}],"mendeley":{"formattedCitation":"[97]","plainTextFormattedCitation":"[97]","previouslyFormattedCitation":"[97]"},"properties":{"noteIndex":0},"schema":"https://github.com/citation-style-language/schema/raw/master/csl-citation.json"}</w:instrText>
            </w:r>
            <w:r w:rsidRPr="00DF0D90">
              <w:rPr>
                <w:bCs/>
                <w:szCs w:val="22"/>
              </w:rPr>
              <w:fldChar w:fldCharType="separate"/>
            </w:r>
            <w:r w:rsidRPr="00DF0D90">
              <w:rPr>
                <w:bCs/>
                <w:noProof/>
                <w:szCs w:val="22"/>
              </w:rPr>
              <w:t>[97]</w:t>
            </w:r>
            <w:r w:rsidRPr="00DF0D90">
              <w:rPr>
                <w:bCs/>
                <w:szCs w:val="22"/>
              </w:rPr>
              <w:fldChar w:fldCharType="end"/>
            </w:r>
          </w:p>
        </w:tc>
      </w:tr>
      <w:tr w:rsidR="00C17782" w:rsidRPr="00DF0D90" w14:paraId="27076F41" w14:textId="77777777" w:rsidTr="002A397A">
        <w:trPr>
          <w:trHeight w:val="70"/>
        </w:trPr>
        <w:tc>
          <w:tcPr>
            <w:tcW w:w="2122" w:type="dxa"/>
            <w:vMerge/>
          </w:tcPr>
          <w:p w14:paraId="2CB09A97" w14:textId="77777777" w:rsidR="00C17782" w:rsidRPr="00DF0D90" w:rsidRDefault="00C17782" w:rsidP="00E250EC">
            <w:pPr>
              <w:tabs>
                <w:tab w:val="left" w:pos="284"/>
                <w:tab w:val="left" w:pos="426"/>
                <w:tab w:val="left" w:pos="709"/>
                <w:tab w:val="left" w:pos="851"/>
              </w:tabs>
              <w:autoSpaceDE w:val="0"/>
              <w:autoSpaceDN w:val="0"/>
              <w:adjustRightInd w:val="0"/>
              <w:spacing w:before="100" w:beforeAutospacing="1" w:after="100" w:afterAutospacing="1"/>
              <w:ind w:right="-117"/>
              <w:jc w:val="both"/>
            </w:pPr>
          </w:p>
        </w:tc>
        <w:tc>
          <w:tcPr>
            <w:tcW w:w="2097" w:type="dxa"/>
          </w:tcPr>
          <w:p w14:paraId="0E27614F" w14:textId="77777777" w:rsidR="00C17782" w:rsidRPr="00DF0D90" w:rsidRDefault="00C17782" w:rsidP="00E250EC">
            <w:pPr>
              <w:tabs>
                <w:tab w:val="left" w:pos="284"/>
                <w:tab w:val="left" w:pos="426"/>
                <w:tab w:val="left" w:pos="709"/>
                <w:tab w:val="left" w:pos="851"/>
              </w:tabs>
              <w:autoSpaceDE w:val="0"/>
              <w:autoSpaceDN w:val="0"/>
              <w:adjustRightInd w:val="0"/>
              <w:spacing w:before="100" w:beforeAutospacing="1" w:after="100" w:afterAutospacing="1"/>
              <w:ind w:right="-108"/>
              <w:jc w:val="both"/>
              <w:rPr>
                <w:bCs/>
                <w:i/>
                <w:szCs w:val="22"/>
              </w:rPr>
            </w:pPr>
            <w:proofErr w:type="spellStart"/>
            <w:r w:rsidRPr="00DF0D90">
              <w:rPr>
                <w:bCs/>
                <w:i/>
                <w:szCs w:val="22"/>
              </w:rPr>
              <w:t>Рамуцирумаб</w:t>
            </w:r>
            <w:proofErr w:type="spellEnd"/>
            <w:r w:rsidRPr="00DF0D90">
              <w:rPr>
                <w:bCs/>
                <w:i/>
                <w:szCs w:val="22"/>
              </w:rPr>
              <w:t xml:space="preserve">** </w:t>
            </w:r>
          </w:p>
        </w:tc>
        <w:tc>
          <w:tcPr>
            <w:tcW w:w="5245" w:type="dxa"/>
          </w:tcPr>
          <w:p w14:paraId="17CCCDFF" w14:textId="0992E335" w:rsidR="00C17782" w:rsidRPr="00DF0D90" w:rsidRDefault="00C17782" w:rsidP="00E250EC">
            <w:pPr>
              <w:tabs>
                <w:tab w:val="left" w:pos="284"/>
                <w:tab w:val="left" w:pos="426"/>
                <w:tab w:val="left" w:pos="709"/>
                <w:tab w:val="left" w:pos="851"/>
              </w:tabs>
              <w:autoSpaceDE w:val="0"/>
              <w:autoSpaceDN w:val="0"/>
              <w:adjustRightInd w:val="0"/>
              <w:spacing w:before="100" w:beforeAutospacing="1" w:after="100" w:afterAutospacing="1"/>
              <w:jc w:val="both"/>
              <w:rPr>
                <w:bCs/>
                <w:szCs w:val="22"/>
              </w:rPr>
            </w:pPr>
            <w:r w:rsidRPr="00DF0D90">
              <w:rPr>
                <w:bCs/>
                <w:szCs w:val="22"/>
              </w:rPr>
              <w:t xml:space="preserve">8 мг/кг в/в 1 раз в 2 недели длительно </w:t>
            </w:r>
            <w:r w:rsidRPr="00DF0D90">
              <w:rPr>
                <w:bCs/>
                <w:szCs w:val="22"/>
              </w:rPr>
              <w:fldChar w:fldCharType="begin" w:fldLock="1"/>
            </w:r>
            <w:r w:rsidRPr="00DF0D90">
              <w:rPr>
                <w:bCs/>
                <w:szCs w:val="22"/>
              </w:rPr>
              <w:instrText>ADDIN CSL_CITATION {"citationItems":[{"id":"ITEM-1","itemData":{"DOI":"10.1016/S1470-2045(18)30937-9","ISSN":"14745488","PMID":"30665869","abstract":"Background: Patients with advanced hepatocellular carcinoma and increased α-fetoprotein concentrations have poor prognosis. We aimed to establish the efficacy of ramucirumab in patients with advanced hepatocellular carcinoma and α-fetoprotein concentrations of 400 ng/mL or higher. Methods: REACH-2 was a randomised, double-blind, placebo-controlled, phase 3 trial done at 92 hospitals, clinics, and medical centres in 20 countries. Eligible patients were aged 18 years or older and had histologically or cytologically confirmed hepatocellular carcinoma, or diagnosed cirrhosis and hepatocellular carcinoma, Barcelona Clinic Liver Cancer stage B or C disease, Child-Pugh class A liver disease, Eastern Cooperative Oncology Group (ECOG) performance statuses of 0 or 1, α-fetoprotein concentrations of 400 ng/mL or greater, and had previously received first-line sorafenib. Participants were randomly assigned (2:1) via an interactive web response system with a computer-generated random sequence to 8 mg/kg intravenous ramucirumab every 2 weeks or placebo. All patients received best supportive care. The primary endpoint was overall survival. Secondary endpoints were progression-free survival, proportion of patients achieving an objective response, time to radiographic progression, safety, time to deterioration in scores on the Functional Assessment of Cancer Therapy Hepatobiliary Symptom Index 8 (FHSI-8), and time to deterioration in ECOG performance status. We also pooled individual patient data from REACH-2 with data from REACH (NCT01140347) for patients with α-fetoprotein concentrations of 400 ng/mL or greater. Efficacy analyses were by intention to treat, whereas safety analyses were done in all patients who received at least one dose of study drug. This trial is registered with ClinicalTrials.gov, number NCT02435433. Findings: Between July 26, 2015, and Aug 30, 2017, 292 patients were randomly assigned, 197 to the ramucirumab group and 95 to the placebo group. At a median follow-up of 7·6 months (IQR 4·0–12·5), median overall survival (8·5 months [95% CI 7·0–10·6] vs 7·3 months [5·4–9·1]; hazard ratio [HR] 0·710 [95% CI 0·531–0·949]; p=0·0199) and progression-free survival (2·8 months [2·8–4·1] vs 1·6 months [1·5–2·7]; 0·452 [0·339–0·603]; p&lt;0·0001) were significantly improved in the ramucirumab group compared with the placebo group. The proportion of patients with an objective response did not differ significantly between groups (nine [5%] of 197 vs one [1%] of 95…","author":[{"dropping-particle":"","family":"Zhu","given":"Andrew X","non-dropping-particle":"","parse-names":false,"suffix":""},{"dropping-particle":"","family":"Kang","given":"Yoon Koo","non-dropping-particle":"","parse-names":false,"suffix":""},{"dropping-particle":"","family":"Yen","given":"Chia Jui","non-dropping-particle":"","parse-names":false,"suffix":""},{"dropping-particle":"","family":"Finn","given":"Richard S","non-dropping-particle":"","parse-names":false,"suffix":""},{"dropping-particle":"","family":"Galle","given":"Peter R","non-dropping-particle":"","parse-names":false,"suffix":""},{"dropping-particle":"","family":"Llovet","given":"Josep M","non-dropping-particle":"","parse-names":false,"suffix":""},{"dropping-particle":"","family":"Assenat","given":"Eric","non-dropping-particle":"","parse-names":false,"suffix":""},{"dropping-particle":"","family":"Brandi","given":"Giovanni","non-dropping-particle":"","parse-names":false,"suffix":""},{"dropping-particle":"","family":"Pracht","given":"Marc","non-dropping-particle":"","parse-names":false,"suffix":""},{"dropping-particle":"","family":"Lim","given":"Ho Yeong","non-dropping-particle":"","parse-names":false,"suffix":""},{"dropping-particle":"","family":"Rau","given":"Kun Ming","non-dropping-particle":"","parse-names":false,"suffix":""},{"dropping-particle":"","family":"Motomura","given":"Kenta","non-dropping-particle":"","parse-names":false,"suffix":""},{"dropping-particle":"","family":"Ohno","given":"Izumi","non-dropping-particle":"","parse-names":false,"suffix":""},{"dropping-particle":"","family":"Merle","given":"Philippe","non-dropping-particle":"","parse-names":false,"suffix":""},{"dropping-particle":"","family":"Daniele","given":"Bruno","non-dropping-particle":"","parse-names":false,"suffix":""},{"dropping-particle":"","family":"Shin","given":"Dong Bok","non-dropping-particle":"","parse-names":false,"suffix":""},{"dropping-particle":"","family":"Gerken","given":"Guido","non-dropping-particle":"","parse-names":false,"suffix":""},{"dropping-particle":"","family":"Borg","given":"Christophe","non-dropping-particle":"","parse-names":false,"suffix":""},{"dropping-particle":"","family":"Hiriart","given":"Jean Baptiste","non-dropping-particle":"","parse-names":false,"suffix":""},{"dropping-particle":"","family":"Okusaka","given":"Takuji","non-dropping-particle":"","parse-names":false,"suffix":""},{"dropping-particle":"","family":"Morimoto","given":"Manabu","non-dropping-particle":"","parse-names":false,"suffix":""},{"dropping-particle":"","family":"Hsu","given":"Yanzhi","non-dropping-particle":"","parse-names":false,"suffix":""},{"dropping-particle":"","family":"Abada","given":"Paolo B","non-dropping-particle":"","parse-names":false,"suffix":""},{"dropping-particle":"","family":"Kudo","given":"Masatoshi","non-dropping-particle":"","parse-names":false,"suffix":""}],"container-title":"The Lancet Oncology","id":"ITEM-1","issue":"2","issued":{"date-parts":[["2019","2"]]},"page":"282-296","title":"Ramucirumab after sorafenib in patients with advanced hepatocellular carcinoma and increased α-fetoprotein concentrations (REACH-2): a randomised, double-blind, placebo-controlled, phase 3 trial","type":"article-journal","volume":"20"},"uris":["http://www.mendeley.com/documents/?uuid=cd904b29-46af-308c-8583-2b353c9e0941"]}],"mendeley":{"formattedCitation":"[95]","plainTextFormattedCitation":"[95]","previouslyFormattedCitation":"[95]"},"properties":{"noteIndex":0},"schema":"https://github.com/citation-style-language/schema/raw/master/csl-citation.json"}</w:instrText>
            </w:r>
            <w:r w:rsidRPr="00DF0D90">
              <w:rPr>
                <w:bCs/>
                <w:szCs w:val="22"/>
              </w:rPr>
              <w:fldChar w:fldCharType="separate"/>
            </w:r>
            <w:r w:rsidRPr="00DF0D90">
              <w:rPr>
                <w:bCs/>
                <w:noProof/>
                <w:szCs w:val="22"/>
              </w:rPr>
              <w:t>[95]</w:t>
            </w:r>
            <w:r w:rsidRPr="00DF0D90">
              <w:rPr>
                <w:bCs/>
                <w:szCs w:val="22"/>
              </w:rPr>
              <w:fldChar w:fldCharType="end"/>
            </w:r>
          </w:p>
        </w:tc>
      </w:tr>
      <w:tr w:rsidR="00C17782" w:rsidRPr="00DF0D90" w14:paraId="49F1A8BF" w14:textId="77777777" w:rsidTr="002A397A">
        <w:trPr>
          <w:trHeight w:val="70"/>
        </w:trPr>
        <w:tc>
          <w:tcPr>
            <w:tcW w:w="2122" w:type="dxa"/>
            <w:vMerge/>
          </w:tcPr>
          <w:p w14:paraId="0EB61923" w14:textId="77777777" w:rsidR="00C17782" w:rsidRPr="00DF0D90" w:rsidRDefault="00C17782" w:rsidP="00E250EC">
            <w:pPr>
              <w:tabs>
                <w:tab w:val="left" w:pos="284"/>
                <w:tab w:val="left" w:pos="426"/>
                <w:tab w:val="left" w:pos="709"/>
                <w:tab w:val="left" w:pos="851"/>
              </w:tabs>
              <w:autoSpaceDE w:val="0"/>
              <w:autoSpaceDN w:val="0"/>
              <w:adjustRightInd w:val="0"/>
              <w:spacing w:before="100" w:beforeAutospacing="1" w:after="100" w:afterAutospacing="1"/>
              <w:ind w:right="-117"/>
              <w:jc w:val="both"/>
            </w:pPr>
          </w:p>
        </w:tc>
        <w:tc>
          <w:tcPr>
            <w:tcW w:w="2097" w:type="dxa"/>
          </w:tcPr>
          <w:p w14:paraId="7E568CC0" w14:textId="77777777" w:rsidR="00C17782" w:rsidRPr="00DF0D90" w:rsidRDefault="00C17782" w:rsidP="00B2634C">
            <w:pPr>
              <w:tabs>
                <w:tab w:val="left" w:pos="284"/>
                <w:tab w:val="left" w:pos="426"/>
                <w:tab w:val="left" w:pos="709"/>
                <w:tab w:val="left" w:pos="851"/>
              </w:tabs>
              <w:autoSpaceDE w:val="0"/>
              <w:autoSpaceDN w:val="0"/>
              <w:adjustRightInd w:val="0"/>
              <w:spacing w:before="100" w:beforeAutospacing="1" w:after="100" w:afterAutospacing="1"/>
              <w:ind w:right="-108"/>
              <w:jc w:val="both"/>
              <w:rPr>
                <w:bCs/>
                <w:i/>
                <w:szCs w:val="22"/>
              </w:rPr>
            </w:pPr>
            <w:r w:rsidRPr="00DF0D90">
              <w:rPr>
                <w:bCs/>
                <w:i/>
                <w:szCs w:val="22"/>
              </w:rPr>
              <w:t xml:space="preserve">Тремелимумаб** </w:t>
            </w:r>
          </w:p>
          <w:p w14:paraId="37F47F13" w14:textId="77777777" w:rsidR="00C17782" w:rsidRPr="00DF0D90" w:rsidRDefault="00C17782" w:rsidP="00B2634C">
            <w:pPr>
              <w:tabs>
                <w:tab w:val="left" w:pos="284"/>
                <w:tab w:val="left" w:pos="426"/>
                <w:tab w:val="left" w:pos="709"/>
                <w:tab w:val="left" w:pos="851"/>
              </w:tabs>
              <w:autoSpaceDE w:val="0"/>
              <w:autoSpaceDN w:val="0"/>
              <w:adjustRightInd w:val="0"/>
              <w:spacing w:before="100" w:beforeAutospacing="1" w:after="100" w:afterAutospacing="1"/>
              <w:ind w:right="-108"/>
              <w:jc w:val="both"/>
              <w:rPr>
                <w:bCs/>
                <w:i/>
                <w:szCs w:val="22"/>
              </w:rPr>
            </w:pPr>
            <w:r w:rsidRPr="00DF0D90">
              <w:rPr>
                <w:bCs/>
                <w:i/>
                <w:szCs w:val="22"/>
              </w:rPr>
              <w:t xml:space="preserve">+ </w:t>
            </w:r>
          </w:p>
          <w:p w14:paraId="7AEF022B" w14:textId="7AA8514F" w:rsidR="00C17782" w:rsidRPr="00DF0D90" w:rsidRDefault="00C17782" w:rsidP="00B2634C">
            <w:pPr>
              <w:tabs>
                <w:tab w:val="left" w:pos="284"/>
                <w:tab w:val="left" w:pos="426"/>
                <w:tab w:val="left" w:pos="709"/>
                <w:tab w:val="left" w:pos="851"/>
              </w:tabs>
              <w:autoSpaceDE w:val="0"/>
              <w:autoSpaceDN w:val="0"/>
              <w:adjustRightInd w:val="0"/>
              <w:spacing w:before="100" w:beforeAutospacing="1" w:after="100" w:afterAutospacing="1"/>
              <w:ind w:right="-108"/>
              <w:jc w:val="both"/>
              <w:rPr>
                <w:bCs/>
                <w:i/>
                <w:szCs w:val="22"/>
              </w:rPr>
            </w:pPr>
            <w:r w:rsidRPr="00DF0D90">
              <w:rPr>
                <w:bCs/>
                <w:i/>
                <w:szCs w:val="22"/>
              </w:rPr>
              <w:t>Дурвалумаб</w:t>
            </w:r>
            <w:r w:rsidR="004F7795" w:rsidRPr="00DF0D90">
              <w:rPr>
                <w:bCs/>
                <w:i/>
                <w:szCs w:val="22"/>
              </w:rPr>
              <w:t>**</w:t>
            </w:r>
          </w:p>
        </w:tc>
        <w:tc>
          <w:tcPr>
            <w:tcW w:w="5245" w:type="dxa"/>
          </w:tcPr>
          <w:p w14:paraId="5F50F934" w14:textId="34212CD1" w:rsidR="004F7795" w:rsidRPr="00DF0D90" w:rsidRDefault="00C17782" w:rsidP="00E250EC">
            <w:pPr>
              <w:tabs>
                <w:tab w:val="left" w:pos="284"/>
                <w:tab w:val="left" w:pos="426"/>
                <w:tab w:val="left" w:pos="709"/>
                <w:tab w:val="left" w:pos="851"/>
              </w:tabs>
              <w:autoSpaceDE w:val="0"/>
              <w:autoSpaceDN w:val="0"/>
              <w:adjustRightInd w:val="0"/>
              <w:spacing w:before="100" w:beforeAutospacing="1" w:after="100" w:afterAutospacing="1"/>
              <w:jc w:val="both"/>
              <w:rPr>
                <w:bCs/>
                <w:szCs w:val="22"/>
              </w:rPr>
            </w:pPr>
            <w:r w:rsidRPr="00DF0D90">
              <w:rPr>
                <w:bCs/>
                <w:szCs w:val="22"/>
              </w:rPr>
              <w:t>300 мг однократно</w:t>
            </w:r>
            <w:r w:rsidR="004F7795" w:rsidRPr="00DF0D90">
              <w:rPr>
                <w:bCs/>
                <w:szCs w:val="22"/>
              </w:rPr>
              <w:t xml:space="preserve"> в/в</w:t>
            </w:r>
            <w:r w:rsidRPr="00DF0D90">
              <w:rPr>
                <w:bCs/>
                <w:szCs w:val="22"/>
              </w:rPr>
              <w:t xml:space="preserve"> </w:t>
            </w:r>
            <w:r w:rsidR="004F7795" w:rsidRPr="00DF0D90">
              <w:rPr>
                <w:bCs/>
                <w:szCs w:val="22"/>
              </w:rPr>
              <w:t>в 1 день однократно,</w:t>
            </w:r>
          </w:p>
          <w:p w14:paraId="21BCCA2B" w14:textId="77777777" w:rsidR="004F7795" w:rsidRPr="00DF0D90" w:rsidRDefault="00C17782" w:rsidP="00E250EC">
            <w:pPr>
              <w:tabs>
                <w:tab w:val="left" w:pos="284"/>
                <w:tab w:val="left" w:pos="426"/>
                <w:tab w:val="left" w:pos="709"/>
                <w:tab w:val="left" w:pos="851"/>
              </w:tabs>
              <w:autoSpaceDE w:val="0"/>
              <w:autoSpaceDN w:val="0"/>
              <w:adjustRightInd w:val="0"/>
              <w:spacing w:before="100" w:beforeAutospacing="1" w:after="100" w:afterAutospacing="1"/>
              <w:jc w:val="both"/>
              <w:rPr>
                <w:bCs/>
                <w:szCs w:val="22"/>
              </w:rPr>
            </w:pPr>
            <w:r w:rsidRPr="00DF0D90">
              <w:rPr>
                <w:bCs/>
                <w:szCs w:val="22"/>
              </w:rPr>
              <w:t xml:space="preserve">+ </w:t>
            </w:r>
          </w:p>
          <w:p w14:paraId="3E331D23" w14:textId="3AB3E09D" w:rsidR="00C17782" w:rsidRPr="00DF0D90" w:rsidRDefault="00C17782" w:rsidP="00E250EC">
            <w:pPr>
              <w:tabs>
                <w:tab w:val="left" w:pos="284"/>
                <w:tab w:val="left" w:pos="426"/>
                <w:tab w:val="left" w:pos="709"/>
                <w:tab w:val="left" w:pos="851"/>
              </w:tabs>
              <w:autoSpaceDE w:val="0"/>
              <w:autoSpaceDN w:val="0"/>
              <w:adjustRightInd w:val="0"/>
              <w:spacing w:before="100" w:beforeAutospacing="1" w:after="100" w:afterAutospacing="1"/>
              <w:jc w:val="both"/>
              <w:rPr>
                <w:bCs/>
                <w:szCs w:val="22"/>
              </w:rPr>
            </w:pPr>
            <w:r w:rsidRPr="00DF0D90">
              <w:rPr>
                <w:bCs/>
                <w:szCs w:val="22"/>
              </w:rPr>
              <w:t>1500 мг, в/в кап, 1 раз в 4 недели длительно [129]</w:t>
            </w:r>
          </w:p>
        </w:tc>
      </w:tr>
      <w:tr w:rsidR="00C17782" w:rsidRPr="00DF0D90" w14:paraId="5D38CD4C" w14:textId="77777777" w:rsidTr="002A397A">
        <w:trPr>
          <w:trHeight w:val="70"/>
        </w:trPr>
        <w:tc>
          <w:tcPr>
            <w:tcW w:w="2122" w:type="dxa"/>
            <w:vMerge/>
          </w:tcPr>
          <w:p w14:paraId="2FA2519C" w14:textId="77777777" w:rsidR="00C17782" w:rsidRPr="00DF0D90" w:rsidRDefault="00C17782" w:rsidP="00E250EC">
            <w:pPr>
              <w:tabs>
                <w:tab w:val="left" w:pos="284"/>
                <w:tab w:val="left" w:pos="426"/>
                <w:tab w:val="left" w:pos="709"/>
                <w:tab w:val="left" w:pos="851"/>
              </w:tabs>
              <w:autoSpaceDE w:val="0"/>
              <w:autoSpaceDN w:val="0"/>
              <w:adjustRightInd w:val="0"/>
              <w:spacing w:before="100" w:beforeAutospacing="1" w:after="100" w:afterAutospacing="1"/>
              <w:ind w:right="-117"/>
              <w:jc w:val="both"/>
            </w:pPr>
          </w:p>
        </w:tc>
        <w:tc>
          <w:tcPr>
            <w:tcW w:w="2097" w:type="dxa"/>
          </w:tcPr>
          <w:p w14:paraId="01219083" w14:textId="09D98797" w:rsidR="00C17782" w:rsidRPr="00DF0D90" w:rsidRDefault="00C17782" w:rsidP="00B2634C">
            <w:pPr>
              <w:tabs>
                <w:tab w:val="left" w:pos="284"/>
                <w:tab w:val="left" w:pos="426"/>
                <w:tab w:val="left" w:pos="709"/>
                <w:tab w:val="left" w:pos="851"/>
              </w:tabs>
              <w:autoSpaceDE w:val="0"/>
              <w:autoSpaceDN w:val="0"/>
              <w:adjustRightInd w:val="0"/>
              <w:spacing w:before="100" w:beforeAutospacing="1" w:after="100" w:afterAutospacing="1"/>
              <w:ind w:right="-108"/>
              <w:jc w:val="both"/>
              <w:rPr>
                <w:bCs/>
                <w:i/>
                <w:szCs w:val="22"/>
              </w:rPr>
            </w:pPr>
            <w:r w:rsidRPr="00DF0D90">
              <w:rPr>
                <w:bCs/>
                <w:i/>
                <w:szCs w:val="22"/>
              </w:rPr>
              <w:t>Дурвалумаб**</w:t>
            </w:r>
          </w:p>
        </w:tc>
        <w:tc>
          <w:tcPr>
            <w:tcW w:w="5245" w:type="dxa"/>
          </w:tcPr>
          <w:p w14:paraId="7FB1A5F6" w14:textId="4326415D" w:rsidR="00C17782" w:rsidRPr="00DF0D90" w:rsidRDefault="00C17782" w:rsidP="00E250EC">
            <w:pPr>
              <w:tabs>
                <w:tab w:val="left" w:pos="284"/>
                <w:tab w:val="left" w:pos="426"/>
                <w:tab w:val="left" w:pos="709"/>
                <w:tab w:val="left" w:pos="851"/>
              </w:tabs>
              <w:autoSpaceDE w:val="0"/>
              <w:autoSpaceDN w:val="0"/>
              <w:adjustRightInd w:val="0"/>
              <w:spacing w:before="100" w:beforeAutospacing="1" w:after="100" w:afterAutospacing="1"/>
              <w:jc w:val="both"/>
              <w:rPr>
                <w:bCs/>
                <w:szCs w:val="22"/>
              </w:rPr>
            </w:pPr>
            <w:r w:rsidRPr="00DF0D90">
              <w:rPr>
                <w:color w:val="000000" w:themeColor="text1"/>
              </w:rPr>
              <w:t xml:space="preserve">1500 мг в/в </w:t>
            </w:r>
            <w:r w:rsidRPr="00DF0D90">
              <w:rPr>
                <w:iCs/>
                <w:color w:val="000000" w:themeColor="text1"/>
              </w:rPr>
              <w:t>1 раз в 4 недели длительно [129]</w:t>
            </w:r>
          </w:p>
        </w:tc>
      </w:tr>
      <w:tr w:rsidR="00314A2B" w:rsidRPr="00DF0D90" w14:paraId="776859B2" w14:textId="77777777" w:rsidTr="002A397A">
        <w:trPr>
          <w:trHeight w:val="79"/>
        </w:trPr>
        <w:tc>
          <w:tcPr>
            <w:tcW w:w="2122" w:type="dxa"/>
          </w:tcPr>
          <w:p w14:paraId="6343CC41" w14:textId="77777777" w:rsidR="00314A2B" w:rsidRPr="00DF0D90" w:rsidRDefault="00314A2B" w:rsidP="00E250EC">
            <w:pPr>
              <w:tabs>
                <w:tab w:val="left" w:pos="284"/>
                <w:tab w:val="left" w:pos="426"/>
                <w:tab w:val="left" w:pos="709"/>
                <w:tab w:val="left" w:pos="851"/>
              </w:tabs>
              <w:autoSpaceDE w:val="0"/>
              <w:autoSpaceDN w:val="0"/>
              <w:adjustRightInd w:val="0"/>
              <w:spacing w:before="100" w:beforeAutospacing="1" w:after="100" w:afterAutospacing="1"/>
              <w:ind w:right="-117"/>
              <w:jc w:val="both"/>
            </w:pPr>
            <w:r w:rsidRPr="00DF0D90">
              <w:rPr>
                <w:szCs w:val="22"/>
              </w:rPr>
              <w:t>Полихимиотерапия</w:t>
            </w:r>
          </w:p>
        </w:tc>
        <w:tc>
          <w:tcPr>
            <w:tcW w:w="2097" w:type="dxa"/>
          </w:tcPr>
          <w:p w14:paraId="3AFFC9EE" w14:textId="77777777" w:rsidR="00314A2B" w:rsidRPr="00DF0D90" w:rsidRDefault="00314A2B" w:rsidP="00E250EC">
            <w:pPr>
              <w:tabs>
                <w:tab w:val="left" w:pos="284"/>
                <w:tab w:val="left" w:pos="426"/>
                <w:tab w:val="left" w:pos="709"/>
                <w:tab w:val="left" w:pos="851"/>
              </w:tabs>
              <w:autoSpaceDE w:val="0"/>
              <w:autoSpaceDN w:val="0"/>
              <w:adjustRightInd w:val="0"/>
              <w:spacing w:before="100" w:beforeAutospacing="1" w:after="100" w:afterAutospacing="1"/>
              <w:jc w:val="both"/>
              <w:rPr>
                <w:i/>
                <w:szCs w:val="22"/>
              </w:rPr>
            </w:pPr>
            <w:r w:rsidRPr="00DF0D90">
              <w:rPr>
                <w:i/>
                <w:szCs w:val="22"/>
              </w:rPr>
              <w:t>#Гемцитабин**</w:t>
            </w:r>
          </w:p>
          <w:p w14:paraId="1D123B4B" w14:textId="5F796172" w:rsidR="00163E66" w:rsidRPr="00DF0D90" w:rsidRDefault="00163E66" w:rsidP="00E250EC">
            <w:pPr>
              <w:tabs>
                <w:tab w:val="left" w:pos="284"/>
                <w:tab w:val="left" w:pos="426"/>
                <w:tab w:val="left" w:pos="709"/>
                <w:tab w:val="left" w:pos="851"/>
              </w:tabs>
              <w:autoSpaceDE w:val="0"/>
              <w:autoSpaceDN w:val="0"/>
              <w:adjustRightInd w:val="0"/>
              <w:spacing w:before="100" w:beforeAutospacing="1" w:after="100" w:afterAutospacing="1"/>
              <w:jc w:val="both"/>
              <w:rPr>
                <w:i/>
              </w:rPr>
            </w:pPr>
            <w:r w:rsidRPr="00DF0D90">
              <w:rPr>
                <w:i/>
                <w:szCs w:val="22"/>
              </w:rPr>
              <w:t>+</w:t>
            </w:r>
          </w:p>
          <w:p w14:paraId="01F29405" w14:textId="77777777" w:rsidR="00314A2B" w:rsidRPr="00DF0D90" w:rsidRDefault="00314A2B" w:rsidP="00E250EC">
            <w:pPr>
              <w:tabs>
                <w:tab w:val="left" w:pos="284"/>
                <w:tab w:val="left" w:pos="426"/>
                <w:tab w:val="left" w:pos="709"/>
                <w:tab w:val="left" w:pos="851"/>
              </w:tabs>
              <w:autoSpaceDE w:val="0"/>
              <w:autoSpaceDN w:val="0"/>
              <w:adjustRightInd w:val="0"/>
              <w:spacing w:before="100" w:beforeAutospacing="1" w:after="100" w:afterAutospacing="1"/>
              <w:jc w:val="both"/>
              <w:rPr>
                <w:i/>
              </w:rPr>
            </w:pPr>
            <w:r w:rsidRPr="00DF0D90">
              <w:rPr>
                <w:i/>
                <w:szCs w:val="22"/>
              </w:rPr>
              <w:t>#Цисплатин</w:t>
            </w:r>
            <w:r w:rsidRPr="00DF0D90">
              <w:rPr>
                <w:szCs w:val="22"/>
              </w:rPr>
              <w:t>**</w:t>
            </w:r>
          </w:p>
        </w:tc>
        <w:tc>
          <w:tcPr>
            <w:tcW w:w="5245" w:type="dxa"/>
          </w:tcPr>
          <w:p w14:paraId="1AED8451" w14:textId="277A4CEC" w:rsidR="00163E66" w:rsidRPr="00DF0D90" w:rsidRDefault="00314A2B" w:rsidP="00E250EC">
            <w:pPr>
              <w:tabs>
                <w:tab w:val="left" w:pos="284"/>
                <w:tab w:val="left" w:pos="426"/>
                <w:tab w:val="left" w:pos="709"/>
                <w:tab w:val="left" w:pos="851"/>
              </w:tabs>
              <w:autoSpaceDE w:val="0"/>
              <w:autoSpaceDN w:val="0"/>
              <w:adjustRightInd w:val="0"/>
              <w:spacing w:before="100" w:beforeAutospacing="1" w:after="100" w:afterAutospacing="1"/>
              <w:jc w:val="both"/>
              <w:rPr>
                <w:szCs w:val="22"/>
              </w:rPr>
            </w:pPr>
            <w:r w:rsidRPr="00DF0D90">
              <w:rPr>
                <w:szCs w:val="22"/>
              </w:rPr>
              <w:t>1000 мг/м</w:t>
            </w:r>
            <w:r w:rsidRPr="00DF0D90">
              <w:rPr>
                <w:szCs w:val="22"/>
                <w:vertAlign w:val="superscript"/>
              </w:rPr>
              <w:t>2</w:t>
            </w:r>
            <w:r w:rsidRPr="00DF0D90">
              <w:rPr>
                <w:szCs w:val="22"/>
              </w:rPr>
              <w:t xml:space="preserve"> </w:t>
            </w:r>
            <w:r w:rsidR="00AE64CA" w:rsidRPr="00DF0D90">
              <w:rPr>
                <w:szCs w:val="22"/>
              </w:rPr>
              <w:t xml:space="preserve">в/в </w:t>
            </w:r>
            <w:r w:rsidRPr="00DF0D90">
              <w:rPr>
                <w:szCs w:val="22"/>
              </w:rPr>
              <w:t>в 1-й и 8-й дни</w:t>
            </w:r>
          </w:p>
          <w:p w14:paraId="63AAD6E0" w14:textId="77777777" w:rsidR="00163E66" w:rsidRPr="00DF0D90" w:rsidRDefault="00163E66" w:rsidP="00E250EC">
            <w:pPr>
              <w:tabs>
                <w:tab w:val="left" w:pos="284"/>
                <w:tab w:val="left" w:pos="426"/>
                <w:tab w:val="left" w:pos="709"/>
                <w:tab w:val="left" w:pos="851"/>
              </w:tabs>
              <w:autoSpaceDE w:val="0"/>
              <w:autoSpaceDN w:val="0"/>
              <w:adjustRightInd w:val="0"/>
              <w:spacing w:before="100" w:beforeAutospacing="1" w:after="100" w:afterAutospacing="1"/>
              <w:jc w:val="both"/>
              <w:rPr>
                <w:szCs w:val="22"/>
              </w:rPr>
            </w:pPr>
          </w:p>
          <w:p w14:paraId="52252E26" w14:textId="6A9399E5" w:rsidR="00314A2B" w:rsidRPr="00DF0D90" w:rsidRDefault="00163E66" w:rsidP="00AE64CA">
            <w:pPr>
              <w:tabs>
                <w:tab w:val="left" w:pos="284"/>
                <w:tab w:val="left" w:pos="426"/>
                <w:tab w:val="left" w:pos="709"/>
                <w:tab w:val="left" w:pos="851"/>
              </w:tabs>
              <w:autoSpaceDE w:val="0"/>
              <w:autoSpaceDN w:val="0"/>
              <w:adjustRightInd w:val="0"/>
              <w:spacing w:before="100" w:beforeAutospacing="1" w:after="100" w:afterAutospacing="1"/>
              <w:jc w:val="both"/>
            </w:pPr>
            <w:r w:rsidRPr="00DF0D90">
              <w:rPr>
                <w:szCs w:val="22"/>
              </w:rPr>
              <w:t>25</w:t>
            </w:r>
            <w:r w:rsidR="00AE64CA" w:rsidRPr="00DF0D90">
              <w:rPr>
                <w:szCs w:val="22"/>
              </w:rPr>
              <w:t xml:space="preserve"> </w:t>
            </w:r>
            <w:r w:rsidRPr="00DF0D90">
              <w:rPr>
                <w:szCs w:val="22"/>
              </w:rPr>
              <w:t>мг/м</w:t>
            </w:r>
            <w:r w:rsidRPr="00DF0D90">
              <w:rPr>
                <w:szCs w:val="22"/>
                <w:vertAlign w:val="superscript"/>
              </w:rPr>
              <w:t>2</w:t>
            </w:r>
            <w:r w:rsidRPr="00DF0D90">
              <w:rPr>
                <w:szCs w:val="22"/>
              </w:rPr>
              <w:t xml:space="preserve"> </w:t>
            </w:r>
            <w:r w:rsidR="00AE64CA" w:rsidRPr="00DF0D90">
              <w:rPr>
                <w:szCs w:val="22"/>
              </w:rPr>
              <w:t xml:space="preserve">в/в </w:t>
            </w:r>
            <w:r w:rsidRPr="00DF0D90">
              <w:rPr>
                <w:szCs w:val="22"/>
              </w:rPr>
              <w:t>в 1-й и 8-й дни каждые 3 нед.</w:t>
            </w:r>
            <w:r w:rsidRPr="00DF0D90">
              <w:rPr>
                <w:szCs w:val="22"/>
              </w:rPr>
              <w:fldChar w:fldCharType="begin" w:fldLock="1"/>
            </w:r>
            <w:r w:rsidRPr="00DF0D90">
              <w:rPr>
                <w:szCs w:val="22"/>
              </w:rPr>
              <w:instrText>ADDIN CSL_CITATION {"citationItems":[{"id":"ITEM-1","itemData":{"DOI":"10.1002/1097-0142(20000815)89:4&lt;750::AID-CNCR5&gt;3.0.CO;2-R","ISSN":"0008543X","PMID":"10951336","abstract":"BACKGROUND. The objective of this study was to evaluate the efficacy and toxicity of gemcitabine in patients with chemotherapy-naive, advanced hepatocellular carcinoma (HCC). METHODS. Twenty-eight patients with unresectable and nonembolizable HCC who had received no prior systemic chemotherapy and with objectively measurable tumors, adequate liver and renal function, and adequate bone marrow reserve were enrolled on this study. The therapy consisted of gemcitabine 1250 mg/m2 intravenously over 30 minutes weekly in an outpatient clinic. One course of treatment included three consecutive weekly infusions of gemcitabine and a 1-week rest. Treatment courses were repeated every 4 weeks for a total of six courses unless there was prior evidence of progressive disease. RESULTS. All 28 patients were evaluable for response and toxicity. A partial response (PR) was achieved in 5 patients, for an overall response rate of 17.8% (95% confidence interval, 2.7-32.9%). Seven patients had stable disease (25%), and 16 patients had disease progression (57.2%). The median survival for all 28 patients was 18.7 weeks, and, for those patients who achieved a PR, it was 34.7 weeks. The median time to progression was 12 weeks. National Cancer Institute Common Toxicity Criteria Grade 3-4 toxicity consisted primarily of leucopenia (10.7%), anemia (14.3%), thrombocytopenia (10.7%), and hepatotoxicity (14.3%). The spectrum of both hematologic and nonhematologic toxicity was mild, with thrombocytopenia constituting the dose-limiting side effect. CONCLUSIONS. Gemcitabine shows marginal antitumor activity in patients with advanced HCC, although the response duration is short-lived. Gemcitabine seems to be particularly promising because of its low toxicity profile. Further studies in combination with other active agents are warranted. (C) 2000 American Cancer Society.","author":[{"dropping-particle":"","family":"Yang","given":"Tai Shen","non-dropping-particle":"","parse-names":false,"suffix":""},{"dropping-particle":"","family":"Lin","given":"Yung Chang","non-dropping-particle":"","parse-names":false,"suffix":""},{"dropping-particle":"","family":"Chen","given":"Jen Shi","non-dropping-particle":"","parse-names":false,"suffix":""},{"dropping-particle":"","family":"Wang","given":"Hung Ming","non-dropping-particle":"","parse-names":false,"suffix":""},{"dropping-particle":"","family":"Wang","given":"Chen Hsu","non-dropping-particle":"","parse-names":false,"suffix":""}],"container-title":"Cancer","id":"ITEM-1","issue":"4","issued":{"date-parts":[["2000","8","15"]]},"page":"750-756","title":"Phase II study of gemcitabine in patients with advanced hepatocellular carcinoma","type":"article-journal","volume":"89"},"uris":["http://www.mendeley.com/documents/?uuid=15eacce8-3083-3fb6-853a-bf7e6eade5ba"]}],"mendeley":{"formattedCitation":"[121]","plainTextFormattedCitation":"[121]","previouslyFormattedCitation":"[121]"},"properties":{"noteIndex":0},"schema":"https://github.com/citation-style-language/schema/raw/master/csl-citation.json"}</w:instrText>
            </w:r>
            <w:r w:rsidRPr="00DF0D90">
              <w:rPr>
                <w:szCs w:val="22"/>
              </w:rPr>
              <w:fldChar w:fldCharType="separate"/>
            </w:r>
            <w:r w:rsidRPr="00DF0D90">
              <w:rPr>
                <w:noProof/>
                <w:szCs w:val="22"/>
              </w:rPr>
              <w:t>[121]</w:t>
            </w:r>
            <w:r w:rsidRPr="00DF0D90">
              <w:rPr>
                <w:szCs w:val="22"/>
              </w:rPr>
              <w:fldChar w:fldCharType="end"/>
            </w:r>
          </w:p>
        </w:tc>
      </w:tr>
      <w:tr w:rsidR="00314A2B" w:rsidRPr="00DF0D90" w14:paraId="6D0E6CC8" w14:textId="77777777" w:rsidTr="002A397A">
        <w:trPr>
          <w:trHeight w:val="79"/>
        </w:trPr>
        <w:tc>
          <w:tcPr>
            <w:tcW w:w="2122" w:type="dxa"/>
          </w:tcPr>
          <w:p w14:paraId="2C371C4E" w14:textId="77777777" w:rsidR="00314A2B" w:rsidRPr="00DF0D90" w:rsidRDefault="00314A2B" w:rsidP="00E250EC">
            <w:pPr>
              <w:tabs>
                <w:tab w:val="left" w:pos="284"/>
                <w:tab w:val="left" w:pos="426"/>
                <w:tab w:val="left" w:pos="709"/>
                <w:tab w:val="left" w:pos="851"/>
              </w:tabs>
              <w:autoSpaceDE w:val="0"/>
              <w:autoSpaceDN w:val="0"/>
              <w:adjustRightInd w:val="0"/>
              <w:spacing w:before="100" w:beforeAutospacing="1" w:after="100" w:afterAutospacing="1"/>
              <w:jc w:val="both"/>
            </w:pPr>
          </w:p>
        </w:tc>
        <w:tc>
          <w:tcPr>
            <w:tcW w:w="2097" w:type="dxa"/>
          </w:tcPr>
          <w:p w14:paraId="5945AE28" w14:textId="77777777" w:rsidR="00314A2B" w:rsidRPr="00DF0D90" w:rsidRDefault="00314A2B" w:rsidP="00E250EC">
            <w:pPr>
              <w:tabs>
                <w:tab w:val="left" w:pos="284"/>
                <w:tab w:val="left" w:pos="327"/>
                <w:tab w:val="left" w:pos="426"/>
                <w:tab w:val="left" w:pos="709"/>
                <w:tab w:val="left" w:pos="851"/>
              </w:tabs>
              <w:autoSpaceDE w:val="0"/>
              <w:autoSpaceDN w:val="0"/>
              <w:adjustRightInd w:val="0"/>
              <w:spacing w:before="100" w:beforeAutospacing="1" w:after="100" w:afterAutospacing="1"/>
              <w:jc w:val="both"/>
              <w:rPr>
                <w:i/>
                <w:szCs w:val="22"/>
              </w:rPr>
            </w:pPr>
            <w:r w:rsidRPr="00DF0D90">
              <w:rPr>
                <w:i/>
                <w:szCs w:val="22"/>
              </w:rPr>
              <w:t>#Гемцитабин**</w:t>
            </w:r>
          </w:p>
          <w:p w14:paraId="4E9C2AE7" w14:textId="5826CD9D" w:rsidR="00163E66" w:rsidRPr="00DF0D90" w:rsidRDefault="00163E66" w:rsidP="00E250EC">
            <w:pPr>
              <w:tabs>
                <w:tab w:val="left" w:pos="284"/>
                <w:tab w:val="left" w:pos="327"/>
                <w:tab w:val="left" w:pos="426"/>
                <w:tab w:val="left" w:pos="709"/>
                <w:tab w:val="left" w:pos="851"/>
              </w:tabs>
              <w:autoSpaceDE w:val="0"/>
              <w:autoSpaceDN w:val="0"/>
              <w:adjustRightInd w:val="0"/>
              <w:spacing w:before="100" w:beforeAutospacing="1" w:after="100" w:afterAutospacing="1"/>
              <w:jc w:val="both"/>
              <w:rPr>
                <w:i/>
              </w:rPr>
            </w:pPr>
            <w:r w:rsidRPr="00DF0D90">
              <w:rPr>
                <w:i/>
                <w:szCs w:val="22"/>
              </w:rPr>
              <w:t>+</w:t>
            </w:r>
          </w:p>
          <w:p w14:paraId="61371BDB" w14:textId="77777777" w:rsidR="00314A2B" w:rsidRPr="00DF0D90" w:rsidRDefault="00314A2B" w:rsidP="00E250EC">
            <w:pPr>
              <w:tabs>
                <w:tab w:val="left" w:pos="284"/>
                <w:tab w:val="left" w:pos="327"/>
                <w:tab w:val="left" w:pos="426"/>
                <w:tab w:val="left" w:pos="709"/>
                <w:tab w:val="left" w:pos="851"/>
              </w:tabs>
              <w:autoSpaceDE w:val="0"/>
              <w:autoSpaceDN w:val="0"/>
              <w:adjustRightInd w:val="0"/>
              <w:spacing w:before="100" w:beforeAutospacing="1" w:after="100" w:afterAutospacing="1"/>
              <w:jc w:val="both"/>
              <w:rPr>
                <w:i/>
              </w:rPr>
            </w:pPr>
            <w:r w:rsidRPr="00DF0D90">
              <w:rPr>
                <w:i/>
                <w:szCs w:val="22"/>
              </w:rPr>
              <w:t>#Оксалиплатин**</w:t>
            </w:r>
          </w:p>
        </w:tc>
        <w:tc>
          <w:tcPr>
            <w:tcW w:w="5245" w:type="dxa"/>
          </w:tcPr>
          <w:p w14:paraId="6B0C4836" w14:textId="3008A4C5" w:rsidR="00163E66" w:rsidRPr="00DF0D90" w:rsidRDefault="00314A2B" w:rsidP="00E250EC">
            <w:pPr>
              <w:tabs>
                <w:tab w:val="left" w:pos="284"/>
                <w:tab w:val="left" w:pos="327"/>
                <w:tab w:val="left" w:pos="426"/>
                <w:tab w:val="left" w:pos="709"/>
                <w:tab w:val="left" w:pos="851"/>
              </w:tabs>
              <w:autoSpaceDE w:val="0"/>
              <w:autoSpaceDN w:val="0"/>
              <w:adjustRightInd w:val="0"/>
              <w:spacing w:before="100" w:beforeAutospacing="1" w:after="100" w:afterAutospacing="1"/>
              <w:jc w:val="both"/>
              <w:rPr>
                <w:szCs w:val="22"/>
              </w:rPr>
            </w:pPr>
            <w:r w:rsidRPr="00DF0D90">
              <w:rPr>
                <w:szCs w:val="22"/>
              </w:rPr>
              <w:t>1000 мг/м</w:t>
            </w:r>
            <w:r w:rsidRPr="00DF0D90">
              <w:rPr>
                <w:szCs w:val="22"/>
                <w:vertAlign w:val="superscript"/>
              </w:rPr>
              <w:t>2</w:t>
            </w:r>
            <w:r w:rsidRPr="00DF0D90">
              <w:rPr>
                <w:szCs w:val="22"/>
              </w:rPr>
              <w:t xml:space="preserve"> </w:t>
            </w:r>
            <w:r w:rsidR="00AE64CA" w:rsidRPr="00DF0D90">
              <w:rPr>
                <w:szCs w:val="22"/>
              </w:rPr>
              <w:t>в/</w:t>
            </w:r>
            <w:r w:rsidR="001D7B82" w:rsidRPr="00DF0D90">
              <w:rPr>
                <w:szCs w:val="22"/>
              </w:rPr>
              <w:t>в в</w:t>
            </w:r>
            <w:r w:rsidR="00AE64CA" w:rsidRPr="00DF0D90">
              <w:rPr>
                <w:szCs w:val="22"/>
              </w:rPr>
              <w:t xml:space="preserve"> </w:t>
            </w:r>
            <w:r w:rsidRPr="00DF0D90">
              <w:rPr>
                <w:szCs w:val="22"/>
              </w:rPr>
              <w:t>1-й и 15-й дни</w:t>
            </w:r>
          </w:p>
          <w:p w14:paraId="694E49FC" w14:textId="77777777" w:rsidR="00163E66" w:rsidRPr="00DF0D90" w:rsidRDefault="00163E66" w:rsidP="00E250EC">
            <w:pPr>
              <w:tabs>
                <w:tab w:val="left" w:pos="284"/>
                <w:tab w:val="left" w:pos="327"/>
                <w:tab w:val="left" w:pos="426"/>
                <w:tab w:val="left" w:pos="709"/>
                <w:tab w:val="left" w:pos="851"/>
              </w:tabs>
              <w:autoSpaceDE w:val="0"/>
              <w:autoSpaceDN w:val="0"/>
              <w:adjustRightInd w:val="0"/>
              <w:spacing w:before="100" w:beforeAutospacing="1" w:after="100" w:afterAutospacing="1"/>
              <w:jc w:val="both"/>
              <w:rPr>
                <w:szCs w:val="22"/>
              </w:rPr>
            </w:pPr>
          </w:p>
          <w:p w14:paraId="1A348CE8" w14:textId="27817DCF" w:rsidR="00314A2B" w:rsidRPr="00DF0D90" w:rsidRDefault="00AE64CA" w:rsidP="00E250EC">
            <w:pPr>
              <w:tabs>
                <w:tab w:val="left" w:pos="284"/>
                <w:tab w:val="left" w:pos="327"/>
                <w:tab w:val="left" w:pos="426"/>
                <w:tab w:val="left" w:pos="709"/>
                <w:tab w:val="left" w:pos="851"/>
              </w:tabs>
              <w:autoSpaceDE w:val="0"/>
              <w:autoSpaceDN w:val="0"/>
              <w:adjustRightInd w:val="0"/>
              <w:spacing w:before="100" w:beforeAutospacing="1" w:after="100" w:afterAutospacing="1"/>
              <w:jc w:val="both"/>
            </w:pPr>
            <w:r w:rsidRPr="00DF0D90">
              <w:rPr>
                <w:szCs w:val="22"/>
              </w:rPr>
              <w:t>100</w:t>
            </w:r>
            <w:r w:rsidR="00163E66" w:rsidRPr="00DF0D90">
              <w:rPr>
                <w:szCs w:val="22"/>
              </w:rPr>
              <w:t xml:space="preserve"> мг/м</w:t>
            </w:r>
            <w:r w:rsidR="00163E66" w:rsidRPr="00DF0D90">
              <w:rPr>
                <w:szCs w:val="22"/>
                <w:vertAlign w:val="superscript"/>
              </w:rPr>
              <w:t>2</w:t>
            </w:r>
            <w:r w:rsidR="00163E66" w:rsidRPr="00DF0D90">
              <w:rPr>
                <w:szCs w:val="22"/>
              </w:rPr>
              <w:t xml:space="preserve"> </w:t>
            </w:r>
            <w:r w:rsidRPr="00DF0D90">
              <w:rPr>
                <w:szCs w:val="22"/>
              </w:rPr>
              <w:t xml:space="preserve">в/в </w:t>
            </w:r>
            <w:r w:rsidR="00163E66" w:rsidRPr="00DF0D90">
              <w:rPr>
                <w:szCs w:val="22"/>
              </w:rPr>
              <w:t>1-й и 15-й дни каждые 4 нед.</w:t>
            </w:r>
            <w:r w:rsidR="00163E66" w:rsidRPr="00DF0D90">
              <w:rPr>
                <w:szCs w:val="22"/>
              </w:rPr>
              <w:fldChar w:fldCharType="begin" w:fldLock="1"/>
            </w:r>
            <w:r w:rsidR="00163E66" w:rsidRPr="00DF0D90">
              <w:rPr>
                <w:szCs w:val="22"/>
              </w:rPr>
              <w:instrText>ADDIN CSL_CITATION {"citationItems":[{"id":"ITEM-1","itemData":{"DOI":"10.1016/j.jhep.2012.09.006","ISSN":"01688278","PMID":"22989572","abstract":"Background &amp; Aims: The current standard treatment for advanced hepatocellular carcinoma (HCC) is sorafenib. This drug is effective but generally does not induce tumor shrinkage and other treatment options are still needed. Methods: This retrospective multicenter study included all consecutive patients with advanced HCC treated with gemcitabine and oxaliplatin (GEMOX) between 2001 and 2010. Survival curves were drawn with the Kaplan-Meier method and compared with the log-rank test. Univariate and multivariate analyses were used to evaluate prognostic factors. Results: Two hundred four consecutive patients were treated with GEMOX (median age, 60 years; men, 86%; underlying cirrhosis, 76%). Grade 3-4 toxicity was observed in 44% of the patients (thrombocytopenia 24%, neutropenia 18%, diarrhea 14%, neurotoxicity 12%) leading to treatment discontinuation in 16% of the cases. The overall response and disease control rates were 22% (95% CI, 16-27) and 66% (95% CI, 59-72), respectively. No clinical or biological factors were associated with the treatment response, and 8.5% of the patients were subsequently eligible for curative-intent therapies after downstaging. Median PFS, TTP, and OS were 4.5 (95% CI, 4-6), 8 (95% CI, 6-11), and 11 months (95% CI, 9-14), respectively. In multivariate analysis, gender (p = 0.03), underlying cirrhosis (p = 0.01), CLIP score (p = 0.03), and response to GEMOX (p &lt;0.0001) were independently associated with OS. Conclusions: This large study confirms that GEMOX is effective with manageable toxicity in patients with advanced HCC. Tumor responses permitted potentially curative treatment that was not initially feasible in a significant proportion of patients. © 2012 European Association for the Study of the Liver. Published by Elsevier B.V. All rights reserved.","author":[{"dropping-particle":"","family":"Zaanan","given":"Aziz","non-dropping-particle":"","parse-names":false,"suffix":""},{"dropping-particle":"","family":"Williet","given":"Nicolas","non-dropping-particle":"","parse-names":false,"suffix":""},{"dropping-particle":"","family":"Hebbar","given":"Mohamed","non-dropping-particle":"","parse-names":false,"suffix":""},{"dropping-particle":"","family":"Dabakuyo","given":"Tienhan Sandrine","non-dropping-particle":"","parse-names":false,"suffix":""},{"dropping-particle":"","family":"Fartoux","given":"Laetitia","non-dropping-particle":"","parse-names":false,"suffix":""},{"dropping-particle":"","family":"Mansourbakht","given":"Touraj","non-dropping-particle":"","parse-names":false,"suffix":""},{"dropping-particle":"","family":"Dubreuil","given":"Olivier","non-dropping-particle":"","parse-names":false,"suffix":""},{"dropping-particle":"","family":"Rosmorduc","given":"Olivier","non-dropping-particle":"","parse-names":false,"suffix":""},{"dropping-particle":"","family":"Cattan","given":"Stéphane","non-dropping-particle":"","parse-names":false,"suffix":""},{"dropping-particle":"","family":"Bonnetain","given":"Franck","non-dropping-particle":"","parse-names":false,"suffix":""},{"dropping-particle":"","family":"Boige","given":"Valérie","non-dropping-particle":"","parse-names":false,"suffix":""},{"dropping-particle":"","family":"Taïeb","given":"Julien","non-dropping-particle":"","parse-names":false,"suffix":""}],"container-title":"Journal of Hepatology","id":"ITEM-1","issue":"1","issued":{"date-parts":[["2013","1"]]},"page":"81-88","title":"Gemcitabine plus oxaliplatin in advanced hepatocellular carcinoma: A large multicenter AGEO study","type":"article-journal","volume":"58"},"uris":["http://www.mendeley.com/documents/?uuid=9a54bf5c-15fb-3ac8-93b6-683be69854b2"]}],"mendeley":{"formattedCitation":"[99]","plainTextFormattedCitation":"[99]","previouslyFormattedCitation":"[99]"},"properties":{"noteIndex":0},"schema":"https://github.com/citation-style-language/schema/raw/master/csl-citation.json"}</w:instrText>
            </w:r>
            <w:r w:rsidR="00163E66" w:rsidRPr="00DF0D90">
              <w:rPr>
                <w:szCs w:val="22"/>
              </w:rPr>
              <w:fldChar w:fldCharType="separate"/>
            </w:r>
            <w:r w:rsidR="00163E66" w:rsidRPr="00DF0D90">
              <w:rPr>
                <w:noProof/>
                <w:szCs w:val="22"/>
              </w:rPr>
              <w:t>[99]</w:t>
            </w:r>
            <w:r w:rsidR="00163E66" w:rsidRPr="00DF0D90">
              <w:rPr>
                <w:szCs w:val="22"/>
              </w:rPr>
              <w:fldChar w:fldCharType="end"/>
            </w:r>
          </w:p>
        </w:tc>
      </w:tr>
    </w:tbl>
    <w:p w14:paraId="7E69425B" w14:textId="77777777" w:rsidR="00314A2B" w:rsidRPr="00DF0D90" w:rsidRDefault="00314A2B" w:rsidP="006D217F">
      <w:pPr>
        <w:spacing w:after="120" w:line="360" w:lineRule="auto"/>
        <w:ind w:firstLine="567"/>
        <w:jc w:val="both"/>
      </w:pPr>
    </w:p>
    <w:p w14:paraId="272389C8" w14:textId="77777777" w:rsidR="00630BAC" w:rsidRPr="00DF0D90" w:rsidRDefault="00630BAC" w:rsidP="00801019">
      <w:pPr>
        <w:pStyle w:val="42"/>
      </w:pPr>
      <w:r w:rsidRPr="00DF0D90">
        <w:br w:type="page"/>
      </w:r>
      <w:bookmarkStart w:id="146" w:name="__RefHeading___doc_b"/>
      <w:bookmarkStart w:id="147" w:name="_Toc98349305"/>
      <w:bookmarkStart w:id="148" w:name="_Toc83294003"/>
      <w:r w:rsidRPr="00DF0D90">
        <w:lastRenderedPageBreak/>
        <w:t xml:space="preserve">Приложение Б. Алгоритмы </w:t>
      </w:r>
      <w:bookmarkEnd w:id="146"/>
      <w:r w:rsidRPr="00DF0D90">
        <w:t>действий врача</w:t>
      </w:r>
      <w:bookmarkEnd w:id="147"/>
      <w:bookmarkEnd w:id="148"/>
    </w:p>
    <w:p w14:paraId="196986B7" w14:textId="7797F455" w:rsidR="00630BAC" w:rsidRPr="00DF0D90" w:rsidRDefault="00E57FDE" w:rsidP="00E250EC">
      <w:pPr>
        <w:spacing w:after="120" w:line="360" w:lineRule="auto"/>
        <w:jc w:val="both"/>
      </w:pPr>
      <w:r w:rsidRPr="00DF0D90">
        <w:rPr>
          <w:noProof/>
        </w:rPr>
        <w:drawing>
          <wp:inline distT="0" distB="0" distL="0" distR="0" wp14:anchorId="2CF71A32" wp14:editId="44C29341">
            <wp:extent cx="6505575" cy="65436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
                      <a:extLst>
                        <a:ext uri="{28A0092B-C50C-407E-A947-70E740481C1C}">
                          <a14:useLocalDpi xmlns:a14="http://schemas.microsoft.com/office/drawing/2010/main" val="0"/>
                        </a:ext>
                      </a:extLst>
                    </a:blip>
                    <a:srcRect t="10622" b="18239"/>
                    <a:stretch>
                      <a:fillRect/>
                    </a:stretch>
                  </pic:blipFill>
                  <pic:spPr bwMode="auto">
                    <a:xfrm>
                      <a:off x="0" y="0"/>
                      <a:ext cx="6505575" cy="6543675"/>
                    </a:xfrm>
                    <a:prstGeom prst="rect">
                      <a:avLst/>
                    </a:prstGeom>
                    <a:noFill/>
                    <a:ln>
                      <a:noFill/>
                    </a:ln>
                  </pic:spPr>
                </pic:pic>
              </a:graphicData>
            </a:graphic>
          </wp:inline>
        </w:drawing>
      </w:r>
    </w:p>
    <w:p w14:paraId="0061D1C8" w14:textId="77777777" w:rsidR="00630BAC" w:rsidRPr="00DF0D90" w:rsidRDefault="00630BAC" w:rsidP="006D217F">
      <w:pPr>
        <w:spacing w:after="120" w:line="360" w:lineRule="auto"/>
        <w:ind w:firstLine="567"/>
        <w:jc w:val="both"/>
      </w:pPr>
      <w:r w:rsidRPr="00DF0D90">
        <w:rPr>
          <w:b/>
        </w:rPr>
        <w:t>Рис. Б1.</w:t>
      </w:r>
      <w:r w:rsidRPr="00DF0D90">
        <w:t xml:space="preserve"> Диагностический алгоритм при выявлении узловых образований </w:t>
      </w:r>
      <w:r w:rsidRPr="00DF0D90">
        <w:br/>
        <w:t xml:space="preserve">в </w:t>
      </w:r>
      <w:proofErr w:type="spellStart"/>
      <w:r w:rsidRPr="00DF0D90">
        <w:t>цирротической</w:t>
      </w:r>
      <w:proofErr w:type="spellEnd"/>
      <w:r w:rsidRPr="00DF0D90">
        <w:t xml:space="preserve"> печени у пациентов группы риска развития гепатоцеллюлярного рака</w:t>
      </w:r>
    </w:p>
    <w:p w14:paraId="43B99B15" w14:textId="77777777" w:rsidR="006951B9" w:rsidRPr="00DF0D90" w:rsidRDefault="006951B9" w:rsidP="00F32797">
      <w:bookmarkStart w:id="149" w:name="__RefHeading___doc_v"/>
    </w:p>
    <w:p w14:paraId="427F3BAA" w14:textId="77777777" w:rsidR="006951B9" w:rsidRPr="00DF0D90" w:rsidRDefault="006951B9" w:rsidP="00F32797"/>
    <w:p w14:paraId="2620B21D" w14:textId="77777777" w:rsidR="00630BAC" w:rsidRPr="00DF0D90" w:rsidRDefault="00E250EC">
      <w:r w:rsidRPr="00DF0D90">
        <w:br w:type="page"/>
      </w:r>
      <w:bookmarkStart w:id="150" w:name="_Toc98349306"/>
      <w:bookmarkStart w:id="151" w:name="_Toc83294004"/>
      <w:r w:rsidR="00630BAC" w:rsidRPr="00DF0D90">
        <w:rPr>
          <w:b/>
          <w:bCs/>
        </w:rPr>
        <w:lastRenderedPageBreak/>
        <w:t>Приложение В.</w:t>
      </w:r>
      <w:r w:rsidR="00630BAC" w:rsidRPr="00DF0D90">
        <w:t xml:space="preserve"> </w:t>
      </w:r>
      <w:r w:rsidR="00630BAC" w:rsidRPr="00DF0D90">
        <w:rPr>
          <w:b/>
          <w:bCs/>
        </w:rPr>
        <w:t>Информация для пациент</w:t>
      </w:r>
      <w:bookmarkEnd w:id="149"/>
      <w:r w:rsidR="00630BAC" w:rsidRPr="00DF0D90">
        <w:rPr>
          <w:b/>
          <w:bCs/>
        </w:rPr>
        <w:t>а</w:t>
      </w:r>
      <w:bookmarkEnd w:id="150"/>
      <w:bookmarkEnd w:id="151"/>
    </w:p>
    <w:p w14:paraId="24024FB4" w14:textId="77777777" w:rsidR="00A55011" w:rsidRPr="00DF0D90" w:rsidRDefault="00A55011" w:rsidP="006D217F">
      <w:pPr>
        <w:spacing w:after="120" w:line="360" w:lineRule="auto"/>
        <w:ind w:firstLine="567"/>
        <w:jc w:val="both"/>
        <w:rPr>
          <w:b/>
          <w:bCs/>
        </w:rPr>
      </w:pPr>
      <w:bookmarkStart w:id="152" w:name="_Toc530391469"/>
    </w:p>
    <w:p w14:paraId="4F5DD5B4" w14:textId="1789FED8" w:rsidR="00630BAC" w:rsidRPr="00DF0D90" w:rsidRDefault="00630BAC" w:rsidP="006D217F">
      <w:pPr>
        <w:spacing w:after="120" w:line="360" w:lineRule="auto"/>
        <w:ind w:firstLine="567"/>
        <w:jc w:val="both"/>
        <w:rPr>
          <w:b/>
          <w:bCs/>
        </w:rPr>
      </w:pPr>
      <w:r w:rsidRPr="00DF0D90">
        <w:rPr>
          <w:b/>
          <w:bCs/>
        </w:rPr>
        <w:t>Рекомендации по первичной профилактике гепатоцеллюлярного рака</w:t>
      </w:r>
      <w:bookmarkEnd w:id="152"/>
    </w:p>
    <w:p w14:paraId="5DDC4C0E" w14:textId="77777777" w:rsidR="00630BAC" w:rsidRPr="00DF0D90" w:rsidRDefault="00630BAC" w:rsidP="006D217F">
      <w:pPr>
        <w:spacing w:after="120" w:line="360" w:lineRule="auto"/>
        <w:ind w:firstLine="567"/>
        <w:jc w:val="both"/>
      </w:pPr>
      <w:r w:rsidRPr="00DF0D90">
        <w:t>Главным фактором риска развития рака печени является хроническое воспаление печени вследствие воздействия различных повреждающих факторов: хронических вирусных гепатитов В и С, употребления алкоголя и других токсических веществ, нарушения углеводного и жирового обмена и цирроза различной этиологии. Сочетание нескольких факторов риска увеличивает вероятность развития первичного рака печени. Вакцинация от вирусного гепатита В – важнейшее профилактическое мероприятие. Эффективная противовирусная терапия хронического гепатита С достоверно уменьшает вероятность развития рака печени.</w:t>
      </w:r>
    </w:p>
    <w:p w14:paraId="675EA3FA" w14:textId="77777777" w:rsidR="00630BAC" w:rsidRPr="00DF0D90" w:rsidRDefault="00630BAC" w:rsidP="006D217F">
      <w:pPr>
        <w:spacing w:after="120" w:line="360" w:lineRule="auto"/>
        <w:ind w:firstLine="567"/>
        <w:jc w:val="both"/>
        <w:rPr>
          <w:b/>
          <w:bCs/>
        </w:rPr>
      </w:pPr>
      <w:bookmarkStart w:id="153" w:name="_Toc530391470"/>
      <w:r w:rsidRPr="00DF0D90">
        <w:rPr>
          <w:b/>
          <w:bCs/>
        </w:rPr>
        <w:t>Рекомендации при осложнениях химиотерапии</w:t>
      </w:r>
      <w:bookmarkEnd w:id="153"/>
    </w:p>
    <w:p w14:paraId="34C5A76E" w14:textId="77777777" w:rsidR="00630BAC" w:rsidRPr="00DF0D90" w:rsidRDefault="00630BAC" w:rsidP="006D217F">
      <w:pPr>
        <w:spacing w:after="120" w:line="360" w:lineRule="auto"/>
        <w:ind w:firstLine="567"/>
        <w:jc w:val="both"/>
        <w:rPr>
          <w:b/>
          <w:bCs/>
        </w:rPr>
      </w:pPr>
      <w:r w:rsidRPr="00DF0D90">
        <w:rPr>
          <w:b/>
          <w:bCs/>
        </w:rPr>
        <w:t>При осложнениях химиотерапии необходимо связаться с врачом-онкологом (химиотерапевтом).</w:t>
      </w:r>
    </w:p>
    <w:p w14:paraId="1DB4F93C" w14:textId="77777777" w:rsidR="00630BAC" w:rsidRPr="00DF0D90" w:rsidRDefault="00630BAC" w:rsidP="00E250EC">
      <w:pPr>
        <w:spacing w:line="360" w:lineRule="auto"/>
        <w:ind w:firstLine="567"/>
        <w:jc w:val="both"/>
      </w:pPr>
      <w:r w:rsidRPr="00DF0D90">
        <w:t xml:space="preserve">1. </w:t>
      </w:r>
      <w:r w:rsidRPr="00DF0D90">
        <w:rPr>
          <w:bCs/>
        </w:rPr>
        <w:t>При повышении температуры тела до +38°</w:t>
      </w:r>
      <w:r w:rsidRPr="00DF0D90">
        <w:rPr>
          <w:bCs/>
          <w:lang w:val="en-US"/>
        </w:rPr>
        <w:t>C</w:t>
      </w:r>
      <w:r w:rsidRPr="00DF0D90">
        <w:rPr>
          <w:bCs/>
        </w:rPr>
        <w:t xml:space="preserve"> и выше – </w:t>
      </w:r>
      <w:r w:rsidRPr="00DF0D90">
        <w:t xml:space="preserve">начать прием антибиотиков в соответствии с назначением </w:t>
      </w:r>
      <w:r w:rsidRPr="00DF0D90">
        <w:rPr>
          <w:u w:val="single"/>
        </w:rPr>
        <w:t>врача-онколога</w:t>
      </w:r>
      <w:r w:rsidRPr="00DF0D90">
        <w:t>.</w:t>
      </w:r>
    </w:p>
    <w:p w14:paraId="42CA3735" w14:textId="77777777" w:rsidR="00630BAC" w:rsidRPr="00DF0D90" w:rsidRDefault="00630BAC" w:rsidP="00E250EC">
      <w:pPr>
        <w:spacing w:line="360" w:lineRule="auto"/>
        <w:ind w:firstLine="567"/>
        <w:jc w:val="both"/>
        <w:rPr>
          <w:bCs/>
        </w:rPr>
      </w:pPr>
      <w:r w:rsidRPr="00DF0D90">
        <w:t>2.</w:t>
      </w:r>
      <w:r w:rsidRPr="00DF0D90">
        <w:rPr>
          <w:bCs/>
        </w:rPr>
        <w:t>При стоматите:</w:t>
      </w:r>
    </w:p>
    <w:p w14:paraId="62B4BFDF" w14:textId="77777777" w:rsidR="00630BAC" w:rsidRPr="00DF0D90" w:rsidRDefault="00630BAC" w:rsidP="003B3F1C">
      <w:pPr>
        <w:pStyle w:val="af3"/>
        <w:numPr>
          <w:ilvl w:val="0"/>
          <w:numId w:val="8"/>
        </w:numPr>
        <w:tabs>
          <w:tab w:val="clear" w:pos="1429"/>
          <w:tab w:val="left" w:pos="1418"/>
        </w:tabs>
        <w:autoSpaceDE w:val="0"/>
        <w:autoSpaceDN w:val="0"/>
        <w:spacing w:after="0" w:line="360" w:lineRule="auto"/>
        <w:ind w:left="567" w:right="3" w:firstLine="567"/>
        <w:jc w:val="both"/>
      </w:pPr>
      <w:r w:rsidRPr="00DF0D90">
        <w:t>механически, термически щадящая диета;</w:t>
      </w:r>
    </w:p>
    <w:p w14:paraId="4B31C320" w14:textId="77777777" w:rsidR="00630BAC" w:rsidRPr="00DF0D90" w:rsidRDefault="00630BAC" w:rsidP="003B3F1C">
      <w:pPr>
        <w:pStyle w:val="af3"/>
        <w:numPr>
          <w:ilvl w:val="0"/>
          <w:numId w:val="8"/>
        </w:numPr>
        <w:tabs>
          <w:tab w:val="clear" w:pos="1429"/>
          <w:tab w:val="left" w:pos="1418"/>
        </w:tabs>
        <w:autoSpaceDE w:val="0"/>
        <w:autoSpaceDN w:val="0"/>
        <w:spacing w:after="0" w:line="360" w:lineRule="auto"/>
        <w:ind w:left="567" w:right="3" w:firstLine="567"/>
        <w:jc w:val="both"/>
      </w:pPr>
      <w:r w:rsidRPr="00DF0D90">
        <w:t>частое (каждый час) полоскание рта отварами ромашки, шалфея, коры дуба, смазывание рта облепиховым (персиковым) маслом;</w:t>
      </w:r>
    </w:p>
    <w:p w14:paraId="4F1778CB" w14:textId="77777777" w:rsidR="00630BAC" w:rsidRPr="00DF0D90" w:rsidRDefault="00630BAC" w:rsidP="003B3F1C">
      <w:pPr>
        <w:numPr>
          <w:ilvl w:val="0"/>
          <w:numId w:val="8"/>
        </w:numPr>
        <w:suppressAutoHyphens/>
        <w:spacing w:line="360" w:lineRule="auto"/>
        <w:ind w:left="567" w:firstLine="567"/>
        <w:jc w:val="both"/>
        <w:rPr>
          <w:b/>
          <w:bCs/>
        </w:rPr>
      </w:pPr>
      <w:r w:rsidRPr="00DF0D90">
        <w:t xml:space="preserve">обработка полости рта </w:t>
      </w:r>
      <w:r w:rsidRPr="00DF0D90">
        <w:rPr>
          <w:u w:val="single"/>
        </w:rPr>
        <w:t>по рекомендации врача-онколога</w:t>
      </w:r>
      <w:r w:rsidRPr="00DF0D90">
        <w:t>.</w:t>
      </w:r>
    </w:p>
    <w:p w14:paraId="5281D93D" w14:textId="77777777" w:rsidR="00630BAC" w:rsidRPr="00DF0D90" w:rsidRDefault="00630BAC" w:rsidP="00E250EC">
      <w:pPr>
        <w:suppressAutoHyphens/>
        <w:spacing w:line="360" w:lineRule="auto"/>
        <w:ind w:firstLine="567"/>
        <w:jc w:val="both"/>
        <w:rPr>
          <w:bCs/>
        </w:rPr>
      </w:pPr>
      <w:r w:rsidRPr="00DF0D90">
        <w:rPr>
          <w:bCs/>
        </w:rPr>
        <w:t>3. При диарее:</w:t>
      </w:r>
    </w:p>
    <w:p w14:paraId="5A77DCAA" w14:textId="77777777" w:rsidR="00630BAC" w:rsidRPr="00DF0D90" w:rsidRDefault="00630BAC" w:rsidP="003B3F1C">
      <w:pPr>
        <w:pStyle w:val="af3"/>
        <w:numPr>
          <w:ilvl w:val="0"/>
          <w:numId w:val="9"/>
        </w:numPr>
        <w:tabs>
          <w:tab w:val="clear" w:pos="1429"/>
          <w:tab w:val="left" w:pos="1418"/>
        </w:tabs>
        <w:autoSpaceDE w:val="0"/>
        <w:autoSpaceDN w:val="0"/>
        <w:spacing w:after="0" w:line="360" w:lineRule="auto"/>
        <w:ind w:left="567" w:right="3" w:firstLine="567"/>
        <w:jc w:val="both"/>
      </w:pPr>
      <w:r w:rsidRPr="00DF0D90">
        <w:t>исключить жирное, острое, копченое, сладкое, молочное, клетчатку. Можно нежирное мясо, мучное, кисломолочное, рисовый отвар. Обильное питье;</w:t>
      </w:r>
    </w:p>
    <w:p w14:paraId="435947FD" w14:textId="77777777" w:rsidR="00630BAC" w:rsidRPr="00DF0D90" w:rsidRDefault="00630BAC" w:rsidP="003B3F1C">
      <w:pPr>
        <w:numPr>
          <w:ilvl w:val="0"/>
          <w:numId w:val="9"/>
        </w:numPr>
        <w:suppressAutoHyphens/>
        <w:spacing w:line="360" w:lineRule="auto"/>
        <w:ind w:left="567" w:firstLine="567"/>
        <w:jc w:val="both"/>
      </w:pPr>
      <w:r w:rsidRPr="00DF0D90">
        <w:t xml:space="preserve">принимать лекарственные препараты </w:t>
      </w:r>
      <w:r w:rsidRPr="00DF0D90">
        <w:rPr>
          <w:u w:val="single"/>
        </w:rPr>
        <w:t>в соответствии с назначением врача-онколога.</w:t>
      </w:r>
    </w:p>
    <w:p w14:paraId="532B93C5" w14:textId="77777777" w:rsidR="00630BAC" w:rsidRPr="00DF0D90" w:rsidRDefault="00630BAC" w:rsidP="00E250EC">
      <w:pPr>
        <w:spacing w:line="360" w:lineRule="auto"/>
        <w:ind w:firstLine="567"/>
        <w:jc w:val="both"/>
        <w:rPr>
          <w:u w:val="single"/>
        </w:rPr>
      </w:pPr>
      <w:r w:rsidRPr="00DF0D90">
        <w:rPr>
          <w:bCs/>
        </w:rPr>
        <w:t>4. При тошноте</w:t>
      </w:r>
      <w:r w:rsidRPr="00DF0D90">
        <w:t xml:space="preserve"> принимать лекарственные препараты </w:t>
      </w:r>
      <w:r w:rsidRPr="00DF0D90">
        <w:rPr>
          <w:u w:val="single"/>
        </w:rPr>
        <w:t>в соответствии с назначением врача-онколога.</w:t>
      </w:r>
      <w:bookmarkStart w:id="154" w:name="_Toc530391471"/>
    </w:p>
    <w:p w14:paraId="49D0C4C2" w14:textId="77777777" w:rsidR="00630BAC" w:rsidRPr="00DF0D90" w:rsidRDefault="00630BAC" w:rsidP="003B3F1C">
      <w:pPr>
        <w:spacing w:line="360" w:lineRule="auto"/>
        <w:ind w:firstLine="567"/>
        <w:rPr>
          <w:b/>
          <w:bCs/>
        </w:rPr>
      </w:pPr>
      <w:r w:rsidRPr="00DF0D90">
        <w:t>5. При развитии специфических для непрерывной таргетной терапии побочных эффектов – артериальной гипертензии, появлении трещин на коже рук и ног, многократной диарее, выраженной слабости – следует прекратить прием препарата и незамедлительно связаться с лечащим врачом.</w:t>
      </w:r>
      <w:r w:rsidRPr="00DF0D90">
        <w:br w:type="page"/>
      </w:r>
      <w:r w:rsidRPr="00DF0D90">
        <w:rPr>
          <w:b/>
          <w:bCs/>
        </w:rPr>
        <w:lastRenderedPageBreak/>
        <w:t>Информация для пациента, получающего терапию моноклональными антителами – блокаторами CTLA4 и/или PD1</w:t>
      </w:r>
      <w:bookmarkEnd w:id="154"/>
      <w:r w:rsidR="00EB053F" w:rsidRPr="00DF0D90">
        <w:rPr>
          <w:b/>
          <w:bCs/>
        </w:rPr>
        <w:t>/</w:t>
      </w:r>
      <w:r w:rsidR="00EB053F" w:rsidRPr="00DF0D90">
        <w:rPr>
          <w:b/>
          <w:bCs/>
          <w:lang w:val="en-US"/>
        </w:rPr>
        <w:t>PD</w:t>
      </w:r>
      <w:r w:rsidR="00EB053F" w:rsidRPr="00DF0D90">
        <w:rPr>
          <w:b/>
          <w:bCs/>
        </w:rPr>
        <w:t>-</w:t>
      </w:r>
      <w:r w:rsidR="00EB053F" w:rsidRPr="00DF0D90">
        <w:rPr>
          <w:b/>
          <w:bCs/>
          <w:lang w:val="en-US"/>
        </w:rPr>
        <w:t>L</w:t>
      </w:r>
      <w:r w:rsidR="00EB053F" w:rsidRPr="00DF0D90">
        <w:rPr>
          <w:b/>
          <w:bCs/>
        </w:rPr>
        <w:t>1</w:t>
      </w:r>
    </w:p>
    <w:p w14:paraId="6919184C" w14:textId="77777777" w:rsidR="00630BAC" w:rsidRPr="00DF0D90" w:rsidRDefault="00630BAC" w:rsidP="006D217F">
      <w:pPr>
        <w:spacing w:after="120" w:line="360" w:lineRule="auto"/>
        <w:ind w:firstLine="567"/>
        <w:jc w:val="both"/>
      </w:pPr>
      <w:r w:rsidRPr="00DF0D90">
        <w:t xml:space="preserve">Своевременное взаимодействие с вашим лечащим врачом и медицинской̆ сестрой по поводу состояния вашего здоровья – важная составляющая вашей помощи </w:t>
      </w:r>
      <w:proofErr w:type="spellStart"/>
      <w:r w:rsidRPr="00DF0D90">
        <w:t>медицинскои</w:t>
      </w:r>
      <w:proofErr w:type="spellEnd"/>
      <w:r w:rsidRPr="00DF0D90">
        <w:t xml:space="preserve">̆ команде в осуществлении настолько полной защиты вас в процессе лечения, насколько это возможно. </w:t>
      </w:r>
    </w:p>
    <w:p w14:paraId="02C602F1" w14:textId="77777777" w:rsidR="00630BAC" w:rsidRPr="00DF0D90" w:rsidRDefault="00630BAC" w:rsidP="006D217F">
      <w:pPr>
        <w:spacing w:after="120" w:line="360" w:lineRule="auto"/>
        <w:ind w:firstLine="567"/>
        <w:jc w:val="both"/>
      </w:pPr>
      <w:r w:rsidRPr="00DF0D90">
        <w:t xml:space="preserve">Очень важно, чтобы любые симптомы (побочные явления), связанные с лечением блокаторами CTLA4 и/или PD1, были выявлены и устранены при первом их появлении, это поможет предотвратить их переход в более тяжелые формы. </w:t>
      </w:r>
    </w:p>
    <w:p w14:paraId="016B772D" w14:textId="77777777" w:rsidR="00630BAC" w:rsidRPr="00DF0D90" w:rsidRDefault="00630BAC" w:rsidP="006D217F">
      <w:pPr>
        <w:spacing w:after="120" w:line="360" w:lineRule="auto"/>
        <w:ind w:firstLine="567"/>
        <w:jc w:val="both"/>
      </w:pPr>
      <w:r w:rsidRPr="00DF0D90">
        <w:t>Блокаторы CTLA4 и/или МКА-блокаторы PD1</w:t>
      </w:r>
      <w:r w:rsidR="00EB053F" w:rsidRPr="00DF0D90">
        <w:t>/</w:t>
      </w:r>
      <w:r w:rsidR="00EB053F" w:rsidRPr="00DF0D90">
        <w:rPr>
          <w:lang w:val="en-US"/>
        </w:rPr>
        <w:t>PD</w:t>
      </w:r>
      <w:r w:rsidR="00EB053F" w:rsidRPr="00DF0D90">
        <w:t>-</w:t>
      </w:r>
      <w:r w:rsidR="00EB053F" w:rsidRPr="00DF0D90">
        <w:rPr>
          <w:lang w:val="en-US"/>
        </w:rPr>
        <w:t>L</w:t>
      </w:r>
      <w:r w:rsidR="00EB053F" w:rsidRPr="00DF0D90">
        <w:t>1</w:t>
      </w:r>
      <w:r w:rsidRPr="00DF0D90">
        <w:t xml:space="preserve"> разработаны, чтобы помочь иммунной системе вашего организма бороться с опухолевым процессом. Наиболее частые побочные эффекты, с которыми вы можете столкнуться в процессе лечения, являются результатом </w:t>
      </w:r>
      <w:proofErr w:type="spellStart"/>
      <w:r w:rsidRPr="00DF0D90">
        <w:t>высокои</w:t>
      </w:r>
      <w:proofErr w:type="spellEnd"/>
      <w:r w:rsidRPr="00DF0D90">
        <w:t xml:space="preserve">̆ активности </w:t>
      </w:r>
      <w:proofErr w:type="spellStart"/>
      <w:r w:rsidRPr="00DF0D90">
        <w:t>иммуннои</w:t>
      </w:r>
      <w:proofErr w:type="spellEnd"/>
      <w:r w:rsidRPr="00DF0D90">
        <w:t xml:space="preserve">̆ системы. Такие побочные эффекты называются связанными с </w:t>
      </w:r>
      <w:proofErr w:type="spellStart"/>
      <w:r w:rsidRPr="00DF0D90">
        <w:t>иммуннои</w:t>
      </w:r>
      <w:proofErr w:type="spellEnd"/>
      <w:r w:rsidRPr="00DF0D90">
        <w:t xml:space="preserve">̆ </w:t>
      </w:r>
      <w:proofErr w:type="spellStart"/>
      <w:r w:rsidRPr="00DF0D90">
        <w:t>системои</w:t>
      </w:r>
      <w:proofErr w:type="spellEnd"/>
      <w:r w:rsidRPr="00DF0D90">
        <w:t xml:space="preserve">̆ и отличаются от побочных эффектов, которые вы можете наблюдать при других видах лечения злокачественных </w:t>
      </w:r>
      <w:proofErr w:type="spellStart"/>
      <w:r w:rsidRPr="00DF0D90">
        <w:t>опухолеи</w:t>
      </w:r>
      <w:proofErr w:type="spellEnd"/>
      <w:r w:rsidRPr="00DF0D90">
        <w:t>̆.</w:t>
      </w:r>
    </w:p>
    <w:p w14:paraId="12C79F7E" w14:textId="77777777" w:rsidR="00630BAC" w:rsidRPr="00DF0D90" w:rsidRDefault="00630BAC" w:rsidP="006D217F">
      <w:pPr>
        <w:spacing w:after="120" w:line="360" w:lineRule="auto"/>
        <w:ind w:firstLine="567"/>
        <w:jc w:val="both"/>
      </w:pPr>
      <w:r w:rsidRPr="00DF0D90">
        <w:t xml:space="preserve">Побочные явления, которые могут появиться у вас, обычно возникают в первые </w:t>
      </w:r>
      <w:r w:rsidRPr="00DF0D90">
        <w:br/>
        <w:t>12 нед</w:t>
      </w:r>
      <w:r w:rsidR="003D2F3E" w:rsidRPr="00DF0D90">
        <w:t>ель</w:t>
      </w:r>
      <w:r w:rsidRPr="00DF0D90">
        <w:t xml:space="preserve"> лечения, но могут появиться и позже.</w:t>
      </w:r>
    </w:p>
    <w:p w14:paraId="0F3E5A58" w14:textId="77777777" w:rsidR="00630BAC" w:rsidRPr="00DF0D90" w:rsidRDefault="00630BAC" w:rsidP="006D217F">
      <w:pPr>
        <w:spacing w:after="120" w:line="360" w:lineRule="auto"/>
        <w:ind w:firstLine="567"/>
        <w:jc w:val="both"/>
      </w:pPr>
      <w:r w:rsidRPr="00DF0D90">
        <w:t>Очень важно, чтобы вы информировали вашего лечащего врача о любых симптомах, которые появились у вас во время лечения блокаторами CTLA4 и/или PD1</w:t>
      </w:r>
      <w:r w:rsidR="00EB053F" w:rsidRPr="00DF0D90">
        <w:t>/</w:t>
      </w:r>
      <w:r w:rsidR="00EB053F" w:rsidRPr="00DF0D90">
        <w:rPr>
          <w:lang w:val="en-US"/>
        </w:rPr>
        <w:t>PD</w:t>
      </w:r>
      <w:r w:rsidR="00EB053F" w:rsidRPr="00DF0D90">
        <w:t>-</w:t>
      </w:r>
      <w:r w:rsidR="00EB053F" w:rsidRPr="00DF0D90">
        <w:rPr>
          <w:lang w:val="en-US"/>
        </w:rPr>
        <w:t>L</w:t>
      </w:r>
      <w:r w:rsidR="00EB053F" w:rsidRPr="00DF0D90">
        <w:t>1</w:t>
      </w:r>
      <w:r w:rsidRPr="00DF0D90">
        <w:t>. Распознавание побочных эффектов на ранних стадиях дает возможность вашему лечащему врачу сразу же начать соответствующую терапию и предотвратить переход побочных явлений в более тяжелые формы.</w:t>
      </w:r>
    </w:p>
    <w:p w14:paraId="661CA3CF" w14:textId="77777777" w:rsidR="00630BAC" w:rsidRPr="00DF0D90" w:rsidRDefault="00630BAC" w:rsidP="006D217F">
      <w:pPr>
        <w:autoSpaceDE w:val="0"/>
        <w:autoSpaceDN w:val="0"/>
        <w:adjustRightInd w:val="0"/>
        <w:spacing w:after="120" w:line="360" w:lineRule="auto"/>
        <w:ind w:firstLine="567"/>
        <w:jc w:val="both"/>
        <w:rPr>
          <w:b/>
          <w:bCs/>
        </w:rPr>
      </w:pPr>
      <w:r w:rsidRPr="00DF0D90">
        <w:rPr>
          <w:b/>
          <w:bCs/>
        </w:rPr>
        <w:t>Если после лечения блокаторами</w:t>
      </w:r>
      <w:r w:rsidR="0053644B" w:rsidRPr="00DF0D90">
        <w:rPr>
          <w:b/>
          <w:bCs/>
        </w:rPr>
        <w:t xml:space="preserve"> </w:t>
      </w:r>
      <w:r w:rsidRPr="00DF0D90">
        <w:rPr>
          <w:b/>
          <w:bCs/>
          <w:lang w:val="en-US"/>
        </w:rPr>
        <w:t>CTLA</w:t>
      </w:r>
      <w:r w:rsidRPr="00DF0D90">
        <w:rPr>
          <w:b/>
          <w:bCs/>
        </w:rPr>
        <w:t>4 и/или МКА-блокаторами PD1</w:t>
      </w:r>
      <w:r w:rsidR="00EB053F" w:rsidRPr="00DF0D90">
        <w:rPr>
          <w:b/>
          <w:bCs/>
        </w:rPr>
        <w:t>/</w:t>
      </w:r>
      <w:r w:rsidR="00EB053F" w:rsidRPr="00DF0D90">
        <w:rPr>
          <w:lang w:val="en-US"/>
        </w:rPr>
        <w:t>PD</w:t>
      </w:r>
      <w:r w:rsidR="00EB053F" w:rsidRPr="00DF0D90">
        <w:t>-</w:t>
      </w:r>
      <w:r w:rsidR="00EB053F" w:rsidRPr="00DF0D90">
        <w:rPr>
          <w:lang w:val="en-US"/>
        </w:rPr>
        <w:t>L</w:t>
      </w:r>
      <w:r w:rsidR="00EB053F" w:rsidRPr="00DF0D90">
        <w:t>1</w:t>
      </w:r>
      <w:r w:rsidRPr="00DF0D90">
        <w:rPr>
          <w:b/>
          <w:bCs/>
        </w:rPr>
        <w:t xml:space="preserve"> у вас возникли какие-либо симптомы из указанных ниже, </w:t>
      </w:r>
      <w:r w:rsidR="006951B9" w:rsidRPr="00DF0D90">
        <w:rPr>
          <w:b/>
          <w:bCs/>
        </w:rPr>
        <w:t>пожалуйста</w:t>
      </w:r>
      <w:r w:rsidRPr="00DF0D90">
        <w:rPr>
          <w:b/>
          <w:bCs/>
        </w:rPr>
        <w:t>, сообщите об этом вашему лечащему врачу незамедлительно.</w:t>
      </w:r>
    </w:p>
    <w:p w14:paraId="73C53749" w14:textId="66CB5FC7" w:rsidR="00630BAC" w:rsidRPr="00DF0D90" w:rsidRDefault="00630BAC" w:rsidP="006D217F">
      <w:pPr>
        <w:autoSpaceDE w:val="0"/>
        <w:autoSpaceDN w:val="0"/>
        <w:adjustRightInd w:val="0"/>
        <w:spacing w:after="120" w:line="360" w:lineRule="auto"/>
        <w:ind w:firstLine="567"/>
        <w:jc w:val="both"/>
        <w:rPr>
          <w:iCs/>
        </w:rPr>
      </w:pPr>
      <w:r w:rsidRPr="00DF0D90">
        <w:rPr>
          <w:iCs/>
        </w:rPr>
        <w:t xml:space="preserve">Возможные побочные эффекты терапии </w:t>
      </w:r>
      <w:r w:rsidRPr="00DF0D90">
        <w:t>блокаторами</w:t>
      </w:r>
      <w:r w:rsidR="0082371E" w:rsidRPr="00DF0D90">
        <w:t xml:space="preserve"> </w:t>
      </w:r>
      <w:r w:rsidRPr="00DF0D90">
        <w:rPr>
          <w:iCs/>
        </w:rPr>
        <w:t>CTLA4 и/или PD1</w:t>
      </w:r>
      <w:r w:rsidR="00EB053F" w:rsidRPr="00DF0D90">
        <w:rPr>
          <w:iCs/>
        </w:rPr>
        <w:t>/</w:t>
      </w:r>
      <w:r w:rsidR="00EB053F" w:rsidRPr="00DF0D90">
        <w:rPr>
          <w:lang w:val="en-US"/>
        </w:rPr>
        <w:t>PD</w:t>
      </w:r>
      <w:r w:rsidR="00EB053F" w:rsidRPr="00DF0D90">
        <w:t>-</w:t>
      </w:r>
      <w:r w:rsidR="00EB053F" w:rsidRPr="00DF0D90">
        <w:rPr>
          <w:lang w:val="en-US"/>
        </w:rPr>
        <w:t>L</w:t>
      </w:r>
      <w:r w:rsidR="00EB053F" w:rsidRPr="00DF0D90">
        <w:t>1</w:t>
      </w:r>
      <w:r w:rsidRPr="00DF0D90">
        <w:rPr>
          <w:iCs/>
        </w:rPr>
        <w:t>:</w:t>
      </w:r>
    </w:p>
    <w:p w14:paraId="6FE6DDEF" w14:textId="77777777" w:rsidR="00630BAC" w:rsidRPr="00DF0D90" w:rsidRDefault="00630BAC" w:rsidP="00E250EC">
      <w:pPr>
        <w:numPr>
          <w:ilvl w:val="0"/>
          <w:numId w:val="10"/>
        </w:numPr>
        <w:autoSpaceDE w:val="0"/>
        <w:autoSpaceDN w:val="0"/>
        <w:adjustRightInd w:val="0"/>
        <w:spacing w:line="360" w:lineRule="auto"/>
        <w:ind w:left="0" w:firstLine="567"/>
        <w:jc w:val="both"/>
      </w:pPr>
      <w:r w:rsidRPr="00DF0D90">
        <w:t xml:space="preserve">увеличение числа актов дефекации (&gt;2 в день) или любая диарея в ночное время, </w:t>
      </w:r>
      <w:proofErr w:type="spellStart"/>
      <w:r w:rsidRPr="00DF0D90">
        <w:t>любои</w:t>
      </w:r>
      <w:proofErr w:type="spellEnd"/>
      <w:r w:rsidRPr="00DF0D90">
        <w:t xml:space="preserve">̆ стул со слизью и кровью; </w:t>
      </w:r>
    </w:p>
    <w:p w14:paraId="06DD01C1" w14:textId="77777777" w:rsidR="00630BAC" w:rsidRPr="00DF0D90" w:rsidRDefault="00630BAC" w:rsidP="00E250EC">
      <w:pPr>
        <w:numPr>
          <w:ilvl w:val="0"/>
          <w:numId w:val="10"/>
        </w:numPr>
        <w:autoSpaceDE w:val="0"/>
        <w:autoSpaceDN w:val="0"/>
        <w:adjustRightInd w:val="0"/>
        <w:spacing w:line="360" w:lineRule="auto"/>
        <w:ind w:left="0" w:firstLine="567"/>
        <w:jc w:val="both"/>
      </w:pPr>
      <w:r w:rsidRPr="00DF0D90">
        <w:t>боль в животе или чувство озноба, а также боль, требующая медицинского вмешательства;</w:t>
      </w:r>
    </w:p>
    <w:p w14:paraId="6798FA30" w14:textId="77777777" w:rsidR="00630BAC" w:rsidRPr="00DF0D90" w:rsidRDefault="00630BAC" w:rsidP="00E250EC">
      <w:pPr>
        <w:numPr>
          <w:ilvl w:val="0"/>
          <w:numId w:val="10"/>
        </w:numPr>
        <w:autoSpaceDE w:val="0"/>
        <w:autoSpaceDN w:val="0"/>
        <w:adjustRightInd w:val="0"/>
        <w:spacing w:line="360" w:lineRule="auto"/>
        <w:ind w:left="0" w:firstLine="567"/>
        <w:jc w:val="both"/>
      </w:pPr>
      <w:r w:rsidRPr="00DF0D90">
        <w:t>красные болезненные глаза или желтоватая окраска белков глаз, затуманенный взгляд, воспаление или припухлость глаз;</w:t>
      </w:r>
    </w:p>
    <w:p w14:paraId="72C302AA" w14:textId="77777777" w:rsidR="00630BAC" w:rsidRPr="00DF0D90" w:rsidRDefault="00630BAC" w:rsidP="00E250EC">
      <w:pPr>
        <w:numPr>
          <w:ilvl w:val="0"/>
          <w:numId w:val="10"/>
        </w:numPr>
        <w:autoSpaceDE w:val="0"/>
        <w:autoSpaceDN w:val="0"/>
        <w:adjustRightInd w:val="0"/>
        <w:spacing w:line="360" w:lineRule="auto"/>
        <w:ind w:left="0" w:firstLine="567"/>
        <w:jc w:val="both"/>
      </w:pPr>
      <w:r w:rsidRPr="00DF0D90">
        <w:lastRenderedPageBreak/>
        <w:t>желтая окраска или покраснение кожи, зудящая сыпь</w:t>
      </w:r>
      <w:r w:rsidRPr="00DF0D90">
        <w:rPr>
          <w:rFonts w:eastAsia="MS Mincho"/>
        </w:rPr>
        <w:t>, чу</w:t>
      </w:r>
      <w:r w:rsidRPr="00DF0D90">
        <w:t>вствительность кожи к солнечным лучам;</w:t>
      </w:r>
    </w:p>
    <w:p w14:paraId="3E4A1DEE" w14:textId="77777777" w:rsidR="00630BAC" w:rsidRPr="00DF0D90" w:rsidRDefault="00630BAC" w:rsidP="00E250EC">
      <w:pPr>
        <w:numPr>
          <w:ilvl w:val="0"/>
          <w:numId w:val="10"/>
        </w:numPr>
        <w:autoSpaceDE w:val="0"/>
        <w:autoSpaceDN w:val="0"/>
        <w:adjustRightInd w:val="0"/>
        <w:spacing w:line="360" w:lineRule="auto"/>
        <w:ind w:left="0" w:firstLine="567"/>
        <w:jc w:val="both"/>
      </w:pPr>
      <w:r w:rsidRPr="00DF0D90">
        <w:t>возникновение кашля или одышки;</w:t>
      </w:r>
    </w:p>
    <w:p w14:paraId="3C6B1C23" w14:textId="77777777" w:rsidR="00630BAC" w:rsidRPr="00DF0D90" w:rsidRDefault="00630BAC" w:rsidP="00E250EC">
      <w:pPr>
        <w:numPr>
          <w:ilvl w:val="0"/>
          <w:numId w:val="10"/>
        </w:numPr>
        <w:autoSpaceDE w:val="0"/>
        <w:autoSpaceDN w:val="0"/>
        <w:adjustRightInd w:val="0"/>
        <w:spacing w:line="360" w:lineRule="auto"/>
        <w:ind w:left="0" w:firstLine="567"/>
        <w:jc w:val="both"/>
      </w:pPr>
      <w:r w:rsidRPr="00DF0D90">
        <w:t>усталость или сонливость;</w:t>
      </w:r>
    </w:p>
    <w:p w14:paraId="74233B09" w14:textId="77777777" w:rsidR="00630BAC" w:rsidRPr="00DF0D90" w:rsidRDefault="00630BAC" w:rsidP="00E250EC">
      <w:pPr>
        <w:numPr>
          <w:ilvl w:val="0"/>
          <w:numId w:val="10"/>
        </w:numPr>
        <w:autoSpaceDE w:val="0"/>
        <w:autoSpaceDN w:val="0"/>
        <w:adjustRightInd w:val="0"/>
        <w:spacing w:line="360" w:lineRule="auto"/>
        <w:ind w:left="0" w:firstLine="567"/>
        <w:jc w:val="both"/>
      </w:pPr>
      <w:r w:rsidRPr="00DF0D90">
        <w:t>затрудненная концентрация внимания или спутанность сознания;</w:t>
      </w:r>
    </w:p>
    <w:p w14:paraId="069CBDB0" w14:textId="77777777" w:rsidR="00630BAC" w:rsidRPr="00DF0D90" w:rsidRDefault="00630BAC" w:rsidP="00E250EC">
      <w:pPr>
        <w:numPr>
          <w:ilvl w:val="0"/>
          <w:numId w:val="10"/>
        </w:numPr>
        <w:spacing w:line="360" w:lineRule="auto"/>
        <w:ind w:left="0" w:firstLine="567"/>
        <w:jc w:val="both"/>
      </w:pPr>
      <w:r w:rsidRPr="00DF0D90">
        <w:t>головная боль, боль в теле или в месте опухоли;</w:t>
      </w:r>
    </w:p>
    <w:p w14:paraId="4625AE54" w14:textId="77777777" w:rsidR="00630BAC" w:rsidRPr="00DF0D90" w:rsidRDefault="00630BAC" w:rsidP="00E250EC">
      <w:pPr>
        <w:numPr>
          <w:ilvl w:val="0"/>
          <w:numId w:val="10"/>
        </w:numPr>
        <w:spacing w:line="360" w:lineRule="auto"/>
        <w:ind w:left="0" w:firstLine="567"/>
        <w:jc w:val="both"/>
      </w:pPr>
      <w:r w:rsidRPr="00DF0D90">
        <w:t xml:space="preserve">лихорадка (повышение </w:t>
      </w:r>
      <w:r w:rsidRPr="00DF0D90">
        <w:rPr>
          <w:bCs/>
        </w:rPr>
        <w:t>температура тела до +38°</w:t>
      </w:r>
      <w:r w:rsidRPr="00DF0D90">
        <w:rPr>
          <w:bCs/>
          <w:lang w:val="en-US"/>
        </w:rPr>
        <w:t>C</w:t>
      </w:r>
      <w:r w:rsidRPr="00DF0D90">
        <w:rPr>
          <w:bCs/>
        </w:rPr>
        <w:t xml:space="preserve"> и выше</w:t>
      </w:r>
      <w:r w:rsidRPr="00DF0D90">
        <w:t>);</w:t>
      </w:r>
    </w:p>
    <w:p w14:paraId="2E9D987F" w14:textId="77777777" w:rsidR="00630BAC" w:rsidRPr="00DF0D90" w:rsidRDefault="00630BAC" w:rsidP="00E250EC">
      <w:pPr>
        <w:numPr>
          <w:ilvl w:val="0"/>
          <w:numId w:val="10"/>
        </w:numPr>
        <w:spacing w:line="360" w:lineRule="auto"/>
        <w:ind w:left="0" w:firstLine="567"/>
        <w:jc w:val="both"/>
      </w:pPr>
      <w:r w:rsidRPr="00DF0D90">
        <w:t>внезапное снижение или увеличение массы тела;</w:t>
      </w:r>
    </w:p>
    <w:p w14:paraId="6EEFFAA7" w14:textId="77777777" w:rsidR="00630BAC" w:rsidRPr="00DF0D90" w:rsidRDefault="00630BAC" w:rsidP="00E250EC">
      <w:pPr>
        <w:numPr>
          <w:ilvl w:val="0"/>
          <w:numId w:val="10"/>
        </w:numPr>
        <w:autoSpaceDE w:val="0"/>
        <w:autoSpaceDN w:val="0"/>
        <w:adjustRightInd w:val="0"/>
        <w:spacing w:line="360" w:lineRule="auto"/>
        <w:ind w:left="0" w:firstLine="567"/>
        <w:jc w:val="both"/>
      </w:pPr>
      <w:r w:rsidRPr="00DF0D90">
        <w:t xml:space="preserve">возникновение эректильной дисфункции или потеря интереса к </w:t>
      </w:r>
      <w:proofErr w:type="spellStart"/>
      <w:r w:rsidRPr="00DF0D90">
        <w:t>интимнои</w:t>
      </w:r>
      <w:proofErr w:type="spellEnd"/>
      <w:r w:rsidRPr="00DF0D90">
        <w:t xml:space="preserve">̆ жизни. </w:t>
      </w:r>
    </w:p>
    <w:p w14:paraId="076FD38E" w14:textId="77777777" w:rsidR="00630BAC" w:rsidRPr="00DF0D90" w:rsidRDefault="00630BAC" w:rsidP="006D217F">
      <w:pPr>
        <w:spacing w:after="120" w:line="360" w:lineRule="auto"/>
        <w:ind w:firstLine="567"/>
        <w:jc w:val="both"/>
      </w:pPr>
      <w:r w:rsidRPr="00DF0D90">
        <w:t xml:space="preserve">Пожалуйста, уделите особое внимание любым изменениям в актах дефекации. </w:t>
      </w:r>
      <w:r w:rsidR="003D2F3E" w:rsidRPr="00DF0D90">
        <w:t>Записывайте</w:t>
      </w:r>
      <w:r w:rsidRPr="00DF0D90">
        <w:t xml:space="preserve"> количество актов </w:t>
      </w:r>
      <w:proofErr w:type="spellStart"/>
      <w:r w:rsidRPr="00DF0D90">
        <w:t>каждыи</w:t>
      </w:r>
      <w:proofErr w:type="spellEnd"/>
      <w:r w:rsidRPr="00DF0D90">
        <w:t xml:space="preserve">̆ день. Если у вас диарея, </w:t>
      </w:r>
      <w:r w:rsidR="00E250EC" w:rsidRPr="00DF0D90">
        <w:t>попробуйте</w:t>
      </w:r>
      <w:r w:rsidRPr="00DF0D90">
        <w:t xml:space="preserve"> ее описать, используя один из нижеприведенных терминов, и определите уровень срочности в вашем конкретном случае:</w:t>
      </w:r>
    </w:p>
    <w:p w14:paraId="68139DDD" w14:textId="77777777" w:rsidR="00630BAC" w:rsidRPr="00DF0D90" w:rsidRDefault="00630BAC" w:rsidP="00E250EC">
      <w:pPr>
        <w:numPr>
          <w:ilvl w:val="0"/>
          <w:numId w:val="11"/>
        </w:numPr>
        <w:spacing w:line="360" w:lineRule="auto"/>
        <w:ind w:left="352" w:firstLine="567"/>
        <w:jc w:val="both"/>
      </w:pPr>
      <w:r w:rsidRPr="00DF0D90">
        <w:t xml:space="preserve">стул </w:t>
      </w:r>
      <w:proofErr w:type="spellStart"/>
      <w:r w:rsidRPr="00DF0D90">
        <w:t>неплотныи</w:t>
      </w:r>
      <w:proofErr w:type="spellEnd"/>
      <w:r w:rsidRPr="00DF0D90">
        <w:t>̆</w:t>
      </w:r>
      <w:r w:rsidRPr="00DF0D90">
        <w:rPr>
          <w:lang w:val="en-US"/>
        </w:rPr>
        <w:t>;</w:t>
      </w:r>
    </w:p>
    <w:p w14:paraId="539C18BA" w14:textId="77777777" w:rsidR="00630BAC" w:rsidRPr="00DF0D90" w:rsidRDefault="00630BAC" w:rsidP="00E250EC">
      <w:pPr>
        <w:numPr>
          <w:ilvl w:val="0"/>
          <w:numId w:val="11"/>
        </w:numPr>
        <w:spacing w:line="360" w:lineRule="auto"/>
        <w:ind w:left="352" w:firstLine="567"/>
        <w:jc w:val="both"/>
      </w:pPr>
      <w:proofErr w:type="spellStart"/>
      <w:r w:rsidRPr="00DF0D90">
        <w:t>водянистыи</w:t>
      </w:r>
      <w:proofErr w:type="spellEnd"/>
      <w:r w:rsidRPr="00DF0D90">
        <w:t>̆</w:t>
      </w:r>
      <w:r w:rsidRPr="00DF0D90">
        <w:rPr>
          <w:lang w:val="en-US"/>
        </w:rPr>
        <w:t>;</w:t>
      </w:r>
    </w:p>
    <w:p w14:paraId="266D7190" w14:textId="77777777" w:rsidR="00630BAC" w:rsidRPr="00DF0D90" w:rsidRDefault="00630BAC" w:rsidP="00E250EC">
      <w:pPr>
        <w:numPr>
          <w:ilvl w:val="0"/>
          <w:numId w:val="11"/>
        </w:numPr>
        <w:spacing w:line="360" w:lineRule="auto"/>
        <w:ind w:left="352" w:firstLine="567"/>
        <w:jc w:val="both"/>
      </w:pPr>
      <w:proofErr w:type="spellStart"/>
      <w:r w:rsidRPr="00DF0D90">
        <w:t>болезненныи</w:t>
      </w:r>
      <w:proofErr w:type="spellEnd"/>
      <w:r w:rsidRPr="00DF0D90">
        <w:t>̆</w:t>
      </w:r>
      <w:r w:rsidRPr="00DF0D90">
        <w:rPr>
          <w:lang w:val="en-US"/>
        </w:rPr>
        <w:t>;</w:t>
      </w:r>
    </w:p>
    <w:p w14:paraId="4FAA5A8F" w14:textId="77777777" w:rsidR="00630BAC" w:rsidRPr="00DF0D90" w:rsidRDefault="00630BAC" w:rsidP="00E250EC">
      <w:pPr>
        <w:numPr>
          <w:ilvl w:val="0"/>
          <w:numId w:val="11"/>
        </w:numPr>
        <w:spacing w:line="360" w:lineRule="auto"/>
        <w:ind w:left="352" w:firstLine="567"/>
        <w:jc w:val="both"/>
      </w:pPr>
      <w:proofErr w:type="spellStart"/>
      <w:r w:rsidRPr="00DF0D90">
        <w:t>кровянистыи</w:t>
      </w:r>
      <w:proofErr w:type="spellEnd"/>
      <w:r w:rsidRPr="00DF0D90">
        <w:t>̆</w:t>
      </w:r>
      <w:r w:rsidRPr="00DF0D90">
        <w:rPr>
          <w:lang w:val="en-US"/>
        </w:rPr>
        <w:t>;</w:t>
      </w:r>
    </w:p>
    <w:p w14:paraId="5560F118" w14:textId="77777777" w:rsidR="00630BAC" w:rsidRPr="00DF0D90" w:rsidRDefault="00630BAC" w:rsidP="00E250EC">
      <w:pPr>
        <w:numPr>
          <w:ilvl w:val="0"/>
          <w:numId w:val="11"/>
        </w:numPr>
        <w:spacing w:line="360" w:lineRule="auto"/>
        <w:ind w:left="352" w:firstLine="567"/>
        <w:jc w:val="both"/>
      </w:pPr>
      <w:proofErr w:type="spellStart"/>
      <w:r w:rsidRPr="00DF0D90">
        <w:t>слизистыи</w:t>
      </w:r>
      <w:proofErr w:type="spellEnd"/>
      <w:r w:rsidRPr="00DF0D90">
        <w:t>̆</w:t>
      </w:r>
      <w:r w:rsidRPr="00DF0D90">
        <w:rPr>
          <w:lang w:val="en-US"/>
        </w:rPr>
        <w:t>.</w:t>
      </w:r>
    </w:p>
    <w:p w14:paraId="030E1B0F" w14:textId="77777777" w:rsidR="00630BAC" w:rsidRPr="00DF0D90" w:rsidRDefault="00630BAC" w:rsidP="006D217F">
      <w:pPr>
        <w:spacing w:after="120" w:line="360" w:lineRule="auto"/>
        <w:ind w:firstLine="567"/>
        <w:jc w:val="both"/>
      </w:pPr>
      <w:r w:rsidRPr="00DF0D90">
        <w:t>Диарея не всегда может проявляться в виде жидкого стула. Увеличение числа актов дефекации в день даже при твердом стуле потенциально может указывать на проблему.</w:t>
      </w:r>
    </w:p>
    <w:p w14:paraId="4F30D328" w14:textId="77777777" w:rsidR="00630BAC" w:rsidRPr="00DF0D90" w:rsidRDefault="00630BAC" w:rsidP="006D217F">
      <w:pPr>
        <w:spacing w:after="120" w:line="360" w:lineRule="auto"/>
        <w:ind w:firstLine="567"/>
        <w:jc w:val="both"/>
      </w:pPr>
      <w:r w:rsidRPr="00DF0D90">
        <w:t>Важно: побочные эффекты могут возникнуть в период от 1 нед. до нескольких месяцев от начала лечения блокаторами</w:t>
      </w:r>
      <w:r w:rsidR="00E250EC" w:rsidRPr="00DF0D90">
        <w:t xml:space="preserve"> </w:t>
      </w:r>
      <w:r w:rsidRPr="00DF0D90">
        <w:t>CTLA4 и/или PD1</w:t>
      </w:r>
      <w:r w:rsidR="00EB053F" w:rsidRPr="00DF0D90">
        <w:t xml:space="preserve">/ </w:t>
      </w:r>
      <w:r w:rsidR="00EB053F" w:rsidRPr="00DF0D90">
        <w:rPr>
          <w:lang w:val="en-US"/>
        </w:rPr>
        <w:t>PD</w:t>
      </w:r>
      <w:r w:rsidR="00EB053F" w:rsidRPr="00DF0D90">
        <w:t>-</w:t>
      </w:r>
      <w:r w:rsidR="00EB053F" w:rsidRPr="00DF0D90">
        <w:rPr>
          <w:lang w:val="en-US"/>
        </w:rPr>
        <w:t>L</w:t>
      </w:r>
      <w:r w:rsidR="00EB053F" w:rsidRPr="00DF0D90">
        <w:t>1</w:t>
      </w:r>
      <w:r w:rsidRPr="00DF0D90">
        <w:t xml:space="preserve">. Если у вас возник </w:t>
      </w:r>
      <w:proofErr w:type="spellStart"/>
      <w:r w:rsidRPr="00DF0D90">
        <w:t>любои</w:t>
      </w:r>
      <w:proofErr w:type="spellEnd"/>
      <w:r w:rsidRPr="00DF0D90">
        <w:t xml:space="preserve">̆ из вышеназванных симптомов, незамедлительно сообщите об этом вашему лечащему врачу или </w:t>
      </w:r>
      <w:proofErr w:type="spellStart"/>
      <w:r w:rsidRPr="00DF0D90">
        <w:t>медицинскои</w:t>
      </w:r>
      <w:proofErr w:type="spellEnd"/>
      <w:r w:rsidRPr="00DF0D90">
        <w:t>̆ сестре.</w:t>
      </w:r>
      <w:bookmarkStart w:id="155" w:name="__RefHeading___doc_g"/>
    </w:p>
    <w:p w14:paraId="1F219507" w14:textId="77777777" w:rsidR="00630BAC" w:rsidRPr="00DF0D90" w:rsidRDefault="00630BAC" w:rsidP="006D217F">
      <w:pPr>
        <w:spacing w:after="120" w:line="360" w:lineRule="auto"/>
        <w:ind w:firstLine="567"/>
        <w:jc w:val="both"/>
      </w:pPr>
    </w:p>
    <w:p w14:paraId="665F02CF" w14:textId="77777777" w:rsidR="00630BAC" w:rsidRPr="00DF0D90" w:rsidRDefault="00630BAC" w:rsidP="006D217F">
      <w:pPr>
        <w:spacing w:after="120" w:line="360" w:lineRule="auto"/>
        <w:ind w:firstLine="567"/>
        <w:jc w:val="both"/>
      </w:pPr>
    </w:p>
    <w:p w14:paraId="65FBB429" w14:textId="77777777" w:rsidR="00630BAC" w:rsidRPr="00DF0D90" w:rsidRDefault="00630BAC" w:rsidP="006D217F">
      <w:pPr>
        <w:spacing w:after="120" w:line="360" w:lineRule="auto"/>
        <w:ind w:firstLine="567"/>
        <w:jc w:val="both"/>
      </w:pPr>
    </w:p>
    <w:p w14:paraId="043B777E" w14:textId="77777777" w:rsidR="00630BAC" w:rsidRPr="00DF0D90" w:rsidRDefault="00630BAC" w:rsidP="006D217F">
      <w:pPr>
        <w:spacing w:after="120" w:line="360" w:lineRule="auto"/>
        <w:ind w:firstLine="567"/>
        <w:jc w:val="both"/>
      </w:pPr>
    </w:p>
    <w:p w14:paraId="7863D424" w14:textId="77777777" w:rsidR="00630BAC" w:rsidRPr="00DF0D90" w:rsidRDefault="00630BAC" w:rsidP="006D217F">
      <w:pPr>
        <w:spacing w:after="120" w:line="360" w:lineRule="auto"/>
        <w:ind w:firstLine="567"/>
        <w:jc w:val="both"/>
      </w:pPr>
    </w:p>
    <w:p w14:paraId="28CE7233" w14:textId="77777777" w:rsidR="00630BAC" w:rsidRPr="00DF0D90" w:rsidRDefault="00630BAC" w:rsidP="006D217F">
      <w:pPr>
        <w:spacing w:after="120" w:line="360" w:lineRule="auto"/>
        <w:ind w:firstLine="567"/>
        <w:jc w:val="both"/>
      </w:pPr>
    </w:p>
    <w:p w14:paraId="12FFD197" w14:textId="77777777" w:rsidR="00630BAC" w:rsidRPr="00DF0D90" w:rsidRDefault="00630BAC" w:rsidP="006D217F">
      <w:pPr>
        <w:spacing w:after="120" w:line="360" w:lineRule="auto"/>
        <w:ind w:firstLine="567"/>
        <w:jc w:val="both"/>
      </w:pPr>
    </w:p>
    <w:p w14:paraId="0B0FC681" w14:textId="5C67272E" w:rsidR="0047066D" w:rsidRPr="00BB6A3E" w:rsidRDefault="0051539A" w:rsidP="0047066D">
      <w:pPr>
        <w:autoSpaceDE w:val="0"/>
        <w:autoSpaceDN w:val="0"/>
        <w:adjustRightInd w:val="0"/>
        <w:rPr>
          <w:rFonts w:eastAsia="Calibri"/>
          <w:b/>
          <w:bCs/>
        </w:rPr>
      </w:pPr>
      <w:bookmarkStart w:id="156" w:name="_Toc98349307"/>
      <w:bookmarkStart w:id="157" w:name="_Toc83294005"/>
      <w:bookmarkStart w:id="158" w:name="_Toc18427823"/>
      <w:r w:rsidRPr="00BB6A3E">
        <w:rPr>
          <w:rFonts w:eastAsia="Calibri"/>
          <w:b/>
          <w:bCs/>
        </w:rPr>
        <w:lastRenderedPageBreak/>
        <w:t>Приложение Г1-Г</w:t>
      </w:r>
      <w:r w:rsidR="0047066D" w:rsidRPr="00BB6A3E">
        <w:rPr>
          <w:rFonts w:eastAsia="Calibri"/>
          <w:b/>
          <w:bCs/>
        </w:rPr>
        <w:t>N. Шкалы оценки, вопросники и другие оценочные инструменты состояния пациента, приведенные в клинических рекомендациях</w:t>
      </w:r>
    </w:p>
    <w:p w14:paraId="04226CB3" w14:textId="77777777" w:rsidR="0047066D" w:rsidRPr="0043377B" w:rsidRDefault="0047066D" w:rsidP="00801019">
      <w:pPr>
        <w:pStyle w:val="42"/>
        <w:rPr>
          <w:lang w:val="ru-RU"/>
        </w:rPr>
      </w:pPr>
    </w:p>
    <w:p w14:paraId="0EDA7437" w14:textId="0E2031C8" w:rsidR="004F7795" w:rsidRPr="00DF0D90" w:rsidRDefault="002963BE" w:rsidP="00801019">
      <w:pPr>
        <w:pStyle w:val="42"/>
        <w:rPr>
          <w:lang w:val="ru-RU"/>
        </w:rPr>
      </w:pPr>
      <w:r w:rsidRPr="00DF0D90">
        <w:t xml:space="preserve">Приложение Г1. </w:t>
      </w:r>
    </w:p>
    <w:p w14:paraId="7B185722" w14:textId="524D7457" w:rsidR="002963BE" w:rsidRPr="00DF0D90" w:rsidRDefault="004F7795" w:rsidP="00A55011">
      <w:pPr>
        <w:pStyle w:val="42"/>
        <w:numPr>
          <w:ilvl w:val="0"/>
          <w:numId w:val="48"/>
        </w:numPr>
      </w:pPr>
      <w:r w:rsidRPr="00DF0D90">
        <w:rPr>
          <w:lang w:val="ru-RU"/>
        </w:rPr>
        <w:t xml:space="preserve"> </w:t>
      </w:r>
      <w:r w:rsidR="002963BE" w:rsidRPr="00DF0D90">
        <w:t>Шкала</w:t>
      </w:r>
      <w:r w:rsidR="007120F4" w:rsidRPr="00DF0D90">
        <w:t xml:space="preserve"> оценки функции печени по </w:t>
      </w:r>
      <w:proofErr w:type="spellStart"/>
      <w:r w:rsidR="007120F4" w:rsidRPr="00DF0D90">
        <w:t>Чалд</w:t>
      </w:r>
      <w:proofErr w:type="spellEnd"/>
      <w:r w:rsidR="007120F4" w:rsidRPr="00DF0D90">
        <w:t>-Пью</w:t>
      </w:r>
      <w:bookmarkEnd w:id="156"/>
      <w:bookmarkEnd w:id="157"/>
    </w:p>
    <w:p w14:paraId="6FD3A5EA" w14:textId="77777777" w:rsidR="007120F4" w:rsidRPr="00DF0D90" w:rsidRDefault="007120F4" w:rsidP="00E250EC">
      <w:pPr>
        <w:spacing w:after="120" w:line="360" w:lineRule="auto"/>
        <w:jc w:val="both"/>
        <w:rPr>
          <w:color w:val="000000"/>
        </w:rPr>
      </w:pPr>
      <w:r w:rsidRPr="00DF0D90">
        <w:rPr>
          <w:b/>
          <w:bCs/>
          <w:color w:val="000000"/>
        </w:rPr>
        <w:t>Название на русском языке</w:t>
      </w:r>
      <w:r w:rsidRPr="00DF0D90">
        <w:rPr>
          <w:color w:val="000000"/>
        </w:rPr>
        <w:t xml:space="preserve">: классификация тяжести цирроза печени </w:t>
      </w:r>
      <w:r w:rsidRPr="00DF0D90">
        <w:t xml:space="preserve">по </w:t>
      </w:r>
      <w:proofErr w:type="spellStart"/>
      <w:r w:rsidRPr="00DF0D90">
        <w:t>Чалд</w:t>
      </w:r>
      <w:proofErr w:type="spellEnd"/>
      <w:r w:rsidRPr="00DF0D90">
        <w:t>-Пью</w:t>
      </w:r>
    </w:p>
    <w:p w14:paraId="2590F7DF" w14:textId="77777777" w:rsidR="007120F4" w:rsidRPr="00DF0D90" w:rsidRDefault="007120F4" w:rsidP="00E250EC">
      <w:pPr>
        <w:spacing w:after="120" w:line="360" w:lineRule="auto"/>
        <w:jc w:val="both"/>
      </w:pPr>
      <w:r w:rsidRPr="00DF0D90">
        <w:rPr>
          <w:b/>
          <w:bCs/>
        </w:rPr>
        <w:t>Оригинальное</w:t>
      </w:r>
      <w:r w:rsidR="006951B9" w:rsidRPr="00DF0D90">
        <w:rPr>
          <w:b/>
          <w:bCs/>
        </w:rPr>
        <w:t xml:space="preserve"> </w:t>
      </w:r>
      <w:r w:rsidRPr="00DF0D90">
        <w:rPr>
          <w:b/>
          <w:bCs/>
        </w:rPr>
        <w:t>название</w:t>
      </w:r>
      <w:r w:rsidRPr="00DF0D90">
        <w:t xml:space="preserve">: </w:t>
      </w:r>
      <w:r w:rsidRPr="00DF0D90">
        <w:rPr>
          <w:color w:val="222222"/>
          <w:shd w:val="clear" w:color="auto" w:fill="FFFFFF"/>
          <w:lang w:val="en-US"/>
        </w:rPr>
        <w:t>Child</w:t>
      </w:r>
      <w:r w:rsidRPr="00DF0D90">
        <w:rPr>
          <w:color w:val="222222"/>
          <w:shd w:val="clear" w:color="auto" w:fill="FFFFFF"/>
        </w:rPr>
        <w:t>–</w:t>
      </w:r>
      <w:r w:rsidRPr="00DF0D90">
        <w:rPr>
          <w:color w:val="222222"/>
          <w:shd w:val="clear" w:color="auto" w:fill="FFFFFF"/>
          <w:lang w:val="en-US"/>
        </w:rPr>
        <w:t>Pugh</w:t>
      </w:r>
      <w:r w:rsidR="006951B9" w:rsidRPr="00DF0D90">
        <w:rPr>
          <w:color w:val="222222"/>
          <w:shd w:val="clear" w:color="auto" w:fill="FFFFFF"/>
        </w:rPr>
        <w:t xml:space="preserve"> </w:t>
      </w:r>
      <w:r w:rsidRPr="00DF0D90">
        <w:rPr>
          <w:color w:val="222222"/>
          <w:shd w:val="clear" w:color="auto" w:fill="FFFFFF"/>
          <w:lang w:val="en-US"/>
        </w:rPr>
        <w:t>classification</w:t>
      </w:r>
    </w:p>
    <w:p w14:paraId="4581F536" w14:textId="77777777" w:rsidR="00724742" w:rsidRPr="00DF0D90" w:rsidRDefault="007120F4" w:rsidP="00E250EC">
      <w:pPr>
        <w:spacing w:after="120" w:line="360" w:lineRule="auto"/>
        <w:jc w:val="both"/>
        <w:rPr>
          <w:b/>
          <w:bCs/>
        </w:rPr>
      </w:pPr>
      <w:r w:rsidRPr="00DF0D90">
        <w:rPr>
          <w:b/>
          <w:bCs/>
          <w:color w:val="000000"/>
        </w:rPr>
        <w:t>Источник (официальный</w:t>
      </w:r>
      <w:r w:rsidR="006951B9" w:rsidRPr="00DF0D90">
        <w:rPr>
          <w:b/>
          <w:bCs/>
          <w:color w:val="000000"/>
        </w:rPr>
        <w:t xml:space="preserve"> </w:t>
      </w:r>
      <w:r w:rsidRPr="00DF0D90">
        <w:rPr>
          <w:b/>
          <w:bCs/>
          <w:color w:val="000000"/>
        </w:rPr>
        <w:t>сайт</w:t>
      </w:r>
      <w:r w:rsidR="006951B9" w:rsidRPr="00DF0D90">
        <w:rPr>
          <w:b/>
          <w:bCs/>
          <w:color w:val="000000"/>
        </w:rPr>
        <w:t xml:space="preserve"> </w:t>
      </w:r>
      <w:r w:rsidRPr="00DF0D90">
        <w:rPr>
          <w:b/>
          <w:bCs/>
          <w:color w:val="000000"/>
        </w:rPr>
        <w:t>разработчиков, публикация</w:t>
      </w:r>
      <w:r w:rsidR="006951B9" w:rsidRPr="00DF0D90">
        <w:rPr>
          <w:b/>
          <w:bCs/>
          <w:color w:val="000000"/>
        </w:rPr>
        <w:t xml:space="preserve"> </w:t>
      </w:r>
      <w:r w:rsidRPr="00DF0D90">
        <w:rPr>
          <w:b/>
          <w:bCs/>
          <w:color w:val="000000"/>
        </w:rPr>
        <w:t>с</w:t>
      </w:r>
      <w:r w:rsidR="006951B9" w:rsidRPr="00DF0D90">
        <w:rPr>
          <w:b/>
          <w:bCs/>
          <w:color w:val="000000"/>
        </w:rPr>
        <w:t xml:space="preserve"> </w:t>
      </w:r>
      <w:r w:rsidRPr="00DF0D90">
        <w:rPr>
          <w:b/>
          <w:bCs/>
          <w:color w:val="000000"/>
        </w:rPr>
        <w:t>валидацией</w:t>
      </w:r>
      <w:r w:rsidRPr="00DF0D90">
        <w:rPr>
          <w:b/>
          <w:bCs/>
        </w:rPr>
        <w:t>):</w:t>
      </w:r>
      <w:r w:rsidR="00724742" w:rsidRPr="00DF0D90">
        <w:rPr>
          <w:b/>
          <w:bCs/>
        </w:rPr>
        <w:t xml:space="preserve"> </w:t>
      </w:r>
    </w:p>
    <w:p w14:paraId="25A8F23C" w14:textId="77777777" w:rsidR="006951B9" w:rsidRPr="00DF0D90" w:rsidRDefault="00724742" w:rsidP="00E250EC">
      <w:pPr>
        <w:numPr>
          <w:ilvl w:val="0"/>
          <w:numId w:val="38"/>
        </w:numPr>
        <w:spacing w:after="120" w:line="360" w:lineRule="auto"/>
        <w:ind w:left="0" w:firstLine="0"/>
        <w:jc w:val="both"/>
        <w:rPr>
          <w:color w:val="222222"/>
          <w:shd w:val="clear" w:color="auto" w:fill="FFFFFF"/>
          <w:lang w:val="en-US"/>
        </w:rPr>
      </w:pPr>
      <w:proofErr w:type="spellStart"/>
      <w:r w:rsidRPr="00DF0D90">
        <w:rPr>
          <w:color w:val="222222"/>
          <w:shd w:val="clear" w:color="auto" w:fill="FFFFFF"/>
          <w:lang w:val="en-US"/>
        </w:rPr>
        <w:t>Cholongitas</w:t>
      </w:r>
      <w:proofErr w:type="spellEnd"/>
      <w:r w:rsidRPr="00DF0D90">
        <w:rPr>
          <w:color w:val="222222"/>
          <w:shd w:val="clear" w:color="auto" w:fill="FFFFFF"/>
          <w:lang w:val="en-US"/>
        </w:rPr>
        <w:t xml:space="preserve"> E. et al. Systematic review: The model for end-stage liver disease - Should it replace Child-Pugh’s classification for assessing prognosis in cirrhosis? // Alimentary Pharmacology and Therapeutics. 2005. Vol. 22, № 11–12. P. 1079–1089.</w:t>
      </w:r>
      <w:r w:rsidR="00D94CA9" w:rsidRPr="00DF0D90">
        <w:rPr>
          <w:color w:val="222222"/>
          <w:shd w:val="clear" w:color="auto" w:fill="FFFFFF"/>
          <w:lang w:val="en-US"/>
        </w:rPr>
        <w:t xml:space="preserve"> </w:t>
      </w:r>
    </w:p>
    <w:p w14:paraId="5D61A490" w14:textId="77777777" w:rsidR="006951B9" w:rsidRPr="00DF0D90" w:rsidRDefault="00101EC8" w:rsidP="00E250EC">
      <w:pPr>
        <w:numPr>
          <w:ilvl w:val="0"/>
          <w:numId w:val="38"/>
        </w:numPr>
        <w:spacing w:after="120" w:line="360" w:lineRule="auto"/>
        <w:ind w:left="0" w:firstLine="0"/>
        <w:jc w:val="both"/>
        <w:rPr>
          <w:color w:val="222222"/>
          <w:shd w:val="clear" w:color="auto" w:fill="FFFFFF"/>
          <w:lang w:val="en-US"/>
        </w:rPr>
      </w:pPr>
      <w:r w:rsidRPr="00DF0D90">
        <w:rPr>
          <w:iCs/>
          <w:color w:val="222222"/>
          <w:lang w:val="en-US"/>
        </w:rPr>
        <w:t>Child C.G., Turcotte J.G. Surgery and portal hypertension // The Liver and Portal Hypertension. Philadelphia: Saunders, 1964. 50–58 p.</w:t>
      </w:r>
      <w:r w:rsidR="00D94CA9" w:rsidRPr="00DF0D90">
        <w:rPr>
          <w:color w:val="222222"/>
          <w:shd w:val="clear" w:color="auto" w:fill="FFFFFF"/>
          <w:lang w:val="en-US"/>
        </w:rPr>
        <w:t xml:space="preserve"> </w:t>
      </w:r>
    </w:p>
    <w:p w14:paraId="05F30E12" w14:textId="77777777" w:rsidR="00724742" w:rsidRPr="00DF0D90" w:rsidRDefault="00101EC8" w:rsidP="00E250EC">
      <w:pPr>
        <w:numPr>
          <w:ilvl w:val="0"/>
          <w:numId w:val="38"/>
        </w:numPr>
        <w:spacing w:after="120" w:line="360" w:lineRule="auto"/>
        <w:ind w:left="0" w:firstLine="0"/>
        <w:jc w:val="both"/>
        <w:rPr>
          <w:rStyle w:val="HTML"/>
          <w:i w:val="0"/>
          <w:iCs w:val="0"/>
          <w:color w:val="222222"/>
          <w:shd w:val="clear" w:color="auto" w:fill="FFFFFF"/>
          <w:lang w:val="en-US"/>
        </w:rPr>
      </w:pPr>
      <w:r w:rsidRPr="00DF0D90">
        <w:rPr>
          <w:iCs/>
          <w:color w:val="222222"/>
          <w:lang w:val="en-US"/>
        </w:rPr>
        <w:t xml:space="preserve">Pugh R.N.H. et al. Transection of the </w:t>
      </w:r>
      <w:proofErr w:type="spellStart"/>
      <w:r w:rsidRPr="00DF0D90">
        <w:rPr>
          <w:iCs/>
          <w:color w:val="222222"/>
          <w:lang w:val="en-US"/>
        </w:rPr>
        <w:t>oesophagus</w:t>
      </w:r>
      <w:proofErr w:type="spellEnd"/>
      <w:r w:rsidRPr="00DF0D90">
        <w:rPr>
          <w:iCs/>
          <w:color w:val="222222"/>
          <w:lang w:val="en-US"/>
        </w:rPr>
        <w:t xml:space="preserve"> for bleeding </w:t>
      </w:r>
      <w:proofErr w:type="spellStart"/>
      <w:r w:rsidRPr="00DF0D90">
        <w:rPr>
          <w:iCs/>
          <w:color w:val="222222"/>
          <w:lang w:val="en-US"/>
        </w:rPr>
        <w:t>oesophageal</w:t>
      </w:r>
      <w:proofErr w:type="spellEnd"/>
      <w:r w:rsidRPr="00DF0D90">
        <w:rPr>
          <w:iCs/>
          <w:color w:val="222222"/>
          <w:lang w:val="en-US"/>
        </w:rPr>
        <w:t xml:space="preserve"> varices // Br. J. Surg. 2005. Vol. 60, № 8. P. 646–649.</w:t>
      </w:r>
      <w:r w:rsidR="00D94CA9" w:rsidRPr="00DF0D90">
        <w:rPr>
          <w:rStyle w:val="HTML"/>
          <w:i w:val="0"/>
          <w:color w:val="222222"/>
          <w:lang w:val="en-US"/>
        </w:rPr>
        <w:t xml:space="preserve"> </w:t>
      </w:r>
    </w:p>
    <w:p w14:paraId="586F6F47" w14:textId="77777777" w:rsidR="007120F4" w:rsidRPr="00DF0D90" w:rsidRDefault="007120F4" w:rsidP="00E250EC">
      <w:pPr>
        <w:spacing w:after="120" w:line="360" w:lineRule="auto"/>
        <w:jc w:val="both"/>
      </w:pPr>
      <w:r w:rsidRPr="00DF0D90">
        <w:rPr>
          <w:b/>
          <w:bCs/>
        </w:rPr>
        <w:t>Тип:</w:t>
      </w:r>
      <w:r w:rsidRPr="00DF0D90">
        <w:t xml:space="preserve"> шкала оценки.</w:t>
      </w:r>
    </w:p>
    <w:p w14:paraId="460CCD1C" w14:textId="77777777" w:rsidR="007120F4" w:rsidRPr="00DF0D90" w:rsidRDefault="007120F4" w:rsidP="00E250EC">
      <w:pPr>
        <w:spacing w:after="120" w:line="360" w:lineRule="auto"/>
        <w:jc w:val="both"/>
      </w:pPr>
      <w:r w:rsidRPr="00DF0D90">
        <w:rPr>
          <w:b/>
          <w:bCs/>
        </w:rPr>
        <w:t>Назначение</w:t>
      </w:r>
      <w:r w:rsidRPr="00DF0D90">
        <w:t>:</w:t>
      </w:r>
      <w:r w:rsidR="006951B9" w:rsidRPr="00DF0D90">
        <w:t xml:space="preserve"> </w:t>
      </w:r>
      <w:r w:rsidRPr="00DF0D90">
        <w:t>определить</w:t>
      </w:r>
      <w:r w:rsidR="006951B9" w:rsidRPr="00DF0D90">
        <w:t xml:space="preserve"> </w:t>
      </w:r>
      <w:r w:rsidRPr="00DF0D90">
        <w:t>степень выраженности нарушения функции печени.</w:t>
      </w:r>
    </w:p>
    <w:p w14:paraId="74258E99" w14:textId="77777777" w:rsidR="007120F4" w:rsidRPr="00DF0D90" w:rsidRDefault="007120F4" w:rsidP="004371B4">
      <w:pPr>
        <w:spacing w:after="120" w:line="360" w:lineRule="auto"/>
        <w:jc w:val="both"/>
        <w:rPr>
          <w:b/>
          <w:bCs/>
        </w:rPr>
      </w:pPr>
      <w:r w:rsidRPr="00DF0D90">
        <w:rPr>
          <w:b/>
          <w:bCs/>
        </w:rPr>
        <w:t>Содержание:</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54"/>
        <w:gridCol w:w="1388"/>
        <w:gridCol w:w="2691"/>
        <w:gridCol w:w="2004"/>
      </w:tblGrid>
      <w:tr w:rsidR="002963BE" w:rsidRPr="00DF0D90" w14:paraId="568A6136" w14:textId="77777777" w:rsidTr="003B3F1C">
        <w:tc>
          <w:tcPr>
            <w:tcW w:w="3254" w:type="dxa"/>
            <w:vAlign w:val="center"/>
          </w:tcPr>
          <w:p w14:paraId="5FDC8535" w14:textId="77777777" w:rsidR="002963BE" w:rsidRPr="00DF0D90" w:rsidRDefault="002963BE" w:rsidP="00E250EC">
            <w:pPr>
              <w:contextualSpacing/>
              <w:jc w:val="both"/>
              <w:rPr>
                <w:b/>
              </w:rPr>
            </w:pPr>
            <w:r w:rsidRPr="00DF0D90">
              <w:rPr>
                <w:b/>
                <w:bCs/>
              </w:rPr>
              <w:t>Характеристика</w:t>
            </w:r>
          </w:p>
        </w:tc>
        <w:tc>
          <w:tcPr>
            <w:tcW w:w="1388" w:type="dxa"/>
            <w:vAlign w:val="center"/>
          </w:tcPr>
          <w:p w14:paraId="29EF2563" w14:textId="77777777" w:rsidR="002963BE" w:rsidRPr="00DF0D90" w:rsidRDefault="002963BE" w:rsidP="00E250EC">
            <w:pPr>
              <w:contextualSpacing/>
              <w:jc w:val="both"/>
              <w:rPr>
                <w:b/>
              </w:rPr>
            </w:pPr>
            <w:r w:rsidRPr="00DF0D90">
              <w:rPr>
                <w:b/>
                <w:bCs/>
              </w:rPr>
              <w:t>1 балл</w:t>
            </w:r>
          </w:p>
        </w:tc>
        <w:tc>
          <w:tcPr>
            <w:tcW w:w="2691" w:type="dxa"/>
            <w:vAlign w:val="center"/>
          </w:tcPr>
          <w:p w14:paraId="567A065A" w14:textId="77777777" w:rsidR="002963BE" w:rsidRPr="00DF0D90" w:rsidRDefault="002963BE" w:rsidP="00E250EC">
            <w:pPr>
              <w:contextualSpacing/>
              <w:jc w:val="both"/>
              <w:rPr>
                <w:b/>
              </w:rPr>
            </w:pPr>
            <w:r w:rsidRPr="00DF0D90">
              <w:rPr>
                <w:b/>
                <w:bCs/>
              </w:rPr>
              <w:t>2 балла</w:t>
            </w:r>
          </w:p>
        </w:tc>
        <w:tc>
          <w:tcPr>
            <w:tcW w:w="2004" w:type="dxa"/>
            <w:vAlign w:val="center"/>
          </w:tcPr>
          <w:p w14:paraId="22529E29" w14:textId="77777777" w:rsidR="002963BE" w:rsidRPr="00DF0D90" w:rsidRDefault="002963BE" w:rsidP="00E250EC">
            <w:pPr>
              <w:contextualSpacing/>
              <w:jc w:val="both"/>
              <w:rPr>
                <w:b/>
              </w:rPr>
            </w:pPr>
            <w:r w:rsidRPr="00DF0D90">
              <w:rPr>
                <w:b/>
                <w:bCs/>
              </w:rPr>
              <w:t>3 балла</w:t>
            </w:r>
          </w:p>
        </w:tc>
      </w:tr>
      <w:tr w:rsidR="002963BE" w:rsidRPr="00DF0D90" w14:paraId="0676FE74" w14:textId="77777777" w:rsidTr="003B3F1C">
        <w:trPr>
          <w:trHeight w:val="598"/>
        </w:trPr>
        <w:tc>
          <w:tcPr>
            <w:tcW w:w="3254" w:type="dxa"/>
          </w:tcPr>
          <w:p w14:paraId="15C0380D" w14:textId="77777777" w:rsidR="002963BE" w:rsidRPr="00DF0D90" w:rsidRDefault="002963BE" w:rsidP="00E250EC">
            <w:pPr>
              <w:pStyle w:val="13"/>
              <w:contextualSpacing/>
              <w:jc w:val="both"/>
              <w:rPr>
                <w:rFonts w:ascii="Times New Roman" w:hAnsi="Times New Roman"/>
                <w:sz w:val="24"/>
                <w:szCs w:val="24"/>
                <w:lang w:eastAsia="en-US"/>
              </w:rPr>
            </w:pPr>
            <w:r w:rsidRPr="00DF0D90">
              <w:rPr>
                <w:rFonts w:ascii="Times New Roman" w:hAnsi="Times New Roman"/>
                <w:sz w:val="24"/>
                <w:szCs w:val="24"/>
                <w:lang w:eastAsia="en-US"/>
              </w:rPr>
              <w:t>Энцефалопатия, степень</w:t>
            </w:r>
          </w:p>
        </w:tc>
        <w:tc>
          <w:tcPr>
            <w:tcW w:w="1388" w:type="dxa"/>
          </w:tcPr>
          <w:p w14:paraId="0A32FFA0" w14:textId="77777777" w:rsidR="002963BE" w:rsidRPr="00DF0D90" w:rsidRDefault="002963BE" w:rsidP="00E250EC">
            <w:pPr>
              <w:pStyle w:val="13"/>
              <w:contextualSpacing/>
              <w:jc w:val="both"/>
              <w:rPr>
                <w:rFonts w:ascii="Times New Roman" w:hAnsi="Times New Roman"/>
                <w:sz w:val="24"/>
                <w:szCs w:val="24"/>
                <w:lang w:eastAsia="en-US"/>
              </w:rPr>
            </w:pPr>
            <w:r w:rsidRPr="00DF0D90">
              <w:rPr>
                <w:rFonts w:ascii="Times New Roman" w:hAnsi="Times New Roman"/>
                <w:sz w:val="24"/>
                <w:szCs w:val="24"/>
                <w:lang w:eastAsia="en-US"/>
              </w:rPr>
              <w:t>Нет</w:t>
            </w:r>
          </w:p>
        </w:tc>
        <w:tc>
          <w:tcPr>
            <w:tcW w:w="2691" w:type="dxa"/>
          </w:tcPr>
          <w:p w14:paraId="618559BE" w14:textId="77777777" w:rsidR="002963BE" w:rsidRPr="00DF0D90" w:rsidRDefault="002963BE" w:rsidP="00E250EC">
            <w:pPr>
              <w:pStyle w:val="13"/>
              <w:contextualSpacing/>
              <w:jc w:val="both"/>
              <w:rPr>
                <w:rFonts w:ascii="Times New Roman" w:hAnsi="Times New Roman"/>
                <w:sz w:val="24"/>
                <w:szCs w:val="24"/>
                <w:lang w:eastAsia="en-US"/>
              </w:rPr>
            </w:pPr>
            <w:r w:rsidRPr="00DF0D90">
              <w:rPr>
                <w:rFonts w:ascii="Times New Roman" w:hAnsi="Times New Roman"/>
                <w:sz w:val="24"/>
                <w:szCs w:val="24"/>
                <w:lang w:eastAsia="en-US"/>
              </w:rPr>
              <w:t xml:space="preserve">I–II степень </w:t>
            </w:r>
            <w:r w:rsidRPr="00DF0D90">
              <w:rPr>
                <w:rFonts w:ascii="Times New Roman" w:hAnsi="Times New Roman"/>
                <w:sz w:val="24"/>
                <w:szCs w:val="24"/>
                <w:lang w:eastAsia="en-US"/>
              </w:rPr>
              <w:br/>
              <w:t>(или компенсируется медикаментозно)</w:t>
            </w:r>
          </w:p>
        </w:tc>
        <w:tc>
          <w:tcPr>
            <w:tcW w:w="2004" w:type="dxa"/>
          </w:tcPr>
          <w:p w14:paraId="53D0A5D7" w14:textId="77777777" w:rsidR="002963BE" w:rsidRPr="00DF0D90" w:rsidRDefault="002963BE" w:rsidP="00E250EC">
            <w:pPr>
              <w:pStyle w:val="13"/>
              <w:contextualSpacing/>
              <w:jc w:val="both"/>
              <w:rPr>
                <w:rFonts w:ascii="Times New Roman" w:hAnsi="Times New Roman"/>
                <w:sz w:val="24"/>
                <w:szCs w:val="24"/>
                <w:lang w:eastAsia="en-US"/>
              </w:rPr>
            </w:pPr>
            <w:r w:rsidRPr="00DF0D90">
              <w:rPr>
                <w:rFonts w:ascii="Times New Roman" w:hAnsi="Times New Roman"/>
                <w:sz w:val="24"/>
                <w:szCs w:val="24"/>
                <w:lang w:eastAsia="en-US"/>
              </w:rPr>
              <w:t>III–IV степень (или рефрактерная)</w:t>
            </w:r>
          </w:p>
        </w:tc>
      </w:tr>
      <w:tr w:rsidR="002963BE" w:rsidRPr="00DF0D90" w14:paraId="3A37B8BC" w14:textId="77777777" w:rsidTr="003B3F1C">
        <w:tc>
          <w:tcPr>
            <w:tcW w:w="3254" w:type="dxa"/>
          </w:tcPr>
          <w:p w14:paraId="1E0C5759" w14:textId="77777777" w:rsidR="002963BE" w:rsidRPr="00DF0D90" w:rsidRDefault="002963BE" w:rsidP="00E250EC">
            <w:pPr>
              <w:pStyle w:val="13"/>
              <w:contextualSpacing/>
              <w:jc w:val="both"/>
              <w:rPr>
                <w:rFonts w:ascii="Times New Roman" w:hAnsi="Times New Roman"/>
                <w:sz w:val="24"/>
                <w:szCs w:val="24"/>
                <w:lang w:eastAsia="en-US"/>
              </w:rPr>
            </w:pPr>
            <w:r w:rsidRPr="00DF0D90">
              <w:rPr>
                <w:rFonts w:ascii="Times New Roman" w:hAnsi="Times New Roman"/>
                <w:sz w:val="24"/>
                <w:szCs w:val="24"/>
                <w:lang w:eastAsia="en-US"/>
              </w:rPr>
              <w:t>Асцит</w:t>
            </w:r>
          </w:p>
        </w:tc>
        <w:tc>
          <w:tcPr>
            <w:tcW w:w="1388" w:type="dxa"/>
          </w:tcPr>
          <w:p w14:paraId="5A7FB571" w14:textId="77777777" w:rsidR="002963BE" w:rsidRPr="00DF0D90" w:rsidRDefault="002963BE" w:rsidP="00E250EC">
            <w:pPr>
              <w:pStyle w:val="13"/>
              <w:contextualSpacing/>
              <w:jc w:val="both"/>
              <w:rPr>
                <w:rFonts w:ascii="Times New Roman" w:hAnsi="Times New Roman"/>
                <w:sz w:val="24"/>
                <w:szCs w:val="24"/>
                <w:lang w:eastAsia="en-US"/>
              </w:rPr>
            </w:pPr>
            <w:r w:rsidRPr="00DF0D90">
              <w:rPr>
                <w:rFonts w:ascii="Times New Roman" w:hAnsi="Times New Roman"/>
                <w:sz w:val="24"/>
                <w:szCs w:val="24"/>
                <w:lang w:eastAsia="en-US"/>
              </w:rPr>
              <w:t>Нет</w:t>
            </w:r>
          </w:p>
        </w:tc>
        <w:tc>
          <w:tcPr>
            <w:tcW w:w="2691" w:type="dxa"/>
          </w:tcPr>
          <w:p w14:paraId="70608E28" w14:textId="77777777" w:rsidR="002963BE" w:rsidRPr="00DF0D90" w:rsidRDefault="002963BE" w:rsidP="00E250EC">
            <w:pPr>
              <w:pStyle w:val="13"/>
              <w:contextualSpacing/>
              <w:jc w:val="both"/>
              <w:rPr>
                <w:rFonts w:ascii="Times New Roman" w:hAnsi="Times New Roman"/>
                <w:sz w:val="24"/>
                <w:szCs w:val="24"/>
                <w:lang w:eastAsia="en-US"/>
              </w:rPr>
            </w:pPr>
            <w:r w:rsidRPr="00DF0D90">
              <w:rPr>
                <w:rFonts w:ascii="Times New Roman" w:hAnsi="Times New Roman"/>
                <w:sz w:val="24"/>
                <w:szCs w:val="24"/>
                <w:lang w:eastAsia="en-US"/>
              </w:rPr>
              <w:t>Незначительный</w:t>
            </w:r>
          </w:p>
        </w:tc>
        <w:tc>
          <w:tcPr>
            <w:tcW w:w="2004" w:type="dxa"/>
          </w:tcPr>
          <w:p w14:paraId="433A9A21" w14:textId="77777777" w:rsidR="002963BE" w:rsidRPr="00DF0D90" w:rsidRDefault="002963BE" w:rsidP="00E250EC">
            <w:pPr>
              <w:pStyle w:val="13"/>
              <w:contextualSpacing/>
              <w:jc w:val="both"/>
              <w:rPr>
                <w:rFonts w:ascii="Times New Roman" w:hAnsi="Times New Roman"/>
                <w:sz w:val="24"/>
                <w:szCs w:val="24"/>
                <w:lang w:eastAsia="en-US"/>
              </w:rPr>
            </w:pPr>
            <w:r w:rsidRPr="00DF0D90">
              <w:rPr>
                <w:rFonts w:ascii="Times New Roman" w:hAnsi="Times New Roman"/>
                <w:sz w:val="24"/>
                <w:szCs w:val="24"/>
                <w:lang w:eastAsia="en-US"/>
              </w:rPr>
              <w:t>Умеренный</w:t>
            </w:r>
          </w:p>
        </w:tc>
      </w:tr>
      <w:tr w:rsidR="002963BE" w:rsidRPr="00DF0D90" w14:paraId="514C9CA2" w14:textId="77777777" w:rsidTr="003B3F1C">
        <w:tc>
          <w:tcPr>
            <w:tcW w:w="3254" w:type="dxa"/>
          </w:tcPr>
          <w:p w14:paraId="06B6C87C" w14:textId="77777777" w:rsidR="002963BE" w:rsidRPr="00DF0D90" w:rsidRDefault="002963BE" w:rsidP="00E250EC">
            <w:pPr>
              <w:pStyle w:val="13"/>
              <w:contextualSpacing/>
              <w:jc w:val="both"/>
              <w:rPr>
                <w:rFonts w:ascii="Times New Roman" w:hAnsi="Times New Roman"/>
                <w:sz w:val="24"/>
                <w:szCs w:val="24"/>
                <w:lang w:eastAsia="en-US"/>
              </w:rPr>
            </w:pPr>
            <w:r w:rsidRPr="00DF0D90">
              <w:rPr>
                <w:rFonts w:ascii="Times New Roman" w:hAnsi="Times New Roman"/>
                <w:sz w:val="24"/>
                <w:szCs w:val="24"/>
                <w:lang w:eastAsia="en-US"/>
              </w:rPr>
              <w:t>Альбумин плазмы, г/</w:t>
            </w:r>
            <w:proofErr w:type="spellStart"/>
            <w:r w:rsidRPr="00DF0D90">
              <w:rPr>
                <w:rFonts w:ascii="Times New Roman" w:hAnsi="Times New Roman"/>
                <w:sz w:val="24"/>
                <w:szCs w:val="24"/>
                <w:lang w:eastAsia="en-US"/>
              </w:rPr>
              <w:t>дл</w:t>
            </w:r>
            <w:proofErr w:type="spellEnd"/>
          </w:p>
        </w:tc>
        <w:tc>
          <w:tcPr>
            <w:tcW w:w="1388" w:type="dxa"/>
            <w:vAlign w:val="center"/>
          </w:tcPr>
          <w:p w14:paraId="2D35FBC3" w14:textId="77777777" w:rsidR="002963BE" w:rsidRPr="00DF0D90" w:rsidRDefault="002963BE" w:rsidP="00E250EC">
            <w:pPr>
              <w:pStyle w:val="13"/>
              <w:contextualSpacing/>
              <w:jc w:val="both"/>
              <w:rPr>
                <w:rFonts w:ascii="Times New Roman" w:hAnsi="Times New Roman"/>
                <w:sz w:val="24"/>
                <w:szCs w:val="24"/>
                <w:lang w:eastAsia="en-US"/>
              </w:rPr>
            </w:pPr>
            <w:r w:rsidRPr="00DF0D90">
              <w:rPr>
                <w:rFonts w:ascii="Times New Roman" w:hAnsi="Times New Roman"/>
                <w:sz w:val="24"/>
                <w:szCs w:val="24"/>
                <w:lang w:eastAsia="en-US"/>
              </w:rPr>
              <w:t>&gt;3,5</w:t>
            </w:r>
          </w:p>
        </w:tc>
        <w:tc>
          <w:tcPr>
            <w:tcW w:w="2691" w:type="dxa"/>
            <w:vAlign w:val="center"/>
          </w:tcPr>
          <w:p w14:paraId="0B0842F5" w14:textId="77777777" w:rsidR="002963BE" w:rsidRPr="00DF0D90" w:rsidRDefault="002963BE" w:rsidP="00E250EC">
            <w:pPr>
              <w:pStyle w:val="13"/>
              <w:contextualSpacing/>
              <w:jc w:val="both"/>
              <w:rPr>
                <w:rFonts w:ascii="Times New Roman" w:hAnsi="Times New Roman"/>
                <w:sz w:val="24"/>
                <w:szCs w:val="24"/>
                <w:lang w:eastAsia="en-US"/>
              </w:rPr>
            </w:pPr>
            <w:r w:rsidRPr="00DF0D90">
              <w:rPr>
                <w:rFonts w:ascii="Times New Roman" w:hAnsi="Times New Roman"/>
                <w:sz w:val="24"/>
                <w:szCs w:val="24"/>
                <w:lang w:eastAsia="en-US"/>
              </w:rPr>
              <w:t>2,8–3,5</w:t>
            </w:r>
          </w:p>
        </w:tc>
        <w:tc>
          <w:tcPr>
            <w:tcW w:w="2004" w:type="dxa"/>
            <w:vAlign w:val="center"/>
          </w:tcPr>
          <w:p w14:paraId="56FD5FAF" w14:textId="77777777" w:rsidR="002963BE" w:rsidRPr="00DF0D90" w:rsidRDefault="002963BE" w:rsidP="00E250EC">
            <w:pPr>
              <w:pStyle w:val="13"/>
              <w:contextualSpacing/>
              <w:jc w:val="both"/>
              <w:rPr>
                <w:rFonts w:ascii="Times New Roman" w:hAnsi="Times New Roman"/>
                <w:sz w:val="24"/>
                <w:szCs w:val="24"/>
                <w:lang w:eastAsia="en-US"/>
              </w:rPr>
            </w:pPr>
            <w:r w:rsidRPr="00DF0D90">
              <w:rPr>
                <w:rFonts w:ascii="Times New Roman" w:hAnsi="Times New Roman"/>
                <w:sz w:val="24"/>
                <w:szCs w:val="24"/>
                <w:lang w:eastAsia="en-US"/>
              </w:rPr>
              <w:t>&lt;2,8</w:t>
            </w:r>
          </w:p>
        </w:tc>
      </w:tr>
      <w:tr w:rsidR="002963BE" w:rsidRPr="00DF0D90" w14:paraId="2ED7C5E3" w14:textId="77777777" w:rsidTr="003B3F1C">
        <w:trPr>
          <w:trHeight w:val="386"/>
        </w:trPr>
        <w:tc>
          <w:tcPr>
            <w:tcW w:w="3254" w:type="dxa"/>
          </w:tcPr>
          <w:p w14:paraId="0321C773" w14:textId="77777777" w:rsidR="002963BE" w:rsidRPr="00DF0D90" w:rsidRDefault="002963BE" w:rsidP="00E250EC">
            <w:pPr>
              <w:pStyle w:val="13"/>
              <w:contextualSpacing/>
              <w:rPr>
                <w:rFonts w:ascii="Times New Roman" w:hAnsi="Times New Roman"/>
                <w:sz w:val="24"/>
                <w:szCs w:val="24"/>
                <w:lang w:eastAsia="en-US"/>
              </w:rPr>
            </w:pPr>
            <w:proofErr w:type="spellStart"/>
            <w:r w:rsidRPr="00DF0D90">
              <w:rPr>
                <w:rFonts w:ascii="Times New Roman" w:hAnsi="Times New Roman"/>
                <w:sz w:val="24"/>
                <w:szCs w:val="24"/>
                <w:lang w:eastAsia="en-US"/>
              </w:rPr>
              <w:t>Протромбиновое</w:t>
            </w:r>
            <w:proofErr w:type="spellEnd"/>
            <w:r w:rsidRPr="00DF0D90">
              <w:rPr>
                <w:rFonts w:ascii="Times New Roman" w:hAnsi="Times New Roman"/>
                <w:sz w:val="24"/>
                <w:szCs w:val="24"/>
                <w:lang w:eastAsia="en-US"/>
              </w:rPr>
              <w:t xml:space="preserve"> время, увеличение (норма 12–14 с) </w:t>
            </w:r>
          </w:p>
          <w:p w14:paraId="41ED3D07" w14:textId="77777777" w:rsidR="002963BE" w:rsidRPr="00DF0D90" w:rsidRDefault="002963BE" w:rsidP="00E250EC">
            <w:pPr>
              <w:pStyle w:val="13"/>
              <w:contextualSpacing/>
              <w:rPr>
                <w:rFonts w:ascii="Times New Roman" w:hAnsi="Times New Roman"/>
                <w:sz w:val="24"/>
                <w:szCs w:val="24"/>
                <w:lang w:eastAsia="en-US"/>
              </w:rPr>
            </w:pPr>
            <w:r w:rsidRPr="00DF0D90">
              <w:rPr>
                <w:rFonts w:ascii="Times New Roman" w:hAnsi="Times New Roman"/>
                <w:sz w:val="24"/>
                <w:szCs w:val="24"/>
                <w:lang w:eastAsia="en-US"/>
              </w:rPr>
              <w:t>или международное нормализованное отношение</w:t>
            </w:r>
          </w:p>
        </w:tc>
        <w:tc>
          <w:tcPr>
            <w:tcW w:w="1388" w:type="dxa"/>
          </w:tcPr>
          <w:p w14:paraId="454AFC81" w14:textId="77777777" w:rsidR="002963BE" w:rsidRPr="00DF0D90" w:rsidRDefault="002963BE" w:rsidP="00E250EC">
            <w:pPr>
              <w:pStyle w:val="13"/>
              <w:contextualSpacing/>
              <w:jc w:val="both"/>
              <w:rPr>
                <w:rFonts w:ascii="Times New Roman" w:hAnsi="Times New Roman"/>
                <w:sz w:val="24"/>
                <w:szCs w:val="24"/>
                <w:lang w:eastAsia="en-US"/>
              </w:rPr>
            </w:pPr>
            <w:r w:rsidRPr="00DF0D90">
              <w:rPr>
                <w:rFonts w:ascii="Times New Roman" w:hAnsi="Times New Roman"/>
                <w:sz w:val="24"/>
                <w:szCs w:val="24"/>
                <w:lang w:eastAsia="en-US"/>
              </w:rPr>
              <w:t>на 1–4 с</w:t>
            </w:r>
          </w:p>
          <w:p w14:paraId="68C5ABDD" w14:textId="77777777" w:rsidR="002963BE" w:rsidRPr="00DF0D90" w:rsidRDefault="002963BE" w:rsidP="00E250EC">
            <w:pPr>
              <w:pStyle w:val="13"/>
              <w:contextualSpacing/>
              <w:jc w:val="both"/>
              <w:rPr>
                <w:rFonts w:ascii="Times New Roman" w:hAnsi="Times New Roman"/>
                <w:sz w:val="24"/>
                <w:szCs w:val="24"/>
                <w:lang w:eastAsia="en-US"/>
              </w:rPr>
            </w:pPr>
          </w:p>
          <w:p w14:paraId="025F36AC" w14:textId="77777777" w:rsidR="002963BE" w:rsidRPr="00DF0D90" w:rsidRDefault="002963BE" w:rsidP="00E250EC">
            <w:pPr>
              <w:pStyle w:val="13"/>
              <w:contextualSpacing/>
              <w:jc w:val="both"/>
              <w:rPr>
                <w:rFonts w:ascii="Times New Roman" w:hAnsi="Times New Roman"/>
                <w:sz w:val="24"/>
                <w:szCs w:val="24"/>
                <w:lang w:eastAsia="en-US"/>
              </w:rPr>
            </w:pPr>
          </w:p>
          <w:p w14:paraId="19C121DA" w14:textId="77777777" w:rsidR="002963BE" w:rsidRPr="00DF0D90" w:rsidRDefault="002963BE" w:rsidP="00E250EC">
            <w:pPr>
              <w:pStyle w:val="13"/>
              <w:contextualSpacing/>
              <w:jc w:val="both"/>
              <w:rPr>
                <w:rFonts w:ascii="Times New Roman" w:hAnsi="Times New Roman"/>
                <w:sz w:val="24"/>
                <w:szCs w:val="24"/>
                <w:lang w:val="en-US" w:eastAsia="en-US"/>
              </w:rPr>
            </w:pPr>
            <w:r w:rsidRPr="00DF0D90">
              <w:rPr>
                <w:rFonts w:ascii="Times New Roman" w:hAnsi="Times New Roman"/>
                <w:sz w:val="24"/>
                <w:szCs w:val="24"/>
                <w:lang w:eastAsia="en-US"/>
              </w:rPr>
              <w:t>&lt;1</w:t>
            </w:r>
            <w:r w:rsidRPr="00DF0D90">
              <w:rPr>
                <w:rFonts w:ascii="Times New Roman" w:hAnsi="Times New Roman"/>
                <w:sz w:val="24"/>
                <w:szCs w:val="24"/>
                <w:lang w:val="en-US" w:eastAsia="en-US"/>
              </w:rPr>
              <w:t>,7</w:t>
            </w:r>
          </w:p>
        </w:tc>
        <w:tc>
          <w:tcPr>
            <w:tcW w:w="2691" w:type="dxa"/>
          </w:tcPr>
          <w:p w14:paraId="213C78F9" w14:textId="77777777" w:rsidR="002963BE" w:rsidRPr="00DF0D90" w:rsidRDefault="002963BE" w:rsidP="00E250EC">
            <w:pPr>
              <w:pStyle w:val="13"/>
              <w:contextualSpacing/>
              <w:jc w:val="both"/>
              <w:rPr>
                <w:rFonts w:ascii="Times New Roman" w:hAnsi="Times New Roman"/>
                <w:sz w:val="24"/>
                <w:szCs w:val="24"/>
                <w:lang w:val="en-US" w:eastAsia="en-US"/>
              </w:rPr>
            </w:pPr>
            <w:r w:rsidRPr="00DF0D90">
              <w:rPr>
                <w:rFonts w:ascii="Times New Roman" w:hAnsi="Times New Roman"/>
                <w:sz w:val="24"/>
                <w:szCs w:val="24"/>
                <w:lang w:eastAsia="en-US"/>
              </w:rPr>
              <w:t>на 4–6 с</w:t>
            </w:r>
          </w:p>
          <w:p w14:paraId="27F9AB98" w14:textId="77777777" w:rsidR="002963BE" w:rsidRPr="00DF0D90" w:rsidRDefault="002963BE" w:rsidP="00E250EC">
            <w:pPr>
              <w:pStyle w:val="13"/>
              <w:contextualSpacing/>
              <w:jc w:val="both"/>
              <w:rPr>
                <w:rFonts w:ascii="Times New Roman" w:hAnsi="Times New Roman"/>
                <w:sz w:val="24"/>
                <w:szCs w:val="24"/>
                <w:lang w:val="en-US" w:eastAsia="en-US"/>
              </w:rPr>
            </w:pPr>
          </w:p>
          <w:p w14:paraId="3038B678" w14:textId="77777777" w:rsidR="002963BE" w:rsidRPr="00DF0D90" w:rsidRDefault="002963BE" w:rsidP="00E250EC">
            <w:pPr>
              <w:pStyle w:val="13"/>
              <w:contextualSpacing/>
              <w:jc w:val="both"/>
              <w:rPr>
                <w:rFonts w:ascii="Times New Roman" w:hAnsi="Times New Roman"/>
                <w:sz w:val="24"/>
                <w:szCs w:val="24"/>
                <w:lang w:val="en-US" w:eastAsia="en-US"/>
              </w:rPr>
            </w:pPr>
          </w:p>
          <w:p w14:paraId="0ABCE1AE" w14:textId="77777777" w:rsidR="002963BE" w:rsidRPr="00DF0D90" w:rsidRDefault="002963BE" w:rsidP="00E250EC">
            <w:pPr>
              <w:pStyle w:val="13"/>
              <w:contextualSpacing/>
              <w:jc w:val="both"/>
              <w:rPr>
                <w:rFonts w:ascii="Times New Roman" w:hAnsi="Times New Roman"/>
                <w:sz w:val="24"/>
                <w:szCs w:val="24"/>
                <w:lang w:val="en-US" w:eastAsia="en-US"/>
              </w:rPr>
            </w:pPr>
            <w:r w:rsidRPr="00DF0D90">
              <w:rPr>
                <w:rFonts w:ascii="Times New Roman" w:hAnsi="Times New Roman"/>
                <w:sz w:val="24"/>
                <w:szCs w:val="24"/>
                <w:lang w:val="en-US" w:eastAsia="en-US"/>
              </w:rPr>
              <w:t>1,7–2,3</w:t>
            </w:r>
          </w:p>
        </w:tc>
        <w:tc>
          <w:tcPr>
            <w:tcW w:w="2004" w:type="dxa"/>
          </w:tcPr>
          <w:p w14:paraId="0B2A79A6" w14:textId="77777777" w:rsidR="002963BE" w:rsidRPr="00DF0D90" w:rsidRDefault="002963BE" w:rsidP="00E250EC">
            <w:pPr>
              <w:pStyle w:val="13"/>
              <w:contextualSpacing/>
              <w:jc w:val="both"/>
              <w:rPr>
                <w:rFonts w:ascii="Times New Roman" w:hAnsi="Times New Roman"/>
                <w:sz w:val="24"/>
                <w:szCs w:val="24"/>
                <w:lang w:val="en-US" w:eastAsia="en-US"/>
              </w:rPr>
            </w:pPr>
            <w:r w:rsidRPr="00DF0D90">
              <w:rPr>
                <w:rFonts w:ascii="Times New Roman" w:hAnsi="Times New Roman"/>
                <w:sz w:val="24"/>
                <w:szCs w:val="24"/>
                <w:lang w:eastAsia="en-US"/>
              </w:rPr>
              <w:t>более чем на 6 с</w:t>
            </w:r>
          </w:p>
          <w:p w14:paraId="778999F0" w14:textId="77777777" w:rsidR="002963BE" w:rsidRPr="00DF0D90" w:rsidRDefault="002963BE" w:rsidP="00E250EC">
            <w:pPr>
              <w:pStyle w:val="13"/>
              <w:contextualSpacing/>
              <w:jc w:val="both"/>
              <w:rPr>
                <w:rFonts w:ascii="Times New Roman" w:hAnsi="Times New Roman"/>
                <w:sz w:val="24"/>
                <w:szCs w:val="24"/>
                <w:lang w:val="en-US" w:eastAsia="en-US"/>
              </w:rPr>
            </w:pPr>
          </w:p>
          <w:p w14:paraId="74E374B6" w14:textId="77777777" w:rsidR="002963BE" w:rsidRPr="00DF0D90" w:rsidRDefault="002963BE" w:rsidP="00E250EC">
            <w:pPr>
              <w:pStyle w:val="13"/>
              <w:contextualSpacing/>
              <w:jc w:val="both"/>
              <w:rPr>
                <w:rFonts w:ascii="Times New Roman" w:hAnsi="Times New Roman"/>
                <w:sz w:val="24"/>
                <w:szCs w:val="24"/>
                <w:lang w:val="en-US" w:eastAsia="en-US"/>
              </w:rPr>
            </w:pPr>
          </w:p>
          <w:p w14:paraId="550152F1" w14:textId="77777777" w:rsidR="002963BE" w:rsidRPr="00DF0D90" w:rsidRDefault="002963BE" w:rsidP="00E250EC">
            <w:pPr>
              <w:pStyle w:val="13"/>
              <w:contextualSpacing/>
              <w:jc w:val="both"/>
              <w:rPr>
                <w:rFonts w:ascii="Times New Roman" w:hAnsi="Times New Roman"/>
                <w:sz w:val="24"/>
                <w:szCs w:val="24"/>
                <w:lang w:val="en-US" w:eastAsia="en-US"/>
              </w:rPr>
            </w:pPr>
            <w:r w:rsidRPr="00DF0D90">
              <w:rPr>
                <w:rFonts w:ascii="Times New Roman" w:hAnsi="Times New Roman"/>
                <w:sz w:val="24"/>
                <w:szCs w:val="24"/>
                <w:lang w:val="en-US" w:eastAsia="en-US"/>
              </w:rPr>
              <w:t>&gt;2,3</w:t>
            </w:r>
          </w:p>
        </w:tc>
      </w:tr>
      <w:tr w:rsidR="002963BE" w:rsidRPr="00DF0D90" w14:paraId="7B0F1CF7" w14:textId="77777777" w:rsidTr="003B3F1C">
        <w:trPr>
          <w:trHeight w:val="317"/>
        </w:trPr>
        <w:tc>
          <w:tcPr>
            <w:tcW w:w="3254" w:type="dxa"/>
          </w:tcPr>
          <w:p w14:paraId="26CF633E" w14:textId="77777777" w:rsidR="002963BE" w:rsidRPr="00DF0D90" w:rsidRDefault="002963BE" w:rsidP="00E250EC">
            <w:pPr>
              <w:pStyle w:val="13"/>
              <w:contextualSpacing/>
              <w:jc w:val="both"/>
              <w:rPr>
                <w:rFonts w:ascii="Times New Roman" w:hAnsi="Times New Roman"/>
                <w:sz w:val="24"/>
                <w:szCs w:val="24"/>
                <w:lang w:eastAsia="en-US"/>
              </w:rPr>
            </w:pPr>
            <w:r w:rsidRPr="00DF0D90">
              <w:rPr>
                <w:rFonts w:ascii="Times New Roman" w:hAnsi="Times New Roman"/>
                <w:sz w:val="24"/>
                <w:szCs w:val="24"/>
                <w:lang w:eastAsia="en-US"/>
              </w:rPr>
              <w:t>Билирубин, мг/</w:t>
            </w:r>
            <w:proofErr w:type="spellStart"/>
            <w:r w:rsidRPr="00DF0D90">
              <w:rPr>
                <w:rFonts w:ascii="Times New Roman" w:hAnsi="Times New Roman"/>
                <w:sz w:val="24"/>
                <w:szCs w:val="24"/>
                <w:lang w:eastAsia="en-US"/>
              </w:rPr>
              <w:t>дл</w:t>
            </w:r>
            <w:proofErr w:type="spellEnd"/>
            <w:r w:rsidRPr="00DF0D90">
              <w:rPr>
                <w:rFonts w:ascii="Times New Roman" w:hAnsi="Times New Roman"/>
                <w:sz w:val="24"/>
                <w:szCs w:val="24"/>
                <w:lang w:eastAsia="en-US"/>
              </w:rPr>
              <w:t xml:space="preserve"> (</w:t>
            </w:r>
            <w:proofErr w:type="spellStart"/>
            <w:r w:rsidRPr="00DF0D90">
              <w:rPr>
                <w:rFonts w:ascii="Times New Roman" w:hAnsi="Times New Roman"/>
                <w:sz w:val="24"/>
                <w:szCs w:val="24"/>
                <w:lang w:eastAsia="en-US"/>
              </w:rPr>
              <w:t>мкмоль</w:t>
            </w:r>
            <w:proofErr w:type="spellEnd"/>
            <w:r w:rsidRPr="00DF0D90">
              <w:rPr>
                <w:rFonts w:ascii="Times New Roman" w:hAnsi="Times New Roman"/>
                <w:sz w:val="24"/>
                <w:szCs w:val="24"/>
                <w:lang w:eastAsia="en-US"/>
              </w:rPr>
              <w:t>/л)</w:t>
            </w:r>
          </w:p>
        </w:tc>
        <w:tc>
          <w:tcPr>
            <w:tcW w:w="1388" w:type="dxa"/>
            <w:vAlign w:val="center"/>
          </w:tcPr>
          <w:p w14:paraId="7D1F09D3" w14:textId="77777777" w:rsidR="002963BE" w:rsidRPr="00DF0D90" w:rsidRDefault="002963BE" w:rsidP="00E250EC">
            <w:pPr>
              <w:pStyle w:val="13"/>
              <w:contextualSpacing/>
              <w:jc w:val="both"/>
              <w:rPr>
                <w:rFonts w:ascii="Times New Roman" w:hAnsi="Times New Roman"/>
                <w:sz w:val="24"/>
                <w:szCs w:val="24"/>
                <w:lang w:eastAsia="en-US"/>
              </w:rPr>
            </w:pPr>
            <w:r w:rsidRPr="00DF0D90">
              <w:rPr>
                <w:rFonts w:ascii="Times New Roman" w:hAnsi="Times New Roman"/>
                <w:sz w:val="24"/>
                <w:szCs w:val="24"/>
                <w:lang w:eastAsia="en-US"/>
              </w:rPr>
              <w:t>1–2 (&lt;34,2)</w:t>
            </w:r>
          </w:p>
        </w:tc>
        <w:tc>
          <w:tcPr>
            <w:tcW w:w="2691" w:type="dxa"/>
            <w:vAlign w:val="center"/>
          </w:tcPr>
          <w:p w14:paraId="2AC8EEB9" w14:textId="77777777" w:rsidR="002963BE" w:rsidRPr="00DF0D90" w:rsidRDefault="002963BE" w:rsidP="00E250EC">
            <w:pPr>
              <w:pStyle w:val="13"/>
              <w:contextualSpacing/>
              <w:jc w:val="both"/>
              <w:rPr>
                <w:rFonts w:ascii="Times New Roman" w:hAnsi="Times New Roman"/>
                <w:sz w:val="24"/>
                <w:szCs w:val="24"/>
                <w:lang w:eastAsia="en-US"/>
              </w:rPr>
            </w:pPr>
            <w:r w:rsidRPr="00DF0D90">
              <w:rPr>
                <w:rFonts w:ascii="Times New Roman" w:hAnsi="Times New Roman"/>
                <w:sz w:val="24"/>
                <w:szCs w:val="24"/>
                <w:lang w:eastAsia="en-US"/>
              </w:rPr>
              <w:t>2–3 (34,2–51,3)</w:t>
            </w:r>
          </w:p>
        </w:tc>
        <w:tc>
          <w:tcPr>
            <w:tcW w:w="2004" w:type="dxa"/>
            <w:vAlign w:val="center"/>
          </w:tcPr>
          <w:p w14:paraId="797AE77A" w14:textId="77777777" w:rsidR="002963BE" w:rsidRPr="00DF0D90" w:rsidRDefault="002963BE" w:rsidP="00E250EC">
            <w:pPr>
              <w:pStyle w:val="13"/>
              <w:contextualSpacing/>
              <w:jc w:val="both"/>
              <w:rPr>
                <w:rFonts w:ascii="Times New Roman" w:hAnsi="Times New Roman"/>
                <w:sz w:val="24"/>
                <w:szCs w:val="24"/>
                <w:lang w:eastAsia="en-US"/>
              </w:rPr>
            </w:pPr>
            <w:r w:rsidRPr="00DF0D90">
              <w:rPr>
                <w:rFonts w:ascii="Times New Roman" w:hAnsi="Times New Roman"/>
                <w:sz w:val="24"/>
                <w:szCs w:val="24"/>
                <w:lang w:eastAsia="en-US"/>
              </w:rPr>
              <w:t>&gt;3 мг/</w:t>
            </w:r>
            <w:proofErr w:type="spellStart"/>
            <w:r w:rsidRPr="00DF0D90">
              <w:rPr>
                <w:rFonts w:ascii="Times New Roman" w:hAnsi="Times New Roman"/>
                <w:sz w:val="24"/>
                <w:szCs w:val="24"/>
                <w:lang w:eastAsia="en-US"/>
              </w:rPr>
              <w:t>дл</w:t>
            </w:r>
            <w:proofErr w:type="spellEnd"/>
            <w:r w:rsidRPr="00DF0D90">
              <w:rPr>
                <w:rFonts w:ascii="Times New Roman" w:hAnsi="Times New Roman"/>
                <w:sz w:val="24"/>
                <w:szCs w:val="24"/>
                <w:lang w:eastAsia="en-US"/>
              </w:rPr>
              <w:t xml:space="preserve"> (&gt;51,3)</w:t>
            </w:r>
          </w:p>
        </w:tc>
      </w:tr>
    </w:tbl>
    <w:p w14:paraId="0DD7346F" w14:textId="77777777" w:rsidR="004371B4" w:rsidRPr="00DF0D90" w:rsidRDefault="00B35B2D" w:rsidP="00801019">
      <w:pPr>
        <w:pStyle w:val="42"/>
        <w:rPr>
          <w:b w:val="0"/>
          <w:bCs/>
          <w:sz w:val="24"/>
          <w:szCs w:val="24"/>
        </w:rPr>
      </w:pPr>
      <w:r w:rsidRPr="00DF0D90">
        <w:rPr>
          <w:b w:val="0"/>
          <w:bCs/>
          <w:sz w:val="24"/>
          <w:szCs w:val="24"/>
        </w:rPr>
        <w:t>Пояснения: хроническое поражение (нарушение функции) печени</w:t>
      </w:r>
      <w:r w:rsidRPr="00DF0D90">
        <w:rPr>
          <w:b w:val="0"/>
          <w:bCs/>
          <w:sz w:val="24"/>
          <w:szCs w:val="24"/>
          <w:shd w:val="clear" w:color="auto" w:fill="FFFFFF"/>
        </w:rPr>
        <w:t xml:space="preserve"> классифицируется как </w:t>
      </w:r>
      <w:r w:rsidRPr="00DF0D90">
        <w:rPr>
          <w:b w:val="0"/>
          <w:bCs/>
          <w:sz w:val="24"/>
          <w:szCs w:val="24"/>
          <w:shd w:val="clear" w:color="auto" w:fill="FFFFFF"/>
          <w:lang w:val="en-US"/>
        </w:rPr>
        <w:t>Child</w:t>
      </w:r>
      <w:r w:rsidRPr="00DF0D90">
        <w:rPr>
          <w:b w:val="0"/>
          <w:bCs/>
          <w:sz w:val="24"/>
          <w:szCs w:val="24"/>
          <w:shd w:val="clear" w:color="auto" w:fill="FFFFFF"/>
        </w:rPr>
        <w:t>–</w:t>
      </w:r>
      <w:proofErr w:type="spellStart"/>
      <w:r w:rsidRPr="00DF0D90">
        <w:rPr>
          <w:b w:val="0"/>
          <w:bCs/>
          <w:sz w:val="24"/>
          <w:szCs w:val="24"/>
          <w:shd w:val="clear" w:color="auto" w:fill="FFFFFF"/>
          <w:lang w:val="en-US"/>
        </w:rPr>
        <w:t>Pugh</w:t>
      </w:r>
      <w:proofErr w:type="spellEnd"/>
      <w:r w:rsidRPr="00DF0D90">
        <w:rPr>
          <w:b w:val="0"/>
          <w:bCs/>
          <w:sz w:val="24"/>
          <w:szCs w:val="24"/>
          <w:shd w:val="clear" w:color="auto" w:fill="FFFFFF"/>
        </w:rPr>
        <w:t xml:space="preserve"> класса </w:t>
      </w:r>
      <w:r w:rsidRPr="00DF0D90">
        <w:rPr>
          <w:b w:val="0"/>
          <w:bCs/>
          <w:sz w:val="24"/>
          <w:szCs w:val="24"/>
          <w:shd w:val="clear" w:color="auto" w:fill="FFFFFF"/>
          <w:lang w:val="en-US"/>
        </w:rPr>
        <w:t>A</w:t>
      </w:r>
      <w:r w:rsidRPr="00DF0D90">
        <w:rPr>
          <w:b w:val="0"/>
          <w:bCs/>
          <w:sz w:val="24"/>
          <w:szCs w:val="24"/>
          <w:shd w:val="clear" w:color="auto" w:fill="FFFFFF"/>
        </w:rPr>
        <w:t xml:space="preserve">, В или </w:t>
      </w:r>
      <w:r w:rsidRPr="00DF0D90">
        <w:rPr>
          <w:b w:val="0"/>
          <w:bCs/>
          <w:sz w:val="24"/>
          <w:szCs w:val="24"/>
          <w:shd w:val="clear" w:color="auto" w:fill="FFFFFF"/>
          <w:lang w:val="en-US"/>
        </w:rPr>
        <w:t>C</w:t>
      </w:r>
      <w:r w:rsidRPr="00DF0D90">
        <w:rPr>
          <w:b w:val="0"/>
          <w:bCs/>
          <w:sz w:val="24"/>
          <w:szCs w:val="24"/>
          <w:shd w:val="clear" w:color="auto" w:fill="FFFFFF"/>
        </w:rPr>
        <w:t xml:space="preserve">, в зависимости от суммы </w:t>
      </w:r>
      <w:r w:rsidR="00CB36AF" w:rsidRPr="00DF0D90">
        <w:rPr>
          <w:b w:val="0"/>
          <w:bCs/>
          <w:sz w:val="24"/>
          <w:szCs w:val="24"/>
          <w:shd w:val="clear" w:color="auto" w:fill="FFFFFF"/>
        </w:rPr>
        <w:t>баллов, полученных</w:t>
      </w:r>
      <w:r w:rsidRPr="00DF0D90">
        <w:rPr>
          <w:b w:val="0"/>
          <w:bCs/>
          <w:sz w:val="24"/>
          <w:szCs w:val="24"/>
          <w:shd w:val="clear" w:color="auto" w:fill="FFFFFF"/>
        </w:rPr>
        <w:t xml:space="preserve"> для каждого параметра. Класс </w:t>
      </w:r>
      <w:r w:rsidR="00CB36AF" w:rsidRPr="00DF0D90">
        <w:rPr>
          <w:b w:val="0"/>
          <w:bCs/>
          <w:sz w:val="24"/>
          <w:szCs w:val="24"/>
          <w:shd w:val="clear" w:color="auto" w:fill="FFFFFF"/>
        </w:rPr>
        <w:t>А: 5</w:t>
      </w:r>
      <w:r w:rsidRPr="00DF0D90">
        <w:rPr>
          <w:b w:val="0"/>
          <w:bCs/>
          <w:sz w:val="24"/>
          <w:szCs w:val="24"/>
          <w:shd w:val="clear" w:color="auto" w:fill="FFFFFF"/>
        </w:rPr>
        <w:t xml:space="preserve">-6 </w:t>
      </w:r>
      <w:r w:rsidR="00953E98" w:rsidRPr="00DF0D90">
        <w:rPr>
          <w:b w:val="0"/>
          <w:bCs/>
          <w:sz w:val="24"/>
          <w:szCs w:val="24"/>
          <w:shd w:val="clear" w:color="auto" w:fill="FFFFFF"/>
        </w:rPr>
        <w:t>баллов, класс</w:t>
      </w:r>
      <w:r w:rsidRPr="00DF0D90">
        <w:rPr>
          <w:b w:val="0"/>
          <w:bCs/>
          <w:sz w:val="24"/>
          <w:szCs w:val="24"/>
          <w:shd w:val="clear" w:color="auto" w:fill="FFFFFF"/>
        </w:rPr>
        <w:t xml:space="preserve"> В: 7-9 баллов и класс </w:t>
      </w:r>
      <w:r w:rsidR="000E129D" w:rsidRPr="00DF0D90">
        <w:rPr>
          <w:b w:val="0"/>
          <w:bCs/>
          <w:sz w:val="24"/>
          <w:szCs w:val="24"/>
          <w:shd w:val="clear" w:color="auto" w:fill="FFFFFF"/>
        </w:rPr>
        <w:t>С: 10</w:t>
      </w:r>
      <w:r w:rsidR="00E250EC" w:rsidRPr="00DF0D90">
        <w:rPr>
          <w:b w:val="0"/>
          <w:bCs/>
          <w:sz w:val="24"/>
          <w:szCs w:val="24"/>
        </w:rPr>
        <w:t xml:space="preserve">-15 </w:t>
      </w:r>
      <w:r w:rsidRPr="00DF0D90">
        <w:rPr>
          <w:b w:val="0"/>
          <w:bCs/>
          <w:sz w:val="24"/>
          <w:szCs w:val="24"/>
        </w:rPr>
        <w:t>баллов.</w:t>
      </w:r>
    </w:p>
    <w:p w14:paraId="66680E1E" w14:textId="37F7C265" w:rsidR="00A55011" w:rsidRPr="00D30C2B" w:rsidRDefault="004F7795" w:rsidP="00A55011">
      <w:pPr>
        <w:pStyle w:val="af2"/>
        <w:numPr>
          <w:ilvl w:val="0"/>
          <w:numId w:val="48"/>
        </w:numPr>
        <w:spacing w:after="120" w:line="360" w:lineRule="auto"/>
        <w:rPr>
          <w:b/>
          <w:color w:val="000000"/>
        </w:rPr>
      </w:pPr>
      <w:r w:rsidRPr="00D30C2B">
        <w:rPr>
          <w:b/>
          <w:bCs/>
        </w:rPr>
        <w:t>Коэффициент АЛБИ</w:t>
      </w:r>
      <w:r w:rsidR="00A55011" w:rsidRPr="00D30C2B">
        <w:rPr>
          <w:b/>
          <w:bCs/>
          <w:color w:val="000000"/>
        </w:rPr>
        <w:t xml:space="preserve"> </w:t>
      </w:r>
    </w:p>
    <w:p w14:paraId="0AEC8FCD" w14:textId="5BBBE745" w:rsidR="004F7795" w:rsidRPr="00DF0D90" w:rsidRDefault="004F7795" w:rsidP="00F32797">
      <w:pPr>
        <w:spacing w:after="120" w:line="360" w:lineRule="auto"/>
        <w:rPr>
          <w:color w:val="000000"/>
        </w:rPr>
      </w:pPr>
      <w:r w:rsidRPr="00DF0D90">
        <w:rPr>
          <w:b/>
          <w:bCs/>
          <w:color w:val="000000"/>
        </w:rPr>
        <w:t>Название на русском языке</w:t>
      </w:r>
      <w:r w:rsidRPr="00DF0D90">
        <w:rPr>
          <w:color w:val="000000"/>
        </w:rPr>
        <w:t xml:space="preserve">: </w:t>
      </w:r>
      <w:r w:rsidRPr="00DF0D90">
        <w:rPr>
          <w:b/>
          <w:bCs/>
        </w:rPr>
        <w:t>Коэффициент АЛБИ – класс нарушения функции печени</w:t>
      </w:r>
    </w:p>
    <w:p w14:paraId="30555B81" w14:textId="6B7F197B" w:rsidR="004F7795" w:rsidRPr="00DF0D90" w:rsidRDefault="004F7795" w:rsidP="004F7795">
      <w:pPr>
        <w:spacing w:after="120" w:line="360" w:lineRule="auto"/>
        <w:jc w:val="both"/>
      </w:pPr>
      <w:r w:rsidRPr="00DF0D90">
        <w:rPr>
          <w:b/>
          <w:bCs/>
        </w:rPr>
        <w:lastRenderedPageBreak/>
        <w:t>Оригинальное название</w:t>
      </w:r>
      <w:r w:rsidRPr="00DF0D90">
        <w:t xml:space="preserve">: </w:t>
      </w:r>
      <w:r w:rsidRPr="00DF0D90">
        <w:rPr>
          <w:b/>
          <w:bCs/>
          <w:lang w:val="en-US"/>
        </w:rPr>
        <w:t>ALBI</w:t>
      </w:r>
      <w:r w:rsidRPr="00DF0D90">
        <w:rPr>
          <w:b/>
          <w:bCs/>
        </w:rPr>
        <w:t>-</w:t>
      </w:r>
      <w:r w:rsidRPr="00DF0D90">
        <w:rPr>
          <w:b/>
          <w:bCs/>
          <w:lang w:val="en-US"/>
        </w:rPr>
        <w:t>score</w:t>
      </w:r>
    </w:p>
    <w:p w14:paraId="36A6147D" w14:textId="77777777" w:rsidR="004F7795" w:rsidRPr="00DF0D90" w:rsidRDefault="004F7795" w:rsidP="004F7795">
      <w:pPr>
        <w:pStyle w:val="affd"/>
        <w:rPr>
          <w:b/>
          <w:bCs/>
        </w:rPr>
      </w:pPr>
      <w:r w:rsidRPr="00DF0D90">
        <w:rPr>
          <w:b/>
          <w:bCs/>
          <w:color w:val="000000"/>
        </w:rPr>
        <w:t>Источник (официальный сайт разработчиков, публикация с валидацией</w:t>
      </w:r>
      <w:r w:rsidRPr="00DF0D90">
        <w:rPr>
          <w:b/>
          <w:bCs/>
        </w:rPr>
        <w:t xml:space="preserve">): </w:t>
      </w:r>
    </w:p>
    <w:p w14:paraId="5908B3C3" w14:textId="77777777" w:rsidR="004F7795" w:rsidRPr="00BB6A3E" w:rsidRDefault="004F7795" w:rsidP="004F7795">
      <w:pPr>
        <w:pStyle w:val="affd"/>
        <w:numPr>
          <w:ilvl w:val="3"/>
          <w:numId w:val="17"/>
        </w:numPr>
        <w:rPr>
          <w:lang w:val="en-US"/>
        </w:rPr>
      </w:pPr>
      <w:r w:rsidRPr="00BB6A3E">
        <w:rPr>
          <w:lang w:val="en-US"/>
        </w:rPr>
        <w:t xml:space="preserve">Johnson PJ, Berhane S, </w:t>
      </w:r>
      <w:proofErr w:type="spellStart"/>
      <w:r w:rsidRPr="00BB6A3E">
        <w:rPr>
          <w:lang w:val="en-US"/>
        </w:rPr>
        <w:t>Kagebayashi</w:t>
      </w:r>
      <w:proofErr w:type="spellEnd"/>
      <w:r w:rsidRPr="00BB6A3E">
        <w:rPr>
          <w:lang w:val="en-US"/>
        </w:rPr>
        <w:t xml:space="preserve"> C, et al. Assessment of liver function in patients with hepatocellular carcinoma: A new evidence-based approach-The ALBI grade. J Clin Oncol </w:t>
      </w:r>
      <w:proofErr w:type="gramStart"/>
      <w:r w:rsidRPr="00BB6A3E">
        <w:rPr>
          <w:lang w:val="en-US"/>
        </w:rPr>
        <w:t>2015;33:550</w:t>
      </w:r>
      <w:proofErr w:type="gramEnd"/>
      <w:r w:rsidRPr="00BB6A3E">
        <w:rPr>
          <w:lang w:val="en-US"/>
        </w:rPr>
        <w:t xml:space="preserve">-558. </w:t>
      </w:r>
    </w:p>
    <w:p w14:paraId="1938AFE8" w14:textId="46C0E611" w:rsidR="004F7795" w:rsidRPr="00BB6A3E" w:rsidRDefault="004F7795" w:rsidP="00F32797">
      <w:pPr>
        <w:pStyle w:val="affd"/>
        <w:numPr>
          <w:ilvl w:val="3"/>
          <w:numId w:val="17"/>
        </w:numPr>
        <w:rPr>
          <w:lang w:val="en-US"/>
        </w:rPr>
      </w:pPr>
      <w:r w:rsidRPr="00BB6A3E">
        <w:rPr>
          <w:lang w:val="en-US"/>
        </w:rPr>
        <w:t xml:space="preserve">Oikonomou T, </w:t>
      </w:r>
      <w:proofErr w:type="spellStart"/>
      <w:r w:rsidRPr="00BB6A3E">
        <w:rPr>
          <w:lang w:val="en-US"/>
        </w:rPr>
        <w:t>Goulis</w:t>
      </w:r>
      <w:proofErr w:type="spellEnd"/>
      <w:r w:rsidRPr="00BB6A3E">
        <w:rPr>
          <w:lang w:val="en-US"/>
        </w:rPr>
        <w:t xml:space="preserve"> L, </w:t>
      </w:r>
      <w:proofErr w:type="spellStart"/>
      <w:r w:rsidRPr="00BB6A3E">
        <w:rPr>
          <w:lang w:val="en-US"/>
        </w:rPr>
        <w:t>Doumtsis</w:t>
      </w:r>
      <w:proofErr w:type="spellEnd"/>
      <w:r w:rsidRPr="00BB6A3E">
        <w:rPr>
          <w:lang w:val="en-US"/>
        </w:rPr>
        <w:t xml:space="preserve"> P, et al. ALBI and PALBI grades are associated with the outcome of patients with stable decompensated cirrhosis. Ann Hepatol </w:t>
      </w:r>
      <w:proofErr w:type="gramStart"/>
      <w:r w:rsidRPr="00BB6A3E">
        <w:rPr>
          <w:lang w:val="en-US"/>
        </w:rPr>
        <w:t>2019;18:126</w:t>
      </w:r>
      <w:proofErr w:type="gramEnd"/>
      <w:r w:rsidRPr="00BB6A3E">
        <w:rPr>
          <w:lang w:val="en-US"/>
        </w:rPr>
        <w:t xml:space="preserve">-136. https://www.ncbi.nlm.nih.gov/pubmed/31113581. </w:t>
      </w:r>
    </w:p>
    <w:p w14:paraId="4051CBD8" w14:textId="77777777" w:rsidR="004F7795" w:rsidRPr="00DF0D90" w:rsidRDefault="004F7795" w:rsidP="004F7795">
      <w:pPr>
        <w:spacing w:after="120" w:line="360" w:lineRule="auto"/>
        <w:jc w:val="both"/>
      </w:pPr>
      <w:r w:rsidRPr="00DF0D90">
        <w:rPr>
          <w:b/>
          <w:bCs/>
        </w:rPr>
        <w:t>Тип:</w:t>
      </w:r>
      <w:r w:rsidRPr="00DF0D90">
        <w:t xml:space="preserve"> шкала оценки.</w:t>
      </w:r>
    </w:p>
    <w:p w14:paraId="1D06015A" w14:textId="77777777" w:rsidR="004F7795" w:rsidRPr="00DF0D90" w:rsidRDefault="004F7795" w:rsidP="004F7795">
      <w:pPr>
        <w:spacing w:after="120" w:line="360" w:lineRule="auto"/>
        <w:jc w:val="both"/>
      </w:pPr>
      <w:r w:rsidRPr="00DF0D90">
        <w:rPr>
          <w:b/>
          <w:bCs/>
        </w:rPr>
        <w:t>Назначение</w:t>
      </w:r>
      <w:r w:rsidRPr="00DF0D90">
        <w:t>: определить степень выраженности нарушения функции печени.</w:t>
      </w:r>
    </w:p>
    <w:p w14:paraId="39D6F8BB" w14:textId="72160C32" w:rsidR="004F7795" w:rsidRPr="00DF0D90" w:rsidRDefault="004F7795" w:rsidP="00F32797">
      <w:pPr>
        <w:spacing w:after="120" w:line="360" w:lineRule="auto"/>
        <w:rPr>
          <w:b/>
          <w:bCs/>
        </w:rPr>
      </w:pPr>
      <w:r w:rsidRPr="00DF0D90">
        <w:rPr>
          <w:b/>
          <w:bCs/>
        </w:rPr>
        <w:t xml:space="preserve">Содержание: рассчитывается по </w:t>
      </w:r>
      <w:r w:rsidR="00BB6A3E" w:rsidRPr="00DF0D90">
        <w:rPr>
          <w:b/>
          <w:bCs/>
        </w:rPr>
        <w:t>формуле:</w:t>
      </w:r>
      <w:r w:rsidRPr="00DF0D90">
        <w:rPr>
          <w:b/>
          <w:bCs/>
        </w:rPr>
        <w:t xml:space="preserve"> [</w:t>
      </w:r>
      <w:r w:rsidRPr="00DF0D90">
        <w:rPr>
          <w:b/>
          <w:bCs/>
          <w:lang w:val="en-US"/>
        </w:rPr>
        <w:t>log</w:t>
      </w:r>
      <w:r w:rsidRPr="00DF0D90">
        <w:rPr>
          <w:b/>
          <w:bCs/>
          <w:position w:val="-8"/>
        </w:rPr>
        <w:t xml:space="preserve">10 </w:t>
      </w:r>
      <w:r w:rsidRPr="00DF0D90">
        <w:rPr>
          <w:b/>
          <w:bCs/>
          <w:lang w:val="en-US"/>
        </w:rPr>
        <w:t>bilirubin</w:t>
      </w:r>
      <w:r w:rsidRPr="00DF0D90">
        <w:rPr>
          <w:b/>
          <w:bCs/>
        </w:rPr>
        <w:t xml:space="preserve"> (μ</w:t>
      </w:r>
      <w:r w:rsidRPr="00DF0D90">
        <w:rPr>
          <w:b/>
          <w:bCs/>
          <w:lang w:val="en-US"/>
        </w:rPr>
        <w:t>mol</w:t>
      </w:r>
      <w:r w:rsidRPr="00DF0D90">
        <w:rPr>
          <w:b/>
          <w:bCs/>
        </w:rPr>
        <w:t>/</w:t>
      </w:r>
      <w:r w:rsidRPr="00DF0D90">
        <w:rPr>
          <w:b/>
          <w:bCs/>
          <w:lang w:val="en-US"/>
        </w:rPr>
        <w:t>L</w:t>
      </w:r>
      <w:r w:rsidRPr="00DF0D90">
        <w:rPr>
          <w:b/>
          <w:bCs/>
        </w:rPr>
        <w:t xml:space="preserve">) </w:t>
      </w:r>
      <w:r w:rsidRPr="00DF0D90">
        <w:rPr>
          <w:b/>
          <w:bCs/>
          <w:lang w:val="en-US"/>
        </w:rPr>
        <w:t>x</w:t>
      </w:r>
      <w:r w:rsidRPr="00DF0D90">
        <w:rPr>
          <w:b/>
          <w:bCs/>
        </w:rPr>
        <w:t xml:space="preserve"> 0.66 + [</w:t>
      </w:r>
      <w:r w:rsidRPr="00DF0D90">
        <w:rPr>
          <w:b/>
          <w:bCs/>
          <w:lang w:val="en-US"/>
        </w:rPr>
        <w:t>albumin</w:t>
      </w:r>
      <w:r w:rsidRPr="00DF0D90">
        <w:rPr>
          <w:b/>
          <w:bCs/>
        </w:rPr>
        <w:t xml:space="preserve"> (</w:t>
      </w:r>
      <w:r w:rsidRPr="00DF0D90">
        <w:rPr>
          <w:b/>
          <w:bCs/>
          <w:lang w:val="en-US"/>
        </w:rPr>
        <w:t>g</w:t>
      </w:r>
      <w:r w:rsidRPr="00DF0D90">
        <w:rPr>
          <w:b/>
          <w:bCs/>
        </w:rPr>
        <w:t>/</w:t>
      </w:r>
      <w:r w:rsidRPr="00DF0D90">
        <w:rPr>
          <w:b/>
          <w:bCs/>
          <w:lang w:val="en-US"/>
        </w:rPr>
        <w:t>L</w:t>
      </w:r>
      <w:r w:rsidRPr="00DF0D90">
        <w:rPr>
          <w:b/>
          <w:bCs/>
        </w:rPr>
        <w:t xml:space="preserve"> </w:t>
      </w:r>
      <w:r w:rsidRPr="00DF0D90">
        <w:rPr>
          <w:b/>
          <w:bCs/>
          <w:lang w:val="en-US"/>
        </w:rPr>
        <w:t>x</w:t>
      </w:r>
      <w:r w:rsidRPr="00DF0D90">
        <w:rPr>
          <w:b/>
          <w:bCs/>
        </w:rPr>
        <w:t xml:space="preserve"> -0.085] </w:t>
      </w:r>
      <w:r w:rsidRPr="00DF0D90">
        <w:rPr>
          <w:b/>
          <w:bCs/>
        </w:rPr>
        <w:br/>
      </w:r>
      <w:r w:rsidR="00B570A0" w:rsidRPr="00DF0D90">
        <w:rPr>
          <w:b/>
          <w:bCs/>
        </w:rPr>
        <w:t>Коэффициент</w:t>
      </w:r>
      <w:r w:rsidRPr="00DF0D90">
        <w:rPr>
          <w:b/>
          <w:bCs/>
        </w:rPr>
        <w:t xml:space="preserve"> АЛБИ определяется как: </w:t>
      </w:r>
    </w:p>
    <w:p w14:paraId="5C29CDB2" w14:textId="04F0A9E8" w:rsidR="004F7795" w:rsidRPr="00DF0D90" w:rsidRDefault="00BB6A3E" w:rsidP="00F32797">
      <w:pPr>
        <w:spacing w:after="120" w:line="360" w:lineRule="auto"/>
        <w:rPr>
          <w:b/>
          <w:bCs/>
        </w:rPr>
      </w:pPr>
      <w:r>
        <w:rPr>
          <w:b/>
          <w:bCs/>
        </w:rPr>
        <w:t>с</w:t>
      </w:r>
      <w:r w:rsidR="004F7795" w:rsidRPr="00DF0D90">
        <w:rPr>
          <w:b/>
          <w:bCs/>
        </w:rPr>
        <w:t>тепень 1 ≤ -2.</w:t>
      </w:r>
      <w:r w:rsidRPr="00DF0D90">
        <w:rPr>
          <w:b/>
          <w:bCs/>
        </w:rPr>
        <w:t>60 -</w:t>
      </w:r>
      <w:r w:rsidR="004F7795" w:rsidRPr="00DF0D90">
        <w:rPr>
          <w:b/>
          <w:bCs/>
        </w:rPr>
        <w:t xml:space="preserve"> </w:t>
      </w:r>
      <w:r w:rsidR="004F7795" w:rsidRPr="00DF0D90">
        <w:rPr>
          <w:b/>
          <w:bCs/>
        </w:rPr>
        <w:tab/>
        <w:t>удовлетворительная функция функции печени</w:t>
      </w:r>
      <w:r>
        <w:rPr>
          <w:b/>
          <w:bCs/>
        </w:rPr>
        <w:t>;</w:t>
      </w:r>
      <w:r w:rsidR="004F7795" w:rsidRPr="00DF0D90">
        <w:rPr>
          <w:b/>
          <w:bCs/>
        </w:rPr>
        <w:br/>
        <w:t xml:space="preserve">степень </w:t>
      </w:r>
      <w:r w:rsidR="001D7B82" w:rsidRPr="00DF0D90">
        <w:rPr>
          <w:b/>
          <w:bCs/>
        </w:rPr>
        <w:t>2</w:t>
      </w:r>
      <w:r w:rsidR="001D7B82">
        <w:rPr>
          <w:b/>
          <w:bCs/>
        </w:rPr>
        <w:t>&gt;</w:t>
      </w:r>
      <w:r w:rsidR="004F7795" w:rsidRPr="00DF0D90">
        <w:rPr>
          <w:b/>
          <w:bCs/>
        </w:rPr>
        <w:t xml:space="preserve"> -2.60 </w:t>
      </w:r>
      <w:r w:rsidR="004F7795" w:rsidRPr="00DF0D90">
        <w:rPr>
          <w:b/>
          <w:bCs/>
          <w:lang w:val="en-US"/>
        </w:rPr>
        <w:t>to</w:t>
      </w:r>
      <w:r w:rsidR="004F7795" w:rsidRPr="00DF0D90">
        <w:rPr>
          <w:b/>
          <w:bCs/>
        </w:rPr>
        <w:t xml:space="preserve"> ≤ -1.39 умеренная декомпенсация функции печени</w:t>
      </w:r>
      <w:r>
        <w:rPr>
          <w:b/>
          <w:bCs/>
        </w:rPr>
        <w:t>;</w:t>
      </w:r>
      <w:r w:rsidR="004F7795" w:rsidRPr="00DF0D90">
        <w:rPr>
          <w:b/>
          <w:bCs/>
        </w:rPr>
        <w:br/>
        <w:t xml:space="preserve">степень </w:t>
      </w:r>
      <w:r w:rsidR="001D7B82" w:rsidRPr="00DF0D90">
        <w:rPr>
          <w:b/>
          <w:bCs/>
        </w:rPr>
        <w:t>3</w:t>
      </w:r>
      <w:r w:rsidR="001D7B82">
        <w:rPr>
          <w:b/>
          <w:bCs/>
        </w:rPr>
        <w:t>&gt;</w:t>
      </w:r>
      <w:r w:rsidR="004F7795" w:rsidRPr="00DF0D90">
        <w:rPr>
          <w:b/>
          <w:bCs/>
        </w:rPr>
        <w:t xml:space="preserve"> -1.39 – выраженная декомпенсация функции печени</w:t>
      </w:r>
      <w:r>
        <w:rPr>
          <w:b/>
          <w:bCs/>
        </w:rPr>
        <w:t>.</w:t>
      </w:r>
    </w:p>
    <w:p w14:paraId="590153D6" w14:textId="77777777" w:rsidR="004371B4" w:rsidRPr="00DF0D90" w:rsidRDefault="004371B4">
      <w:pPr>
        <w:pStyle w:val="42"/>
      </w:pPr>
    </w:p>
    <w:p w14:paraId="22FA1954" w14:textId="77777777" w:rsidR="004371B4" w:rsidRPr="00DF0D90" w:rsidRDefault="004371B4">
      <w:pPr>
        <w:pStyle w:val="42"/>
      </w:pPr>
    </w:p>
    <w:p w14:paraId="6FAA6429" w14:textId="77777777" w:rsidR="004371B4" w:rsidRPr="00DF0D90" w:rsidRDefault="004371B4">
      <w:pPr>
        <w:pStyle w:val="42"/>
      </w:pPr>
    </w:p>
    <w:p w14:paraId="76D15F05" w14:textId="77777777" w:rsidR="004371B4" w:rsidRPr="00DF0D90" w:rsidRDefault="004371B4">
      <w:pPr>
        <w:pStyle w:val="42"/>
      </w:pPr>
    </w:p>
    <w:p w14:paraId="593732D5" w14:textId="77777777" w:rsidR="00630BAC" w:rsidRPr="00BB6A3E" w:rsidRDefault="002963BE" w:rsidP="00F32797">
      <w:pPr>
        <w:pStyle w:val="42"/>
        <w:ind w:firstLine="0"/>
      </w:pPr>
      <w:r w:rsidRPr="00DF0D90">
        <w:br w:type="page"/>
      </w:r>
      <w:bookmarkStart w:id="159" w:name="_Toc98349308"/>
      <w:bookmarkStart w:id="160" w:name="_Toc83294006"/>
      <w:r w:rsidR="00630BAC" w:rsidRPr="00BB6A3E">
        <w:lastRenderedPageBreak/>
        <w:t>Приложение</w:t>
      </w:r>
      <w:bookmarkEnd w:id="155"/>
      <w:r w:rsidR="00630BAC" w:rsidRPr="00BB6A3E">
        <w:t xml:space="preserve"> Г</w:t>
      </w:r>
      <w:r w:rsidR="00A3201D" w:rsidRPr="00BB6A3E">
        <w:t>2</w:t>
      </w:r>
      <w:r w:rsidR="00630BAC" w:rsidRPr="00BB6A3E">
        <w:t xml:space="preserve">. </w:t>
      </w:r>
      <w:bookmarkEnd w:id="158"/>
      <w:r w:rsidR="00630BAC" w:rsidRPr="00BB6A3E">
        <w:t>Шкала оценки тяжести состояния пациента по версии ВОЗ/ECOG</w:t>
      </w:r>
      <w:bookmarkEnd w:id="159"/>
      <w:bookmarkEnd w:id="160"/>
    </w:p>
    <w:p w14:paraId="35A60480" w14:textId="77777777" w:rsidR="00630BAC" w:rsidRPr="00DF0D90" w:rsidRDefault="00630BAC" w:rsidP="004371B4">
      <w:pPr>
        <w:spacing w:after="120" w:line="360" w:lineRule="auto"/>
        <w:jc w:val="both"/>
      </w:pPr>
      <w:r w:rsidRPr="00DF0D90">
        <w:rPr>
          <w:b/>
          <w:bCs/>
          <w:color w:val="000000"/>
        </w:rPr>
        <w:t>Название на русском языке</w:t>
      </w:r>
      <w:r w:rsidRPr="00DF0D90">
        <w:rPr>
          <w:color w:val="000000"/>
        </w:rPr>
        <w:t xml:space="preserve">: </w:t>
      </w:r>
      <w:r w:rsidRPr="00DF0D90">
        <w:rPr>
          <w:iCs/>
        </w:rPr>
        <w:t>Шкала оценки тяжести состояния пациента по версии ВОЗ/</w:t>
      </w:r>
      <w:r w:rsidRPr="00DF0D90">
        <w:rPr>
          <w:iCs/>
          <w:lang w:val="en-US"/>
        </w:rPr>
        <w:t>ECOG</w:t>
      </w:r>
      <w:r w:rsidRPr="00DF0D90">
        <w:rPr>
          <w:iCs/>
        </w:rPr>
        <w:t>.</w:t>
      </w:r>
    </w:p>
    <w:p w14:paraId="3D07644A" w14:textId="77777777" w:rsidR="00630BAC" w:rsidRPr="00DF0D90" w:rsidRDefault="00630BAC" w:rsidP="004371B4">
      <w:pPr>
        <w:spacing w:after="120" w:line="360" w:lineRule="auto"/>
        <w:jc w:val="both"/>
        <w:rPr>
          <w:lang w:val="en-US"/>
        </w:rPr>
      </w:pPr>
      <w:r w:rsidRPr="00DF0D90">
        <w:rPr>
          <w:b/>
          <w:bCs/>
        </w:rPr>
        <w:t>Оригинальное</w:t>
      </w:r>
      <w:r w:rsidR="006951B9" w:rsidRPr="00DF0D90">
        <w:rPr>
          <w:b/>
          <w:bCs/>
          <w:lang w:val="en-US"/>
        </w:rPr>
        <w:t xml:space="preserve"> </w:t>
      </w:r>
      <w:r w:rsidRPr="00DF0D90">
        <w:rPr>
          <w:b/>
          <w:bCs/>
        </w:rPr>
        <w:t>название</w:t>
      </w:r>
      <w:r w:rsidRPr="00DF0D90">
        <w:rPr>
          <w:lang w:val="en-US"/>
        </w:rPr>
        <w:t>: The Eastern Cooperative Oncology Group/World Health Organization Performance Status (ECOG/WHO PS).</w:t>
      </w:r>
    </w:p>
    <w:p w14:paraId="5F9F30CA" w14:textId="77777777" w:rsidR="006951B9" w:rsidRPr="00DF0D90" w:rsidRDefault="00630BAC" w:rsidP="004371B4">
      <w:pPr>
        <w:spacing w:after="120" w:line="360" w:lineRule="auto"/>
        <w:jc w:val="both"/>
        <w:rPr>
          <w:b/>
          <w:bCs/>
        </w:rPr>
      </w:pPr>
      <w:r w:rsidRPr="00DF0D90">
        <w:rPr>
          <w:b/>
          <w:bCs/>
          <w:color w:val="000000"/>
        </w:rPr>
        <w:t>Источник (официальный сайт разработчиков, публикация с валидацией</w:t>
      </w:r>
      <w:r w:rsidRPr="00DF0D90">
        <w:rPr>
          <w:b/>
          <w:bCs/>
        </w:rPr>
        <w:t>):</w:t>
      </w:r>
    </w:p>
    <w:p w14:paraId="791FA147" w14:textId="77777777" w:rsidR="003003F4" w:rsidRPr="00DF0D90" w:rsidRDefault="003003F4" w:rsidP="003003F4">
      <w:pPr>
        <w:numPr>
          <w:ilvl w:val="0"/>
          <w:numId w:val="39"/>
        </w:numPr>
        <w:spacing w:after="120" w:line="360" w:lineRule="auto"/>
        <w:jc w:val="both"/>
      </w:pPr>
      <w:r w:rsidRPr="00DF0D90">
        <w:t>https://ecog-acrin.org/resources/ecog-performance-status</w:t>
      </w:r>
      <w:r w:rsidR="00630BAC" w:rsidRPr="00DF0D90">
        <w:t>.</w:t>
      </w:r>
    </w:p>
    <w:p w14:paraId="4D7B1036" w14:textId="77777777" w:rsidR="00101EC8" w:rsidRPr="00DF0D90" w:rsidRDefault="00101EC8" w:rsidP="003003F4">
      <w:pPr>
        <w:numPr>
          <w:ilvl w:val="0"/>
          <w:numId w:val="39"/>
        </w:numPr>
        <w:spacing w:after="120" w:line="360" w:lineRule="auto"/>
        <w:jc w:val="both"/>
        <w:rPr>
          <w:lang w:val="en-US"/>
        </w:rPr>
      </w:pPr>
      <w:r w:rsidRPr="00DF0D90">
        <w:rPr>
          <w:noProof/>
          <w:lang w:val="en-US"/>
        </w:rPr>
        <w:t>Oken M.M., Creech R.H., Davis T.E. Toxicology and response criteria of the Eastern Cooperative Oncology Group // Am. J. Clin. Oncol. Cancer Clin. Trials. 1982. Vol. 5, № 6. P. 649–655.</w:t>
      </w:r>
      <w:r w:rsidR="00D94CA9" w:rsidRPr="00DF0D90">
        <w:rPr>
          <w:noProof/>
          <w:lang w:val="en-US"/>
        </w:rPr>
        <w:t xml:space="preserve"> </w:t>
      </w:r>
    </w:p>
    <w:p w14:paraId="0529C55B" w14:textId="77777777" w:rsidR="00630BAC" w:rsidRPr="00DF0D90" w:rsidRDefault="00630BAC" w:rsidP="004371B4">
      <w:pPr>
        <w:spacing w:after="120" w:line="360" w:lineRule="auto"/>
        <w:jc w:val="both"/>
      </w:pPr>
      <w:r w:rsidRPr="00DF0D90">
        <w:rPr>
          <w:b/>
          <w:bCs/>
        </w:rPr>
        <w:t>Тип</w:t>
      </w:r>
      <w:r w:rsidRPr="00DF0D90">
        <w:t>: шкала оценки.</w:t>
      </w:r>
    </w:p>
    <w:p w14:paraId="2E84F074" w14:textId="77777777" w:rsidR="00630BAC" w:rsidRPr="00DF0D90" w:rsidRDefault="00630BAC" w:rsidP="004371B4">
      <w:pPr>
        <w:spacing w:after="120" w:line="360" w:lineRule="auto"/>
        <w:jc w:val="both"/>
      </w:pPr>
      <w:r w:rsidRPr="00DF0D90">
        <w:rPr>
          <w:b/>
          <w:bCs/>
        </w:rPr>
        <w:t>Назначение:</w:t>
      </w:r>
      <w:r w:rsidR="006951B9" w:rsidRPr="00DF0D90">
        <w:t xml:space="preserve"> </w:t>
      </w:r>
      <w:r w:rsidRPr="00DF0D90">
        <w:t>описать уровень функционирования пациента с точки зрения его способности заботиться о себе, повседневной активности и физических способностях (ходьба, работа и т. д.).</w:t>
      </w:r>
    </w:p>
    <w:p w14:paraId="3D09550D" w14:textId="77777777" w:rsidR="00630BAC" w:rsidRPr="00DF0D90" w:rsidRDefault="00630BAC" w:rsidP="004371B4">
      <w:pPr>
        <w:spacing w:after="120" w:line="360" w:lineRule="auto"/>
        <w:jc w:val="both"/>
        <w:rPr>
          <w:b/>
          <w:bCs/>
        </w:rPr>
      </w:pPr>
      <w:r w:rsidRPr="00DF0D90">
        <w:rPr>
          <w:b/>
          <w:bCs/>
        </w:rPr>
        <w:t>Содержание:</w:t>
      </w:r>
    </w:p>
    <w:tbl>
      <w:tblPr>
        <w:tblW w:w="937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6"/>
        <w:gridCol w:w="8505"/>
      </w:tblGrid>
      <w:tr w:rsidR="00630BAC" w:rsidRPr="00DF0D90" w14:paraId="36619175" w14:textId="77777777">
        <w:trPr>
          <w:trHeight w:val="239"/>
        </w:trPr>
        <w:tc>
          <w:tcPr>
            <w:tcW w:w="866" w:type="dxa"/>
            <w:vAlign w:val="center"/>
          </w:tcPr>
          <w:p w14:paraId="2A10B56E" w14:textId="77777777" w:rsidR="00630BAC" w:rsidRPr="00DF0D90" w:rsidRDefault="00630BAC" w:rsidP="000A7F25">
            <w:pPr>
              <w:contextualSpacing/>
              <w:jc w:val="both"/>
              <w:rPr>
                <w:b/>
                <w:bCs/>
              </w:rPr>
            </w:pPr>
            <w:r w:rsidRPr="00DF0D90">
              <w:rPr>
                <w:b/>
                <w:bCs/>
              </w:rPr>
              <w:t>Балл</w:t>
            </w:r>
          </w:p>
        </w:tc>
        <w:tc>
          <w:tcPr>
            <w:tcW w:w="8505" w:type="dxa"/>
            <w:vAlign w:val="center"/>
          </w:tcPr>
          <w:p w14:paraId="5E0D1167" w14:textId="77777777" w:rsidR="00630BAC" w:rsidRPr="00DF0D90" w:rsidRDefault="00630BAC" w:rsidP="000A7F25">
            <w:pPr>
              <w:contextualSpacing/>
              <w:jc w:val="both"/>
              <w:rPr>
                <w:b/>
                <w:bCs/>
              </w:rPr>
            </w:pPr>
            <w:r w:rsidRPr="00DF0D90">
              <w:rPr>
                <w:b/>
                <w:bCs/>
              </w:rPr>
              <w:t>Описание</w:t>
            </w:r>
          </w:p>
        </w:tc>
      </w:tr>
      <w:tr w:rsidR="00630BAC" w:rsidRPr="00DF0D90" w14:paraId="4813D47E" w14:textId="77777777">
        <w:trPr>
          <w:trHeight w:val="406"/>
        </w:trPr>
        <w:tc>
          <w:tcPr>
            <w:tcW w:w="866" w:type="dxa"/>
          </w:tcPr>
          <w:p w14:paraId="581604B4" w14:textId="77777777" w:rsidR="00630BAC" w:rsidRPr="00DF0D90" w:rsidRDefault="00630BAC" w:rsidP="000A7F25">
            <w:pPr>
              <w:contextualSpacing/>
              <w:jc w:val="both"/>
            </w:pPr>
            <w:r w:rsidRPr="00DF0D90">
              <w:t>0</w:t>
            </w:r>
          </w:p>
        </w:tc>
        <w:tc>
          <w:tcPr>
            <w:tcW w:w="8505" w:type="dxa"/>
          </w:tcPr>
          <w:p w14:paraId="5FBF4701" w14:textId="77777777" w:rsidR="00630BAC" w:rsidRPr="00DF0D90" w:rsidRDefault="00D95F2E" w:rsidP="000A7F25">
            <w:pPr>
              <w:contextualSpacing/>
              <w:jc w:val="both"/>
            </w:pPr>
            <w:r w:rsidRPr="00DF0D90">
              <w:t>Пациент</w:t>
            </w:r>
            <w:r w:rsidR="00630BAC" w:rsidRPr="00DF0D90">
              <w:t xml:space="preserve"> полностью активен, способен выполнять все действия так же, как и до заболевания (90–100 % по шкале </w:t>
            </w:r>
            <w:proofErr w:type="spellStart"/>
            <w:r w:rsidR="00630BAC" w:rsidRPr="00DF0D90">
              <w:t>Карновского</w:t>
            </w:r>
            <w:proofErr w:type="spellEnd"/>
            <w:r w:rsidR="00630BAC" w:rsidRPr="00DF0D90">
              <w:t xml:space="preserve">) </w:t>
            </w:r>
          </w:p>
        </w:tc>
      </w:tr>
      <w:tr w:rsidR="00630BAC" w:rsidRPr="00DF0D90" w14:paraId="3A23ACC2" w14:textId="77777777">
        <w:tc>
          <w:tcPr>
            <w:tcW w:w="866" w:type="dxa"/>
          </w:tcPr>
          <w:p w14:paraId="3BCBCB87" w14:textId="77777777" w:rsidR="00630BAC" w:rsidRPr="00DF0D90" w:rsidRDefault="00630BAC" w:rsidP="000A7F25">
            <w:pPr>
              <w:contextualSpacing/>
              <w:jc w:val="both"/>
            </w:pPr>
            <w:r w:rsidRPr="00DF0D90">
              <w:t>1</w:t>
            </w:r>
          </w:p>
        </w:tc>
        <w:tc>
          <w:tcPr>
            <w:tcW w:w="8505" w:type="dxa"/>
          </w:tcPr>
          <w:p w14:paraId="144BC726" w14:textId="77777777" w:rsidR="00630BAC" w:rsidRPr="00DF0D90" w:rsidRDefault="00D95F2E" w:rsidP="000A7F25">
            <w:pPr>
              <w:contextualSpacing/>
              <w:jc w:val="both"/>
            </w:pPr>
            <w:r w:rsidRPr="00DF0D90">
              <w:t>Пациент</w:t>
            </w:r>
            <w:r w:rsidR="00630BAC" w:rsidRPr="00DF0D90">
              <w:t xml:space="preserve"> неспособен выполнять тяжелую, но может выполнять легкую или сидячую работу (например, легкую домашнюю или канцелярскую работу, </w:t>
            </w:r>
            <w:r w:rsidR="00630BAC" w:rsidRPr="00DF0D90">
              <w:br/>
              <w:t xml:space="preserve">70–80 % по шкале </w:t>
            </w:r>
            <w:proofErr w:type="spellStart"/>
            <w:r w:rsidR="00630BAC" w:rsidRPr="00DF0D90">
              <w:t>Карновского</w:t>
            </w:r>
            <w:proofErr w:type="spellEnd"/>
            <w:r w:rsidR="00630BAC" w:rsidRPr="00DF0D90">
              <w:t xml:space="preserve">) </w:t>
            </w:r>
          </w:p>
        </w:tc>
      </w:tr>
      <w:tr w:rsidR="00630BAC" w:rsidRPr="00DF0D90" w14:paraId="6AED3379" w14:textId="77777777">
        <w:tc>
          <w:tcPr>
            <w:tcW w:w="866" w:type="dxa"/>
          </w:tcPr>
          <w:p w14:paraId="05A771E9" w14:textId="77777777" w:rsidR="00630BAC" w:rsidRPr="00DF0D90" w:rsidRDefault="00630BAC" w:rsidP="000A7F25">
            <w:pPr>
              <w:contextualSpacing/>
              <w:jc w:val="both"/>
            </w:pPr>
            <w:r w:rsidRPr="00DF0D90">
              <w:t>2</w:t>
            </w:r>
          </w:p>
        </w:tc>
        <w:tc>
          <w:tcPr>
            <w:tcW w:w="8505" w:type="dxa"/>
          </w:tcPr>
          <w:p w14:paraId="03C9AC8C" w14:textId="77777777" w:rsidR="00630BAC" w:rsidRPr="00DF0D90" w:rsidRDefault="00D95F2E" w:rsidP="000A7F25">
            <w:pPr>
              <w:contextualSpacing/>
              <w:jc w:val="both"/>
            </w:pPr>
            <w:r w:rsidRPr="00DF0D90">
              <w:t>Пациент</w:t>
            </w:r>
            <w:r w:rsidR="00630BAC" w:rsidRPr="00DF0D90">
              <w:t xml:space="preserve"> лечится амбулаторно, способен к самообслуживанию, но не может выполнять работу. Более 50 % времени бодрствования проводит активно – в вертикальном положении (50–60 % по шкале </w:t>
            </w:r>
            <w:proofErr w:type="spellStart"/>
            <w:r w:rsidR="00630BAC" w:rsidRPr="00DF0D90">
              <w:t>Карновского</w:t>
            </w:r>
            <w:proofErr w:type="spellEnd"/>
            <w:r w:rsidR="00630BAC" w:rsidRPr="00DF0D90">
              <w:t xml:space="preserve">) </w:t>
            </w:r>
          </w:p>
        </w:tc>
      </w:tr>
      <w:tr w:rsidR="00630BAC" w:rsidRPr="00DF0D90" w14:paraId="35227805" w14:textId="77777777">
        <w:tc>
          <w:tcPr>
            <w:tcW w:w="866" w:type="dxa"/>
          </w:tcPr>
          <w:p w14:paraId="28DCA723" w14:textId="77777777" w:rsidR="00630BAC" w:rsidRPr="00DF0D90" w:rsidRDefault="00630BAC" w:rsidP="000A7F25">
            <w:pPr>
              <w:contextualSpacing/>
              <w:jc w:val="both"/>
            </w:pPr>
            <w:r w:rsidRPr="00DF0D90">
              <w:t>3</w:t>
            </w:r>
          </w:p>
        </w:tc>
        <w:tc>
          <w:tcPr>
            <w:tcW w:w="8505" w:type="dxa"/>
          </w:tcPr>
          <w:p w14:paraId="3404BF0F" w14:textId="77777777" w:rsidR="00630BAC" w:rsidRPr="00DF0D90" w:rsidRDefault="00D95F2E" w:rsidP="000A7F25">
            <w:pPr>
              <w:contextualSpacing/>
              <w:jc w:val="both"/>
            </w:pPr>
            <w:r w:rsidRPr="00DF0D90">
              <w:t>Пациент</w:t>
            </w:r>
            <w:r w:rsidR="00630BAC" w:rsidRPr="00DF0D90">
              <w:t xml:space="preserve"> способен лишь к ограниченному самообслуживанию, проводит </w:t>
            </w:r>
            <w:r w:rsidR="00630BAC" w:rsidRPr="00DF0D90">
              <w:br/>
              <w:t xml:space="preserve">в кресле или постели более 50 % времени бодрствования (30–40 % по шкале </w:t>
            </w:r>
            <w:proofErr w:type="spellStart"/>
            <w:r w:rsidR="00630BAC" w:rsidRPr="00DF0D90">
              <w:t>Карновского</w:t>
            </w:r>
            <w:proofErr w:type="spellEnd"/>
            <w:r w:rsidR="00630BAC" w:rsidRPr="00DF0D90">
              <w:t xml:space="preserve">) </w:t>
            </w:r>
          </w:p>
        </w:tc>
      </w:tr>
      <w:tr w:rsidR="00630BAC" w:rsidRPr="00DF0D90" w14:paraId="7DF39D7C" w14:textId="77777777">
        <w:tc>
          <w:tcPr>
            <w:tcW w:w="866" w:type="dxa"/>
          </w:tcPr>
          <w:p w14:paraId="06631BEE" w14:textId="77777777" w:rsidR="00630BAC" w:rsidRPr="00DF0D90" w:rsidRDefault="00630BAC" w:rsidP="000A7F25">
            <w:pPr>
              <w:contextualSpacing/>
              <w:jc w:val="both"/>
            </w:pPr>
            <w:r w:rsidRPr="00DF0D90">
              <w:t>4</w:t>
            </w:r>
          </w:p>
        </w:tc>
        <w:tc>
          <w:tcPr>
            <w:tcW w:w="8505" w:type="dxa"/>
          </w:tcPr>
          <w:p w14:paraId="23333136" w14:textId="77777777" w:rsidR="00630BAC" w:rsidRPr="00DF0D90" w:rsidRDefault="00630BAC" w:rsidP="000A7F25">
            <w:pPr>
              <w:contextualSpacing/>
              <w:jc w:val="both"/>
            </w:pPr>
            <w:r w:rsidRPr="00DF0D90">
              <w:t xml:space="preserve">Инвалид, совершенно не способен к самообслуживанию, прикован к креслу или постели (10–20 % по шкале </w:t>
            </w:r>
            <w:proofErr w:type="spellStart"/>
            <w:r w:rsidRPr="00DF0D90">
              <w:t>Карновского</w:t>
            </w:r>
            <w:proofErr w:type="spellEnd"/>
            <w:r w:rsidRPr="00DF0D90">
              <w:t xml:space="preserve">) </w:t>
            </w:r>
          </w:p>
        </w:tc>
      </w:tr>
    </w:tbl>
    <w:p w14:paraId="05ED9915" w14:textId="77777777" w:rsidR="00630BAC" w:rsidRPr="00DF0D90" w:rsidRDefault="00630BAC" w:rsidP="004371B4">
      <w:pPr>
        <w:spacing w:after="120" w:line="360" w:lineRule="auto"/>
        <w:jc w:val="both"/>
        <w:rPr>
          <w:i/>
        </w:rPr>
      </w:pPr>
      <w:r w:rsidRPr="00DF0D90">
        <w:rPr>
          <w:b/>
          <w:i/>
        </w:rPr>
        <w:t>Примечание.</w:t>
      </w:r>
      <w:r w:rsidRPr="00DF0D90">
        <w:rPr>
          <w:i/>
        </w:rPr>
        <w:t xml:space="preserve"> Ключ (интерпретация) приведен в самой шкале.</w:t>
      </w:r>
    </w:p>
    <w:p w14:paraId="07167800" w14:textId="77777777" w:rsidR="00630BAC" w:rsidRPr="00DF0D90" w:rsidRDefault="00630BAC" w:rsidP="00801019">
      <w:pPr>
        <w:pStyle w:val="42"/>
      </w:pPr>
      <w:r w:rsidRPr="00DF0D90">
        <w:br w:type="page"/>
      </w:r>
      <w:bookmarkStart w:id="161" w:name="_Toc98349309"/>
      <w:bookmarkStart w:id="162" w:name="_Toc83294007"/>
      <w:r w:rsidRPr="00DF0D90">
        <w:lastRenderedPageBreak/>
        <w:t>Приложение Г</w:t>
      </w:r>
      <w:r w:rsidR="00A3201D" w:rsidRPr="00DF0D90">
        <w:t>3</w:t>
      </w:r>
      <w:r w:rsidRPr="00DF0D90">
        <w:t xml:space="preserve">. Шкала </w:t>
      </w:r>
      <w:proofErr w:type="spellStart"/>
      <w:r w:rsidRPr="00DF0D90">
        <w:t>Карновского</w:t>
      </w:r>
      <w:bookmarkEnd w:id="161"/>
      <w:bookmarkEnd w:id="162"/>
      <w:proofErr w:type="spellEnd"/>
    </w:p>
    <w:p w14:paraId="0406426A" w14:textId="77777777" w:rsidR="00630BAC" w:rsidRPr="00DF0D90" w:rsidRDefault="00630BAC" w:rsidP="004371B4">
      <w:pPr>
        <w:spacing w:after="120" w:line="360" w:lineRule="auto"/>
        <w:jc w:val="both"/>
      </w:pPr>
      <w:r w:rsidRPr="00DF0D90">
        <w:rPr>
          <w:b/>
          <w:bCs/>
        </w:rPr>
        <w:t>Название на русском языке</w:t>
      </w:r>
      <w:r w:rsidRPr="00DF0D90">
        <w:t>:</w:t>
      </w:r>
      <w:r w:rsidRPr="00DF0D90">
        <w:rPr>
          <w:iCs/>
        </w:rPr>
        <w:t xml:space="preserve"> Шкала </w:t>
      </w:r>
      <w:proofErr w:type="spellStart"/>
      <w:r w:rsidRPr="00DF0D90">
        <w:rPr>
          <w:iCs/>
        </w:rPr>
        <w:t>Карновского</w:t>
      </w:r>
      <w:proofErr w:type="spellEnd"/>
      <w:r w:rsidRPr="00DF0D90">
        <w:rPr>
          <w:iCs/>
        </w:rPr>
        <w:t>.</w:t>
      </w:r>
    </w:p>
    <w:p w14:paraId="7F2E88A3" w14:textId="77777777" w:rsidR="00630BAC" w:rsidRPr="00DF0D90" w:rsidRDefault="00630BAC" w:rsidP="004371B4">
      <w:pPr>
        <w:spacing w:after="120" w:line="360" w:lineRule="auto"/>
        <w:jc w:val="both"/>
        <w:rPr>
          <w:lang w:val="en-US"/>
        </w:rPr>
      </w:pPr>
      <w:r w:rsidRPr="00DF0D90">
        <w:rPr>
          <w:b/>
          <w:bCs/>
        </w:rPr>
        <w:t>Оригинальное</w:t>
      </w:r>
      <w:r w:rsidRPr="00DF0D90">
        <w:rPr>
          <w:b/>
          <w:bCs/>
          <w:lang w:val="en-US"/>
        </w:rPr>
        <w:t xml:space="preserve"> </w:t>
      </w:r>
      <w:r w:rsidRPr="00DF0D90">
        <w:rPr>
          <w:b/>
          <w:bCs/>
        </w:rPr>
        <w:t>название</w:t>
      </w:r>
      <w:r w:rsidRPr="00DF0D90">
        <w:rPr>
          <w:b/>
          <w:bCs/>
          <w:lang w:val="en-US"/>
        </w:rPr>
        <w:t>:</w:t>
      </w:r>
      <w:r w:rsidRPr="00DF0D90">
        <w:rPr>
          <w:lang w:val="en-US"/>
        </w:rPr>
        <w:t xml:space="preserve"> Karnofsky Performance Status.</w:t>
      </w:r>
    </w:p>
    <w:p w14:paraId="373CD4E5" w14:textId="77777777" w:rsidR="00101EC8" w:rsidRPr="00DF0D90" w:rsidRDefault="00630BAC" w:rsidP="004371B4">
      <w:pPr>
        <w:spacing w:after="120" w:line="360" w:lineRule="auto"/>
        <w:jc w:val="both"/>
        <w:rPr>
          <w:b/>
          <w:bCs/>
          <w:lang w:val="en-US"/>
        </w:rPr>
      </w:pPr>
      <w:r w:rsidRPr="00DF0D90">
        <w:rPr>
          <w:b/>
          <w:bCs/>
        </w:rPr>
        <w:t>Оригинальная</w:t>
      </w:r>
      <w:r w:rsidR="006951B9" w:rsidRPr="00DF0D90">
        <w:rPr>
          <w:b/>
          <w:bCs/>
          <w:lang w:val="en-US"/>
        </w:rPr>
        <w:t xml:space="preserve"> </w:t>
      </w:r>
      <w:r w:rsidRPr="00DF0D90">
        <w:rPr>
          <w:b/>
          <w:bCs/>
        </w:rPr>
        <w:t>публикация</w:t>
      </w:r>
      <w:r w:rsidRPr="00DF0D90">
        <w:rPr>
          <w:b/>
          <w:bCs/>
          <w:lang w:val="en-US"/>
        </w:rPr>
        <w:t xml:space="preserve">: </w:t>
      </w:r>
    </w:p>
    <w:p w14:paraId="33C01C73" w14:textId="77777777" w:rsidR="00101EC8" w:rsidRPr="00DF0D90" w:rsidRDefault="00D94CA9" w:rsidP="004371B4">
      <w:pPr>
        <w:spacing w:after="120" w:line="360" w:lineRule="auto"/>
        <w:jc w:val="both"/>
        <w:rPr>
          <w:lang w:val="en-US"/>
        </w:rPr>
      </w:pPr>
      <w:r w:rsidRPr="00DF0D90">
        <w:rPr>
          <w:lang w:val="en-US"/>
        </w:rPr>
        <w:t xml:space="preserve">Karnofsky DA B.J.H. The clinical evaluation of chemotherapeutic agents in cancer. Evaluation of Chemotherapeutic Agents. // Columbia Univ. Press. 1949. P. 191–205. </w:t>
      </w:r>
    </w:p>
    <w:p w14:paraId="6C1037A6" w14:textId="77777777" w:rsidR="00630BAC" w:rsidRPr="00132417" w:rsidRDefault="00630BAC" w:rsidP="004371B4">
      <w:pPr>
        <w:spacing w:after="120" w:line="360" w:lineRule="auto"/>
        <w:jc w:val="both"/>
      </w:pPr>
      <w:r w:rsidRPr="00DF0D90">
        <w:rPr>
          <w:b/>
          <w:bCs/>
        </w:rPr>
        <w:t>Тип</w:t>
      </w:r>
      <w:r w:rsidRPr="00132417">
        <w:t xml:space="preserve">: </w:t>
      </w:r>
      <w:r w:rsidRPr="00DF0D90">
        <w:t>шкала</w:t>
      </w:r>
      <w:r w:rsidRPr="00132417">
        <w:t xml:space="preserve"> </w:t>
      </w:r>
      <w:r w:rsidRPr="00DF0D90">
        <w:t>оценки</w:t>
      </w:r>
      <w:r w:rsidRPr="00132417">
        <w:t>.</w:t>
      </w:r>
    </w:p>
    <w:p w14:paraId="4533CD45" w14:textId="77777777" w:rsidR="00630BAC" w:rsidRPr="00DF0D90" w:rsidRDefault="00630BAC" w:rsidP="004371B4">
      <w:pPr>
        <w:spacing w:after="120" w:line="360" w:lineRule="auto"/>
        <w:jc w:val="both"/>
      </w:pPr>
      <w:r w:rsidRPr="00DF0D90">
        <w:rPr>
          <w:b/>
          <w:bCs/>
        </w:rPr>
        <w:t>Назначение</w:t>
      </w:r>
      <w:r w:rsidRPr="00DF0D90">
        <w:t>: описать уровень функционирования пациента с точки зрения его способности заботиться о себе, повседневной активности и физических способностях (ходьба, работа и т. д.).</w:t>
      </w:r>
    </w:p>
    <w:p w14:paraId="6F56B48B" w14:textId="77777777" w:rsidR="00630BAC" w:rsidRPr="00DF0D90" w:rsidRDefault="000E129D" w:rsidP="004371B4">
      <w:pPr>
        <w:spacing w:after="120" w:line="360" w:lineRule="auto"/>
        <w:jc w:val="both"/>
        <w:rPr>
          <w:b/>
          <w:bCs/>
        </w:rPr>
      </w:pPr>
      <w:r w:rsidRPr="00DF0D90">
        <w:rPr>
          <w:b/>
          <w:bCs/>
        </w:rPr>
        <w:t>Содержание:</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37"/>
      </w:tblGrid>
      <w:tr w:rsidR="00630BAC" w:rsidRPr="00DF0D90" w14:paraId="3376F881" w14:textId="77777777">
        <w:tc>
          <w:tcPr>
            <w:tcW w:w="9345" w:type="dxa"/>
          </w:tcPr>
          <w:p w14:paraId="6C592896" w14:textId="77777777" w:rsidR="00630BAC" w:rsidRPr="00DF0D90" w:rsidRDefault="00630BAC" w:rsidP="000A7F25">
            <w:pPr>
              <w:spacing w:after="120"/>
              <w:jc w:val="both"/>
              <w:rPr>
                <w:b/>
              </w:rPr>
            </w:pPr>
            <w:r w:rsidRPr="00DF0D90">
              <w:rPr>
                <w:b/>
              </w:rPr>
              <w:t xml:space="preserve">Шкала </w:t>
            </w:r>
            <w:proofErr w:type="spellStart"/>
            <w:r w:rsidRPr="00DF0D90">
              <w:rPr>
                <w:b/>
              </w:rPr>
              <w:t>Карновского</w:t>
            </w:r>
            <w:proofErr w:type="spellEnd"/>
          </w:p>
        </w:tc>
      </w:tr>
      <w:tr w:rsidR="00630BAC" w:rsidRPr="00DF0D90" w14:paraId="100D278B" w14:textId="77777777">
        <w:tc>
          <w:tcPr>
            <w:tcW w:w="9345" w:type="dxa"/>
          </w:tcPr>
          <w:p w14:paraId="762849FF" w14:textId="77777777" w:rsidR="00630BAC" w:rsidRPr="00DF0D90" w:rsidRDefault="00630BAC" w:rsidP="000A7F25">
            <w:pPr>
              <w:spacing w:after="120"/>
              <w:jc w:val="both"/>
            </w:pPr>
            <w:r w:rsidRPr="00DF0D90">
              <w:t>100 – Состояние нормальное, жалоб нет</w:t>
            </w:r>
          </w:p>
          <w:p w14:paraId="02ABB360" w14:textId="77777777" w:rsidR="00630BAC" w:rsidRPr="00DF0D90" w:rsidRDefault="00630BAC" w:rsidP="000A7F25">
            <w:pPr>
              <w:spacing w:after="120"/>
              <w:jc w:val="both"/>
            </w:pPr>
            <w:r w:rsidRPr="00DF0D90">
              <w:t>90 – Способен к нормальной деятельности, незначительные симптомы или признаки заболевания</w:t>
            </w:r>
          </w:p>
        </w:tc>
      </w:tr>
      <w:tr w:rsidR="00630BAC" w:rsidRPr="00DF0D90" w14:paraId="1288323C" w14:textId="77777777">
        <w:tc>
          <w:tcPr>
            <w:tcW w:w="9345" w:type="dxa"/>
          </w:tcPr>
          <w:p w14:paraId="63B2C5C8" w14:textId="77777777" w:rsidR="00630BAC" w:rsidRPr="00DF0D90" w:rsidRDefault="00630BAC" w:rsidP="000A7F25">
            <w:pPr>
              <w:spacing w:after="120"/>
              <w:jc w:val="both"/>
            </w:pPr>
            <w:r w:rsidRPr="00DF0D90">
              <w:t>80 – Нормальная активность с усилием, незначительные симптомы или признаки заболевания</w:t>
            </w:r>
          </w:p>
          <w:p w14:paraId="5C5A62AB" w14:textId="77777777" w:rsidR="00630BAC" w:rsidRPr="00DF0D90" w:rsidRDefault="00630BAC" w:rsidP="000A7F25">
            <w:pPr>
              <w:spacing w:after="120"/>
              <w:jc w:val="both"/>
            </w:pPr>
            <w:r w:rsidRPr="00DF0D90">
              <w:t>70 – Обсуживает себя самостоятельно, не способен к нормальной деятельности или активной работе</w:t>
            </w:r>
          </w:p>
        </w:tc>
      </w:tr>
      <w:tr w:rsidR="00630BAC" w:rsidRPr="00DF0D90" w14:paraId="329E6153" w14:textId="77777777">
        <w:tc>
          <w:tcPr>
            <w:tcW w:w="9345" w:type="dxa"/>
          </w:tcPr>
          <w:p w14:paraId="0DFBE1CB" w14:textId="77777777" w:rsidR="00630BAC" w:rsidRPr="00DF0D90" w:rsidRDefault="00630BAC" w:rsidP="000A7F25">
            <w:pPr>
              <w:spacing w:after="120"/>
              <w:jc w:val="both"/>
            </w:pPr>
            <w:r w:rsidRPr="00DF0D90">
              <w:t>60 – Нуждается порой в помощи, но способен сам удовлетворять большую часть своих потребностей</w:t>
            </w:r>
          </w:p>
          <w:p w14:paraId="1311F2DA" w14:textId="77777777" w:rsidR="00630BAC" w:rsidRPr="00DF0D90" w:rsidRDefault="00630BAC" w:rsidP="000A7F25">
            <w:pPr>
              <w:spacing w:after="120"/>
              <w:jc w:val="both"/>
            </w:pPr>
            <w:r w:rsidRPr="00DF0D90">
              <w:t>50 – Нуждается в значительной помощи и медицинском обслуживании</w:t>
            </w:r>
          </w:p>
        </w:tc>
      </w:tr>
      <w:tr w:rsidR="00630BAC" w:rsidRPr="00DF0D90" w14:paraId="2EE219AC" w14:textId="77777777">
        <w:tc>
          <w:tcPr>
            <w:tcW w:w="9345" w:type="dxa"/>
          </w:tcPr>
          <w:p w14:paraId="0108759D" w14:textId="77777777" w:rsidR="00630BAC" w:rsidRPr="00DF0D90" w:rsidRDefault="00630BAC" w:rsidP="000A7F25">
            <w:pPr>
              <w:spacing w:after="120"/>
              <w:jc w:val="both"/>
            </w:pPr>
            <w:r w:rsidRPr="00DF0D90">
              <w:t>40 – Инвалид, нуждается в специальной помощи, в том числе медицинской</w:t>
            </w:r>
          </w:p>
          <w:p w14:paraId="3C94ADF3" w14:textId="77777777" w:rsidR="00630BAC" w:rsidRPr="00DF0D90" w:rsidRDefault="00630BAC" w:rsidP="000A7F25">
            <w:pPr>
              <w:spacing w:after="120"/>
              <w:jc w:val="both"/>
            </w:pPr>
            <w:r w:rsidRPr="00DF0D90">
              <w:t xml:space="preserve">30 – Тяжелая инвалидность, показана госпитализация, хотя смерть непосредственно </w:t>
            </w:r>
            <w:r w:rsidRPr="00DF0D90">
              <w:br/>
              <w:t>не угрожает</w:t>
            </w:r>
          </w:p>
        </w:tc>
      </w:tr>
      <w:tr w:rsidR="00630BAC" w:rsidRPr="00DF0D90" w14:paraId="1F701D22" w14:textId="77777777">
        <w:tc>
          <w:tcPr>
            <w:tcW w:w="9345" w:type="dxa"/>
          </w:tcPr>
          <w:p w14:paraId="32FFAAFC" w14:textId="77777777" w:rsidR="00630BAC" w:rsidRPr="00DF0D90" w:rsidRDefault="00630BAC" w:rsidP="000A7F25">
            <w:pPr>
              <w:spacing w:after="120"/>
              <w:jc w:val="both"/>
            </w:pPr>
            <w:r w:rsidRPr="00DF0D90">
              <w:t xml:space="preserve">20 – Тяжелый </w:t>
            </w:r>
            <w:r w:rsidR="00D95F2E" w:rsidRPr="00DF0D90">
              <w:t>пациент</w:t>
            </w:r>
            <w:r w:rsidRPr="00DF0D90">
              <w:t>. Необходимы госпитализация и активное лечение</w:t>
            </w:r>
          </w:p>
          <w:p w14:paraId="154F54AD" w14:textId="77777777" w:rsidR="00630BAC" w:rsidRPr="00DF0D90" w:rsidRDefault="00630BAC" w:rsidP="000A7F25">
            <w:pPr>
              <w:spacing w:after="120"/>
              <w:jc w:val="both"/>
            </w:pPr>
            <w:r w:rsidRPr="00DF0D90">
              <w:t>10 – Умирающий</w:t>
            </w:r>
          </w:p>
        </w:tc>
      </w:tr>
      <w:tr w:rsidR="00630BAC" w:rsidRPr="00DF0D90" w14:paraId="2E37A38A" w14:textId="77777777">
        <w:tc>
          <w:tcPr>
            <w:tcW w:w="9345" w:type="dxa"/>
          </w:tcPr>
          <w:p w14:paraId="2B1A623E" w14:textId="77777777" w:rsidR="00630BAC" w:rsidRPr="00DF0D90" w:rsidRDefault="00630BAC" w:rsidP="000A7F25">
            <w:pPr>
              <w:spacing w:after="120"/>
              <w:jc w:val="both"/>
            </w:pPr>
            <w:r w:rsidRPr="00DF0D90">
              <w:t>0 – Смерть</w:t>
            </w:r>
          </w:p>
        </w:tc>
      </w:tr>
    </w:tbl>
    <w:p w14:paraId="2789B5C2" w14:textId="77777777" w:rsidR="00630BAC" w:rsidRPr="00DF0D90" w:rsidRDefault="00630BAC" w:rsidP="006D217F">
      <w:pPr>
        <w:spacing w:after="120" w:line="360" w:lineRule="auto"/>
        <w:ind w:firstLine="567"/>
        <w:jc w:val="both"/>
        <w:rPr>
          <w:i/>
        </w:rPr>
      </w:pPr>
      <w:r w:rsidRPr="00DF0D90">
        <w:rPr>
          <w:b/>
          <w:i/>
        </w:rPr>
        <w:t>Примечание.</w:t>
      </w:r>
      <w:r w:rsidRPr="00DF0D90">
        <w:rPr>
          <w:i/>
        </w:rPr>
        <w:t xml:space="preserve"> Ключ (интерпретация) приведен в самой шкале.</w:t>
      </w:r>
    </w:p>
    <w:p w14:paraId="690E9809" w14:textId="77777777" w:rsidR="00630BAC" w:rsidRPr="00DF0D90" w:rsidRDefault="00630BAC" w:rsidP="00801019">
      <w:pPr>
        <w:pStyle w:val="42"/>
      </w:pPr>
      <w:r w:rsidRPr="00DF0D90">
        <w:br w:type="page"/>
      </w:r>
      <w:bookmarkStart w:id="163" w:name="_Toc98349310"/>
      <w:bookmarkStart w:id="164" w:name="_Toc83294008"/>
      <w:bookmarkStart w:id="165" w:name="_Hlk71732200"/>
      <w:r w:rsidRPr="00DF0D90">
        <w:lastRenderedPageBreak/>
        <w:t>Приложение Г</w:t>
      </w:r>
      <w:r w:rsidR="001F2D20" w:rsidRPr="00DF0D90">
        <w:t>4</w:t>
      </w:r>
      <w:r w:rsidRPr="00DF0D90">
        <w:t xml:space="preserve">. Критерии оценки ответа опухоли на лечение </w:t>
      </w:r>
      <w:r w:rsidRPr="00DF0D90">
        <w:br/>
        <w:t>(</w:t>
      </w:r>
      <w:r w:rsidRPr="00DF0D90">
        <w:rPr>
          <w:lang w:val="en-US"/>
        </w:rPr>
        <w:t>RECIST</w:t>
      </w:r>
      <w:r w:rsidRPr="00DF0D90">
        <w:t xml:space="preserve"> 1.1)</w:t>
      </w:r>
      <w:bookmarkEnd w:id="163"/>
      <w:bookmarkEnd w:id="164"/>
    </w:p>
    <w:p w14:paraId="6FEB72D3" w14:textId="77777777" w:rsidR="00630BAC" w:rsidRPr="00DF0D90" w:rsidRDefault="00630BAC" w:rsidP="004371B4">
      <w:pPr>
        <w:spacing w:after="120" w:line="360" w:lineRule="auto"/>
        <w:jc w:val="both"/>
        <w:rPr>
          <w:color w:val="000000"/>
        </w:rPr>
      </w:pPr>
      <w:r w:rsidRPr="00DF0D90">
        <w:rPr>
          <w:b/>
          <w:bCs/>
          <w:color w:val="000000"/>
        </w:rPr>
        <w:t>Название на русском языке</w:t>
      </w:r>
      <w:r w:rsidRPr="00DF0D90">
        <w:rPr>
          <w:color w:val="000000"/>
        </w:rPr>
        <w:t>:</w:t>
      </w:r>
      <w:r w:rsidRPr="00DF0D90">
        <w:t xml:space="preserve"> Критерии оценки ответа опухоли на химиотерапевтическое лечение (RECIST 1.1).</w:t>
      </w:r>
    </w:p>
    <w:p w14:paraId="36A0F586" w14:textId="77777777" w:rsidR="00630BAC" w:rsidRPr="00DF0D90" w:rsidRDefault="00630BAC" w:rsidP="004371B4">
      <w:pPr>
        <w:spacing w:after="120" w:line="360" w:lineRule="auto"/>
        <w:jc w:val="both"/>
        <w:rPr>
          <w:color w:val="000000"/>
          <w:lang w:val="en-US"/>
        </w:rPr>
      </w:pPr>
      <w:r w:rsidRPr="00DF0D90">
        <w:rPr>
          <w:b/>
          <w:bCs/>
          <w:color w:val="000000"/>
        </w:rPr>
        <w:t>Оригинальное</w:t>
      </w:r>
      <w:r w:rsidR="006951B9" w:rsidRPr="00DF0D90">
        <w:rPr>
          <w:b/>
          <w:bCs/>
          <w:color w:val="000000"/>
          <w:lang w:val="en-US"/>
        </w:rPr>
        <w:t xml:space="preserve"> </w:t>
      </w:r>
      <w:r w:rsidRPr="00DF0D90">
        <w:rPr>
          <w:b/>
          <w:bCs/>
          <w:color w:val="000000"/>
        </w:rPr>
        <w:t>название</w:t>
      </w:r>
      <w:r w:rsidRPr="00DF0D90">
        <w:rPr>
          <w:color w:val="000000"/>
          <w:lang w:val="en-US"/>
        </w:rPr>
        <w:t>: Response</w:t>
      </w:r>
      <w:r w:rsidR="006951B9" w:rsidRPr="00DF0D90">
        <w:rPr>
          <w:color w:val="000000"/>
          <w:lang w:val="en-US"/>
        </w:rPr>
        <w:t xml:space="preserve"> </w:t>
      </w:r>
      <w:r w:rsidRPr="00DF0D90">
        <w:rPr>
          <w:color w:val="000000"/>
          <w:lang w:val="en-US"/>
        </w:rPr>
        <w:t>Evaluation</w:t>
      </w:r>
      <w:r w:rsidR="006951B9" w:rsidRPr="00DF0D90">
        <w:rPr>
          <w:color w:val="000000"/>
          <w:lang w:val="en-US"/>
        </w:rPr>
        <w:t xml:space="preserve"> </w:t>
      </w:r>
      <w:r w:rsidRPr="00DF0D90">
        <w:rPr>
          <w:color w:val="000000"/>
          <w:lang w:val="en-US"/>
        </w:rPr>
        <w:t>Criteria</w:t>
      </w:r>
      <w:r w:rsidR="00551D27" w:rsidRPr="00DF0D90">
        <w:rPr>
          <w:color w:val="000000"/>
          <w:lang w:val="en-US"/>
        </w:rPr>
        <w:t xml:space="preserve"> </w:t>
      </w:r>
      <w:r w:rsidRPr="00DF0D90">
        <w:rPr>
          <w:color w:val="000000"/>
          <w:lang w:val="en-US"/>
        </w:rPr>
        <w:t>in</w:t>
      </w:r>
      <w:r w:rsidR="006951B9" w:rsidRPr="00DF0D90">
        <w:rPr>
          <w:color w:val="000000"/>
          <w:lang w:val="en-US"/>
        </w:rPr>
        <w:t xml:space="preserve"> </w:t>
      </w:r>
      <w:r w:rsidRPr="00DF0D90">
        <w:rPr>
          <w:color w:val="000000"/>
          <w:lang w:val="en-US"/>
        </w:rPr>
        <w:t>Solid</w:t>
      </w:r>
      <w:r w:rsidR="006951B9" w:rsidRPr="00DF0D90">
        <w:rPr>
          <w:color w:val="000000"/>
          <w:lang w:val="en-US"/>
        </w:rPr>
        <w:t xml:space="preserve"> </w:t>
      </w:r>
      <w:r w:rsidRPr="00DF0D90">
        <w:rPr>
          <w:color w:val="000000"/>
          <w:lang w:val="en-US"/>
        </w:rPr>
        <w:t>Tumors 1.1.</w:t>
      </w:r>
    </w:p>
    <w:p w14:paraId="57F7ECAC" w14:textId="77777777" w:rsidR="00D94CA9" w:rsidRPr="00DF0D90" w:rsidRDefault="00630BAC" w:rsidP="004371B4">
      <w:pPr>
        <w:spacing w:after="120" w:line="360" w:lineRule="auto"/>
        <w:jc w:val="both"/>
        <w:rPr>
          <w:b/>
          <w:bCs/>
        </w:rPr>
      </w:pPr>
      <w:r w:rsidRPr="00DF0D90">
        <w:rPr>
          <w:b/>
          <w:bCs/>
        </w:rPr>
        <w:t>Оригинальная</w:t>
      </w:r>
      <w:r w:rsidR="006951B9" w:rsidRPr="00DF0D90">
        <w:rPr>
          <w:b/>
          <w:bCs/>
        </w:rPr>
        <w:t xml:space="preserve"> </w:t>
      </w:r>
      <w:r w:rsidRPr="00DF0D90">
        <w:rPr>
          <w:b/>
          <w:bCs/>
        </w:rPr>
        <w:t xml:space="preserve">публикация: </w:t>
      </w:r>
    </w:p>
    <w:p w14:paraId="5D3F57E7" w14:textId="77777777" w:rsidR="007A1ACD" w:rsidRPr="00DF0D90" w:rsidRDefault="007A1ACD" w:rsidP="004371B4">
      <w:pPr>
        <w:spacing w:after="120" w:line="360" w:lineRule="auto"/>
        <w:jc w:val="both"/>
      </w:pPr>
      <w:r w:rsidRPr="00DF0D90">
        <w:rPr>
          <w:lang w:val="en-US"/>
        </w:rPr>
        <w:t>Eisenhauer</w:t>
      </w:r>
      <w:r w:rsidRPr="00132417">
        <w:t xml:space="preserve"> </w:t>
      </w:r>
      <w:r w:rsidRPr="00DF0D90">
        <w:rPr>
          <w:lang w:val="en-US"/>
        </w:rPr>
        <w:t>E</w:t>
      </w:r>
      <w:r w:rsidRPr="00132417">
        <w:t>.</w:t>
      </w:r>
      <w:r w:rsidRPr="00DF0D90">
        <w:rPr>
          <w:lang w:val="en-US"/>
        </w:rPr>
        <w:t>A</w:t>
      </w:r>
      <w:r w:rsidRPr="00132417">
        <w:t xml:space="preserve">. </w:t>
      </w:r>
      <w:r w:rsidRPr="00DF0D90">
        <w:rPr>
          <w:lang w:val="en-US"/>
        </w:rPr>
        <w:t>et</w:t>
      </w:r>
      <w:r w:rsidRPr="00132417">
        <w:t xml:space="preserve"> </w:t>
      </w:r>
      <w:r w:rsidRPr="00DF0D90">
        <w:rPr>
          <w:lang w:val="en-US"/>
        </w:rPr>
        <w:t>al</w:t>
      </w:r>
      <w:r w:rsidRPr="00132417">
        <w:t xml:space="preserve">. </w:t>
      </w:r>
      <w:proofErr w:type="gramStart"/>
      <w:r w:rsidRPr="00DF0D90">
        <w:rPr>
          <w:lang w:val="en-US"/>
        </w:rPr>
        <w:t>New</w:t>
      </w:r>
      <w:proofErr w:type="gramEnd"/>
      <w:r w:rsidRPr="00DF0D90">
        <w:rPr>
          <w:lang w:val="en-US"/>
        </w:rPr>
        <w:t xml:space="preserve"> response evaluation criteria in solid </w:t>
      </w:r>
      <w:proofErr w:type="spellStart"/>
      <w:r w:rsidRPr="00DF0D90">
        <w:rPr>
          <w:lang w:val="en-US"/>
        </w:rPr>
        <w:t>tumours</w:t>
      </w:r>
      <w:proofErr w:type="spellEnd"/>
      <w:r w:rsidRPr="00DF0D90">
        <w:rPr>
          <w:lang w:val="en-US"/>
        </w:rPr>
        <w:t xml:space="preserve">: Revised RECIST guideline (version 1.1) // Eur. J. Cancer. </w:t>
      </w:r>
      <w:r w:rsidRPr="00132417">
        <w:rPr>
          <w:lang w:val="en-US"/>
        </w:rPr>
        <w:t xml:space="preserve">2009. </w:t>
      </w:r>
      <w:proofErr w:type="spellStart"/>
      <w:r w:rsidRPr="00DF0D90">
        <w:t>Vol</w:t>
      </w:r>
      <w:proofErr w:type="spellEnd"/>
      <w:r w:rsidRPr="00DF0D90">
        <w:t>. 45, № 2. P. 228–247.</w:t>
      </w:r>
    </w:p>
    <w:p w14:paraId="621C1574" w14:textId="77777777" w:rsidR="00630BAC" w:rsidRPr="00DF0D90" w:rsidRDefault="00630BAC" w:rsidP="004371B4">
      <w:pPr>
        <w:spacing w:after="120" w:line="360" w:lineRule="auto"/>
        <w:jc w:val="both"/>
        <w:rPr>
          <w:color w:val="000000"/>
        </w:rPr>
      </w:pPr>
      <w:r w:rsidRPr="00DF0D90">
        <w:rPr>
          <w:b/>
          <w:bCs/>
          <w:color w:val="000000"/>
        </w:rPr>
        <w:t>Тип</w:t>
      </w:r>
      <w:r w:rsidRPr="00DF0D90">
        <w:rPr>
          <w:color w:val="000000"/>
        </w:rPr>
        <w:t>: шкала оценки.</w:t>
      </w:r>
    </w:p>
    <w:p w14:paraId="6A6FE97E" w14:textId="77777777" w:rsidR="00630BAC" w:rsidRPr="00DF0D90" w:rsidRDefault="00630BAC" w:rsidP="004371B4">
      <w:pPr>
        <w:pStyle w:val="34"/>
        <w:spacing w:after="120" w:line="360" w:lineRule="auto"/>
        <w:ind w:left="0"/>
        <w:jc w:val="both"/>
        <w:rPr>
          <w:color w:val="000000"/>
          <w:sz w:val="24"/>
          <w:szCs w:val="28"/>
        </w:rPr>
      </w:pPr>
      <w:r w:rsidRPr="00DF0D90">
        <w:rPr>
          <w:b/>
          <w:bCs/>
          <w:sz w:val="24"/>
          <w:szCs w:val="28"/>
        </w:rPr>
        <w:t>Назначение:</w:t>
      </w:r>
      <w:r w:rsidRPr="00DF0D90">
        <w:rPr>
          <w:color w:val="000000"/>
          <w:sz w:val="24"/>
          <w:szCs w:val="28"/>
        </w:rPr>
        <w:t xml:space="preserve"> оценка ответа на химиотерапевтическое лечение.</w:t>
      </w:r>
    </w:p>
    <w:bookmarkEnd w:id="165"/>
    <w:p w14:paraId="625D6542" w14:textId="77777777" w:rsidR="00630BAC" w:rsidRPr="00DF0D90" w:rsidRDefault="00630BAC" w:rsidP="004371B4">
      <w:pPr>
        <w:spacing w:after="120" w:line="360" w:lineRule="auto"/>
        <w:jc w:val="both"/>
      </w:pPr>
      <w:r w:rsidRPr="00DF0D90">
        <w:rPr>
          <w:b/>
          <w:bCs/>
          <w:color w:val="000000"/>
        </w:rPr>
        <w:t>Содержание, ключ и шаблон</w:t>
      </w:r>
      <w:r w:rsidRPr="00DF0D90">
        <w:rPr>
          <w:color w:val="000000"/>
        </w:rPr>
        <w:t xml:space="preserve"> </w:t>
      </w:r>
      <w:r w:rsidRPr="00DF0D90">
        <w:t xml:space="preserve">на русском языке представлены в методических рекомендациях № 46 ГБУЗ «Научно-практический центр медицинской радиологии» Департамента здравоохранения города Москвы и доступны на веб-сайте </w:t>
      </w:r>
      <w:r w:rsidR="006951B9" w:rsidRPr="00DF0D90">
        <w:t>http://medradiology.moscow/d/1364488/d/no46_2018_recist_11.pdf</w:t>
      </w:r>
      <w:r w:rsidRPr="00DF0D90">
        <w:t>.</w:t>
      </w:r>
      <w:r w:rsidR="006951B9" w:rsidRPr="00DF0D90">
        <w:t xml:space="preserve"> </w:t>
      </w:r>
      <w:r w:rsidRPr="00DF0D90">
        <w:t>Данный документ является собственностью Департамента здравоохранения города Москвы, не подлежит тиражированию и распространению без соответствующего разрешения.</w:t>
      </w:r>
    </w:p>
    <w:p w14:paraId="340270B1" w14:textId="77777777" w:rsidR="00630BAC" w:rsidRPr="00DF0D90" w:rsidRDefault="00630BAC" w:rsidP="006D217F">
      <w:pPr>
        <w:pStyle w:val="afe"/>
        <w:spacing w:line="360" w:lineRule="auto"/>
        <w:ind w:firstLine="567"/>
        <w:jc w:val="both"/>
        <w:rPr>
          <w:rFonts w:cs="Times New Roman"/>
          <w:b/>
          <w:bCs/>
        </w:rPr>
      </w:pPr>
    </w:p>
    <w:p w14:paraId="5CA9F65D" w14:textId="77777777" w:rsidR="000A7F25" w:rsidRPr="00DF0D90" w:rsidRDefault="000A7F25" w:rsidP="001E1D85"/>
    <w:p w14:paraId="7F5D333C" w14:textId="77777777" w:rsidR="00755F83" w:rsidRPr="00DF0D90" w:rsidRDefault="000A7F25" w:rsidP="00801019">
      <w:pPr>
        <w:pStyle w:val="42"/>
      </w:pPr>
      <w:r w:rsidRPr="00DF0D90">
        <w:br w:type="page"/>
      </w:r>
      <w:bookmarkStart w:id="166" w:name="_Toc98349311"/>
      <w:bookmarkStart w:id="167" w:name="_Toc83294009"/>
      <w:r w:rsidR="00755F83" w:rsidRPr="00DF0D90">
        <w:lastRenderedPageBreak/>
        <w:t xml:space="preserve">Приложение Г5. Критерии оценки ответа опухоли на лечение </w:t>
      </w:r>
      <w:r w:rsidR="00755F83" w:rsidRPr="00DF0D90">
        <w:br/>
        <w:t>(</w:t>
      </w:r>
      <w:proofErr w:type="spellStart"/>
      <w:r w:rsidR="00755F83" w:rsidRPr="00DF0D90">
        <w:rPr>
          <w:lang w:val="en-US"/>
        </w:rPr>
        <w:t>mRECIST</w:t>
      </w:r>
      <w:proofErr w:type="spellEnd"/>
      <w:r w:rsidR="00755F83" w:rsidRPr="00DF0D90">
        <w:t>)</w:t>
      </w:r>
      <w:bookmarkEnd w:id="166"/>
      <w:bookmarkEnd w:id="167"/>
    </w:p>
    <w:p w14:paraId="358382C1" w14:textId="77777777" w:rsidR="00755F83" w:rsidRPr="00497764" w:rsidRDefault="00755F83" w:rsidP="004371B4">
      <w:pPr>
        <w:spacing w:after="120" w:line="360" w:lineRule="auto"/>
        <w:jc w:val="both"/>
        <w:rPr>
          <w:color w:val="000000"/>
        </w:rPr>
      </w:pPr>
      <w:r w:rsidRPr="00497764">
        <w:rPr>
          <w:b/>
          <w:bCs/>
          <w:color w:val="000000"/>
        </w:rPr>
        <w:t>Название на русском языке</w:t>
      </w:r>
      <w:r w:rsidRPr="00497764">
        <w:rPr>
          <w:color w:val="000000"/>
        </w:rPr>
        <w:t>:</w:t>
      </w:r>
      <w:r w:rsidR="006951B9" w:rsidRPr="00497764">
        <w:rPr>
          <w:color w:val="000000"/>
        </w:rPr>
        <w:t xml:space="preserve"> </w:t>
      </w:r>
      <w:r w:rsidRPr="00497764">
        <w:t>Модифицированные критерии оценки ответа опухоли на химиотерапевтическое лечение (</w:t>
      </w:r>
      <w:r w:rsidRPr="00497764">
        <w:rPr>
          <w:lang w:val="en-US"/>
        </w:rPr>
        <w:t>m</w:t>
      </w:r>
      <w:r w:rsidRPr="00497764">
        <w:t>RECIST).</w:t>
      </w:r>
    </w:p>
    <w:p w14:paraId="113BE6A1" w14:textId="77777777" w:rsidR="00755F83" w:rsidRPr="00497764" w:rsidRDefault="00755F83" w:rsidP="004371B4">
      <w:pPr>
        <w:spacing w:after="120" w:line="360" w:lineRule="auto"/>
        <w:jc w:val="both"/>
        <w:rPr>
          <w:color w:val="000000"/>
          <w:lang w:val="en-US"/>
        </w:rPr>
      </w:pPr>
      <w:r w:rsidRPr="00497764">
        <w:rPr>
          <w:b/>
          <w:bCs/>
          <w:color w:val="000000"/>
        </w:rPr>
        <w:t>Оригинальное</w:t>
      </w:r>
      <w:r w:rsidR="006951B9" w:rsidRPr="00497764">
        <w:rPr>
          <w:b/>
          <w:bCs/>
          <w:color w:val="000000"/>
          <w:lang w:val="en-US"/>
        </w:rPr>
        <w:t xml:space="preserve"> </w:t>
      </w:r>
      <w:r w:rsidRPr="00497764">
        <w:rPr>
          <w:b/>
          <w:bCs/>
          <w:color w:val="000000"/>
        </w:rPr>
        <w:t>название</w:t>
      </w:r>
      <w:r w:rsidRPr="00497764">
        <w:rPr>
          <w:color w:val="000000"/>
          <w:lang w:val="en-US"/>
        </w:rPr>
        <w:t>: Modified Response</w:t>
      </w:r>
      <w:r w:rsidR="006951B9" w:rsidRPr="00497764">
        <w:rPr>
          <w:color w:val="000000"/>
          <w:lang w:val="en-US"/>
        </w:rPr>
        <w:t xml:space="preserve"> </w:t>
      </w:r>
      <w:r w:rsidRPr="00497764">
        <w:rPr>
          <w:color w:val="000000"/>
          <w:lang w:val="en-US"/>
        </w:rPr>
        <w:t>Evaluation</w:t>
      </w:r>
      <w:r w:rsidR="006951B9" w:rsidRPr="00497764">
        <w:rPr>
          <w:color w:val="000000"/>
          <w:lang w:val="en-US"/>
        </w:rPr>
        <w:t xml:space="preserve"> </w:t>
      </w:r>
      <w:r w:rsidRPr="00497764">
        <w:rPr>
          <w:color w:val="000000"/>
          <w:lang w:val="en-US"/>
        </w:rPr>
        <w:t>Criteria</w:t>
      </w:r>
      <w:r w:rsidR="00DC5896" w:rsidRPr="00497764">
        <w:rPr>
          <w:color w:val="000000"/>
          <w:lang w:val="en-US"/>
        </w:rPr>
        <w:t xml:space="preserve"> </w:t>
      </w:r>
      <w:r w:rsidRPr="00497764">
        <w:rPr>
          <w:color w:val="000000"/>
          <w:lang w:val="en-US"/>
        </w:rPr>
        <w:t>in</w:t>
      </w:r>
      <w:r w:rsidR="006951B9" w:rsidRPr="00497764">
        <w:rPr>
          <w:color w:val="000000"/>
          <w:lang w:val="en-US"/>
        </w:rPr>
        <w:t xml:space="preserve"> </w:t>
      </w:r>
      <w:r w:rsidRPr="00497764">
        <w:rPr>
          <w:color w:val="000000"/>
          <w:lang w:val="en-US"/>
        </w:rPr>
        <w:t>Solid</w:t>
      </w:r>
      <w:r w:rsidR="006951B9" w:rsidRPr="00497764">
        <w:rPr>
          <w:color w:val="000000"/>
          <w:lang w:val="en-US"/>
        </w:rPr>
        <w:t xml:space="preserve"> </w:t>
      </w:r>
      <w:r w:rsidRPr="00497764">
        <w:rPr>
          <w:color w:val="000000"/>
          <w:lang w:val="en-US"/>
        </w:rPr>
        <w:t>Tumors.</w:t>
      </w:r>
    </w:p>
    <w:p w14:paraId="420B7106" w14:textId="77777777" w:rsidR="007A1ACD" w:rsidRPr="00497764" w:rsidRDefault="00755F83" w:rsidP="004371B4">
      <w:pPr>
        <w:spacing w:after="120" w:line="360" w:lineRule="auto"/>
        <w:jc w:val="both"/>
        <w:rPr>
          <w:b/>
          <w:bCs/>
          <w:lang w:val="en-US"/>
        </w:rPr>
      </w:pPr>
      <w:r w:rsidRPr="00497764">
        <w:rPr>
          <w:b/>
          <w:bCs/>
        </w:rPr>
        <w:t>Оригинальная</w:t>
      </w:r>
      <w:r w:rsidR="006951B9" w:rsidRPr="00497764">
        <w:rPr>
          <w:b/>
          <w:bCs/>
          <w:lang w:val="en-US"/>
        </w:rPr>
        <w:t xml:space="preserve"> </w:t>
      </w:r>
      <w:r w:rsidRPr="00497764">
        <w:rPr>
          <w:b/>
          <w:bCs/>
        </w:rPr>
        <w:t>публикация</w:t>
      </w:r>
      <w:r w:rsidRPr="00497764">
        <w:rPr>
          <w:b/>
          <w:bCs/>
          <w:lang w:val="en-US"/>
        </w:rPr>
        <w:t xml:space="preserve">: </w:t>
      </w:r>
    </w:p>
    <w:p w14:paraId="4BFBD868" w14:textId="77777777" w:rsidR="007A1ACD" w:rsidRPr="00497764" w:rsidRDefault="007A1ACD" w:rsidP="004371B4">
      <w:pPr>
        <w:spacing w:after="120" w:line="360" w:lineRule="auto"/>
        <w:jc w:val="both"/>
      </w:pPr>
      <w:r w:rsidRPr="00497764">
        <w:rPr>
          <w:lang w:val="en-US"/>
        </w:rPr>
        <w:t>Lencioni R., Llovet J.M. Modified</w:t>
      </w:r>
      <w:r w:rsidR="00B541F2" w:rsidRPr="00497764">
        <w:rPr>
          <w:lang w:val="en-US"/>
        </w:rPr>
        <w:t xml:space="preserve"> </w:t>
      </w:r>
      <w:r w:rsidR="00551D27" w:rsidRPr="00497764">
        <w:rPr>
          <w:lang w:val="en-US"/>
        </w:rPr>
        <w:t>RECIST (</w:t>
      </w:r>
      <w:proofErr w:type="spellStart"/>
      <w:r w:rsidRPr="00497764">
        <w:rPr>
          <w:lang w:val="en-US"/>
        </w:rPr>
        <w:t>mRECIST</w:t>
      </w:r>
      <w:proofErr w:type="spellEnd"/>
      <w:r w:rsidRPr="00497764">
        <w:rPr>
          <w:lang w:val="en-US"/>
        </w:rPr>
        <w:t xml:space="preserve">) assessment for hepatocellular carcinoma // Seminars in Liver Disease. </w:t>
      </w:r>
      <w:r w:rsidRPr="00497764">
        <w:t xml:space="preserve">2010. </w:t>
      </w:r>
      <w:r w:rsidRPr="00497764">
        <w:rPr>
          <w:lang w:val="en-US"/>
        </w:rPr>
        <w:t>Vol</w:t>
      </w:r>
      <w:r w:rsidRPr="00497764">
        <w:t xml:space="preserve">. 30, № 1. </w:t>
      </w:r>
      <w:r w:rsidRPr="00497764">
        <w:rPr>
          <w:lang w:val="en-US"/>
        </w:rPr>
        <w:t>P</w:t>
      </w:r>
      <w:r w:rsidRPr="00497764">
        <w:t>. 52–60.</w:t>
      </w:r>
    </w:p>
    <w:p w14:paraId="17A9F6D5" w14:textId="77777777" w:rsidR="00755F83" w:rsidRPr="00497764" w:rsidRDefault="00755F83" w:rsidP="004371B4">
      <w:pPr>
        <w:spacing w:after="120" w:line="360" w:lineRule="auto"/>
        <w:jc w:val="both"/>
        <w:rPr>
          <w:color w:val="000000"/>
        </w:rPr>
      </w:pPr>
      <w:r w:rsidRPr="00497764">
        <w:rPr>
          <w:b/>
          <w:bCs/>
          <w:color w:val="000000"/>
        </w:rPr>
        <w:t>Тип:</w:t>
      </w:r>
      <w:r w:rsidRPr="00497764">
        <w:rPr>
          <w:color w:val="000000"/>
        </w:rPr>
        <w:t xml:space="preserve"> шкала</w:t>
      </w:r>
      <w:r w:rsidR="006951B9" w:rsidRPr="00497764">
        <w:rPr>
          <w:color w:val="000000"/>
        </w:rPr>
        <w:t xml:space="preserve"> </w:t>
      </w:r>
      <w:r w:rsidRPr="00497764">
        <w:rPr>
          <w:color w:val="000000"/>
        </w:rPr>
        <w:t>оценки.</w:t>
      </w:r>
    </w:p>
    <w:p w14:paraId="429B2720" w14:textId="77777777" w:rsidR="001E1D85" w:rsidRPr="00497764" w:rsidRDefault="00755F83" w:rsidP="000D457F">
      <w:pPr>
        <w:shd w:val="clear" w:color="auto" w:fill="F9F9F9"/>
        <w:spacing w:after="225"/>
        <w:divId w:val="1137264037"/>
        <w:rPr>
          <w:color w:val="000000"/>
        </w:rPr>
      </w:pPr>
      <w:r w:rsidRPr="00497764">
        <w:rPr>
          <w:b/>
          <w:bCs/>
        </w:rPr>
        <w:t>Назначение:</w:t>
      </w:r>
      <w:r w:rsidRPr="00497764">
        <w:rPr>
          <w:color w:val="000000"/>
        </w:rPr>
        <w:t xml:space="preserve"> оценка ответа на таргетную терапию и </w:t>
      </w:r>
      <w:proofErr w:type="spellStart"/>
      <w:r w:rsidRPr="00497764">
        <w:rPr>
          <w:color w:val="000000"/>
        </w:rPr>
        <w:t>локорегионарное</w:t>
      </w:r>
      <w:proofErr w:type="spellEnd"/>
      <w:r w:rsidRPr="00497764">
        <w:rPr>
          <w:color w:val="000000"/>
        </w:rPr>
        <w:t xml:space="preserve"> лечение ГЦР.</w:t>
      </w:r>
      <w:r w:rsidR="001E1D85" w:rsidRPr="00497764">
        <w:rPr>
          <w:color w:val="000000"/>
        </w:rPr>
        <w:t xml:space="preserve"> </w:t>
      </w:r>
    </w:p>
    <w:p w14:paraId="18080262" w14:textId="0650215A" w:rsidR="001E1D85" w:rsidRPr="00497764" w:rsidRDefault="000D457F" w:rsidP="001E1D85">
      <w:pPr>
        <w:pStyle w:val="34"/>
        <w:spacing w:after="120" w:line="360" w:lineRule="auto"/>
        <w:ind w:left="0"/>
        <w:jc w:val="both"/>
        <w:divId w:val="1137264037"/>
        <w:rPr>
          <w:sz w:val="24"/>
          <w:szCs w:val="24"/>
        </w:rPr>
      </w:pPr>
      <w:r w:rsidRPr="00497764">
        <w:rPr>
          <w:sz w:val="24"/>
          <w:szCs w:val="24"/>
        </w:rPr>
        <w:t>Оценка проводится при помощи КТ или МРТ, исключительно в артериальную фазу сканирования.</w:t>
      </w:r>
      <w:r w:rsidR="001E1D85" w:rsidRPr="00497764">
        <w:rPr>
          <w:sz w:val="24"/>
          <w:szCs w:val="24"/>
          <w:shd w:val="clear" w:color="auto" w:fill="F9F9F9"/>
          <w:lang w:val="ru-RU"/>
        </w:rPr>
        <w:t xml:space="preserve"> Д</w:t>
      </w:r>
      <w:proofErr w:type="spellStart"/>
      <w:r w:rsidR="001E1D85" w:rsidRPr="00497764">
        <w:rPr>
          <w:sz w:val="24"/>
          <w:szCs w:val="24"/>
          <w:shd w:val="clear" w:color="auto" w:fill="F9F9F9"/>
        </w:rPr>
        <w:t>линник</w:t>
      </w:r>
      <w:proofErr w:type="spellEnd"/>
      <w:r w:rsidR="001E1D85" w:rsidRPr="00497764">
        <w:rPr>
          <w:sz w:val="24"/>
          <w:szCs w:val="24"/>
          <w:shd w:val="clear" w:color="auto" w:fill="F9F9F9"/>
        </w:rPr>
        <w:t xml:space="preserve"> очага оценивается в той части, что наиболее усилилась </w:t>
      </w:r>
      <w:proofErr w:type="spellStart"/>
      <w:r w:rsidR="001E1D85" w:rsidRPr="00497764">
        <w:rPr>
          <w:sz w:val="24"/>
          <w:szCs w:val="24"/>
          <w:shd w:val="clear" w:color="auto" w:fill="F9F9F9"/>
        </w:rPr>
        <w:t>постконтрастно</w:t>
      </w:r>
      <w:proofErr w:type="spellEnd"/>
      <w:r w:rsidR="001E1D85" w:rsidRPr="00497764">
        <w:rPr>
          <w:sz w:val="24"/>
          <w:szCs w:val="24"/>
          <w:shd w:val="clear" w:color="auto" w:fill="F9F9F9"/>
        </w:rPr>
        <w:t xml:space="preserve"> в артериальную фазу.</w:t>
      </w:r>
    </w:p>
    <w:p w14:paraId="2751D0FB" w14:textId="77777777" w:rsidR="000D457F" w:rsidRPr="00497764" w:rsidRDefault="000D457F">
      <w:pPr>
        <w:shd w:val="clear" w:color="auto" w:fill="F9F9F9"/>
        <w:spacing w:after="225"/>
        <w:divId w:val="1137264037"/>
      </w:pPr>
      <w:r w:rsidRPr="00497764">
        <w:rPr>
          <w:rStyle w:val="20"/>
          <w:b w:val="0"/>
          <w:u w:val="none"/>
        </w:rPr>
        <w:t>Критерии оценки:</w:t>
      </w:r>
    </w:p>
    <w:p w14:paraId="08CAE8AE" w14:textId="77777777" w:rsidR="000D457F" w:rsidRPr="00497764" w:rsidRDefault="000D457F">
      <w:pPr>
        <w:numPr>
          <w:ilvl w:val="0"/>
          <w:numId w:val="1"/>
        </w:numPr>
        <w:shd w:val="clear" w:color="auto" w:fill="F9F9F9"/>
        <w:spacing w:before="100" w:beforeAutospacing="1" w:after="100" w:afterAutospacing="1"/>
        <w:ind w:left="240"/>
        <w:divId w:val="1137264037"/>
      </w:pPr>
      <w:r w:rsidRPr="00497764">
        <w:rPr>
          <w:rStyle w:val="20"/>
          <w:b w:val="0"/>
          <w:u w:val="none"/>
        </w:rPr>
        <w:t>Полный ответ (</w:t>
      </w:r>
      <w:proofErr w:type="spellStart"/>
      <w:r w:rsidRPr="00497764">
        <w:rPr>
          <w:rStyle w:val="20"/>
          <w:b w:val="0"/>
          <w:u w:val="none"/>
        </w:rPr>
        <w:t>Complete</w:t>
      </w:r>
      <w:proofErr w:type="spellEnd"/>
      <w:r w:rsidRPr="00497764">
        <w:rPr>
          <w:rStyle w:val="20"/>
          <w:b w:val="0"/>
          <w:u w:val="none"/>
        </w:rPr>
        <w:t xml:space="preserve"> Response - CR)</w:t>
      </w:r>
      <w:r w:rsidRPr="00497764">
        <w:t xml:space="preserve"> - Исчезновение любого </w:t>
      </w:r>
      <w:proofErr w:type="spellStart"/>
      <w:r w:rsidRPr="00497764">
        <w:t>внутриопухолевого</w:t>
      </w:r>
      <w:proofErr w:type="spellEnd"/>
      <w:r w:rsidRPr="00497764">
        <w:t xml:space="preserve"> контрастирования в артериальную фазу во всех таргетных очагах.</w:t>
      </w:r>
    </w:p>
    <w:p w14:paraId="6B4D22BA" w14:textId="77777777" w:rsidR="000D457F" w:rsidRPr="00497764" w:rsidRDefault="000D457F">
      <w:pPr>
        <w:numPr>
          <w:ilvl w:val="0"/>
          <w:numId w:val="1"/>
        </w:numPr>
        <w:shd w:val="clear" w:color="auto" w:fill="F9F9F9"/>
        <w:spacing w:before="100" w:beforeAutospacing="1" w:after="100" w:afterAutospacing="1"/>
        <w:ind w:left="240"/>
        <w:divId w:val="1137264037"/>
      </w:pPr>
      <w:r w:rsidRPr="00497764">
        <w:rPr>
          <w:rStyle w:val="20"/>
          <w:b w:val="0"/>
          <w:u w:val="none"/>
        </w:rPr>
        <w:t>Частичный ответ (</w:t>
      </w:r>
      <w:proofErr w:type="spellStart"/>
      <w:r w:rsidRPr="00497764">
        <w:rPr>
          <w:rStyle w:val="20"/>
          <w:b w:val="0"/>
          <w:u w:val="none"/>
        </w:rPr>
        <w:t>Partial</w:t>
      </w:r>
      <w:proofErr w:type="spellEnd"/>
      <w:r w:rsidRPr="00497764">
        <w:rPr>
          <w:rStyle w:val="20"/>
          <w:b w:val="0"/>
          <w:u w:val="none"/>
        </w:rPr>
        <w:t xml:space="preserve"> Response - PR)</w:t>
      </w:r>
      <w:r w:rsidRPr="00497764">
        <w:t> - Уменьшение суммы диаметров очагов не менее чем на 30%, оцениваемые в артериальную фазу контрастирования.</w:t>
      </w:r>
    </w:p>
    <w:p w14:paraId="093A3505" w14:textId="77777777" w:rsidR="000D457F" w:rsidRPr="00497764" w:rsidRDefault="000D457F">
      <w:pPr>
        <w:numPr>
          <w:ilvl w:val="0"/>
          <w:numId w:val="1"/>
        </w:numPr>
        <w:shd w:val="clear" w:color="auto" w:fill="F9F9F9"/>
        <w:spacing w:before="100" w:beforeAutospacing="1" w:after="100" w:afterAutospacing="1"/>
        <w:ind w:left="240"/>
        <w:divId w:val="1137264037"/>
      </w:pPr>
      <w:r w:rsidRPr="00497764">
        <w:rPr>
          <w:rStyle w:val="20"/>
          <w:b w:val="0"/>
          <w:u w:val="none"/>
        </w:rPr>
        <w:t>Прогрессирование заболевания (</w:t>
      </w:r>
      <w:proofErr w:type="spellStart"/>
      <w:r w:rsidRPr="00497764">
        <w:rPr>
          <w:rStyle w:val="20"/>
          <w:b w:val="0"/>
          <w:u w:val="none"/>
        </w:rPr>
        <w:t>Progressive</w:t>
      </w:r>
      <w:proofErr w:type="spellEnd"/>
      <w:r w:rsidRPr="00497764">
        <w:rPr>
          <w:rStyle w:val="20"/>
          <w:b w:val="0"/>
          <w:u w:val="none"/>
        </w:rPr>
        <w:t xml:space="preserve"> </w:t>
      </w:r>
      <w:proofErr w:type="spellStart"/>
      <w:r w:rsidRPr="00497764">
        <w:rPr>
          <w:rStyle w:val="20"/>
          <w:b w:val="0"/>
          <w:u w:val="none"/>
        </w:rPr>
        <w:t>Disease</w:t>
      </w:r>
      <w:proofErr w:type="spellEnd"/>
      <w:r w:rsidRPr="00497764">
        <w:rPr>
          <w:rStyle w:val="20"/>
          <w:b w:val="0"/>
          <w:u w:val="none"/>
        </w:rPr>
        <w:t xml:space="preserve"> - PD)</w:t>
      </w:r>
      <w:r w:rsidRPr="00497764">
        <w:t> - Увеличение на 20% и более суммы диаметров таргетных очагов, оцениваемые в артериальную фазу контрастирования.</w:t>
      </w:r>
    </w:p>
    <w:p w14:paraId="1910AADB" w14:textId="77777777" w:rsidR="000D457F" w:rsidRPr="00497764" w:rsidRDefault="000D457F">
      <w:pPr>
        <w:numPr>
          <w:ilvl w:val="0"/>
          <w:numId w:val="1"/>
        </w:numPr>
        <w:shd w:val="clear" w:color="auto" w:fill="F9F9F9"/>
        <w:spacing w:before="100" w:beforeAutospacing="1" w:after="100" w:afterAutospacing="1"/>
        <w:ind w:left="240"/>
        <w:divId w:val="1137264037"/>
      </w:pPr>
      <w:r w:rsidRPr="00497764">
        <w:rPr>
          <w:rStyle w:val="20"/>
          <w:b w:val="0"/>
          <w:u w:val="none"/>
        </w:rPr>
        <w:t>Стабилизация заболевания (</w:t>
      </w:r>
      <w:proofErr w:type="spellStart"/>
      <w:r w:rsidRPr="00497764">
        <w:rPr>
          <w:rStyle w:val="20"/>
          <w:b w:val="0"/>
          <w:u w:val="none"/>
        </w:rPr>
        <w:t>Stable</w:t>
      </w:r>
      <w:proofErr w:type="spellEnd"/>
      <w:r w:rsidRPr="00497764">
        <w:rPr>
          <w:rStyle w:val="20"/>
          <w:b w:val="0"/>
          <w:u w:val="none"/>
        </w:rPr>
        <w:t xml:space="preserve"> </w:t>
      </w:r>
      <w:proofErr w:type="spellStart"/>
      <w:r w:rsidRPr="00497764">
        <w:rPr>
          <w:rStyle w:val="20"/>
          <w:b w:val="0"/>
          <w:u w:val="none"/>
        </w:rPr>
        <w:t>Disease</w:t>
      </w:r>
      <w:proofErr w:type="spellEnd"/>
      <w:r w:rsidRPr="00497764">
        <w:rPr>
          <w:rStyle w:val="20"/>
          <w:b w:val="0"/>
          <w:u w:val="none"/>
        </w:rPr>
        <w:t xml:space="preserve"> - SD)</w:t>
      </w:r>
      <w:r w:rsidRPr="00497764">
        <w:t> - Все остальное.</w:t>
      </w:r>
    </w:p>
    <w:p w14:paraId="36B2C385" w14:textId="77777777" w:rsidR="00755F83" w:rsidRPr="00DF0D90" w:rsidRDefault="00755F83" w:rsidP="006D217F">
      <w:pPr>
        <w:pStyle w:val="afe"/>
        <w:spacing w:line="360" w:lineRule="auto"/>
        <w:ind w:firstLine="567"/>
        <w:jc w:val="both"/>
        <w:rPr>
          <w:rFonts w:cs="Times New Roman"/>
          <w:b/>
          <w:bCs/>
        </w:rPr>
      </w:pPr>
    </w:p>
    <w:p w14:paraId="030392DF" w14:textId="77777777" w:rsidR="00630BAC" w:rsidRPr="00DF0D90" w:rsidRDefault="00630BAC" w:rsidP="006D217F">
      <w:pPr>
        <w:pStyle w:val="34"/>
        <w:spacing w:after="120" w:line="360" w:lineRule="auto"/>
        <w:ind w:firstLine="567"/>
        <w:jc w:val="both"/>
        <w:rPr>
          <w:b/>
          <w:bCs/>
          <w:szCs w:val="24"/>
        </w:rPr>
      </w:pPr>
    </w:p>
    <w:p w14:paraId="3423C1FE" w14:textId="26729381" w:rsidR="00630BAC" w:rsidRPr="00300A32" w:rsidRDefault="00630BAC" w:rsidP="00497764"/>
    <w:sectPr w:rsidR="00630BAC" w:rsidRPr="00300A32" w:rsidSect="00491570">
      <w:footerReference w:type="default" r:id="rId15"/>
      <w:pgSz w:w="11900" w:h="16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147477" w14:textId="77777777" w:rsidR="00C246A9" w:rsidRDefault="00C246A9" w:rsidP="000D78E5">
      <w:r>
        <w:separator/>
      </w:r>
    </w:p>
  </w:endnote>
  <w:endnote w:type="continuationSeparator" w:id="0">
    <w:p w14:paraId="2AF33EED" w14:textId="77777777" w:rsidR="00C246A9" w:rsidRDefault="00C246A9" w:rsidP="000D78E5">
      <w:r>
        <w:continuationSeparator/>
      </w:r>
    </w:p>
  </w:endnote>
  <w:endnote w:type="continuationNotice" w:id="1">
    <w:p w14:paraId="38132E37" w14:textId="77777777" w:rsidR="00C246A9" w:rsidRDefault="00C246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EFF" w:usb1="C000785B" w:usb2="00000009" w:usb3="00000000" w:csb0="000001FF" w:csb1="00000000"/>
  </w:font>
  <w:font w:name="Noto Sans Symbols">
    <w:altName w:val="Calibri"/>
    <w:charset w:val="01"/>
    <w:family w:val="auto"/>
    <w:pitch w:val="default"/>
  </w:font>
  <w:font w:name="Calibri">
    <w:panose1 w:val="020F05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GalsLightC">
    <w:altName w:val="MS Gothic"/>
    <w:panose1 w:val="00000000000000000000"/>
    <w:charset w:val="80"/>
    <w:family w:val="auto"/>
    <w:notTrueType/>
    <w:pitch w:val="default"/>
    <w:sig w:usb0="00000000" w:usb1="08070000" w:usb2="00000010" w:usb3="00000000" w:csb0="00020000" w:csb1="00000000"/>
  </w:font>
  <w:font w:name="BlissPro-Light">
    <w:altName w:val="MS Gothic"/>
    <w:charset w:val="80"/>
    <w:family w:val="swiss"/>
    <w:pitch w:val="default"/>
    <w:sig w:usb0="00000000" w:usb1="00000000" w:usb2="00000010" w:usb3="00000000" w:csb0="00020000" w:csb1="00000000"/>
  </w:font>
  <w:font w:name="Sylfaen">
    <w:panose1 w:val="010A0502050306030303"/>
    <w:charset w:val="CC"/>
    <w:family w:val="roman"/>
    <w:pitch w:val="variable"/>
    <w:sig w:usb0="04000687" w:usb1="00000000" w:usb2="00000000" w:usb3="00000000" w:csb0="0000009F" w:csb1="00000000"/>
  </w:font>
  <w:font w:name="AdvGulliv-R">
    <w:altName w:val="MS Gothic"/>
    <w:panose1 w:val="00000000000000000000"/>
    <w:charset w:val="80"/>
    <w:family w:val="auto"/>
    <w:notTrueType/>
    <w:pitch w:val="default"/>
    <w:sig w:usb0="00000000" w:usb1="08070000" w:usb2="00000010" w:usb3="00000000" w:csb0="00020000" w:csb1="00000000"/>
  </w:font>
  <w:font w:name="Segoe UI">
    <w:panose1 w:val="020B0502040204020203"/>
    <w:charset w:val="CC"/>
    <w:family w:val="swiss"/>
    <w:pitch w:val="variable"/>
    <w:sig w:usb0="E4002EFF" w:usb1="C000E47F" w:usb2="00000009" w:usb3="00000000" w:csb0="000001FF" w:csb1="00000000"/>
  </w:font>
  <w:font w:name="AdvPTimes">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93537" w14:textId="717E5C4A" w:rsidR="00D30C2B" w:rsidRDefault="00D30C2B" w:rsidP="00FC6FE9">
    <w:pPr>
      <w:pStyle w:val="ad"/>
      <w:jc w:val="center"/>
    </w:pPr>
    <w:r>
      <w:fldChar w:fldCharType="begin"/>
    </w:r>
    <w:r>
      <w:instrText>PAGE   \* MERGEFORMAT</w:instrText>
    </w:r>
    <w:r>
      <w:fldChar w:fldCharType="separate"/>
    </w:r>
    <w:r w:rsidR="00D66544">
      <w:rPr>
        <w:noProof/>
      </w:rPr>
      <w:t>8</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A2AC8A" w14:textId="77777777" w:rsidR="00C246A9" w:rsidRDefault="00C246A9" w:rsidP="000D78E5">
      <w:r>
        <w:separator/>
      </w:r>
    </w:p>
  </w:footnote>
  <w:footnote w:type="continuationSeparator" w:id="0">
    <w:p w14:paraId="1A940EEB" w14:textId="77777777" w:rsidR="00C246A9" w:rsidRDefault="00C246A9" w:rsidP="000D78E5">
      <w:r>
        <w:continuationSeparator/>
      </w:r>
    </w:p>
  </w:footnote>
  <w:footnote w:type="continuationNotice" w:id="1">
    <w:p w14:paraId="3A41CFD6" w14:textId="77777777" w:rsidR="00C246A9" w:rsidRDefault="00C246A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05BBF"/>
    <w:multiLevelType w:val="hybridMultilevel"/>
    <w:tmpl w:val="E56291E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A85E03"/>
    <w:multiLevelType w:val="hybridMultilevel"/>
    <w:tmpl w:val="CED6659C"/>
    <w:lvl w:ilvl="0" w:tplc="9E548CD8">
      <w:start w:val="1"/>
      <w:numFmt w:val="bullet"/>
      <w:lvlText w:val=""/>
      <w:lvlJc w:val="left"/>
      <w:pPr>
        <w:tabs>
          <w:tab w:val="num" w:pos="1429"/>
        </w:tabs>
        <w:ind w:left="1429" w:hanging="363"/>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2" w15:restartNumberingAfterBreak="0">
    <w:nsid w:val="0A3708B6"/>
    <w:multiLevelType w:val="hybridMultilevel"/>
    <w:tmpl w:val="C57EE46E"/>
    <w:lvl w:ilvl="0" w:tplc="C2E42274">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3" w15:restartNumberingAfterBreak="0">
    <w:nsid w:val="0C89259E"/>
    <w:multiLevelType w:val="hybridMultilevel"/>
    <w:tmpl w:val="1A628A16"/>
    <w:lvl w:ilvl="0" w:tplc="7D84D76E">
      <w:start w:val="1"/>
      <w:numFmt w:val="decimal"/>
      <w:lvlText w:val="%1)"/>
      <w:lvlJc w:val="left"/>
      <w:pPr>
        <w:ind w:left="1004" w:hanging="360"/>
      </w:pPr>
      <w:rPr>
        <w:rFonts w:cs="Times New Roman" w:hint="default"/>
      </w:rPr>
    </w:lvl>
    <w:lvl w:ilvl="1" w:tplc="04190019">
      <w:start w:val="1"/>
      <w:numFmt w:val="lowerLetter"/>
      <w:lvlText w:val="%2."/>
      <w:lvlJc w:val="left"/>
      <w:pPr>
        <w:ind w:left="1724" w:hanging="360"/>
      </w:pPr>
      <w:rPr>
        <w:rFonts w:cs="Times New Roman"/>
      </w:rPr>
    </w:lvl>
    <w:lvl w:ilvl="2" w:tplc="0419001B">
      <w:start w:val="1"/>
      <w:numFmt w:val="lowerRoman"/>
      <w:lvlText w:val="%3."/>
      <w:lvlJc w:val="right"/>
      <w:pPr>
        <w:ind w:left="2444" w:hanging="180"/>
      </w:pPr>
      <w:rPr>
        <w:rFonts w:cs="Times New Roman"/>
      </w:rPr>
    </w:lvl>
    <w:lvl w:ilvl="3" w:tplc="0419000F">
      <w:start w:val="1"/>
      <w:numFmt w:val="decimal"/>
      <w:lvlText w:val="%4."/>
      <w:lvlJc w:val="left"/>
      <w:pPr>
        <w:ind w:left="3164" w:hanging="360"/>
      </w:pPr>
      <w:rPr>
        <w:rFonts w:cs="Times New Roman"/>
      </w:rPr>
    </w:lvl>
    <w:lvl w:ilvl="4" w:tplc="04190019">
      <w:start w:val="1"/>
      <w:numFmt w:val="lowerLetter"/>
      <w:lvlText w:val="%5."/>
      <w:lvlJc w:val="left"/>
      <w:pPr>
        <w:ind w:left="3884" w:hanging="360"/>
      </w:pPr>
      <w:rPr>
        <w:rFonts w:cs="Times New Roman"/>
      </w:rPr>
    </w:lvl>
    <w:lvl w:ilvl="5" w:tplc="0419001B">
      <w:start w:val="1"/>
      <w:numFmt w:val="lowerRoman"/>
      <w:lvlText w:val="%6."/>
      <w:lvlJc w:val="right"/>
      <w:pPr>
        <w:ind w:left="4604" w:hanging="180"/>
      </w:pPr>
      <w:rPr>
        <w:rFonts w:cs="Times New Roman"/>
      </w:rPr>
    </w:lvl>
    <w:lvl w:ilvl="6" w:tplc="0419000F">
      <w:start w:val="1"/>
      <w:numFmt w:val="decimal"/>
      <w:lvlText w:val="%7."/>
      <w:lvlJc w:val="left"/>
      <w:pPr>
        <w:ind w:left="5324" w:hanging="360"/>
      </w:pPr>
      <w:rPr>
        <w:rFonts w:cs="Times New Roman"/>
      </w:rPr>
    </w:lvl>
    <w:lvl w:ilvl="7" w:tplc="04190019">
      <w:start w:val="1"/>
      <w:numFmt w:val="lowerLetter"/>
      <w:lvlText w:val="%8."/>
      <w:lvlJc w:val="left"/>
      <w:pPr>
        <w:ind w:left="6044" w:hanging="360"/>
      </w:pPr>
      <w:rPr>
        <w:rFonts w:cs="Times New Roman"/>
      </w:rPr>
    </w:lvl>
    <w:lvl w:ilvl="8" w:tplc="0419001B">
      <w:start w:val="1"/>
      <w:numFmt w:val="lowerRoman"/>
      <w:lvlText w:val="%9."/>
      <w:lvlJc w:val="right"/>
      <w:pPr>
        <w:ind w:left="6764" w:hanging="180"/>
      </w:pPr>
      <w:rPr>
        <w:rFonts w:cs="Times New Roman"/>
      </w:rPr>
    </w:lvl>
  </w:abstractNum>
  <w:abstractNum w:abstractNumId="4" w15:restartNumberingAfterBreak="0">
    <w:nsid w:val="0E9A5F3D"/>
    <w:multiLevelType w:val="hybridMultilevel"/>
    <w:tmpl w:val="502C09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ED94D37"/>
    <w:multiLevelType w:val="hybridMultilevel"/>
    <w:tmpl w:val="E1F05B82"/>
    <w:lvl w:ilvl="0" w:tplc="90C09788">
      <w:start w:val="1"/>
      <w:numFmt w:val="bullet"/>
      <w:lvlText w:val="–"/>
      <w:lvlJc w:val="left"/>
      <w:pPr>
        <w:ind w:left="1068" w:hanging="360"/>
      </w:pPr>
      <w:rPr>
        <w:rFonts w:ascii="Times New Roman" w:hAnsi="Times New Roman" w:hint="default"/>
      </w:rPr>
    </w:lvl>
    <w:lvl w:ilvl="1" w:tplc="04190003">
      <w:start w:val="1"/>
      <w:numFmt w:val="bullet"/>
      <w:lvlText w:val="o"/>
      <w:lvlJc w:val="left"/>
      <w:pPr>
        <w:ind w:left="1788" w:hanging="360"/>
      </w:pPr>
      <w:rPr>
        <w:rFonts w:ascii="Courier New" w:hAnsi="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hint="default"/>
      </w:rPr>
    </w:lvl>
    <w:lvl w:ilvl="8" w:tplc="04190005">
      <w:start w:val="1"/>
      <w:numFmt w:val="bullet"/>
      <w:lvlText w:val=""/>
      <w:lvlJc w:val="left"/>
      <w:pPr>
        <w:ind w:left="6828" w:hanging="360"/>
      </w:pPr>
      <w:rPr>
        <w:rFonts w:ascii="Wingdings" w:hAnsi="Wingdings" w:hint="default"/>
      </w:rPr>
    </w:lvl>
  </w:abstractNum>
  <w:abstractNum w:abstractNumId="6" w15:restartNumberingAfterBreak="0">
    <w:nsid w:val="10694D0A"/>
    <w:multiLevelType w:val="hybridMultilevel"/>
    <w:tmpl w:val="62D4BB86"/>
    <w:lvl w:ilvl="0" w:tplc="04190019">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15:restartNumberingAfterBreak="0">
    <w:nsid w:val="112E3F50"/>
    <w:multiLevelType w:val="hybridMultilevel"/>
    <w:tmpl w:val="6290C81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8" w15:restartNumberingAfterBreak="0">
    <w:nsid w:val="124B097E"/>
    <w:multiLevelType w:val="hybridMultilevel"/>
    <w:tmpl w:val="ACF6D4F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12C133D8"/>
    <w:multiLevelType w:val="hybridMultilevel"/>
    <w:tmpl w:val="5A12D226"/>
    <w:lvl w:ilvl="0" w:tplc="04190011">
      <w:start w:val="1"/>
      <w:numFmt w:val="decimal"/>
      <w:lvlText w:val="%1)"/>
      <w:lvlJc w:val="left"/>
      <w:pPr>
        <w:ind w:left="720" w:hanging="360"/>
      </w:pPr>
      <w:rPr>
        <w:rFonts w:cs="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 w15:restartNumberingAfterBreak="0">
    <w:nsid w:val="12E75E82"/>
    <w:multiLevelType w:val="hybridMultilevel"/>
    <w:tmpl w:val="C8D63606"/>
    <w:lvl w:ilvl="0" w:tplc="9E548CD8">
      <w:start w:val="1"/>
      <w:numFmt w:val="bullet"/>
      <w:lvlText w:val=""/>
      <w:lvlJc w:val="left"/>
      <w:pPr>
        <w:tabs>
          <w:tab w:val="num" w:pos="1429"/>
        </w:tabs>
        <w:ind w:left="1429" w:hanging="363"/>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1" w15:restartNumberingAfterBreak="0">
    <w:nsid w:val="17B6604F"/>
    <w:multiLevelType w:val="multilevel"/>
    <w:tmpl w:val="0B8C4244"/>
    <w:lvl w:ilvl="0">
      <w:start w:val="3"/>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5432324"/>
    <w:multiLevelType w:val="hybridMultilevel"/>
    <w:tmpl w:val="DDFE1682"/>
    <w:lvl w:ilvl="0" w:tplc="0419000F">
      <w:start w:val="9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B580A31"/>
    <w:multiLevelType w:val="multilevel"/>
    <w:tmpl w:val="76923EE2"/>
    <w:lvl w:ilvl="0">
      <w:start w:val="3"/>
      <w:numFmt w:val="decimal"/>
      <w:lvlText w:val="%1"/>
      <w:lvlJc w:val="left"/>
      <w:pPr>
        <w:ind w:left="480" w:hanging="480"/>
      </w:pPr>
      <w:rPr>
        <w:rFonts w:hint="default"/>
      </w:rPr>
    </w:lvl>
    <w:lvl w:ilvl="1">
      <w:start w:val="6"/>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4" w15:restartNumberingAfterBreak="0">
    <w:nsid w:val="2C572F87"/>
    <w:multiLevelType w:val="hybridMultilevel"/>
    <w:tmpl w:val="F88E2656"/>
    <w:lvl w:ilvl="0" w:tplc="16FAD060">
      <w:numFmt w:val="bullet"/>
      <w:lvlText w:val=""/>
      <w:lvlJc w:val="left"/>
      <w:pPr>
        <w:ind w:left="2818" w:hanging="348"/>
      </w:pPr>
      <w:rPr>
        <w:rFonts w:ascii="Symbol" w:eastAsia="Times New Roman" w:hAnsi="Symbol" w:hint="default"/>
        <w:w w:val="100"/>
        <w:sz w:val="24"/>
      </w:rPr>
    </w:lvl>
    <w:lvl w:ilvl="1" w:tplc="A5C6339C">
      <w:numFmt w:val="bullet"/>
      <w:lvlText w:val="•"/>
      <w:lvlJc w:val="left"/>
      <w:pPr>
        <w:ind w:left="3666" w:hanging="348"/>
      </w:pPr>
      <w:rPr>
        <w:rFonts w:hint="default"/>
      </w:rPr>
    </w:lvl>
    <w:lvl w:ilvl="2" w:tplc="3BC68F14">
      <w:numFmt w:val="bullet"/>
      <w:lvlText w:val="•"/>
      <w:lvlJc w:val="left"/>
      <w:pPr>
        <w:ind w:left="4513" w:hanging="348"/>
      </w:pPr>
      <w:rPr>
        <w:rFonts w:hint="default"/>
      </w:rPr>
    </w:lvl>
    <w:lvl w:ilvl="3" w:tplc="8034D9C0">
      <w:numFmt w:val="bullet"/>
      <w:lvlText w:val="•"/>
      <w:lvlJc w:val="left"/>
      <w:pPr>
        <w:ind w:left="5359" w:hanging="348"/>
      </w:pPr>
      <w:rPr>
        <w:rFonts w:hint="default"/>
      </w:rPr>
    </w:lvl>
    <w:lvl w:ilvl="4" w:tplc="572A50CE">
      <w:numFmt w:val="bullet"/>
      <w:lvlText w:val="•"/>
      <w:lvlJc w:val="left"/>
      <w:pPr>
        <w:ind w:left="6206" w:hanging="348"/>
      </w:pPr>
      <w:rPr>
        <w:rFonts w:hint="default"/>
      </w:rPr>
    </w:lvl>
    <w:lvl w:ilvl="5" w:tplc="4176D778">
      <w:numFmt w:val="bullet"/>
      <w:lvlText w:val="•"/>
      <w:lvlJc w:val="left"/>
      <w:pPr>
        <w:ind w:left="7053" w:hanging="348"/>
      </w:pPr>
      <w:rPr>
        <w:rFonts w:hint="default"/>
      </w:rPr>
    </w:lvl>
    <w:lvl w:ilvl="6" w:tplc="BC5A632A">
      <w:numFmt w:val="bullet"/>
      <w:lvlText w:val="•"/>
      <w:lvlJc w:val="left"/>
      <w:pPr>
        <w:ind w:left="7899" w:hanging="348"/>
      </w:pPr>
      <w:rPr>
        <w:rFonts w:hint="default"/>
      </w:rPr>
    </w:lvl>
    <w:lvl w:ilvl="7" w:tplc="A2FAC3B2">
      <w:numFmt w:val="bullet"/>
      <w:lvlText w:val="•"/>
      <w:lvlJc w:val="left"/>
      <w:pPr>
        <w:ind w:left="8746" w:hanging="348"/>
      </w:pPr>
      <w:rPr>
        <w:rFonts w:hint="default"/>
      </w:rPr>
    </w:lvl>
    <w:lvl w:ilvl="8" w:tplc="31EA6BC0">
      <w:numFmt w:val="bullet"/>
      <w:lvlText w:val="•"/>
      <w:lvlJc w:val="left"/>
      <w:pPr>
        <w:ind w:left="9593" w:hanging="348"/>
      </w:pPr>
      <w:rPr>
        <w:rFonts w:hint="default"/>
      </w:rPr>
    </w:lvl>
  </w:abstractNum>
  <w:abstractNum w:abstractNumId="15" w15:restartNumberingAfterBreak="0">
    <w:nsid w:val="2CB72447"/>
    <w:multiLevelType w:val="multilevel"/>
    <w:tmpl w:val="C7EC4D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DD8677C"/>
    <w:multiLevelType w:val="hybridMultilevel"/>
    <w:tmpl w:val="9A8A1E3E"/>
    <w:lvl w:ilvl="0" w:tplc="04190011">
      <w:start w:val="1"/>
      <w:numFmt w:val="decimal"/>
      <w:lvlText w:val="%1)"/>
      <w:lvlJc w:val="left"/>
      <w:pPr>
        <w:ind w:left="1069" w:hanging="360"/>
      </w:pPr>
      <w:rPr>
        <w:rFonts w:cs="Times New Roman"/>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17" w15:restartNumberingAfterBreak="0">
    <w:nsid w:val="2FA47481"/>
    <w:multiLevelType w:val="hybridMultilevel"/>
    <w:tmpl w:val="7FA07B7C"/>
    <w:lvl w:ilvl="0" w:tplc="04190011">
      <w:start w:val="1"/>
      <w:numFmt w:val="decimal"/>
      <w:lvlText w:val="%1)"/>
      <w:lvlJc w:val="left"/>
      <w:pPr>
        <w:ind w:left="1068" w:hanging="360"/>
      </w:pPr>
      <w:rPr>
        <w:rFonts w:cs="Times New Roman"/>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18" w15:restartNumberingAfterBreak="0">
    <w:nsid w:val="329F3B19"/>
    <w:multiLevelType w:val="hybridMultilevel"/>
    <w:tmpl w:val="AAAC32F4"/>
    <w:lvl w:ilvl="0" w:tplc="C0BA381A">
      <w:start w:val="1"/>
      <w:numFmt w:val="decimal"/>
      <w:lvlText w:val="%1."/>
      <w:lvlJc w:val="left"/>
      <w:pPr>
        <w:ind w:left="360" w:hanging="360"/>
      </w:pPr>
      <w:rPr>
        <w:rFonts w:ascii="Times" w:hAnsi="Times" w:cs="Times" w:hint="default"/>
        <w:sz w:val="24"/>
        <w:szCs w:val="24"/>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 w15:restartNumberingAfterBreak="0">
    <w:nsid w:val="367602B4"/>
    <w:multiLevelType w:val="hybridMultilevel"/>
    <w:tmpl w:val="A84E548A"/>
    <w:lvl w:ilvl="0" w:tplc="0419000F">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20" w15:restartNumberingAfterBreak="0">
    <w:nsid w:val="3D315056"/>
    <w:multiLevelType w:val="multilevel"/>
    <w:tmpl w:val="A01279C0"/>
    <w:lvl w:ilvl="0">
      <w:start w:val="3"/>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D9E125E"/>
    <w:multiLevelType w:val="hybridMultilevel"/>
    <w:tmpl w:val="759C5CAE"/>
    <w:lvl w:ilvl="0" w:tplc="07B8659E">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6E45756"/>
    <w:multiLevelType w:val="hybridMultilevel"/>
    <w:tmpl w:val="9A507EEA"/>
    <w:lvl w:ilvl="0" w:tplc="54607ED2">
      <w:start w:val="1"/>
      <w:numFmt w:val="bullet"/>
      <w:lvlText w:val="•"/>
      <w:lvlJc w:val="left"/>
      <w:pPr>
        <w:tabs>
          <w:tab w:val="num" w:pos="720"/>
        </w:tabs>
        <w:ind w:left="720" w:hanging="360"/>
      </w:pPr>
      <w:rPr>
        <w:rFonts w:ascii="Arial" w:hAnsi="Arial" w:hint="default"/>
      </w:rPr>
    </w:lvl>
    <w:lvl w:ilvl="1" w:tplc="C1AEA086" w:tentative="1">
      <w:start w:val="1"/>
      <w:numFmt w:val="bullet"/>
      <w:lvlText w:val="•"/>
      <w:lvlJc w:val="left"/>
      <w:pPr>
        <w:tabs>
          <w:tab w:val="num" w:pos="1440"/>
        </w:tabs>
        <w:ind w:left="1440" w:hanging="360"/>
      </w:pPr>
      <w:rPr>
        <w:rFonts w:ascii="Arial" w:hAnsi="Arial" w:hint="default"/>
      </w:rPr>
    </w:lvl>
    <w:lvl w:ilvl="2" w:tplc="B0543BC0" w:tentative="1">
      <w:start w:val="1"/>
      <w:numFmt w:val="bullet"/>
      <w:lvlText w:val="•"/>
      <w:lvlJc w:val="left"/>
      <w:pPr>
        <w:tabs>
          <w:tab w:val="num" w:pos="2160"/>
        </w:tabs>
        <w:ind w:left="2160" w:hanging="360"/>
      </w:pPr>
      <w:rPr>
        <w:rFonts w:ascii="Arial" w:hAnsi="Arial" w:hint="default"/>
      </w:rPr>
    </w:lvl>
    <w:lvl w:ilvl="3" w:tplc="96641136" w:tentative="1">
      <w:start w:val="1"/>
      <w:numFmt w:val="bullet"/>
      <w:lvlText w:val="•"/>
      <w:lvlJc w:val="left"/>
      <w:pPr>
        <w:tabs>
          <w:tab w:val="num" w:pos="2880"/>
        </w:tabs>
        <w:ind w:left="2880" w:hanging="360"/>
      </w:pPr>
      <w:rPr>
        <w:rFonts w:ascii="Arial" w:hAnsi="Arial" w:hint="default"/>
      </w:rPr>
    </w:lvl>
    <w:lvl w:ilvl="4" w:tplc="BB10DA56" w:tentative="1">
      <w:start w:val="1"/>
      <w:numFmt w:val="bullet"/>
      <w:lvlText w:val="•"/>
      <w:lvlJc w:val="left"/>
      <w:pPr>
        <w:tabs>
          <w:tab w:val="num" w:pos="3600"/>
        </w:tabs>
        <w:ind w:left="3600" w:hanging="360"/>
      </w:pPr>
      <w:rPr>
        <w:rFonts w:ascii="Arial" w:hAnsi="Arial" w:hint="default"/>
      </w:rPr>
    </w:lvl>
    <w:lvl w:ilvl="5" w:tplc="CA34D92E" w:tentative="1">
      <w:start w:val="1"/>
      <w:numFmt w:val="bullet"/>
      <w:lvlText w:val="•"/>
      <w:lvlJc w:val="left"/>
      <w:pPr>
        <w:tabs>
          <w:tab w:val="num" w:pos="4320"/>
        </w:tabs>
        <w:ind w:left="4320" w:hanging="360"/>
      </w:pPr>
      <w:rPr>
        <w:rFonts w:ascii="Arial" w:hAnsi="Arial" w:hint="default"/>
      </w:rPr>
    </w:lvl>
    <w:lvl w:ilvl="6" w:tplc="45844E8E" w:tentative="1">
      <w:start w:val="1"/>
      <w:numFmt w:val="bullet"/>
      <w:lvlText w:val="•"/>
      <w:lvlJc w:val="left"/>
      <w:pPr>
        <w:tabs>
          <w:tab w:val="num" w:pos="5040"/>
        </w:tabs>
        <w:ind w:left="5040" w:hanging="360"/>
      </w:pPr>
      <w:rPr>
        <w:rFonts w:ascii="Arial" w:hAnsi="Arial" w:hint="default"/>
      </w:rPr>
    </w:lvl>
    <w:lvl w:ilvl="7" w:tplc="04E4DDD4" w:tentative="1">
      <w:start w:val="1"/>
      <w:numFmt w:val="bullet"/>
      <w:lvlText w:val="•"/>
      <w:lvlJc w:val="left"/>
      <w:pPr>
        <w:tabs>
          <w:tab w:val="num" w:pos="5760"/>
        </w:tabs>
        <w:ind w:left="5760" w:hanging="360"/>
      </w:pPr>
      <w:rPr>
        <w:rFonts w:ascii="Arial" w:hAnsi="Arial" w:hint="default"/>
      </w:rPr>
    </w:lvl>
    <w:lvl w:ilvl="8" w:tplc="A1A487E8"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8A2247D"/>
    <w:multiLevelType w:val="hybridMultilevel"/>
    <w:tmpl w:val="79B6D8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A4E52A2"/>
    <w:multiLevelType w:val="hybridMultilevel"/>
    <w:tmpl w:val="41C6DB76"/>
    <w:lvl w:ilvl="0" w:tplc="EF9AA982">
      <w:start w:val="1"/>
      <w:numFmt w:val="bullet"/>
      <w:pStyle w:val="a"/>
      <w:lvlText w:val=""/>
      <w:lvlJc w:val="left"/>
      <w:pPr>
        <w:ind w:left="6881" w:hanging="360"/>
      </w:pPr>
      <w:rPr>
        <w:rFonts w:ascii="Symbol" w:hAnsi="Symbol" w:hint="default"/>
      </w:rPr>
    </w:lvl>
    <w:lvl w:ilvl="1" w:tplc="04190003">
      <w:start w:val="1"/>
      <w:numFmt w:val="bullet"/>
      <w:lvlText w:val="o"/>
      <w:lvlJc w:val="left"/>
      <w:pPr>
        <w:ind w:left="502" w:hanging="360"/>
      </w:pPr>
      <w:rPr>
        <w:rFonts w:ascii="Courier New" w:hAnsi="Courier New" w:hint="default"/>
      </w:rPr>
    </w:lvl>
    <w:lvl w:ilvl="2" w:tplc="04190005">
      <w:start w:val="1"/>
      <w:numFmt w:val="bullet"/>
      <w:lvlText w:val=""/>
      <w:lvlJc w:val="left"/>
      <w:pPr>
        <w:ind w:left="1353" w:hanging="360"/>
      </w:pPr>
      <w:rPr>
        <w:rFonts w:ascii="Wingdings" w:hAnsi="Wingdings" w:hint="default"/>
      </w:rPr>
    </w:lvl>
    <w:lvl w:ilvl="3" w:tplc="04190001">
      <w:start w:val="1"/>
      <w:numFmt w:val="bullet"/>
      <w:lvlText w:val=""/>
      <w:lvlJc w:val="left"/>
      <w:pPr>
        <w:ind w:left="3649" w:hanging="360"/>
      </w:pPr>
      <w:rPr>
        <w:rFonts w:ascii="Symbol" w:hAnsi="Symbol" w:hint="default"/>
      </w:rPr>
    </w:lvl>
    <w:lvl w:ilvl="4" w:tplc="04190003">
      <w:start w:val="1"/>
      <w:numFmt w:val="bullet"/>
      <w:lvlText w:val="o"/>
      <w:lvlJc w:val="left"/>
      <w:pPr>
        <w:ind w:left="4369" w:hanging="360"/>
      </w:pPr>
      <w:rPr>
        <w:rFonts w:ascii="Courier New" w:hAnsi="Courier New" w:hint="default"/>
      </w:rPr>
    </w:lvl>
    <w:lvl w:ilvl="5" w:tplc="04190005">
      <w:start w:val="1"/>
      <w:numFmt w:val="bullet"/>
      <w:lvlText w:val=""/>
      <w:lvlJc w:val="left"/>
      <w:pPr>
        <w:ind w:left="5089" w:hanging="360"/>
      </w:pPr>
      <w:rPr>
        <w:rFonts w:ascii="Wingdings" w:hAnsi="Wingdings" w:hint="default"/>
      </w:rPr>
    </w:lvl>
    <w:lvl w:ilvl="6" w:tplc="04190001">
      <w:start w:val="1"/>
      <w:numFmt w:val="bullet"/>
      <w:lvlText w:val=""/>
      <w:lvlJc w:val="left"/>
      <w:pPr>
        <w:ind w:left="5809" w:hanging="360"/>
      </w:pPr>
      <w:rPr>
        <w:rFonts w:ascii="Symbol" w:hAnsi="Symbol" w:hint="default"/>
      </w:rPr>
    </w:lvl>
    <w:lvl w:ilvl="7" w:tplc="04190003">
      <w:start w:val="1"/>
      <w:numFmt w:val="bullet"/>
      <w:lvlText w:val="o"/>
      <w:lvlJc w:val="left"/>
      <w:pPr>
        <w:ind w:left="6529" w:hanging="360"/>
      </w:pPr>
      <w:rPr>
        <w:rFonts w:ascii="Courier New" w:hAnsi="Courier New" w:hint="default"/>
      </w:rPr>
    </w:lvl>
    <w:lvl w:ilvl="8" w:tplc="04190005">
      <w:start w:val="1"/>
      <w:numFmt w:val="bullet"/>
      <w:lvlText w:val=""/>
      <w:lvlJc w:val="left"/>
      <w:pPr>
        <w:ind w:left="7249" w:hanging="360"/>
      </w:pPr>
      <w:rPr>
        <w:rFonts w:ascii="Wingdings" w:hAnsi="Wingdings" w:hint="default"/>
      </w:rPr>
    </w:lvl>
  </w:abstractNum>
  <w:abstractNum w:abstractNumId="25" w15:restartNumberingAfterBreak="0">
    <w:nsid w:val="4C692CF4"/>
    <w:multiLevelType w:val="hybridMultilevel"/>
    <w:tmpl w:val="3960A4E2"/>
    <w:lvl w:ilvl="0" w:tplc="5BA8D496">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6" w15:restartNumberingAfterBreak="0">
    <w:nsid w:val="4CD41D38"/>
    <w:multiLevelType w:val="hybridMultilevel"/>
    <w:tmpl w:val="49C46B88"/>
    <w:lvl w:ilvl="0" w:tplc="90C09788">
      <w:start w:val="1"/>
      <w:numFmt w:val="bullet"/>
      <w:lvlText w:val="–"/>
      <w:lvlJc w:val="left"/>
      <w:pPr>
        <w:ind w:left="1068" w:hanging="360"/>
      </w:pPr>
      <w:rPr>
        <w:rFonts w:ascii="Times New Roman" w:hAnsi="Times New Roman" w:hint="default"/>
      </w:rPr>
    </w:lvl>
    <w:lvl w:ilvl="1" w:tplc="04190003">
      <w:start w:val="1"/>
      <w:numFmt w:val="bullet"/>
      <w:lvlText w:val="o"/>
      <w:lvlJc w:val="left"/>
      <w:pPr>
        <w:ind w:left="1788" w:hanging="360"/>
      </w:pPr>
      <w:rPr>
        <w:rFonts w:ascii="Courier New" w:hAnsi="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hint="default"/>
      </w:rPr>
    </w:lvl>
    <w:lvl w:ilvl="8" w:tplc="04190005">
      <w:start w:val="1"/>
      <w:numFmt w:val="bullet"/>
      <w:lvlText w:val=""/>
      <w:lvlJc w:val="left"/>
      <w:pPr>
        <w:ind w:left="6828" w:hanging="360"/>
      </w:pPr>
      <w:rPr>
        <w:rFonts w:ascii="Wingdings" w:hAnsi="Wingdings" w:hint="default"/>
      </w:rPr>
    </w:lvl>
  </w:abstractNum>
  <w:abstractNum w:abstractNumId="27" w15:restartNumberingAfterBreak="0">
    <w:nsid w:val="534F5814"/>
    <w:multiLevelType w:val="hybridMultilevel"/>
    <w:tmpl w:val="5B5418B6"/>
    <w:lvl w:ilvl="0" w:tplc="04190011">
      <w:start w:val="1"/>
      <w:numFmt w:val="decimal"/>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8" w15:restartNumberingAfterBreak="0">
    <w:nsid w:val="58FE5BB2"/>
    <w:multiLevelType w:val="hybridMultilevel"/>
    <w:tmpl w:val="E93AD3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9B66747"/>
    <w:multiLevelType w:val="hybridMultilevel"/>
    <w:tmpl w:val="BB30958E"/>
    <w:lvl w:ilvl="0" w:tplc="9D262F04">
      <w:start w:val="1"/>
      <w:numFmt w:val="bullet"/>
      <w:lvlText w:val="–"/>
      <w:lvlJc w:val="left"/>
      <w:pPr>
        <w:tabs>
          <w:tab w:val="num" w:pos="349"/>
        </w:tabs>
        <w:ind w:left="349" w:firstLine="717"/>
      </w:pPr>
      <w:rPr>
        <w:rFonts w:ascii="Times New Roman" w:hAnsi="Times New Roman"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30" w15:restartNumberingAfterBreak="0">
    <w:nsid w:val="5B4C4981"/>
    <w:multiLevelType w:val="hybridMultilevel"/>
    <w:tmpl w:val="210C26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C032FD5"/>
    <w:multiLevelType w:val="hybridMultilevel"/>
    <w:tmpl w:val="8646CF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CEC16BA"/>
    <w:multiLevelType w:val="hybridMultilevel"/>
    <w:tmpl w:val="257A2618"/>
    <w:lvl w:ilvl="0" w:tplc="0419000F">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3" w15:restartNumberingAfterBreak="0">
    <w:nsid w:val="5D8E55BD"/>
    <w:multiLevelType w:val="hybridMultilevel"/>
    <w:tmpl w:val="AD88C482"/>
    <w:lvl w:ilvl="0" w:tplc="06BA4E00">
      <w:start w:val="1"/>
      <w:numFmt w:val="decimal"/>
      <w:lvlText w:val="%1)"/>
      <w:lvlJc w:val="left"/>
      <w:pPr>
        <w:ind w:left="1417" w:hanging="708"/>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34" w15:restartNumberingAfterBreak="0">
    <w:nsid w:val="5F382714"/>
    <w:multiLevelType w:val="hybridMultilevel"/>
    <w:tmpl w:val="C924EDA2"/>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5" w15:restartNumberingAfterBreak="0">
    <w:nsid w:val="62E546BC"/>
    <w:multiLevelType w:val="hybridMultilevel"/>
    <w:tmpl w:val="D9DEBD64"/>
    <w:lvl w:ilvl="0" w:tplc="04190001">
      <w:start w:val="1"/>
      <w:numFmt w:val="bullet"/>
      <w:lvlText w:val=""/>
      <w:lvlJc w:val="left"/>
      <w:pPr>
        <w:ind w:left="1211" w:hanging="360"/>
      </w:pPr>
      <w:rPr>
        <w:rFonts w:ascii="Symbol" w:hAnsi="Symbol" w:hint="default"/>
        <w:b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6" w15:restartNumberingAfterBreak="0">
    <w:nsid w:val="634353CB"/>
    <w:multiLevelType w:val="multilevel"/>
    <w:tmpl w:val="83B056D0"/>
    <w:lvl w:ilvl="0">
      <w:start w:val="1"/>
      <w:numFmt w:val="bullet"/>
      <w:pStyle w:val="1"/>
      <w:suff w:val="space"/>
      <w:lvlText w:val="●"/>
      <w:lvlJc w:val="left"/>
      <w:pPr>
        <w:ind w:left="927" w:hanging="360"/>
      </w:pPr>
      <w:rPr>
        <w:rFonts w:ascii="Noto Sans Symbols" w:hAnsi="Noto Sans Symbols" w:hint="default"/>
        <w:sz w:val="20"/>
      </w:rPr>
    </w:lvl>
    <w:lvl w:ilvl="1">
      <w:start w:val="1"/>
      <w:numFmt w:val="bullet"/>
      <w:lvlText w:val="o"/>
      <w:lvlJc w:val="left"/>
      <w:pPr>
        <w:ind w:left="10011" w:hanging="360"/>
      </w:pPr>
      <w:rPr>
        <w:rFonts w:ascii="Courier New" w:eastAsia="Times New Roman" w:hAnsi="Courier New" w:hint="default"/>
        <w:sz w:val="20"/>
      </w:rPr>
    </w:lvl>
    <w:lvl w:ilvl="2">
      <w:start w:val="1"/>
      <w:numFmt w:val="bullet"/>
      <w:lvlText w:val="▪"/>
      <w:lvlJc w:val="left"/>
      <w:pPr>
        <w:ind w:left="10731" w:hanging="360"/>
      </w:pPr>
      <w:rPr>
        <w:rFonts w:ascii="Noto Sans Symbols" w:eastAsia="Times New Roman" w:hAnsi="Noto Sans Symbols" w:hint="default"/>
        <w:sz w:val="20"/>
      </w:rPr>
    </w:lvl>
    <w:lvl w:ilvl="3">
      <w:start w:val="1"/>
      <w:numFmt w:val="bullet"/>
      <w:lvlText w:val="▪"/>
      <w:lvlJc w:val="left"/>
      <w:pPr>
        <w:ind w:left="11451" w:hanging="360"/>
      </w:pPr>
      <w:rPr>
        <w:rFonts w:ascii="Noto Sans Symbols" w:eastAsia="Times New Roman" w:hAnsi="Noto Sans Symbols" w:hint="default"/>
        <w:sz w:val="20"/>
      </w:rPr>
    </w:lvl>
    <w:lvl w:ilvl="4">
      <w:start w:val="1"/>
      <w:numFmt w:val="bullet"/>
      <w:lvlText w:val="▪"/>
      <w:lvlJc w:val="left"/>
      <w:pPr>
        <w:ind w:left="12171" w:hanging="360"/>
      </w:pPr>
      <w:rPr>
        <w:rFonts w:ascii="Noto Sans Symbols" w:eastAsia="Times New Roman" w:hAnsi="Noto Sans Symbols" w:hint="default"/>
        <w:sz w:val="20"/>
      </w:rPr>
    </w:lvl>
    <w:lvl w:ilvl="5">
      <w:start w:val="1"/>
      <w:numFmt w:val="bullet"/>
      <w:lvlText w:val="▪"/>
      <w:lvlJc w:val="left"/>
      <w:pPr>
        <w:ind w:left="12891" w:hanging="360"/>
      </w:pPr>
      <w:rPr>
        <w:rFonts w:ascii="Noto Sans Symbols" w:eastAsia="Times New Roman" w:hAnsi="Noto Sans Symbols" w:hint="default"/>
        <w:sz w:val="20"/>
      </w:rPr>
    </w:lvl>
    <w:lvl w:ilvl="6">
      <w:start w:val="1"/>
      <w:numFmt w:val="bullet"/>
      <w:lvlText w:val="▪"/>
      <w:lvlJc w:val="left"/>
      <w:pPr>
        <w:ind w:left="13611" w:hanging="360"/>
      </w:pPr>
      <w:rPr>
        <w:rFonts w:ascii="Noto Sans Symbols" w:eastAsia="Times New Roman" w:hAnsi="Noto Sans Symbols" w:hint="default"/>
        <w:sz w:val="20"/>
      </w:rPr>
    </w:lvl>
    <w:lvl w:ilvl="7">
      <w:start w:val="1"/>
      <w:numFmt w:val="bullet"/>
      <w:lvlText w:val="▪"/>
      <w:lvlJc w:val="left"/>
      <w:pPr>
        <w:ind w:left="14331" w:hanging="360"/>
      </w:pPr>
      <w:rPr>
        <w:rFonts w:ascii="Noto Sans Symbols" w:eastAsia="Times New Roman" w:hAnsi="Noto Sans Symbols" w:hint="default"/>
        <w:sz w:val="20"/>
      </w:rPr>
    </w:lvl>
    <w:lvl w:ilvl="8">
      <w:start w:val="1"/>
      <w:numFmt w:val="bullet"/>
      <w:lvlText w:val="▪"/>
      <w:lvlJc w:val="left"/>
      <w:pPr>
        <w:ind w:left="15051" w:hanging="360"/>
      </w:pPr>
      <w:rPr>
        <w:rFonts w:ascii="Noto Sans Symbols" w:eastAsia="Times New Roman" w:hAnsi="Noto Sans Symbols" w:hint="default"/>
        <w:sz w:val="20"/>
      </w:rPr>
    </w:lvl>
  </w:abstractNum>
  <w:abstractNum w:abstractNumId="37" w15:restartNumberingAfterBreak="0">
    <w:nsid w:val="651E721F"/>
    <w:multiLevelType w:val="hybridMultilevel"/>
    <w:tmpl w:val="C9D45238"/>
    <w:lvl w:ilvl="0" w:tplc="9E548CD8">
      <w:start w:val="1"/>
      <w:numFmt w:val="bullet"/>
      <w:lvlText w:val=""/>
      <w:lvlJc w:val="left"/>
      <w:pPr>
        <w:tabs>
          <w:tab w:val="num" w:pos="862"/>
        </w:tabs>
        <w:ind w:left="862" w:hanging="363"/>
      </w:pPr>
      <w:rPr>
        <w:rFonts w:ascii="Symbol" w:hAnsi="Symbol" w:hint="default"/>
      </w:rPr>
    </w:lvl>
    <w:lvl w:ilvl="1" w:tplc="04190003">
      <w:start w:val="1"/>
      <w:numFmt w:val="bullet"/>
      <w:lvlText w:val="o"/>
      <w:lvlJc w:val="left"/>
      <w:pPr>
        <w:tabs>
          <w:tab w:val="num" w:pos="1582"/>
        </w:tabs>
        <w:ind w:left="1582" w:hanging="360"/>
      </w:pPr>
      <w:rPr>
        <w:rFonts w:ascii="Courier New" w:hAnsi="Courier New" w:hint="default"/>
      </w:rPr>
    </w:lvl>
    <w:lvl w:ilvl="2" w:tplc="04190005">
      <w:start w:val="1"/>
      <w:numFmt w:val="bullet"/>
      <w:lvlText w:val=""/>
      <w:lvlJc w:val="left"/>
      <w:pPr>
        <w:tabs>
          <w:tab w:val="num" w:pos="2302"/>
        </w:tabs>
        <w:ind w:left="2302" w:hanging="360"/>
      </w:pPr>
      <w:rPr>
        <w:rFonts w:ascii="Wingdings" w:hAnsi="Wingdings" w:hint="default"/>
      </w:rPr>
    </w:lvl>
    <w:lvl w:ilvl="3" w:tplc="04190001">
      <w:start w:val="1"/>
      <w:numFmt w:val="bullet"/>
      <w:lvlText w:val=""/>
      <w:lvlJc w:val="left"/>
      <w:pPr>
        <w:tabs>
          <w:tab w:val="num" w:pos="3022"/>
        </w:tabs>
        <w:ind w:left="3022" w:hanging="360"/>
      </w:pPr>
      <w:rPr>
        <w:rFonts w:ascii="Symbol" w:hAnsi="Symbol" w:hint="default"/>
      </w:rPr>
    </w:lvl>
    <w:lvl w:ilvl="4" w:tplc="04190003">
      <w:start w:val="1"/>
      <w:numFmt w:val="bullet"/>
      <w:lvlText w:val="o"/>
      <w:lvlJc w:val="left"/>
      <w:pPr>
        <w:tabs>
          <w:tab w:val="num" w:pos="3742"/>
        </w:tabs>
        <w:ind w:left="3742" w:hanging="360"/>
      </w:pPr>
      <w:rPr>
        <w:rFonts w:ascii="Courier New" w:hAnsi="Courier New" w:hint="default"/>
      </w:rPr>
    </w:lvl>
    <w:lvl w:ilvl="5" w:tplc="04190005">
      <w:start w:val="1"/>
      <w:numFmt w:val="bullet"/>
      <w:lvlText w:val=""/>
      <w:lvlJc w:val="left"/>
      <w:pPr>
        <w:tabs>
          <w:tab w:val="num" w:pos="4462"/>
        </w:tabs>
        <w:ind w:left="4462" w:hanging="360"/>
      </w:pPr>
      <w:rPr>
        <w:rFonts w:ascii="Wingdings" w:hAnsi="Wingdings" w:hint="default"/>
      </w:rPr>
    </w:lvl>
    <w:lvl w:ilvl="6" w:tplc="04190001">
      <w:start w:val="1"/>
      <w:numFmt w:val="bullet"/>
      <w:lvlText w:val=""/>
      <w:lvlJc w:val="left"/>
      <w:pPr>
        <w:tabs>
          <w:tab w:val="num" w:pos="5182"/>
        </w:tabs>
        <w:ind w:left="5182" w:hanging="360"/>
      </w:pPr>
      <w:rPr>
        <w:rFonts w:ascii="Symbol" w:hAnsi="Symbol" w:hint="default"/>
      </w:rPr>
    </w:lvl>
    <w:lvl w:ilvl="7" w:tplc="04190003">
      <w:start w:val="1"/>
      <w:numFmt w:val="bullet"/>
      <w:lvlText w:val="o"/>
      <w:lvlJc w:val="left"/>
      <w:pPr>
        <w:tabs>
          <w:tab w:val="num" w:pos="5902"/>
        </w:tabs>
        <w:ind w:left="5902" w:hanging="360"/>
      </w:pPr>
      <w:rPr>
        <w:rFonts w:ascii="Courier New" w:hAnsi="Courier New" w:hint="default"/>
      </w:rPr>
    </w:lvl>
    <w:lvl w:ilvl="8" w:tplc="04190005">
      <w:start w:val="1"/>
      <w:numFmt w:val="bullet"/>
      <w:lvlText w:val=""/>
      <w:lvlJc w:val="left"/>
      <w:pPr>
        <w:tabs>
          <w:tab w:val="num" w:pos="6622"/>
        </w:tabs>
        <w:ind w:left="6622" w:hanging="360"/>
      </w:pPr>
      <w:rPr>
        <w:rFonts w:ascii="Wingdings" w:hAnsi="Wingdings" w:hint="default"/>
      </w:rPr>
    </w:lvl>
  </w:abstractNum>
  <w:abstractNum w:abstractNumId="38" w15:restartNumberingAfterBreak="0">
    <w:nsid w:val="6C5A7CBE"/>
    <w:multiLevelType w:val="hybridMultilevel"/>
    <w:tmpl w:val="99283FC6"/>
    <w:lvl w:ilvl="0" w:tplc="04190001">
      <w:start w:val="1"/>
      <w:numFmt w:val="bullet"/>
      <w:lvlText w:val=""/>
      <w:lvlJc w:val="left"/>
      <w:pPr>
        <w:ind w:left="2844" w:hanging="360"/>
      </w:pPr>
      <w:rPr>
        <w:rFonts w:ascii="Symbol" w:hAnsi="Symbol" w:hint="default"/>
      </w:rPr>
    </w:lvl>
    <w:lvl w:ilvl="1" w:tplc="04190003" w:tentative="1">
      <w:start w:val="1"/>
      <w:numFmt w:val="bullet"/>
      <w:lvlText w:val="o"/>
      <w:lvlJc w:val="left"/>
      <w:pPr>
        <w:ind w:left="3564" w:hanging="360"/>
      </w:pPr>
      <w:rPr>
        <w:rFonts w:ascii="Courier New" w:hAnsi="Courier New" w:cs="Courier New" w:hint="default"/>
      </w:rPr>
    </w:lvl>
    <w:lvl w:ilvl="2" w:tplc="04190005" w:tentative="1">
      <w:start w:val="1"/>
      <w:numFmt w:val="bullet"/>
      <w:lvlText w:val=""/>
      <w:lvlJc w:val="left"/>
      <w:pPr>
        <w:ind w:left="4284" w:hanging="360"/>
      </w:pPr>
      <w:rPr>
        <w:rFonts w:ascii="Wingdings" w:hAnsi="Wingdings" w:hint="default"/>
      </w:rPr>
    </w:lvl>
    <w:lvl w:ilvl="3" w:tplc="04190001" w:tentative="1">
      <w:start w:val="1"/>
      <w:numFmt w:val="bullet"/>
      <w:lvlText w:val=""/>
      <w:lvlJc w:val="left"/>
      <w:pPr>
        <w:ind w:left="5004" w:hanging="360"/>
      </w:pPr>
      <w:rPr>
        <w:rFonts w:ascii="Symbol" w:hAnsi="Symbol" w:hint="default"/>
      </w:rPr>
    </w:lvl>
    <w:lvl w:ilvl="4" w:tplc="04190003" w:tentative="1">
      <w:start w:val="1"/>
      <w:numFmt w:val="bullet"/>
      <w:lvlText w:val="o"/>
      <w:lvlJc w:val="left"/>
      <w:pPr>
        <w:ind w:left="5724" w:hanging="360"/>
      </w:pPr>
      <w:rPr>
        <w:rFonts w:ascii="Courier New" w:hAnsi="Courier New" w:cs="Courier New" w:hint="default"/>
      </w:rPr>
    </w:lvl>
    <w:lvl w:ilvl="5" w:tplc="04190005" w:tentative="1">
      <w:start w:val="1"/>
      <w:numFmt w:val="bullet"/>
      <w:lvlText w:val=""/>
      <w:lvlJc w:val="left"/>
      <w:pPr>
        <w:ind w:left="6444" w:hanging="360"/>
      </w:pPr>
      <w:rPr>
        <w:rFonts w:ascii="Wingdings" w:hAnsi="Wingdings" w:hint="default"/>
      </w:rPr>
    </w:lvl>
    <w:lvl w:ilvl="6" w:tplc="04190001" w:tentative="1">
      <w:start w:val="1"/>
      <w:numFmt w:val="bullet"/>
      <w:lvlText w:val=""/>
      <w:lvlJc w:val="left"/>
      <w:pPr>
        <w:ind w:left="7164" w:hanging="360"/>
      </w:pPr>
      <w:rPr>
        <w:rFonts w:ascii="Symbol" w:hAnsi="Symbol" w:hint="default"/>
      </w:rPr>
    </w:lvl>
    <w:lvl w:ilvl="7" w:tplc="04190003" w:tentative="1">
      <w:start w:val="1"/>
      <w:numFmt w:val="bullet"/>
      <w:lvlText w:val="o"/>
      <w:lvlJc w:val="left"/>
      <w:pPr>
        <w:ind w:left="7884" w:hanging="360"/>
      </w:pPr>
      <w:rPr>
        <w:rFonts w:ascii="Courier New" w:hAnsi="Courier New" w:cs="Courier New" w:hint="default"/>
      </w:rPr>
    </w:lvl>
    <w:lvl w:ilvl="8" w:tplc="04190005" w:tentative="1">
      <w:start w:val="1"/>
      <w:numFmt w:val="bullet"/>
      <w:lvlText w:val=""/>
      <w:lvlJc w:val="left"/>
      <w:pPr>
        <w:ind w:left="8604" w:hanging="360"/>
      </w:pPr>
      <w:rPr>
        <w:rFonts w:ascii="Wingdings" w:hAnsi="Wingdings" w:hint="default"/>
      </w:rPr>
    </w:lvl>
  </w:abstractNum>
  <w:abstractNum w:abstractNumId="39" w15:restartNumberingAfterBreak="0">
    <w:nsid w:val="6C721273"/>
    <w:multiLevelType w:val="hybridMultilevel"/>
    <w:tmpl w:val="D5F813E0"/>
    <w:lvl w:ilvl="0" w:tplc="90C09788">
      <w:start w:val="1"/>
      <w:numFmt w:val="bullet"/>
      <w:lvlText w:val="–"/>
      <w:lvlJc w:val="left"/>
      <w:pPr>
        <w:ind w:left="1068" w:hanging="360"/>
      </w:pPr>
      <w:rPr>
        <w:rFonts w:ascii="Times New Roman" w:hAnsi="Times New Roman" w:hint="default"/>
      </w:rPr>
    </w:lvl>
    <w:lvl w:ilvl="1" w:tplc="90C09788">
      <w:start w:val="1"/>
      <w:numFmt w:val="bullet"/>
      <w:lvlText w:val="–"/>
      <w:lvlJc w:val="left"/>
      <w:pPr>
        <w:ind w:left="1068" w:hanging="360"/>
      </w:pPr>
      <w:rPr>
        <w:rFonts w:ascii="Times New Roman" w:hAnsi="Times New Roman" w:hint="default"/>
      </w:rPr>
    </w:lvl>
    <w:lvl w:ilvl="2" w:tplc="04190005">
      <w:start w:val="1"/>
      <w:numFmt w:val="bullet"/>
      <w:lvlText w:val=""/>
      <w:lvlJc w:val="left"/>
      <w:pPr>
        <w:ind w:left="1788" w:hanging="360"/>
      </w:pPr>
      <w:rPr>
        <w:rFonts w:ascii="Wingdings" w:hAnsi="Wingdings" w:hint="default"/>
      </w:rPr>
    </w:lvl>
    <w:lvl w:ilvl="3" w:tplc="04190001">
      <w:start w:val="1"/>
      <w:numFmt w:val="bullet"/>
      <w:lvlText w:val=""/>
      <w:lvlJc w:val="left"/>
      <w:pPr>
        <w:ind w:left="2508" w:hanging="360"/>
      </w:pPr>
      <w:rPr>
        <w:rFonts w:ascii="Symbol" w:hAnsi="Symbol" w:hint="default"/>
      </w:rPr>
    </w:lvl>
    <w:lvl w:ilvl="4" w:tplc="04190003">
      <w:start w:val="1"/>
      <w:numFmt w:val="bullet"/>
      <w:lvlText w:val="o"/>
      <w:lvlJc w:val="left"/>
      <w:pPr>
        <w:ind w:left="3228" w:hanging="360"/>
      </w:pPr>
      <w:rPr>
        <w:rFonts w:ascii="Courier New" w:hAnsi="Courier New" w:hint="default"/>
      </w:rPr>
    </w:lvl>
    <w:lvl w:ilvl="5" w:tplc="04190005">
      <w:start w:val="1"/>
      <w:numFmt w:val="bullet"/>
      <w:lvlText w:val=""/>
      <w:lvlJc w:val="left"/>
      <w:pPr>
        <w:ind w:left="3948" w:hanging="360"/>
      </w:pPr>
      <w:rPr>
        <w:rFonts w:ascii="Wingdings" w:hAnsi="Wingdings" w:hint="default"/>
      </w:rPr>
    </w:lvl>
    <w:lvl w:ilvl="6" w:tplc="04190001">
      <w:start w:val="1"/>
      <w:numFmt w:val="bullet"/>
      <w:lvlText w:val=""/>
      <w:lvlJc w:val="left"/>
      <w:pPr>
        <w:ind w:left="4668" w:hanging="360"/>
      </w:pPr>
      <w:rPr>
        <w:rFonts w:ascii="Symbol" w:hAnsi="Symbol" w:hint="default"/>
      </w:rPr>
    </w:lvl>
    <w:lvl w:ilvl="7" w:tplc="04190003">
      <w:start w:val="1"/>
      <w:numFmt w:val="bullet"/>
      <w:lvlText w:val="o"/>
      <w:lvlJc w:val="left"/>
      <w:pPr>
        <w:ind w:left="5388" w:hanging="360"/>
      </w:pPr>
      <w:rPr>
        <w:rFonts w:ascii="Courier New" w:hAnsi="Courier New" w:hint="default"/>
      </w:rPr>
    </w:lvl>
    <w:lvl w:ilvl="8" w:tplc="04190005">
      <w:start w:val="1"/>
      <w:numFmt w:val="bullet"/>
      <w:lvlText w:val=""/>
      <w:lvlJc w:val="left"/>
      <w:pPr>
        <w:ind w:left="6108" w:hanging="360"/>
      </w:pPr>
      <w:rPr>
        <w:rFonts w:ascii="Wingdings" w:hAnsi="Wingdings" w:hint="default"/>
      </w:rPr>
    </w:lvl>
  </w:abstractNum>
  <w:abstractNum w:abstractNumId="40" w15:restartNumberingAfterBreak="0">
    <w:nsid w:val="6D023818"/>
    <w:multiLevelType w:val="multilevel"/>
    <w:tmpl w:val="73341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FD80872"/>
    <w:multiLevelType w:val="hybridMultilevel"/>
    <w:tmpl w:val="14880E9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42" w15:restartNumberingAfterBreak="0">
    <w:nsid w:val="72E20C80"/>
    <w:multiLevelType w:val="multilevel"/>
    <w:tmpl w:val="86CE2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39F5D87"/>
    <w:multiLevelType w:val="hybridMultilevel"/>
    <w:tmpl w:val="D1E6F920"/>
    <w:lvl w:ilvl="0" w:tplc="0419000F">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720" w:hanging="360"/>
      </w:p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44" w15:restartNumberingAfterBreak="0">
    <w:nsid w:val="788437F0"/>
    <w:multiLevelType w:val="hybridMultilevel"/>
    <w:tmpl w:val="52620410"/>
    <w:lvl w:ilvl="0" w:tplc="9E548CD8">
      <w:start w:val="1"/>
      <w:numFmt w:val="bullet"/>
      <w:lvlText w:val=""/>
      <w:lvlJc w:val="left"/>
      <w:pPr>
        <w:tabs>
          <w:tab w:val="num" w:pos="1429"/>
        </w:tabs>
        <w:ind w:left="1429" w:hanging="363"/>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45" w15:restartNumberingAfterBreak="0">
    <w:nsid w:val="7C411DB4"/>
    <w:multiLevelType w:val="hybridMultilevel"/>
    <w:tmpl w:val="62C48DD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46" w15:restartNumberingAfterBreak="0">
    <w:nsid w:val="7D8C32FD"/>
    <w:multiLevelType w:val="hybridMultilevel"/>
    <w:tmpl w:val="C45C7D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FEE2D9D"/>
    <w:multiLevelType w:val="hybridMultilevel"/>
    <w:tmpl w:val="3C9EF636"/>
    <w:lvl w:ilvl="0" w:tplc="C2E42274">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num w:numId="1" w16cid:durableId="1546411680">
    <w:abstractNumId w:val="24"/>
  </w:num>
  <w:num w:numId="2" w16cid:durableId="316350046">
    <w:abstractNumId w:val="9"/>
  </w:num>
  <w:num w:numId="3" w16cid:durableId="1028986150">
    <w:abstractNumId w:val="18"/>
  </w:num>
  <w:num w:numId="4" w16cid:durableId="1986661080">
    <w:abstractNumId w:val="3"/>
  </w:num>
  <w:num w:numId="5" w16cid:durableId="1608346214">
    <w:abstractNumId w:val="2"/>
  </w:num>
  <w:num w:numId="6" w16cid:durableId="1338844392">
    <w:abstractNumId w:val="47"/>
  </w:num>
  <w:num w:numId="7" w16cid:durableId="1162429270">
    <w:abstractNumId w:val="14"/>
  </w:num>
  <w:num w:numId="8" w16cid:durableId="1642492953">
    <w:abstractNumId w:val="1"/>
  </w:num>
  <w:num w:numId="9" w16cid:durableId="1133791669">
    <w:abstractNumId w:val="44"/>
  </w:num>
  <w:num w:numId="10" w16cid:durableId="755827927">
    <w:abstractNumId w:val="10"/>
  </w:num>
  <w:num w:numId="11" w16cid:durableId="1149252106">
    <w:abstractNumId w:val="29"/>
  </w:num>
  <w:num w:numId="12" w16cid:durableId="1165052801">
    <w:abstractNumId w:val="39"/>
  </w:num>
  <w:num w:numId="13" w16cid:durableId="2019232985">
    <w:abstractNumId w:val="27"/>
  </w:num>
  <w:num w:numId="14" w16cid:durableId="600333294">
    <w:abstractNumId w:val="16"/>
  </w:num>
  <w:num w:numId="15" w16cid:durableId="1220361118">
    <w:abstractNumId w:val="26"/>
  </w:num>
  <w:num w:numId="16" w16cid:durableId="1251815936">
    <w:abstractNumId w:val="32"/>
  </w:num>
  <w:num w:numId="17" w16cid:durableId="1111514322">
    <w:abstractNumId w:val="43"/>
  </w:num>
  <w:num w:numId="18" w16cid:durableId="2019458095">
    <w:abstractNumId w:val="19"/>
  </w:num>
  <w:num w:numId="19" w16cid:durableId="1488281018">
    <w:abstractNumId w:val="34"/>
  </w:num>
  <w:num w:numId="20" w16cid:durableId="1385982267">
    <w:abstractNumId w:val="5"/>
  </w:num>
  <w:num w:numId="21" w16cid:durableId="1744376563">
    <w:abstractNumId w:val="17"/>
  </w:num>
  <w:num w:numId="22" w16cid:durableId="1412921928">
    <w:abstractNumId w:val="33"/>
  </w:num>
  <w:num w:numId="23" w16cid:durableId="1989170992">
    <w:abstractNumId w:val="7"/>
  </w:num>
  <w:num w:numId="24" w16cid:durableId="1437745985">
    <w:abstractNumId w:val="45"/>
  </w:num>
  <w:num w:numId="25" w16cid:durableId="1351295773">
    <w:abstractNumId w:val="37"/>
  </w:num>
  <w:num w:numId="26" w16cid:durableId="1494371951">
    <w:abstractNumId w:val="40"/>
  </w:num>
  <w:num w:numId="27" w16cid:durableId="21616794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48095461">
    <w:abstractNumId w:val="4"/>
  </w:num>
  <w:num w:numId="29" w16cid:durableId="1342968507">
    <w:abstractNumId w:val="36"/>
  </w:num>
  <w:num w:numId="30" w16cid:durableId="1007905713">
    <w:abstractNumId w:val="38"/>
  </w:num>
  <w:num w:numId="31" w16cid:durableId="1470049778">
    <w:abstractNumId w:val="15"/>
  </w:num>
  <w:num w:numId="32" w16cid:durableId="526526992">
    <w:abstractNumId w:val="12"/>
  </w:num>
  <w:num w:numId="33" w16cid:durableId="547187431">
    <w:abstractNumId w:val="22"/>
  </w:num>
  <w:num w:numId="34" w16cid:durableId="812601467">
    <w:abstractNumId w:val="23"/>
  </w:num>
  <w:num w:numId="35" w16cid:durableId="132412925">
    <w:abstractNumId w:val="13"/>
  </w:num>
  <w:num w:numId="36" w16cid:durableId="1089472349">
    <w:abstractNumId w:val="31"/>
  </w:num>
  <w:num w:numId="37" w16cid:durableId="573006453">
    <w:abstractNumId w:val="46"/>
  </w:num>
  <w:num w:numId="38" w16cid:durableId="828399763">
    <w:abstractNumId w:val="28"/>
  </w:num>
  <w:num w:numId="39" w16cid:durableId="1730882047">
    <w:abstractNumId w:val="21"/>
  </w:num>
  <w:num w:numId="40" w16cid:durableId="626204548">
    <w:abstractNumId w:val="8"/>
  </w:num>
  <w:num w:numId="41" w16cid:durableId="1452434073">
    <w:abstractNumId w:val="30"/>
  </w:num>
  <w:num w:numId="42" w16cid:durableId="1290552503">
    <w:abstractNumId w:val="35"/>
  </w:num>
  <w:num w:numId="43" w16cid:durableId="38942461">
    <w:abstractNumId w:val="20"/>
  </w:num>
  <w:num w:numId="44" w16cid:durableId="1728600695">
    <w:abstractNumId w:val="11"/>
  </w:num>
  <w:num w:numId="45" w16cid:durableId="821697074">
    <w:abstractNumId w:val="41"/>
  </w:num>
  <w:num w:numId="46" w16cid:durableId="448013584">
    <w:abstractNumId w:val="42"/>
  </w:num>
  <w:num w:numId="47" w16cid:durableId="1241520578">
    <w:abstractNumId w:val="0"/>
  </w:num>
  <w:num w:numId="48" w16cid:durableId="20788186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09"/>
  <w:doNotHyphenateCaps/>
  <w:drawingGridHorizontalSpacing w:val="120"/>
  <w:displayHorizontalDrawingGridEvery w:val="2"/>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54AB"/>
    <w:rsid w:val="000018C3"/>
    <w:rsid w:val="00001DCA"/>
    <w:rsid w:val="0000200E"/>
    <w:rsid w:val="000021CB"/>
    <w:rsid w:val="000024EF"/>
    <w:rsid w:val="00002985"/>
    <w:rsid w:val="00002DC1"/>
    <w:rsid w:val="0000309F"/>
    <w:rsid w:val="00003798"/>
    <w:rsid w:val="00003B75"/>
    <w:rsid w:val="000105E4"/>
    <w:rsid w:val="00010D2C"/>
    <w:rsid w:val="00011671"/>
    <w:rsid w:val="0001404D"/>
    <w:rsid w:val="00017FB4"/>
    <w:rsid w:val="00025625"/>
    <w:rsid w:val="000308F4"/>
    <w:rsid w:val="00030CC7"/>
    <w:rsid w:val="000311EB"/>
    <w:rsid w:val="000320F8"/>
    <w:rsid w:val="00033B9A"/>
    <w:rsid w:val="00040D10"/>
    <w:rsid w:val="00041183"/>
    <w:rsid w:val="00043442"/>
    <w:rsid w:val="00044786"/>
    <w:rsid w:val="00045718"/>
    <w:rsid w:val="0004595C"/>
    <w:rsid w:val="00047E5F"/>
    <w:rsid w:val="000529C7"/>
    <w:rsid w:val="0005407D"/>
    <w:rsid w:val="00057DFA"/>
    <w:rsid w:val="0006017E"/>
    <w:rsid w:val="00061182"/>
    <w:rsid w:val="000643F8"/>
    <w:rsid w:val="000668B4"/>
    <w:rsid w:val="00071534"/>
    <w:rsid w:val="00072AC3"/>
    <w:rsid w:val="00076052"/>
    <w:rsid w:val="000810CC"/>
    <w:rsid w:val="0008247B"/>
    <w:rsid w:val="000847FA"/>
    <w:rsid w:val="00085FFC"/>
    <w:rsid w:val="00087DEB"/>
    <w:rsid w:val="00090207"/>
    <w:rsid w:val="00090972"/>
    <w:rsid w:val="000914DF"/>
    <w:rsid w:val="000925CC"/>
    <w:rsid w:val="00094065"/>
    <w:rsid w:val="00095045"/>
    <w:rsid w:val="000952B5"/>
    <w:rsid w:val="00095C13"/>
    <w:rsid w:val="00095CB8"/>
    <w:rsid w:val="000A05E6"/>
    <w:rsid w:val="000A1061"/>
    <w:rsid w:val="000A2970"/>
    <w:rsid w:val="000A3256"/>
    <w:rsid w:val="000A5723"/>
    <w:rsid w:val="000A596B"/>
    <w:rsid w:val="000A6071"/>
    <w:rsid w:val="000A74C1"/>
    <w:rsid w:val="000A7F25"/>
    <w:rsid w:val="000B197B"/>
    <w:rsid w:val="000B32B8"/>
    <w:rsid w:val="000B3B93"/>
    <w:rsid w:val="000C011A"/>
    <w:rsid w:val="000C1A1C"/>
    <w:rsid w:val="000C56A6"/>
    <w:rsid w:val="000C5A37"/>
    <w:rsid w:val="000C74BE"/>
    <w:rsid w:val="000D00C5"/>
    <w:rsid w:val="000D4215"/>
    <w:rsid w:val="000D457F"/>
    <w:rsid w:val="000D58C5"/>
    <w:rsid w:val="000D7787"/>
    <w:rsid w:val="000D78E5"/>
    <w:rsid w:val="000E129D"/>
    <w:rsid w:val="000E30EC"/>
    <w:rsid w:val="000F0B53"/>
    <w:rsid w:val="000F37C1"/>
    <w:rsid w:val="000F43D8"/>
    <w:rsid w:val="000F76DB"/>
    <w:rsid w:val="00101EC8"/>
    <w:rsid w:val="00102A18"/>
    <w:rsid w:val="00107F53"/>
    <w:rsid w:val="00110B24"/>
    <w:rsid w:val="00111272"/>
    <w:rsid w:val="00111BF3"/>
    <w:rsid w:val="00114014"/>
    <w:rsid w:val="0011410C"/>
    <w:rsid w:val="00121EE0"/>
    <w:rsid w:val="00123A49"/>
    <w:rsid w:val="00132417"/>
    <w:rsid w:val="00134E36"/>
    <w:rsid w:val="00135B75"/>
    <w:rsid w:val="00137BF5"/>
    <w:rsid w:val="001412A1"/>
    <w:rsid w:val="00145372"/>
    <w:rsid w:val="001508A9"/>
    <w:rsid w:val="001521A9"/>
    <w:rsid w:val="00153292"/>
    <w:rsid w:val="001546BC"/>
    <w:rsid w:val="0016127F"/>
    <w:rsid w:val="00163DFA"/>
    <w:rsid w:val="00163E66"/>
    <w:rsid w:val="00166126"/>
    <w:rsid w:val="00166E56"/>
    <w:rsid w:val="001706C2"/>
    <w:rsid w:val="00171AAA"/>
    <w:rsid w:val="00172885"/>
    <w:rsid w:val="00174884"/>
    <w:rsid w:val="00175709"/>
    <w:rsid w:val="0017591B"/>
    <w:rsid w:val="001772F4"/>
    <w:rsid w:val="00180B8B"/>
    <w:rsid w:val="00181866"/>
    <w:rsid w:val="00183368"/>
    <w:rsid w:val="00183D25"/>
    <w:rsid w:val="00183D75"/>
    <w:rsid w:val="00185323"/>
    <w:rsid w:val="00186085"/>
    <w:rsid w:val="00192DCA"/>
    <w:rsid w:val="001A111B"/>
    <w:rsid w:val="001A2966"/>
    <w:rsid w:val="001A6100"/>
    <w:rsid w:val="001B147F"/>
    <w:rsid w:val="001B1886"/>
    <w:rsid w:val="001B46AB"/>
    <w:rsid w:val="001B5200"/>
    <w:rsid w:val="001B590B"/>
    <w:rsid w:val="001B5A32"/>
    <w:rsid w:val="001B72B2"/>
    <w:rsid w:val="001B7A3C"/>
    <w:rsid w:val="001B7E66"/>
    <w:rsid w:val="001C2A0B"/>
    <w:rsid w:val="001C3DAC"/>
    <w:rsid w:val="001C5347"/>
    <w:rsid w:val="001C5FFD"/>
    <w:rsid w:val="001C635D"/>
    <w:rsid w:val="001C648D"/>
    <w:rsid w:val="001D405C"/>
    <w:rsid w:val="001D4ACB"/>
    <w:rsid w:val="001D4D11"/>
    <w:rsid w:val="001D6508"/>
    <w:rsid w:val="001D746D"/>
    <w:rsid w:val="001D7B82"/>
    <w:rsid w:val="001E0159"/>
    <w:rsid w:val="001E1D85"/>
    <w:rsid w:val="001E2228"/>
    <w:rsid w:val="001E3E34"/>
    <w:rsid w:val="001E7056"/>
    <w:rsid w:val="001F1A9D"/>
    <w:rsid w:val="001F2D20"/>
    <w:rsid w:val="001F6451"/>
    <w:rsid w:val="001F6543"/>
    <w:rsid w:val="00200A4D"/>
    <w:rsid w:val="002010FF"/>
    <w:rsid w:val="002014CF"/>
    <w:rsid w:val="0020541C"/>
    <w:rsid w:val="00206782"/>
    <w:rsid w:val="00211A8C"/>
    <w:rsid w:val="00211BB3"/>
    <w:rsid w:val="002127BA"/>
    <w:rsid w:val="00212A28"/>
    <w:rsid w:val="00212D86"/>
    <w:rsid w:val="00214170"/>
    <w:rsid w:val="00215BB4"/>
    <w:rsid w:val="0021614B"/>
    <w:rsid w:val="00216244"/>
    <w:rsid w:val="0021732D"/>
    <w:rsid w:val="00217A33"/>
    <w:rsid w:val="00225D00"/>
    <w:rsid w:val="00226035"/>
    <w:rsid w:val="002313FE"/>
    <w:rsid w:val="0023448E"/>
    <w:rsid w:val="00234562"/>
    <w:rsid w:val="00235660"/>
    <w:rsid w:val="00236B1A"/>
    <w:rsid w:val="002372B3"/>
    <w:rsid w:val="00240A7B"/>
    <w:rsid w:val="0024210F"/>
    <w:rsid w:val="002441AC"/>
    <w:rsid w:val="002444D9"/>
    <w:rsid w:val="00246444"/>
    <w:rsid w:val="00246EE9"/>
    <w:rsid w:val="0025220C"/>
    <w:rsid w:val="00252F5D"/>
    <w:rsid w:val="00257072"/>
    <w:rsid w:val="00257251"/>
    <w:rsid w:val="002573C9"/>
    <w:rsid w:val="002629E9"/>
    <w:rsid w:val="00267C50"/>
    <w:rsid w:val="002715C3"/>
    <w:rsid w:val="00271E83"/>
    <w:rsid w:val="002756FC"/>
    <w:rsid w:val="00276C6F"/>
    <w:rsid w:val="002802A2"/>
    <w:rsid w:val="00281E8B"/>
    <w:rsid w:val="0028262D"/>
    <w:rsid w:val="00282BCA"/>
    <w:rsid w:val="002854AB"/>
    <w:rsid w:val="002875C6"/>
    <w:rsid w:val="00290C70"/>
    <w:rsid w:val="00294C99"/>
    <w:rsid w:val="002952AF"/>
    <w:rsid w:val="002957A1"/>
    <w:rsid w:val="00295DF5"/>
    <w:rsid w:val="002963BE"/>
    <w:rsid w:val="00296F8F"/>
    <w:rsid w:val="002A24BD"/>
    <w:rsid w:val="002A342A"/>
    <w:rsid w:val="002A3930"/>
    <w:rsid w:val="002A397A"/>
    <w:rsid w:val="002A4309"/>
    <w:rsid w:val="002A48E8"/>
    <w:rsid w:val="002B0695"/>
    <w:rsid w:val="002B4995"/>
    <w:rsid w:val="002B591D"/>
    <w:rsid w:val="002B6DA6"/>
    <w:rsid w:val="002B7E64"/>
    <w:rsid w:val="002C05BB"/>
    <w:rsid w:val="002C126B"/>
    <w:rsid w:val="002C22C3"/>
    <w:rsid w:val="002C5CBB"/>
    <w:rsid w:val="002C7435"/>
    <w:rsid w:val="002D37C6"/>
    <w:rsid w:val="002D5AC4"/>
    <w:rsid w:val="002E2B29"/>
    <w:rsid w:val="002E2B8D"/>
    <w:rsid w:val="002E434C"/>
    <w:rsid w:val="002E5269"/>
    <w:rsid w:val="002E5907"/>
    <w:rsid w:val="002F1EE7"/>
    <w:rsid w:val="002F3D83"/>
    <w:rsid w:val="002F49E1"/>
    <w:rsid w:val="002F5D07"/>
    <w:rsid w:val="002F6468"/>
    <w:rsid w:val="003003F4"/>
    <w:rsid w:val="00300A32"/>
    <w:rsid w:val="0030120D"/>
    <w:rsid w:val="00302031"/>
    <w:rsid w:val="003022A0"/>
    <w:rsid w:val="003024F6"/>
    <w:rsid w:val="00303058"/>
    <w:rsid w:val="00307A3D"/>
    <w:rsid w:val="00313794"/>
    <w:rsid w:val="00314A2B"/>
    <w:rsid w:val="003179D7"/>
    <w:rsid w:val="00320EDD"/>
    <w:rsid w:val="003242F3"/>
    <w:rsid w:val="00325837"/>
    <w:rsid w:val="00325F11"/>
    <w:rsid w:val="0032727F"/>
    <w:rsid w:val="003278B3"/>
    <w:rsid w:val="00327AAB"/>
    <w:rsid w:val="00330956"/>
    <w:rsid w:val="00330A37"/>
    <w:rsid w:val="003324A8"/>
    <w:rsid w:val="003330DB"/>
    <w:rsid w:val="00333E8C"/>
    <w:rsid w:val="00334474"/>
    <w:rsid w:val="00335F76"/>
    <w:rsid w:val="00337E2D"/>
    <w:rsid w:val="0034067D"/>
    <w:rsid w:val="00343A8E"/>
    <w:rsid w:val="00346E74"/>
    <w:rsid w:val="00350175"/>
    <w:rsid w:val="0035291C"/>
    <w:rsid w:val="0035470B"/>
    <w:rsid w:val="0035546D"/>
    <w:rsid w:val="00356EF8"/>
    <w:rsid w:val="00357D90"/>
    <w:rsid w:val="003626E7"/>
    <w:rsid w:val="003638A5"/>
    <w:rsid w:val="003640B7"/>
    <w:rsid w:val="003670D5"/>
    <w:rsid w:val="00370E49"/>
    <w:rsid w:val="0037240C"/>
    <w:rsid w:val="00372FFB"/>
    <w:rsid w:val="003730A6"/>
    <w:rsid w:val="00375739"/>
    <w:rsid w:val="0037748D"/>
    <w:rsid w:val="00381748"/>
    <w:rsid w:val="00384C75"/>
    <w:rsid w:val="00385B59"/>
    <w:rsid w:val="00385C98"/>
    <w:rsid w:val="00386548"/>
    <w:rsid w:val="003916CC"/>
    <w:rsid w:val="00392768"/>
    <w:rsid w:val="003A2893"/>
    <w:rsid w:val="003A79E3"/>
    <w:rsid w:val="003B0C85"/>
    <w:rsid w:val="003B3686"/>
    <w:rsid w:val="003B3BEC"/>
    <w:rsid w:val="003B3F1C"/>
    <w:rsid w:val="003B6E4E"/>
    <w:rsid w:val="003B7733"/>
    <w:rsid w:val="003B7A78"/>
    <w:rsid w:val="003C09D0"/>
    <w:rsid w:val="003C12DF"/>
    <w:rsid w:val="003C5B7E"/>
    <w:rsid w:val="003C7055"/>
    <w:rsid w:val="003D1794"/>
    <w:rsid w:val="003D2CAC"/>
    <w:rsid w:val="003D2F3E"/>
    <w:rsid w:val="003D4B55"/>
    <w:rsid w:val="003D52BF"/>
    <w:rsid w:val="003D5C5B"/>
    <w:rsid w:val="003D67F6"/>
    <w:rsid w:val="003D7DDB"/>
    <w:rsid w:val="003E3A35"/>
    <w:rsid w:val="003E3AD9"/>
    <w:rsid w:val="003E3B30"/>
    <w:rsid w:val="003E4124"/>
    <w:rsid w:val="003E4D2C"/>
    <w:rsid w:val="003E7B9A"/>
    <w:rsid w:val="003F0DA1"/>
    <w:rsid w:val="003F2338"/>
    <w:rsid w:val="003F3E16"/>
    <w:rsid w:val="003F4B1C"/>
    <w:rsid w:val="003F56E5"/>
    <w:rsid w:val="003F6679"/>
    <w:rsid w:val="00401438"/>
    <w:rsid w:val="00412034"/>
    <w:rsid w:val="004121B7"/>
    <w:rsid w:val="00413B29"/>
    <w:rsid w:val="004156D3"/>
    <w:rsid w:val="004159A0"/>
    <w:rsid w:val="00416478"/>
    <w:rsid w:val="00427638"/>
    <w:rsid w:val="00427F77"/>
    <w:rsid w:val="00430FD6"/>
    <w:rsid w:val="00431654"/>
    <w:rsid w:val="00431942"/>
    <w:rsid w:val="0043377B"/>
    <w:rsid w:val="00435EC1"/>
    <w:rsid w:val="0043718C"/>
    <w:rsid w:val="004371B4"/>
    <w:rsid w:val="00440F8C"/>
    <w:rsid w:val="00442138"/>
    <w:rsid w:val="00445278"/>
    <w:rsid w:val="00451562"/>
    <w:rsid w:val="00452147"/>
    <w:rsid w:val="0045343F"/>
    <w:rsid w:val="00453BF8"/>
    <w:rsid w:val="0045428A"/>
    <w:rsid w:val="00454BF5"/>
    <w:rsid w:val="00454D85"/>
    <w:rsid w:val="004556C4"/>
    <w:rsid w:val="004557CC"/>
    <w:rsid w:val="00462BBE"/>
    <w:rsid w:val="00462BFD"/>
    <w:rsid w:val="00466FDA"/>
    <w:rsid w:val="00467C72"/>
    <w:rsid w:val="0047066D"/>
    <w:rsid w:val="00471FF4"/>
    <w:rsid w:val="00472C54"/>
    <w:rsid w:val="00472C56"/>
    <w:rsid w:val="00474090"/>
    <w:rsid w:val="00475FFC"/>
    <w:rsid w:val="00480369"/>
    <w:rsid w:val="00490438"/>
    <w:rsid w:val="00491570"/>
    <w:rsid w:val="00493B4D"/>
    <w:rsid w:val="004956BF"/>
    <w:rsid w:val="00497764"/>
    <w:rsid w:val="004A0864"/>
    <w:rsid w:val="004A3802"/>
    <w:rsid w:val="004A3D5C"/>
    <w:rsid w:val="004A484D"/>
    <w:rsid w:val="004B2684"/>
    <w:rsid w:val="004B4183"/>
    <w:rsid w:val="004B5FE7"/>
    <w:rsid w:val="004C10CE"/>
    <w:rsid w:val="004C4849"/>
    <w:rsid w:val="004C54D3"/>
    <w:rsid w:val="004C6CF2"/>
    <w:rsid w:val="004D0192"/>
    <w:rsid w:val="004D236A"/>
    <w:rsid w:val="004D25AB"/>
    <w:rsid w:val="004D2D2D"/>
    <w:rsid w:val="004D2F4D"/>
    <w:rsid w:val="004D2F67"/>
    <w:rsid w:val="004D3171"/>
    <w:rsid w:val="004D39D8"/>
    <w:rsid w:val="004D79A7"/>
    <w:rsid w:val="004E0252"/>
    <w:rsid w:val="004E0D03"/>
    <w:rsid w:val="004E3476"/>
    <w:rsid w:val="004E407B"/>
    <w:rsid w:val="004E542D"/>
    <w:rsid w:val="004E5C70"/>
    <w:rsid w:val="004E6930"/>
    <w:rsid w:val="004F2882"/>
    <w:rsid w:val="004F2BDF"/>
    <w:rsid w:val="004F300D"/>
    <w:rsid w:val="004F3DD2"/>
    <w:rsid w:val="004F3F86"/>
    <w:rsid w:val="004F4E64"/>
    <w:rsid w:val="004F5DB5"/>
    <w:rsid w:val="004F5FB4"/>
    <w:rsid w:val="004F6623"/>
    <w:rsid w:val="004F7795"/>
    <w:rsid w:val="00501589"/>
    <w:rsid w:val="00502B6C"/>
    <w:rsid w:val="00504F9E"/>
    <w:rsid w:val="00505B1E"/>
    <w:rsid w:val="00505D3F"/>
    <w:rsid w:val="005107AD"/>
    <w:rsid w:val="00512B8A"/>
    <w:rsid w:val="005130D6"/>
    <w:rsid w:val="00514EE9"/>
    <w:rsid w:val="0051539A"/>
    <w:rsid w:val="005161B9"/>
    <w:rsid w:val="00516CED"/>
    <w:rsid w:val="00517034"/>
    <w:rsid w:val="00520AA3"/>
    <w:rsid w:val="00526AB5"/>
    <w:rsid w:val="005303D4"/>
    <w:rsid w:val="00531AEB"/>
    <w:rsid w:val="00532D22"/>
    <w:rsid w:val="00533215"/>
    <w:rsid w:val="0053644B"/>
    <w:rsid w:val="00537A90"/>
    <w:rsid w:val="005416FB"/>
    <w:rsid w:val="0054195C"/>
    <w:rsid w:val="00542BA2"/>
    <w:rsid w:val="005440F8"/>
    <w:rsid w:val="00546987"/>
    <w:rsid w:val="00547C0E"/>
    <w:rsid w:val="00551D27"/>
    <w:rsid w:val="005542E2"/>
    <w:rsid w:val="00556846"/>
    <w:rsid w:val="00556A96"/>
    <w:rsid w:val="00560364"/>
    <w:rsid w:val="00560D4B"/>
    <w:rsid w:val="005631D6"/>
    <w:rsid w:val="00563B70"/>
    <w:rsid w:val="0056494E"/>
    <w:rsid w:val="0056596B"/>
    <w:rsid w:val="00567C94"/>
    <w:rsid w:val="00570EDA"/>
    <w:rsid w:val="00571442"/>
    <w:rsid w:val="0057197A"/>
    <w:rsid w:val="00574B42"/>
    <w:rsid w:val="00575211"/>
    <w:rsid w:val="00577549"/>
    <w:rsid w:val="00577CC6"/>
    <w:rsid w:val="00580202"/>
    <w:rsid w:val="0058059D"/>
    <w:rsid w:val="00581ACC"/>
    <w:rsid w:val="00583EAB"/>
    <w:rsid w:val="0058464E"/>
    <w:rsid w:val="005847C3"/>
    <w:rsid w:val="00584892"/>
    <w:rsid w:val="005853B1"/>
    <w:rsid w:val="0058736A"/>
    <w:rsid w:val="00587622"/>
    <w:rsid w:val="00590CB5"/>
    <w:rsid w:val="005917E6"/>
    <w:rsid w:val="005933E9"/>
    <w:rsid w:val="0059398E"/>
    <w:rsid w:val="0059514A"/>
    <w:rsid w:val="005958A8"/>
    <w:rsid w:val="00595E07"/>
    <w:rsid w:val="00597A04"/>
    <w:rsid w:val="00597A60"/>
    <w:rsid w:val="005A1675"/>
    <w:rsid w:val="005A6A41"/>
    <w:rsid w:val="005B0B26"/>
    <w:rsid w:val="005B577A"/>
    <w:rsid w:val="005B5ADE"/>
    <w:rsid w:val="005B64A8"/>
    <w:rsid w:val="005C042B"/>
    <w:rsid w:val="005C1880"/>
    <w:rsid w:val="005C3F72"/>
    <w:rsid w:val="005C4B2F"/>
    <w:rsid w:val="005C53CF"/>
    <w:rsid w:val="005C577E"/>
    <w:rsid w:val="005C5D4F"/>
    <w:rsid w:val="005C69CA"/>
    <w:rsid w:val="005C704F"/>
    <w:rsid w:val="005C7163"/>
    <w:rsid w:val="005C73DC"/>
    <w:rsid w:val="005D087C"/>
    <w:rsid w:val="005D2471"/>
    <w:rsid w:val="005D24BF"/>
    <w:rsid w:val="005D2DE2"/>
    <w:rsid w:val="005D46C2"/>
    <w:rsid w:val="005D49BB"/>
    <w:rsid w:val="005D687E"/>
    <w:rsid w:val="005D6D62"/>
    <w:rsid w:val="005E0244"/>
    <w:rsid w:val="005E136B"/>
    <w:rsid w:val="005E1580"/>
    <w:rsid w:val="005E59DF"/>
    <w:rsid w:val="005F16D3"/>
    <w:rsid w:val="005F2DA1"/>
    <w:rsid w:val="005F45B3"/>
    <w:rsid w:val="005F56EA"/>
    <w:rsid w:val="006013CE"/>
    <w:rsid w:val="00602E0A"/>
    <w:rsid w:val="00603961"/>
    <w:rsid w:val="006055B0"/>
    <w:rsid w:val="0060639F"/>
    <w:rsid w:val="00607282"/>
    <w:rsid w:val="0061201C"/>
    <w:rsid w:val="00613844"/>
    <w:rsid w:val="006141A9"/>
    <w:rsid w:val="0061444F"/>
    <w:rsid w:val="006146C8"/>
    <w:rsid w:val="0061484B"/>
    <w:rsid w:val="0062034D"/>
    <w:rsid w:val="00621E5B"/>
    <w:rsid w:val="006242CA"/>
    <w:rsid w:val="00624ED5"/>
    <w:rsid w:val="006259B8"/>
    <w:rsid w:val="0062799E"/>
    <w:rsid w:val="00630172"/>
    <w:rsid w:val="00630309"/>
    <w:rsid w:val="00630318"/>
    <w:rsid w:val="00630BAC"/>
    <w:rsid w:val="00630CDD"/>
    <w:rsid w:val="00633B3E"/>
    <w:rsid w:val="00634842"/>
    <w:rsid w:val="00641949"/>
    <w:rsid w:val="00642B0C"/>
    <w:rsid w:val="00645BD9"/>
    <w:rsid w:val="00645C88"/>
    <w:rsid w:val="0064604D"/>
    <w:rsid w:val="0064671C"/>
    <w:rsid w:val="0064697D"/>
    <w:rsid w:val="0065258A"/>
    <w:rsid w:val="006535FB"/>
    <w:rsid w:val="00653975"/>
    <w:rsid w:val="00653F4A"/>
    <w:rsid w:val="00657580"/>
    <w:rsid w:val="00662B82"/>
    <w:rsid w:val="00663605"/>
    <w:rsid w:val="00664424"/>
    <w:rsid w:val="00664587"/>
    <w:rsid w:val="0066463F"/>
    <w:rsid w:val="00665F6A"/>
    <w:rsid w:val="0066746A"/>
    <w:rsid w:val="00673D85"/>
    <w:rsid w:val="00674D80"/>
    <w:rsid w:val="006775E3"/>
    <w:rsid w:val="00677B1A"/>
    <w:rsid w:val="00677D84"/>
    <w:rsid w:val="00682F2D"/>
    <w:rsid w:val="00684191"/>
    <w:rsid w:val="0068438A"/>
    <w:rsid w:val="00684C72"/>
    <w:rsid w:val="0068548C"/>
    <w:rsid w:val="00686EF5"/>
    <w:rsid w:val="00687234"/>
    <w:rsid w:val="006912BD"/>
    <w:rsid w:val="0069447A"/>
    <w:rsid w:val="00694E7A"/>
    <w:rsid w:val="006951B9"/>
    <w:rsid w:val="0069731A"/>
    <w:rsid w:val="006974AA"/>
    <w:rsid w:val="00697BE7"/>
    <w:rsid w:val="006A0681"/>
    <w:rsid w:val="006A0A57"/>
    <w:rsid w:val="006A0B36"/>
    <w:rsid w:val="006A2AEF"/>
    <w:rsid w:val="006A33F8"/>
    <w:rsid w:val="006A7F4F"/>
    <w:rsid w:val="006B0396"/>
    <w:rsid w:val="006B072E"/>
    <w:rsid w:val="006B37C5"/>
    <w:rsid w:val="006B4DBC"/>
    <w:rsid w:val="006B5BC9"/>
    <w:rsid w:val="006B601C"/>
    <w:rsid w:val="006B66B1"/>
    <w:rsid w:val="006B6CD8"/>
    <w:rsid w:val="006B79C0"/>
    <w:rsid w:val="006C0A1E"/>
    <w:rsid w:val="006C10A3"/>
    <w:rsid w:val="006C2ED0"/>
    <w:rsid w:val="006C60A2"/>
    <w:rsid w:val="006C7DEE"/>
    <w:rsid w:val="006C7E8C"/>
    <w:rsid w:val="006D01C6"/>
    <w:rsid w:val="006D217F"/>
    <w:rsid w:val="006D325E"/>
    <w:rsid w:val="006D76E0"/>
    <w:rsid w:val="006E1A32"/>
    <w:rsid w:val="006E3C5A"/>
    <w:rsid w:val="006E5557"/>
    <w:rsid w:val="006E62FD"/>
    <w:rsid w:val="006E7DE5"/>
    <w:rsid w:val="006F121D"/>
    <w:rsid w:val="006F2793"/>
    <w:rsid w:val="006F4180"/>
    <w:rsid w:val="006F47DF"/>
    <w:rsid w:val="00702400"/>
    <w:rsid w:val="0070622A"/>
    <w:rsid w:val="00710407"/>
    <w:rsid w:val="00711097"/>
    <w:rsid w:val="007120F4"/>
    <w:rsid w:val="00713E53"/>
    <w:rsid w:val="0071500C"/>
    <w:rsid w:val="007165F1"/>
    <w:rsid w:val="00716ADB"/>
    <w:rsid w:val="007172DF"/>
    <w:rsid w:val="0072016F"/>
    <w:rsid w:val="00720473"/>
    <w:rsid w:val="00722FBD"/>
    <w:rsid w:val="00724742"/>
    <w:rsid w:val="00725858"/>
    <w:rsid w:val="007259DF"/>
    <w:rsid w:val="00730CD2"/>
    <w:rsid w:val="007316D3"/>
    <w:rsid w:val="007335C5"/>
    <w:rsid w:val="00734189"/>
    <w:rsid w:val="00735C6A"/>
    <w:rsid w:val="00736923"/>
    <w:rsid w:val="0074327D"/>
    <w:rsid w:val="00743DC0"/>
    <w:rsid w:val="007440CF"/>
    <w:rsid w:val="007442C0"/>
    <w:rsid w:val="0074472C"/>
    <w:rsid w:val="00745D04"/>
    <w:rsid w:val="00745F3D"/>
    <w:rsid w:val="007465AF"/>
    <w:rsid w:val="007473C6"/>
    <w:rsid w:val="00750486"/>
    <w:rsid w:val="00750612"/>
    <w:rsid w:val="007506FB"/>
    <w:rsid w:val="007529F2"/>
    <w:rsid w:val="00753B95"/>
    <w:rsid w:val="00753E66"/>
    <w:rsid w:val="00753EDB"/>
    <w:rsid w:val="00755F83"/>
    <w:rsid w:val="00757FCE"/>
    <w:rsid w:val="0076028C"/>
    <w:rsid w:val="007608A4"/>
    <w:rsid w:val="00760A38"/>
    <w:rsid w:val="00762FDE"/>
    <w:rsid w:val="00763419"/>
    <w:rsid w:val="0076601C"/>
    <w:rsid w:val="007708B4"/>
    <w:rsid w:val="00772CA9"/>
    <w:rsid w:val="00773486"/>
    <w:rsid w:val="00776550"/>
    <w:rsid w:val="00776ED5"/>
    <w:rsid w:val="00782D79"/>
    <w:rsid w:val="00784B6E"/>
    <w:rsid w:val="007866AC"/>
    <w:rsid w:val="007875E5"/>
    <w:rsid w:val="00787BC2"/>
    <w:rsid w:val="0079465A"/>
    <w:rsid w:val="00794F66"/>
    <w:rsid w:val="00797AA5"/>
    <w:rsid w:val="007A0018"/>
    <w:rsid w:val="007A1ACD"/>
    <w:rsid w:val="007A26D2"/>
    <w:rsid w:val="007B07ED"/>
    <w:rsid w:val="007B34D3"/>
    <w:rsid w:val="007B459A"/>
    <w:rsid w:val="007B5715"/>
    <w:rsid w:val="007B5C71"/>
    <w:rsid w:val="007B713E"/>
    <w:rsid w:val="007B7E8F"/>
    <w:rsid w:val="007C0FA7"/>
    <w:rsid w:val="007C5EFB"/>
    <w:rsid w:val="007D225C"/>
    <w:rsid w:val="007D5EFB"/>
    <w:rsid w:val="007D7538"/>
    <w:rsid w:val="007E0C62"/>
    <w:rsid w:val="007E16D3"/>
    <w:rsid w:val="007F0496"/>
    <w:rsid w:val="007F1213"/>
    <w:rsid w:val="007F175D"/>
    <w:rsid w:val="007F1C21"/>
    <w:rsid w:val="007F1ECA"/>
    <w:rsid w:val="007F4DC4"/>
    <w:rsid w:val="007F509C"/>
    <w:rsid w:val="007F62F0"/>
    <w:rsid w:val="007F6938"/>
    <w:rsid w:val="007F72E5"/>
    <w:rsid w:val="007F7806"/>
    <w:rsid w:val="00801019"/>
    <w:rsid w:val="00801298"/>
    <w:rsid w:val="008078E2"/>
    <w:rsid w:val="00814E55"/>
    <w:rsid w:val="00816319"/>
    <w:rsid w:val="00816F7D"/>
    <w:rsid w:val="00820801"/>
    <w:rsid w:val="00821EE9"/>
    <w:rsid w:val="00823060"/>
    <w:rsid w:val="00823631"/>
    <w:rsid w:val="0082371E"/>
    <w:rsid w:val="008255ED"/>
    <w:rsid w:val="0083024A"/>
    <w:rsid w:val="008325EA"/>
    <w:rsid w:val="00832821"/>
    <w:rsid w:val="00833894"/>
    <w:rsid w:val="0083461B"/>
    <w:rsid w:val="00840561"/>
    <w:rsid w:val="00842DFB"/>
    <w:rsid w:val="00842F0F"/>
    <w:rsid w:val="0084480E"/>
    <w:rsid w:val="00845609"/>
    <w:rsid w:val="008462BF"/>
    <w:rsid w:val="0084792D"/>
    <w:rsid w:val="00852AF8"/>
    <w:rsid w:val="00853654"/>
    <w:rsid w:val="00855533"/>
    <w:rsid w:val="00855C3A"/>
    <w:rsid w:val="008562DD"/>
    <w:rsid w:val="00856F7F"/>
    <w:rsid w:val="00867B9F"/>
    <w:rsid w:val="00870DA8"/>
    <w:rsid w:val="00872015"/>
    <w:rsid w:val="008729FD"/>
    <w:rsid w:val="0087499B"/>
    <w:rsid w:val="00876959"/>
    <w:rsid w:val="00876AED"/>
    <w:rsid w:val="00877118"/>
    <w:rsid w:val="00877BB7"/>
    <w:rsid w:val="00883B2D"/>
    <w:rsid w:val="00884CFD"/>
    <w:rsid w:val="00884F1D"/>
    <w:rsid w:val="00892F04"/>
    <w:rsid w:val="00894348"/>
    <w:rsid w:val="0089476E"/>
    <w:rsid w:val="00895C4B"/>
    <w:rsid w:val="008A0120"/>
    <w:rsid w:val="008A1539"/>
    <w:rsid w:val="008A2F30"/>
    <w:rsid w:val="008A6F66"/>
    <w:rsid w:val="008A723D"/>
    <w:rsid w:val="008A754B"/>
    <w:rsid w:val="008B06E0"/>
    <w:rsid w:val="008B0CF8"/>
    <w:rsid w:val="008B1593"/>
    <w:rsid w:val="008B22CA"/>
    <w:rsid w:val="008B347F"/>
    <w:rsid w:val="008B3F53"/>
    <w:rsid w:val="008C0EFB"/>
    <w:rsid w:val="008C2079"/>
    <w:rsid w:val="008C2861"/>
    <w:rsid w:val="008C3975"/>
    <w:rsid w:val="008C4700"/>
    <w:rsid w:val="008C5CAF"/>
    <w:rsid w:val="008C77D9"/>
    <w:rsid w:val="008C7E55"/>
    <w:rsid w:val="008D3083"/>
    <w:rsid w:val="008D3A53"/>
    <w:rsid w:val="008D3D59"/>
    <w:rsid w:val="008D6A2D"/>
    <w:rsid w:val="008D7980"/>
    <w:rsid w:val="008E0D17"/>
    <w:rsid w:val="008E0D6B"/>
    <w:rsid w:val="008E139A"/>
    <w:rsid w:val="008E1809"/>
    <w:rsid w:val="008E2980"/>
    <w:rsid w:val="008E3768"/>
    <w:rsid w:val="008E4807"/>
    <w:rsid w:val="008E4EE2"/>
    <w:rsid w:val="008E554E"/>
    <w:rsid w:val="008E658A"/>
    <w:rsid w:val="008F15A4"/>
    <w:rsid w:val="008F23AF"/>
    <w:rsid w:val="008F23EA"/>
    <w:rsid w:val="008F47D2"/>
    <w:rsid w:val="008F6032"/>
    <w:rsid w:val="008F6B6B"/>
    <w:rsid w:val="008F6E2B"/>
    <w:rsid w:val="00902647"/>
    <w:rsid w:val="00904BAB"/>
    <w:rsid w:val="009051CA"/>
    <w:rsid w:val="00906C39"/>
    <w:rsid w:val="00906CE8"/>
    <w:rsid w:val="009101B0"/>
    <w:rsid w:val="00911C4B"/>
    <w:rsid w:val="00911D32"/>
    <w:rsid w:val="0091245D"/>
    <w:rsid w:val="00912799"/>
    <w:rsid w:val="00913314"/>
    <w:rsid w:val="009147CA"/>
    <w:rsid w:val="00915D4B"/>
    <w:rsid w:val="00916A5A"/>
    <w:rsid w:val="00917ABE"/>
    <w:rsid w:val="00917EAB"/>
    <w:rsid w:val="00920B93"/>
    <w:rsid w:val="00920DBB"/>
    <w:rsid w:val="00921B2D"/>
    <w:rsid w:val="00930E5C"/>
    <w:rsid w:val="00940E4D"/>
    <w:rsid w:val="009434DD"/>
    <w:rsid w:val="00944EB9"/>
    <w:rsid w:val="0094658D"/>
    <w:rsid w:val="00947320"/>
    <w:rsid w:val="00947D54"/>
    <w:rsid w:val="009500A8"/>
    <w:rsid w:val="009506E7"/>
    <w:rsid w:val="00950CC8"/>
    <w:rsid w:val="00951D8A"/>
    <w:rsid w:val="00952887"/>
    <w:rsid w:val="00953E98"/>
    <w:rsid w:val="00954207"/>
    <w:rsid w:val="00955847"/>
    <w:rsid w:val="00957CCD"/>
    <w:rsid w:val="00962A5C"/>
    <w:rsid w:val="00962C63"/>
    <w:rsid w:val="00962DDE"/>
    <w:rsid w:val="00963353"/>
    <w:rsid w:val="00964065"/>
    <w:rsid w:val="00976E5C"/>
    <w:rsid w:val="00977799"/>
    <w:rsid w:val="00977CB7"/>
    <w:rsid w:val="00977DC1"/>
    <w:rsid w:val="0098121B"/>
    <w:rsid w:val="00983D85"/>
    <w:rsid w:val="009840A0"/>
    <w:rsid w:val="00985B6A"/>
    <w:rsid w:val="009860B1"/>
    <w:rsid w:val="0098747F"/>
    <w:rsid w:val="00992015"/>
    <w:rsid w:val="0099601C"/>
    <w:rsid w:val="009A0358"/>
    <w:rsid w:val="009A31F0"/>
    <w:rsid w:val="009A3204"/>
    <w:rsid w:val="009A3C32"/>
    <w:rsid w:val="009A4622"/>
    <w:rsid w:val="009A4CCF"/>
    <w:rsid w:val="009B1C80"/>
    <w:rsid w:val="009B4305"/>
    <w:rsid w:val="009B538D"/>
    <w:rsid w:val="009B707C"/>
    <w:rsid w:val="009B79B9"/>
    <w:rsid w:val="009C0558"/>
    <w:rsid w:val="009C56D0"/>
    <w:rsid w:val="009C7804"/>
    <w:rsid w:val="009D0BE8"/>
    <w:rsid w:val="009D1B41"/>
    <w:rsid w:val="009D422F"/>
    <w:rsid w:val="009D43B1"/>
    <w:rsid w:val="009D4A99"/>
    <w:rsid w:val="009D4AD6"/>
    <w:rsid w:val="009D5396"/>
    <w:rsid w:val="009D5779"/>
    <w:rsid w:val="009D65EC"/>
    <w:rsid w:val="009D69EC"/>
    <w:rsid w:val="009E100A"/>
    <w:rsid w:val="009E380E"/>
    <w:rsid w:val="009E3AC0"/>
    <w:rsid w:val="009E467C"/>
    <w:rsid w:val="009E4766"/>
    <w:rsid w:val="009E5C33"/>
    <w:rsid w:val="009F0070"/>
    <w:rsid w:val="009F23B2"/>
    <w:rsid w:val="009F24A8"/>
    <w:rsid w:val="009F2CFB"/>
    <w:rsid w:val="009F3CEC"/>
    <w:rsid w:val="009F4119"/>
    <w:rsid w:val="009F4453"/>
    <w:rsid w:val="009F4ACF"/>
    <w:rsid w:val="009F4B59"/>
    <w:rsid w:val="009F68F6"/>
    <w:rsid w:val="009F6EBB"/>
    <w:rsid w:val="009F6FDA"/>
    <w:rsid w:val="00A0073E"/>
    <w:rsid w:val="00A01816"/>
    <w:rsid w:val="00A02649"/>
    <w:rsid w:val="00A13A5C"/>
    <w:rsid w:val="00A205D7"/>
    <w:rsid w:val="00A20EA0"/>
    <w:rsid w:val="00A20FB5"/>
    <w:rsid w:val="00A21491"/>
    <w:rsid w:val="00A22479"/>
    <w:rsid w:val="00A31023"/>
    <w:rsid w:val="00A3201D"/>
    <w:rsid w:val="00A3504D"/>
    <w:rsid w:val="00A37295"/>
    <w:rsid w:val="00A41817"/>
    <w:rsid w:val="00A42156"/>
    <w:rsid w:val="00A42A57"/>
    <w:rsid w:val="00A46624"/>
    <w:rsid w:val="00A4670F"/>
    <w:rsid w:val="00A52157"/>
    <w:rsid w:val="00A53779"/>
    <w:rsid w:val="00A54589"/>
    <w:rsid w:val="00A55011"/>
    <w:rsid w:val="00A56B91"/>
    <w:rsid w:val="00A57EE9"/>
    <w:rsid w:val="00A6060E"/>
    <w:rsid w:val="00A60AB7"/>
    <w:rsid w:val="00A60B04"/>
    <w:rsid w:val="00A60B95"/>
    <w:rsid w:val="00A60E04"/>
    <w:rsid w:val="00A612C6"/>
    <w:rsid w:val="00A625A5"/>
    <w:rsid w:val="00A62F34"/>
    <w:rsid w:val="00A6796C"/>
    <w:rsid w:val="00A67C40"/>
    <w:rsid w:val="00A7079F"/>
    <w:rsid w:val="00A70AA9"/>
    <w:rsid w:val="00A732B6"/>
    <w:rsid w:val="00A74607"/>
    <w:rsid w:val="00A776BF"/>
    <w:rsid w:val="00A81271"/>
    <w:rsid w:val="00A86770"/>
    <w:rsid w:val="00A86AD3"/>
    <w:rsid w:val="00A91C6B"/>
    <w:rsid w:val="00A92ADD"/>
    <w:rsid w:val="00A937F1"/>
    <w:rsid w:val="00A95808"/>
    <w:rsid w:val="00A968D4"/>
    <w:rsid w:val="00AA19CF"/>
    <w:rsid w:val="00AA2CF3"/>
    <w:rsid w:val="00AA3D60"/>
    <w:rsid w:val="00AB05C9"/>
    <w:rsid w:val="00AB0D50"/>
    <w:rsid w:val="00AB190F"/>
    <w:rsid w:val="00AB4312"/>
    <w:rsid w:val="00AB47DB"/>
    <w:rsid w:val="00AB4D93"/>
    <w:rsid w:val="00AC0FEC"/>
    <w:rsid w:val="00AC1020"/>
    <w:rsid w:val="00AD0CDC"/>
    <w:rsid w:val="00AD3C00"/>
    <w:rsid w:val="00AD4DA5"/>
    <w:rsid w:val="00AD5D18"/>
    <w:rsid w:val="00AD6FAC"/>
    <w:rsid w:val="00AD7980"/>
    <w:rsid w:val="00AE105E"/>
    <w:rsid w:val="00AE12B7"/>
    <w:rsid w:val="00AE2E4A"/>
    <w:rsid w:val="00AE3663"/>
    <w:rsid w:val="00AE477C"/>
    <w:rsid w:val="00AE5418"/>
    <w:rsid w:val="00AE5F8E"/>
    <w:rsid w:val="00AE64CA"/>
    <w:rsid w:val="00AE7884"/>
    <w:rsid w:val="00AF16DF"/>
    <w:rsid w:val="00AF274D"/>
    <w:rsid w:val="00AF2D72"/>
    <w:rsid w:val="00AF3667"/>
    <w:rsid w:val="00AF61F8"/>
    <w:rsid w:val="00B00487"/>
    <w:rsid w:val="00B06F2F"/>
    <w:rsid w:val="00B102A7"/>
    <w:rsid w:val="00B142CC"/>
    <w:rsid w:val="00B14336"/>
    <w:rsid w:val="00B14695"/>
    <w:rsid w:val="00B2009F"/>
    <w:rsid w:val="00B20518"/>
    <w:rsid w:val="00B2233E"/>
    <w:rsid w:val="00B22C00"/>
    <w:rsid w:val="00B23411"/>
    <w:rsid w:val="00B246F3"/>
    <w:rsid w:val="00B2634C"/>
    <w:rsid w:val="00B31CEC"/>
    <w:rsid w:val="00B33106"/>
    <w:rsid w:val="00B33CAD"/>
    <w:rsid w:val="00B347A1"/>
    <w:rsid w:val="00B3494E"/>
    <w:rsid w:val="00B34CC3"/>
    <w:rsid w:val="00B35B2D"/>
    <w:rsid w:val="00B36192"/>
    <w:rsid w:val="00B4170D"/>
    <w:rsid w:val="00B42AAE"/>
    <w:rsid w:val="00B4309E"/>
    <w:rsid w:val="00B4503B"/>
    <w:rsid w:val="00B46A48"/>
    <w:rsid w:val="00B5060F"/>
    <w:rsid w:val="00B513A7"/>
    <w:rsid w:val="00B5191A"/>
    <w:rsid w:val="00B52434"/>
    <w:rsid w:val="00B5247D"/>
    <w:rsid w:val="00B538B5"/>
    <w:rsid w:val="00B541F2"/>
    <w:rsid w:val="00B570A0"/>
    <w:rsid w:val="00B61CB1"/>
    <w:rsid w:val="00B63745"/>
    <w:rsid w:val="00B655CE"/>
    <w:rsid w:val="00B71B77"/>
    <w:rsid w:val="00B71C23"/>
    <w:rsid w:val="00B726C2"/>
    <w:rsid w:val="00B74391"/>
    <w:rsid w:val="00B74395"/>
    <w:rsid w:val="00B74A8F"/>
    <w:rsid w:val="00B7501C"/>
    <w:rsid w:val="00B80733"/>
    <w:rsid w:val="00B82F08"/>
    <w:rsid w:val="00B84B8E"/>
    <w:rsid w:val="00B85989"/>
    <w:rsid w:val="00B85F94"/>
    <w:rsid w:val="00B86FDE"/>
    <w:rsid w:val="00B87CFA"/>
    <w:rsid w:val="00B87D7E"/>
    <w:rsid w:val="00B90B24"/>
    <w:rsid w:val="00B92553"/>
    <w:rsid w:val="00B93834"/>
    <w:rsid w:val="00B94058"/>
    <w:rsid w:val="00B941C7"/>
    <w:rsid w:val="00B9555D"/>
    <w:rsid w:val="00B96518"/>
    <w:rsid w:val="00B96565"/>
    <w:rsid w:val="00BA1423"/>
    <w:rsid w:val="00BA1C7C"/>
    <w:rsid w:val="00BA23A6"/>
    <w:rsid w:val="00BA515B"/>
    <w:rsid w:val="00BA6CCB"/>
    <w:rsid w:val="00BB1276"/>
    <w:rsid w:val="00BB4E48"/>
    <w:rsid w:val="00BB4FC9"/>
    <w:rsid w:val="00BB5C10"/>
    <w:rsid w:val="00BB6588"/>
    <w:rsid w:val="00BB6A3E"/>
    <w:rsid w:val="00BB72C9"/>
    <w:rsid w:val="00BB7346"/>
    <w:rsid w:val="00BB7BC4"/>
    <w:rsid w:val="00BC0608"/>
    <w:rsid w:val="00BC1283"/>
    <w:rsid w:val="00BC1E0F"/>
    <w:rsid w:val="00BC219F"/>
    <w:rsid w:val="00BC3C70"/>
    <w:rsid w:val="00BC4B8B"/>
    <w:rsid w:val="00BC5532"/>
    <w:rsid w:val="00BC5691"/>
    <w:rsid w:val="00BD1DDF"/>
    <w:rsid w:val="00BD2E7C"/>
    <w:rsid w:val="00BD43D1"/>
    <w:rsid w:val="00BE0B56"/>
    <w:rsid w:val="00BE21F7"/>
    <w:rsid w:val="00BE36AA"/>
    <w:rsid w:val="00BE3A70"/>
    <w:rsid w:val="00BE7766"/>
    <w:rsid w:val="00BE7F24"/>
    <w:rsid w:val="00BF0712"/>
    <w:rsid w:val="00BF3F98"/>
    <w:rsid w:val="00BF64C1"/>
    <w:rsid w:val="00C008BB"/>
    <w:rsid w:val="00C0142B"/>
    <w:rsid w:val="00C015A6"/>
    <w:rsid w:val="00C05379"/>
    <w:rsid w:val="00C15489"/>
    <w:rsid w:val="00C15915"/>
    <w:rsid w:val="00C15A27"/>
    <w:rsid w:val="00C16307"/>
    <w:rsid w:val="00C170FE"/>
    <w:rsid w:val="00C17782"/>
    <w:rsid w:val="00C246A9"/>
    <w:rsid w:val="00C254F4"/>
    <w:rsid w:val="00C276FB"/>
    <w:rsid w:val="00C311E5"/>
    <w:rsid w:val="00C34389"/>
    <w:rsid w:val="00C34DF0"/>
    <w:rsid w:val="00C352A4"/>
    <w:rsid w:val="00C36E66"/>
    <w:rsid w:val="00C37809"/>
    <w:rsid w:val="00C37C8E"/>
    <w:rsid w:val="00C40186"/>
    <w:rsid w:val="00C415FC"/>
    <w:rsid w:val="00C4449E"/>
    <w:rsid w:val="00C44C92"/>
    <w:rsid w:val="00C44F98"/>
    <w:rsid w:val="00C46635"/>
    <w:rsid w:val="00C47CD1"/>
    <w:rsid w:val="00C51C9B"/>
    <w:rsid w:val="00C51F8D"/>
    <w:rsid w:val="00C51FAB"/>
    <w:rsid w:val="00C54869"/>
    <w:rsid w:val="00C57240"/>
    <w:rsid w:val="00C624F8"/>
    <w:rsid w:val="00C63388"/>
    <w:rsid w:val="00C63C59"/>
    <w:rsid w:val="00C667C5"/>
    <w:rsid w:val="00C70211"/>
    <w:rsid w:val="00C71D0F"/>
    <w:rsid w:val="00C72817"/>
    <w:rsid w:val="00C7331F"/>
    <w:rsid w:val="00C74430"/>
    <w:rsid w:val="00C8063F"/>
    <w:rsid w:val="00C80F70"/>
    <w:rsid w:val="00C86F71"/>
    <w:rsid w:val="00C90009"/>
    <w:rsid w:val="00C92C03"/>
    <w:rsid w:val="00C956AA"/>
    <w:rsid w:val="00C9605C"/>
    <w:rsid w:val="00C973B8"/>
    <w:rsid w:val="00C97CA6"/>
    <w:rsid w:val="00CA0646"/>
    <w:rsid w:val="00CA0F35"/>
    <w:rsid w:val="00CA1A86"/>
    <w:rsid w:val="00CA1F19"/>
    <w:rsid w:val="00CA35C7"/>
    <w:rsid w:val="00CA35F6"/>
    <w:rsid w:val="00CA77D4"/>
    <w:rsid w:val="00CB1E79"/>
    <w:rsid w:val="00CB2C8A"/>
    <w:rsid w:val="00CB36AF"/>
    <w:rsid w:val="00CB49BC"/>
    <w:rsid w:val="00CB5373"/>
    <w:rsid w:val="00CB5730"/>
    <w:rsid w:val="00CB5E58"/>
    <w:rsid w:val="00CB61C3"/>
    <w:rsid w:val="00CB757B"/>
    <w:rsid w:val="00CC3F9C"/>
    <w:rsid w:val="00CD06D1"/>
    <w:rsid w:val="00CD1B43"/>
    <w:rsid w:val="00CD2F24"/>
    <w:rsid w:val="00CD503A"/>
    <w:rsid w:val="00CD52C7"/>
    <w:rsid w:val="00CD53BE"/>
    <w:rsid w:val="00CD6492"/>
    <w:rsid w:val="00CD6AB8"/>
    <w:rsid w:val="00CD71CF"/>
    <w:rsid w:val="00CD7F67"/>
    <w:rsid w:val="00CE07B0"/>
    <w:rsid w:val="00CE24FA"/>
    <w:rsid w:val="00CE45A1"/>
    <w:rsid w:val="00CE56CA"/>
    <w:rsid w:val="00CE7152"/>
    <w:rsid w:val="00CE7440"/>
    <w:rsid w:val="00CF1D68"/>
    <w:rsid w:val="00CF206D"/>
    <w:rsid w:val="00CF3253"/>
    <w:rsid w:val="00CF398C"/>
    <w:rsid w:val="00CF5227"/>
    <w:rsid w:val="00CF6736"/>
    <w:rsid w:val="00CF71AE"/>
    <w:rsid w:val="00D003ED"/>
    <w:rsid w:val="00D02BE7"/>
    <w:rsid w:val="00D03C5C"/>
    <w:rsid w:val="00D10BCA"/>
    <w:rsid w:val="00D12F3A"/>
    <w:rsid w:val="00D15103"/>
    <w:rsid w:val="00D1629E"/>
    <w:rsid w:val="00D172E1"/>
    <w:rsid w:val="00D176C8"/>
    <w:rsid w:val="00D2310D"/>
    <w:rsid w:val="00D2453F"/>
    <w:rsid w:val="00D24B13"/>
    <w:rsid w:val="00D252B4"/>
    <w:rsid w:val="00D304E6"/>
    <w:rsid w:val="00D30A34"/>
    <w:rsid w:val="00D30C2B"/>
    <w:rsid w:val="00D31BDB"/>
    <w:rsid w:val="00D31CF8"/>
    <w:rsid w:val="00D32ED7"/>
    <w:rsid w:val="00D32F73"/>
    <w:rsid w:val="00D33EAB"/>
    <w:rsid w:val="00D4284F"/>
    <w:rsid w:val="00D469E5"/>
    <w:rsid w:val="00D477E8"/>
    <w:rsid w:val="00D47941"/>
    <w:rsid w:val="00D521D0"/>
    <w:rsid w:val="00D52C87"/>
    <w:rsid w:val="00D53E6B"/>
    <w:rsid w:val="00D56A9A"/>
    <w:rsid w:val="00D56C6E"/>
    <w:rsid w:val="00D57DB2"/>
    <w:rsid w:val="00D62EE7"/>
    <w:rsid w:val="00D63535"/>
    <w:rsid w:val="00D637E9"/>
    <w:rsid w:val="00D63A61"/>
    <w:rsid w:val="00D65E84"/>
    <w:rsid w:val="00D66544"/>
    <w:rsid w:val="00D669F1"/>
    <w:rsid w:val="00D67ED2"/>
    <w:rsid w:val="00D70791"/>
    <w:rsid w:val="00D70DA4"/>
    <w:rsid w:val="00D719DB"/>
    <w:rsid w:val="00D75D1A"/>
    <w:rsid w:val="00D770C6"/>
    <w:rsid w:val="00D77927"/>
    <w:rsid w:val="00D829D5"/>
    <w:rsid w:val="00D84135"/>
    <w:rsid w:val="00D8621B"/>
    <w:rsid w:val="00D91C52"/>
    <w:rsid w:val="00D92690"/>
    <w:rsid w:val="00D929E4"/>
    <w:rsid w:val="00D9402C"/>
    <w:rsid w:val="00D94CA9"/>
    <w:rsid w:val="00D95F2E"/>
    <w:rsid w:val="00D963A7"/>
    <w:rsid w:val="00DA08BD"/>
    <w:rsid w:val="00DA1063"/>
    <w:rsid w:val="00DA2C89"/>
    <w:rsid w:val="00DA7B5A"/>
    <w:rsid w:val="00DB786F"/>
    <w:rsid w:val="00DC0B28"/>
    <w:rsid w:val="00DC294E"/>
    <w:rsid w:val="00DC31A1"/>
    <w:rsid w:val="00DC5896"/>
    <w:rsid w:val="00DC5C3F"/>
    <w:rsid w:val="00DC6F92"/>
    <w:rsid w:val="00DD14EB"/>
    <w:rsid w:val="00DD21AD"/>
    <w:rsid w:val="00DD448F"/>
    <w:rsid w:val="00DD4D4B"/>
    <w:rsid w:val="00DD7602"/>
    <w:rsid w:val="00DD7B88"/>
    <w:rsid w:val="00DE20AC"/>
    <w:rsid w:val="00DE21AA"/>
    <w:rsid w:val="00DE261F"/>
    <w:rsid w:val="00DE78B2"/>
    <w:rsid w:val="00DE7A8A"/>
    <w:rsid w:val="00DF00B4"/>
    <w:rsid w:val="00DF0D90"/>
    <w:rsid w:val="00DF3019"/>
    <w:rsid w:val="00DF497D"/>
    <w:rsid w:val="00DF49CE"/>
    <w:rsid w:val="00DF609E"/>
    <w:rsid w:val="00DF6F47"/>
    <w:rsid w:val="00DF7264"/>
    <w:rsid w:val="00DF77AD"/>
    <w:rsid w:val="00E01239"/>
    <w:rsid w:val="00E01A02"/>
    <w:rsid w:val="00E01B80"/>
    <w:rsid w:val="00E02187"/>
    <w:rsid w:val="00E03253"/>
    <w:rsid w:val="00E0598F"/>
    <w:rsid w:val="00E06FCA"/>
    <w:rsid w:val="00E07E10"/>
    <w:rsid w:val="00E07FB0"/>
    <w:rsid w:val="00E12506"/>
    <w:rsid w:val="00E155AB"/>
    <w:rsid w:val="00E156F6"/>
    <w:rsid w:val="00E221CA"/>
    <w:rsid w:val="00E24C8E"/>
    <w:rsid w:val="00E24F00"/>
    <w:rsid w:val="00E250EC"/>
    <w:rsid w:val="00E25EEF"/>
    <w:rsid w:val="00E30603"/>
    <w:rsid w:val="00E417E7"/>
    <w:rsid w:val="00E442D5"/>
    <w:rsid w:val="00E45A0E"/>
    <w:rsid w:val="00E475CE"/>
    <w:rsid w:val="00E47979"/>
    <w:rsid w:val="00E51CA4"/>
    <w:rsid w:val="00E53191"/>
    <w:rsid w:val="00E539B9"/>
    <w:rsid w:val="00E5421C"/>
    <w:rsid w:val="00E54F4D"/>
    <w:rsid w:val="00E57FDE"/>
    <w:rsid w:val="00E61701"/>
    <w:rsid w:val="00E63536"/>
    <w:rsid w:val="00E65791"/>
    <w:rsid w:val="00E66A9A"/>
    <w:rsid w:val="00E67AEF"/>
    <w:rsid w:val="00E72450"/>
    <w:rsid w:val="00E75952"/>
    <w:rsid w:val="00E7744E"/>
    <w:rsid w:val="00E777DA"/>
    <w:rsid w:val="00E77C0B"/>
    <w:rsid w:val="00E77E7E"/>
    <w:rsid w:val="00E800FB"/>
    <w:rsid w:val="00E80351"/>
    <w:rsid w:val="00E806FC"/>
    <w:rsid w:val="00E8134C"/>
    <w:rsid w:val="00E84655"/>
    <w:rsid w:val="00E85766"/>
    <w:rsid w:val="00E86998"/>
    <w:rsid w:val="00E87118"/>
    <w:rsid w:val="00E87EC3"/>
    <w:rsid w:val="00E9102D"/>
    <w:rsid w:val="00E91266"/>
    <w:rsid w:val="00E932D4"/>
    <w:rsid w:val="00E9333D"/>
    <w:rsid w:val="00E93BE8"/>
    <w:rsid w:val="00E94063"/>
    <w:rsid w:val="00E9505D"/>
    <w:rsid w:val="00E97A00"/>
    <w:rsid w:val="00EA351B"/>
    <w:rsid w:val="00EA371C"/>
    <w:rsid w:val="00EA475C"/>
    <w:rsid w:val="00EA6ABA"/>
    <w:rsid w:val="00EA77D2"/>
    <w:rsid w:val="00EA7A58"/>
    <w:rsid w:val="00EB053F"/>
    <w:rsid w:val="00EB0717"/>
    <w:rsid w:val="00EB1217"/>
    <w:rsid w:val="00EB2A58"/>
    <w:rsid w:val="00EB2B6E"/>
    <w:rsid w:val="00EB444A"/>
    <w:rsid w:val="00EC0912"/>
    <w:rsid w:val="00EC1533"/>
    <w:rsid w:val="00EC35A6"/>
    <w:rsid w:val="00EC58C0"/>
    <w:rsid w:val="00EC6E79"/>
    <w:rsid w:val="00EC7891"/>
    <w:rsid w:val="00ED161E"/>
    <w:rsid w:val="00ED2A99"/>
    <w:rsid w:val="00ED3BC3"/>
    <w:rsid w:val="00ED3E35"/>
    <w:rsid w:val="00ED5564"/>
    <w:rsid w:val="00ED63B8"/>
    <w:rsid w:val="00EE207D"/>
    <w:rsid w:val="00EE3468"/>
    <w:rsid w:val="00EE59CF"/>
    <w:rsid w:val="00EE64B4"/>
    <w:rsid w:val="00EE74E0"/>
    <w:rsid w:val="00EF0A06"/>
    <w:rsid w:val="00EF0FA0"/>
    <w:rsid w:val="00EF103E"/>
    <w:rsid w:val="00EF53EA"/>
    <w:rsid w:val="00EF5C5E"/>
    <w:rsid w:val="00F022CE"/>
    <w:rsid w:val="00F03939"/>
    <w:rsid w:val="00F049A7"/>
    <w:rsid w:val="00F05764"/>
    <w:rsid w:val="00F07078"/>
    <w:rsid w:val="00F10FBB"/>
    <w:rsid w:val="00F13214"/>
    <w:rsid w:val="00F15B12"/>
    <w:rsid w:val="00F204E2"/>
    <w:rsid w:val="00F2081E"/>
    <w:rsid w:val="00F214AE"/>
    <w:rsid w:val="00F22744"/>
    <w:rsid w:val="00F22EF7"/>
    <w:rsid w:val="00F30253"/>
    <w:rsid w:val="00F3261D"/>
    <w:rsid w:val="00F32797"/>
    <w:rsid w:val="00F3331E"/>
    <w:rsid w:val="00F351A4"/>
    <w:rsid w:val="00F35677"/>
    <w:rsid w:val="00F35D44"/>
    <w:rsid w:val="00F35DAC"/>
    <w:rsid w:val="00F35DCB"/>
    <w:rsid w:val="00F36F5A"/>
    <w:rsid w:val="00F43608"/>
    <w:rsid w:val="00F44234"/>
    <w:rsid w:val="00F459E2"/>
    <w:rsid w:val="00F47434"/>
    <w:rsid w:val="00F4773A"/>
    <w:rsid w:val="00F47FDD"/>
    <w:rsid w:val="00F534C3"/>
    <w:rsid w:val="00F60884"/>
    <w:rsid w:val="00F661C6"/>
    <w:rsid w:val="00F6627F"/>
    <w:rsid w:val="00F66BA8"/>
    <w:rsid w:val="00F71E91"/>
    <w:rsid w:val="00F72B48"/>
    <w:rsid w:val="00F762DB"/>
    <w:rsid w:val="00F763B8"/>
    <w:rsid w:val="00F80D5D"/>
    <w:rsid w:val="00F81E98"/>
    <w:rsid w:val="00F82512"/>
    <w:rsid w:val="00F835B5"/>
    <w:rsid w:val="00F8528E"/>
    <w:rsid w:val="00F85E92"/>
    <w:rsid w:val="00F8602B"/>
    <w:rsid w:val="00F86BCE"/>
    <w:rsid w:val="00F90855"/>
    <w:rsid w:val="00F9233F"/>
    <w:rsid w:val="00F9552E"/>
    <w:rsid w:val="00F95811"/>
    <w:rsid w:val="00F96D39"/>
    <w:rsid w:val="00F970CB"/>
    <w:rsid w:val="00F97E88"/>
    <w:rsid w:val="00FA181D"/>
    <w:rsid w:val="00FA2B10"/>
    <w:rsid w:val="00FA350F"/>
    <w:rsid w:val="00FA3D72"/>
    <w:rsid w:val="00FA4A5B"/>
    <w:rsid w:val="00FA53A2"/>
    <w:rsid w:val="00FA5CF7"/>
    <w:rsid w:val="00FA5F14"/>
    <w:rsid w:val="00FB009F"/>
    <w:rsid w:val="00FB034A"/>
    <w:rsid w:val="00FB133D"/>
    <w:rsid w:val="00FB2CC9"/>
    <w:rsid w:val="00FB33D0"/>
    <w:rsid w:val="00FB4A30"/>
    <w:rsid w:val="00FB5FB3"/>
    <w:rsid w:val="00FB79CF"/>
    <w:rsid w:val="00FB7B56"/>
    <w:rsid w:val="00FC027D"/>
    <w:rsid w:val="00FC1AED"/>
    <w:rsid w:val="00FC30E5"/>
    <w:rsid w:val="00FC3694"/>
    <w:rsid w:val="00FC427B"/>
    <w:rsid w:val="00FC5259"/>
    <w:rsid w:val="00FC544A"/>
    <w:rsid w:val="00FC5F6F"/>
    <w:rsid w:val="00FC6FE9"/>
    <w:rsid w:val="00FC776D"/>
    <w:rsid w:val="00FD04F3"/>
    <w:rsid w:val="00FD39FC"/>
    <w:rsid w:val="00FE0AB5"/>
    <w:rsid w:val="00FE14ED"/>
    <w:rsid w:val="00FE26B5"/>
    <w:rsid w:val="00FE27E2"/>
    <w:rsid w:val="00FE48E5"/>
    <w:rsid w:val="00FE4F7D"/>
    <w:rsid w:val="00FE6C8D"/>
    <w:rsid w:val="00FF07B6"/>
    <w:rsid w:val="00FF19CB"/>
    <w:rsid w:val="00FF2472"/>
    <w:rsid w:val="00FF571F"/>
    <w:rsid w:val="00FF6D5A"/>
    <w:rsid w:val="00FF6E31"/>
    <w:rsid w:val="00FF75E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73E902D"/>
  <w15:docId w15:val="{4223E177-2EA3-E242-807F-A8674B35A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nhideWhenUsed="1" w:qFormat="1"/>
    <w:lsdException w:name="heading 3" w:locked="1" w:semiHidden="1"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locked="1" w:semiHidden="1" w:unhideWhenUsed="1" w:qFormat="1"/>
    <w:lsdException w:name="header" w:locked="1" w:semiHidden="1" w:uiPriority="0"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53644B"/>
    <w:rPr>
      <w:rFonts w:ascii="Times New Roman" w:eastAsia="Times New Roman" w:hAnsi="Times New Roman"/>
      <w:sz w:val="24"/>
      <w:szCs w:val="24"/>
    </w:rPr>
  </w:style>
  <w:style w:type="paragraph" w:styleId="10">
    <w:name w:val="heading 1"/>
    <w:basedOn w:val="a0"/>
    <w:next w:val="a0"/>
    <w:link w:val="11"/>
    <w:autoRedefine/>
    <w:uiPriority w:val="99"/>
    <w:qFormat/>
    <w:rsid w:val="00801019"/>
    <w:pPr>
      <w:shd w:val="clear" w:color="auto" w:fill="FFFFFF"/>
      <w:tabs>
        <w:tab w:val="left" w:pos="142"/>
      </w:tabs>
      <w:jc w:val="both"/>
      <w:outlineLvl w:val="0"/>
    </w:pPr>
    <w:rPr>
      <w:rFonts w:eastAsia="MS Gothic"/>
      <w:bCs/>
      <w:iCs/>
      <w:noProof/>
      <w:color w:val="222222"/>
      <w:lang w:val="x-none" w:eastAsia="ko-KR"/>
    </w:rPr>
  </w:style>
  <w:style w:type="paragraph" w:styleId="2">
    <w:name w:val="heading 2"/>
    <w:basedOn w:val="3"/>
    <w:next w:val="a0"/>
    <w:link w:val="20"/>
    <w:uiPriority w:val="99"/>
    <w:qFormat/>
    <w:rsid w:val="00CF398C"/>
    <w:pPr>
      <w:spacing w:after="240"/>
      <w:outlineLvl w:val="1"/>
    </w:pPr>
    <w:rPr>
      <w:szCs w:val="24"/>
      <w:u w:val="single"/>
    </w:rPr>
  </w:style>
  <w:style w:type="paragraph" w:styleId="3">
    <w:name w:val="heading 3"/>
    <w:basedOn w:val="a0"/>
    <w:next w:val="a0"/>
    <w:link w:val="30"/>
    <w:uiPriority w:val="99"/>
    <w:qFormat/>
    <w:rsid w:val="00FE48E5"/>
    <w:pPr>
      <w:autoSpaceDE w:val="0"/>
      <w:autoSpaceDN w:val="0"/>
      <w:adjustRightInd w:val="0"/>
      <w:spacing w:before="240"/>
      <w:outlineLvl w:val="2"/>
    </w:pPr>
    <w:rPr>
      <w:b/>
      <w:szCs w:val="20"/>
      <w:lang w:val="x-none" w:eastAsia="x-none"/>
    </w:rPr>
  </w:style>
  <w:style w:type="paragraph" w:styleId="4">
    <w:name w:val="heading 4"/>
    <w:basedOn w:val="a0"/>
    <w:next w:val="a0"/>
    <w:link w:val="40"/>
    <w:unhideWhenUsed/>
    <w:qFormat/>
    <w:locked/>
    <w:rsid w:val="00E86998"/>
    <w:pPr>
      <w:keepNext/>
      <w:spacing w:before="240" w:after="60"/>
      <w:outlineLvl w:val="3"/>
    </w:pPr>
    <w:rPr>
      <w:rFonts w:ascii="Calibri" w:hAnsi="Calibr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link w:val="10"/>
    <w:uiPriority w:val="99"/>
    <w:locked/>
    <w:rsid w:val="00801019"/>
    <w:rPr>
      <w:rFonts w:ascii="Times New Roman" w:eastAsia="MS Gothic" w:hAnsi="Times New Roman"/>
      <w:bCs/>
      <w:iCs/>
      <w:noProof/>
      <w:color w:val="222222"/>
      <w:sz w:val="24"/>
      <w:szCs w:val="24"/>
      <w:shd w:val="clear" w:color="auto" w:fill="FFFFFF"/>
      <w:lang w:val="x-none" w:eastAsia="ko-KR"/>
    </w:rPr>
  </w:style>
  <w:style w:type="character" w:customStyle="1" w:styleId="20">
    <w:name w:val="Заголовок 2 Знак"/>
    <w:link w:val="2"/>
    <w:uiPriority w:val="99"/>
    <w:locked/>
    <w:rsid w:val="00CF398C"/>
    <w:rPr>
      <w:rFonts w:ascii="Times New Roman" w:hAnsi="Times New Roman" w:cs="Times New Roman"/>
      <w:b/>
      <w:sz w:val="24"/>
      <w:szCs w:val="24"/>
      <w:u w:val="single"/>
    </w:rPr>
  </w:style>
  <w:style w:type="character" w:customStyle="1" w:styleId="30">
    <w:name w:val="Заголовок 3 Знак"/>
    <w:link w:val="3"/>
    <w:uiPriority w:val="99"/>
    <w:locked/>
    <w:rsid w:val="00FE48E5"/>
    <w:rPr>
      <w:rFonts w:ascii="Times New Roman" w:hAnsi="Times New Roman"/>
      <w:b/>
      <w:sz w:val="24"/>
    </w:rPr>
  </w:style>
  <w:style w:type="paragraph" w:customStyle="1" w:styleId="12">
    <w:name w:val="Обычный (веб)1"/>
    <w:basedOn w:val="a0"/>
    <w:link w:val="a4"/>
    <w:uiPriority w:val="99"/>
    <w:rsid w:val="0011410C"/>
    <w:pPr>
      <w:spacing w:before="100" w:beforeAutospacing="1" w:after="100" w:afterAutospacing="1"/>
    </w:pPr>
    <w:rPr>
      <w:szCs w:val="20"/>
      <w:lang w:val="x-none" w:eastAsia="x-none"/>
    </w:rPr>
  </w:style>
  <w:style w:type="paragraph" w:styleId="a5">
    <w:name w:val="Document Map"/>
    <w:basedOn w:val="a0"/>
    <w:link w:val="a6"/>
    <w:uiPriority w:val="99"/>
    <w:semiHidden/>
    <w:rsid w:val="006242CA"/>
    <w:rPr>
      <w:szCs w:val="20"/>
      <w:lang w:val="x-none"/>
    </w:rPr>
  </w:style>
  <w:style w:type="character" w:customStyle="1" w:styleId="a6">
    <w:name w:val="Схема документа Знак"/>
    <w:link w:val="a5"/>
    <w:uiPriority w:val="99"/>
    <w:semiHidden/>
    <w:locked/>
    <w:rsid w:val="006242CA"/>
    <w:rPr>
      <w:rFonts w:ascii="Times New Roman" w:hAnsi="Times New Roman"/>
      <w:sz w:val="24"/>
      <w:lang w:eastAsia="en-US"/>
    </w:rPr>
  </w:style>
  <w:style w:type="paragraph" w:customStyle="1" w:styleId="a">
    <w:name w:val="Рекомендация"/>
    <w:basedOn w:val="12"/>
    <w:link w:val="a7"/>
    <w:uiPriority w:val="99"/>
    <w:rsid w:val="00FE48E5"/>
    <w:pPr>
      <w:numPr>
        <w:numId w:val="1"/>
      </w:numPr>
      <w:tabs>
        <w:tab w:val="left" w:pos="142"/>
      </w:tabs>
      <w:spacing w:before="240" w:beforeAutospacing="0" w:after="0" w:afterAutospacing="0"/>
      <w:ind w:left="0" w:hanging="425"/>
    </w:pPr>
    <w:rPr>
      <w:rFonts w:eastAsia="MS Mincho"/>
      <w:color w:val="303030"/>
      <w:shd w:val="clear" w:color="auto" w:fill="FFFFFF"/>
      <w:lang w:eastAsia="en-US"/>
    </w:rPr>
  </w:style>
  <w:style w:type="paragraph" w:customStyle="1" w:styleId="31">
    <w:name w:val="Стиль3"/>
    <w:basedOn w:val="a0"/>
    <w:link w:val="32"/>
    <w:uiPriority w:val="99"/>
    <w:rsid w:val="005D087C"/>
    <w:rPr>
      <w:rFonts w:eastAsia="MS Mincho"/>
      <w:b/>
      <w:color w:val="303030"/>
      <w:szCs w:val="20"/>
      <w:shd w:val="clear" w:color="auto" w:fill="FFFFFF"/>
      <w:lang w:val="x-none" w:eastAsia="x-none"/>
    </w:rPr>
  </w:style>
  <w:style w:type="character" w:customStyle="1" w:styleId="a7">
    <w:name w:val="Рекомендация Знак"/>
    <w:link w:val="a"/>
    <w:uiPriority w:val="99"/>
    <w:locked/>
    <w:rsid w:val="00FE48E5"/>
    <w:rPr>
      <w:rFonts w:ascii="Times New Roman" w:eastAsia="MS Mincho" w:hAnsi="Times New Roman"/>
      <w:color w:val="303030"/>
      <w:sz w:val="24"/>
      <w:lang w:eastAsia="en-US"/>
    </w:rPr>
  </w:style>
  <w:style w:type="character" w:customStyle="1" w:styleId="32">
    <w:name w:val="Стиль3 Знак"/>
    <w:link w:val="31"/>
    <w:uiPriority w:val="99"/>
    <w:locked/>
    <w:rsid w:val="005D087C"/>
    <w:rPr>
      <w:rFonts w:ascii="Times New Roman" w:eastAsia="MS Mincho" w:hAnsi="Times New Roman"/>
      <w:b/>
      <w:color w:val="303030"/>
      <w:sz w:val="24"/>
    </w:rPr>
  </w:style>
  <w:style w:type="paragraph" w:customStyle="1" w:styleId="13">
    <w:name w:val="Без интервала1"/>
    <w:uiPriority w:val="99"/>
    <w:rsid w:val="00416478"/>
    <w:rPr>
      <w:rFonts w:eastAsia="Times New Roman"/>
      <w:sz w:val="22"/>
      <w:szCs w:val="22"/>
    </w:rPr>
  </w:style>
  <w:style w:type="paragraph" w:customStyle="1" w:styleId="Default">
    <w:name w:val="Default"/>
    <w:uiPriority w:val="99"/>
    <w:rsid w:val="00F86BCE"/>
    <w:pPr>
      <w:autoSpaceDE w:val="0"/>
      <w:autoSpaceDN w:val="0"/>
      <w:adjustRightInd w:val="0"/>
    </w:pPr>
    <w:rPr>
      <w:rFonts w:ascii="Times New Roman" w:hAnsi="Times New Roman"/>
      <w:color w:val="000000"/>
      <w:sz w:val="24"/>
      <w:szCs w:val="24"/>
      <w:lang w:eastAsia="en-US"/>
    </w:rPr>
  </w:style>
  <w:style w:type="character" w:customStyle="1" w:styleId="a4">
    <w:name w:val="Обычный (веб) Знак"/>
    <w:link w:val="12"/>
    <w:uiPriority w:val="99"/>
    <w:locked/>
    <w:rsid w:val="00F86BCE"/>
    <w:rPr>
      <w:rFonts w:ascii="Times New Roman" w:hAnsi="Times New Roman"/>
      <w:sz w:val="24"/>
    </w:rPr>
  </w:style>
  <w:style w:type="paragraph" w:customStyle="1" w:styleId="-11">
    <w:name w:val="Цветной список - Акцент 11"/>
    <w:basedOn w:val="a0"/>
    <w:link w:val="-1"/>
    <w:uiPriority w:val="99"/>
    <w:rsid w:val="00684C72"/>
    <w:pPr>
      <w:ind w:left="720"/>
    </w:pPr>
    <w:rPr>
      <w:szCs w:val="20"/>
      <w:lang w:val="x-none"/>
    </w:rPr>
  </w:style>
  <w:style w:type="paragraph" w:styleId="a8">
    <w:name w:val="Subtitle"/>
    <w:basedOn w:val="a0"/>
    <w:next w:val="a0"/>
    <w:link w:val="a9"/>
    <w:autoRedefine/>
    <w:uiPriority w:val="99"/>
    <w:qFormat/>
    <w:rsid w:val="00697BE7"/>
    <w:pPr>
      <w:numPr>
        <w:ilvl w:val="1"/>
      </w:numPr>
      <w:spacing w:before="240" w:after="240"/>
      <w:ind w:firstLine="709"/>
    </w:pPr>
    <w:rPr>
      <w:rFonts w:eastAsia="MS Mincho"/>
      <w:b/>
      <w:szCs w:val="20"/>
      <w:lang w:val="x-none" w:eastAsia="x-none"/>
    </w:rPr>
  </w:style>
  <w:style w:type="character" w:customStyle="1" w:styleId="a9">
    <w:name w:val="Подзаголовок Знак"/>
    <w:link w:val="a8"/>
    <w:uiPriority w:val="99"/>
    <w:locked/>
    <w:rsid w:val="00697BE7"/>
    <w:rPr>
      <w:rFonts w:ascii="Times New Roman" w:eastAsia="MS Mincho" w:hAnsi="Times New Roman"/>
      <w:b/>
      <w:sz w:val="24"/>
      <w:lang w:val="x-none" w:eastAsia="x-none"/>
    </w:rPr>
  </w:style>
  <w:style w:type="paragraph" w:customStyle="1" w:styleId="desc">
    <w:name w:val="desc"/>
    <w:basedOn w:val="a0"/>
    <w:uiPriority w:val="99"/>
    <w:rsid w:val="00CA0F35"/>
    <w:pPr>
      <w:spacing w:before="100" w:beforeAutospacing="1" w:after="100" w:afterAutospacing="1"/>
    </w:pPr>
    <w:rPr>
      <w:rFonts w:eastAsia="MS Mincho"/>
    </w:rPr>
  </w:style>
  <w:style w:type="character" w:styleId="aa">
    <w:name w:val="Hyperlink"/>
    <w:uiPriority w:val="99"/>
    <w:rsid w:val="00CA0F35"/>
    <w:rPr>
      <w:rFonts w:cs="Times New Roman"/>
      <w:color w:val="0000FF"/>
      <w:u w:val="single"/>
    </w:rPr>
  </w:style>
  <w:style w:type="character" w:styleId="ab">
    <w:name w:val="Strong"/>
    <w:uiPriority w:val="22"/>
    <w:qFormat/>
    <w:rsid w:val="00CA0F35"/>
    <w:rPr>
      <w:rFonts w:cs="Times New Roman"/>
      <w:b/>
    </w:rPr>
  </w:style>
  <w:style w:type="character" w:customStyle="1" w:styleId="-1">
    <w:name w:val="Цветной список - Акцент 1 Знак"/>
    <w:link w:val="-11"/>
    <w:uiPriority w:val="99"/>
    <w:locked/>
    <w:rsid w:val="00CA0F35"/>
    <w:rPr>
      <w:rFonts w:ascii="Times New Roman" w:hAnsi="Times New Roman"/>
      <w:sz w:val="24"/>
      <w:lang w:eastAsia="en-US"/>
    </w:rPr>
  </w:style>
  <w:style w:type="character" w:styleId="ac">
    <w:name w:val="Emphasis"/>
    <w:uiPriority w:val="20"/>
    <w:qFormat/>
    <w:rsid w:val="00183D25"/>
    <w:rPr>
      <w:rFonts w:cs="Times New Roman"/>
      <w:i/>
    </w:rPr>
  </w:style>
  <w:style w:type="paragraph" w:styleId="ad">
    <w:name w:val="footer"/>
    <w:basedOn w:val="a0"/>
    <w:link w:val="ae"/>
    <w:uiPriority w:val="99"/>
    <w:rsid w:val="000D78E5"/>
    <w:pPr>
      <w:tabs>
        <w:tab w:val="center" w:pos="4677"/>
        <w:tab w:val="right" w:pos="9355"/>
      </w:tabs>
    </w:pPr>
    <w:rPr>
      <w:rFonts w:ascii="Calibri" w:hAnsi="Calibri"/>
      <w:szCs w:val="20"/>
      <w:lang w:val="x-none"/>
    </w:rPr>
  </w:style>
  <w:style w:type="character" w:customStyle="1" w:styleId="ae">
    <w:name w:val="Нижний колонтитул Знак"/>
    <w:link w:val="ad"/>
    <w:uiPriority w:val="99"/>
    <w:locked/>
    <w:rsid w:val="000D78E5"/>
    <w:rPr>
      <w:sz w:val="24"/>
      <w:lang w:eastAsia="en-US"/>
    </w:rPr>
  </w:style>
  <w:style w:type="character" w:styleId="af">
    <w:name w:val="page number"/>
    <w:uiPriority w:val="99"/>
    <w:semiHidden/>
    <w:rsid w:val="000D78E5"/>
    <w:rPr>
      <w:rFonts w:cs="Times New Roman"/>
    </w:rPr>
  </w:style>
  <w:style w:type="paragraph" w:customStyle="1" w:styleId="14">
    <w:name w:val="Заголовок оглавления1"/>
    <w:basedOn w:val="10"/>
    <w:next w:val="a0"/>
    <w:uiPriority w:val="99"/>
    <w:rsid w:val="00FE27E2"/>
    <w:pPr>
      <w:shd w:val="clear" w:color="auto" w:fill="auto"/>
      <w:spacing w:before="480" w:after="120" w:line="276" w:lineRule="auto"/>
      <w:ind w:firstLine="567"/>
      <w:outlineLvl w:val="9"/>
    </w:pPr>
    <w:rPr>
      <w:rFonts w:ascii="Calibri Light" w:eastAsia="Times New Roman" w:hAnsi="Calibri Light"/>
      <w:bCs w:val="0"/>
      <w:i/>
      <w:iCs w:val="0"/>
      <w:noProof w:val="0"/>
      <w:color w:val="2E74B5"/>
      <w:sz w:val="28"/>
      <w:szCs w:val="28"/>
    </w:rPr>
  </w:style>
  <w:style w:type="paragraph" w:styleId="15">
    <w:name w:val="toc 1"/>
    <w:basedOn w:val="a0"/>
    <w:next w:val="a0"/>
    <w:autoRedefine/>
    <w:uiPriority w:val="39"/>
    <w:rsid w:val="00FC6FE9"/>
    <w:pPr>
      <w:tabs>
        <w:tab w:val="right" w:leader="dot" w:pos="9339"/>
      </w:tabs>
      <w:outlineLvl w:val="0"/>
    </w:pPr>
  </w:style>
  <w:style w:type="paragraph" w:styleId="33">
    <w:name w:val="toc 3"/>
    <w:basedOn w:val="a0"/>
    <w:next w:val="a0"/>
    <w:autoRedefine/>
    <w:uiPriority w:val="39"/>
    <w:rsid w:val="00FC6FE9"/>
    <w:pPr>
      <w:ind w:left="737"/>
      <w:outlineLvl w:val="2"/>
    </w:pPr>
    <w:rPr>
      <w:szCs w:val="22"/>
    </w:rPr>
  </w:style>
  <w:style w:type="paragraph" w:styleId="21">
    <w:name w:val="toc 2"/>
    <w:basedOn w:val="a0"/>
    <w:next w:val="a0"/>
    <w:autoRedefine/>
    <w:uiPriority w:val="39"/>
    <w:rsid w:val="00EB2B6E"/>
    <w:pPr>
      <w:tabs>
        <w:tab w:val="right" w:leader="dot" w:pos="9345"/>
      </w:tabs>
      <w:ind w:left="357"/>
      <w:outlineLvl w:val="1"/>
    </w:pPr>
    <w:rPr>
      <w:noProof/>
      <w:szCs w:val="22"/>
    </w:rPr>
  </w:style>
  <w:style w:type="paragraph" w:styleId="41">
    <w:name w:val="toc 4"/>
    <w:basedOn w:val="a0"/>
    <w:next w:val="a0"/>
    <w:autoRedefine/>
    <w:uiPriority w:val="99"/>
    <w:semiHidden/>
    <w:rsid w:val="00FE27E2"/>
    <w:pPr>
      <w:ind w:left="720"/>
    </w:pPr>
    <w:rPr>
      <w:sz w:val="20"/>
      <w:szCs w:val="20"/>
    </w:rPr>
  </w:style>
  <w:style w:type="paragraph" w:styleId="5">
    <w:name w:val="toc 5"/>
    <w:basedOn w:val="a0"/>
    <w:next w:val="a0"/>
    <w:autoRedefine/>
    <w:uiPriority w:val="99"/>
    <w:semiHidden/>
    <w:rsid w:val="00FE27E2"/>
    <w:pPr>
      <w:ind w:left="960"/>
    </w:pPr>
    <w:rPr>
      <w:sz w:val="20"/>
      <w:szCs w:val="20"/>
    </w:rPr>
  </w:style>
  <w:style w:type="paragraph" w:styleId="6">
    <w:name w:val="toc 6"/>
    <w:basedOn w:val="a0"/>
    <w:next w:val="a0"/>
    <w:autoRedefine/>
    <w:uiPriority w:val="99"/>
    <w:semiHidden/>
    <w:rsid w:val="00FE27E2"/>
    <w:pPr>
      <w:ind w:left="1200"/>
    </w:pPr>
    <w:rPr>
      <w:sz w:val="20"/>
      <w:szCs w:val="20"/>
    </w:rPr>
  </w:style>
  <w:style w:type="paragraph" w:styleId="7">
    <w:name w:val="toc 7"/>
    <w:basedOn w:val="a0"/>
    <w:next w:val="a0"/>
    <w:autoRedefine/>
    <w:uiPriority w:val="99"/>
    <w:semiHidden/>
    <w:rsid w:val="00FE27E2"/>
    <w:pPr>
      <w:ind w:left="1440"/>
    </w:pPr>
    <w:rPr>
      <w:sz w:val="20"/>
      <w:szCs w:val="20"/>
    </w:rPr>
  </w:style>
  <w:style w:type="paragraph" w:styleId="8">
    <w:name w:val="toc 8"/>
    <w:basedOn w:val="a0"/>
    <w:next w:val="a0"/>
    <w:autoRedefine/>
    <w:uiPriority w:val="99"/>
    <w:semiHidden/>
    <w:rsid w:val="00FE27E2"/>
    <w:pPr>
      <w:ind w:left="1680"/>
    </w:pPr>
    <w:rPr>
      <w:sz w:val="20"/>
      <w:szCs w:val="20"/>
    </w:rPr>
  </w:style>
  <w:style w:type="paragraph" w:styleId="9">
    <w:name w:val="toc 9"/>
    <w:basedOn w:val="a0"/>
    <w:next w:val="a0"/>
    <w:autoRedefine/>
    <w:uiPriority w:val="99"/>
    <w:semiHidden/>
    <w:rsid w:val="00FE27E2"/>
    <w:pPr>
      <w:ind w:left="1920"/>
    </w:pPr>
    <w:rPr>
      <w:sz w:val="20"/>
      <w:szCs w:val="20"/>
    </w:rPr>
  </w:style>
  <w:style w:type="paragraph" w:styleId="af0">
    <w:name w:val="Balloon Text"/>
    <w:basedOn w:val="a0"/>
    <w:link w:val="af1"/>
    <w:uiPriority w:val="99"/>
    <w:semiHidden/>
    <w:rsid w:val="00FF2472"/>
    <w:rPr>
      <w:rFonts w:ascii="Tahoma" w:hAnsi="Tahoma"/>
      <w:sz w:val="16"/>
      <w:szCs w:val="16"/>
      <w:lang w:val="x-none"/>
    </w:rPr>
  </w:style>
  <w:style w:type="character" w:customStyle="1" w:styleId="af1">
    <w:name w:val="Текст выноски Знак"/>
    <w:link w:val="af0"/>
    <w:uiPriority w:val="99"/>
    <w:semiHidden/>
    <w:locked/>
    <w:rsid w:val="00FF2472"/>
    <w:rPr>
      <w:rFonts w:ascii="Tahoma" w:hAnsi="Tahoma" w:cs="Tahoma"/>
      <w:sz w:val="16"/>
      <w:szCs w:val="16"/>
      <w:lang w:eastAsia="en-US"/>
    </w:rPr>
  </w:style>
  <w:style w:type="character" w:customStyle="1" w:styleId="apple-converted-space">
    <w:name w:val="apple-converted-space"/>
    <w:uiPriority w:val="99"/>
    <w:rsid w:val="005D24BF"/>
    <w:rPr>
      <w:rFonts w:cs="Times New Roman"/>
    </w:rPr>
  </w:style>
  <w:style w:type="character" w:customStyle="1" w:styleId="hiddenreadable">
    <w:name w:val="hiddenreadable"/>
    <w:uiPriority w:val="99"/>
    <w:rsid w:val="005D24BF"/>
    <w:rPr>
      <w:rFonts w:cs="Times New Roman"/>
    </w:rPr>
  </w:style>
  <w:style w:type="character" w:customStyle="1" w:styleId="ce-collab">
    <w:name w:val="ce-collab"/>
    <w:uiPriority w:val="99"/>
    <w:rsid w:val="005D24BF"/>
    <w:rPr>
      <w:rFonts w:cs="Times New Roman"/>
    </w:rPr>
  </w:style>
  <w:style w:type="paragraph" w:styleId="af2">
    <w:name w:val="List Paragraph"/>
    <w:basedOn w:val="a0"/>
    <w:uiPriority w:val="34"/>
    <w:qFormat/>
    <w:rsid w:val="004156D3"/>
    <w:pPr>
      <w:ind w:left="720"/>
    </w:pPr>
  </w:style>
  <w:style w:type="character" w:customStyle="1" w:styleId="cit">
    <w:name w:val="cit"/>
    <w:rsid w:val="006A0681"/>
    <w:rPr>
      <w:rFonts w:cs="Times New Roman"/>
    </w:rPr>
  </w:style>
  <w:style w:type="character" w:customStyle="1" w:styleId="fm-vol-iss-date">
    <w:name w:val="fm-vol-iss-date"/>
    <w:uiPriority w:val="99"/>
    <w:rsid w:val="006A0681"/>
    <w:rPr>
      <w:rFonts w:cs="Times New Roman"/>
    </w:rPr>
  </w:style>
  <w:style w:type="character" w:customStyle="1" w:styleId="doi">
    <w:name w:val="doi"/>
    <w:uiPriority w:val="99"/>
    <w:rsid w:val="006A0681"/>
    <w:rPr>
      <w:rFonts w:cs="Times New Roman"/>
    </w:rPr>
  </w:style>
  <w:style w:type="paragraph" w:styleId="af3">
    <w:name w:val="Body Text"/>
    <w:basedOn w:val="a0"/>
    <w:link w:val="af4"/>
    <w:uiPriority w:val="99"/>
    <w:rsid w:val="00B5060F"/>
    <w:pPr>
      <w:spacing w:after="120"/>
    </w:pPr>
    <w:rPr>
      <w:lang w:val="x-none" w:eastAsia="x-none"/>
    </w:rPr>
  </w:style>
  <w:style w:type="character" w:customStyle="1" w:styleId="af4">
    <w:name w:val="Основной текст Знак"/>
    <w:link w:val="af3"/>
    <w:uiPriority w:val="99"/>
    <w:locked/>
    <w:rsid w:val="00B5060F"/>
    <w:rPr>
      <w:rFonts w:ascii="Times New Roman" w:hAnsi="Times New Roman" w:cs="Times New Roman"/>
      <w:sz w:val="24"/>
      <w:szCs w:val="24"/>
    </w:rPr>
  </w:style>
  <w:style w:type="character" w:customStyle="1" w:styleId="ref-journal">
    <w:name w:val="ref-journal"/>
    <w:rsid w:val="002F3D83"/>
    <w:rPr>
      <w:rFonts w:cs="Times New Roman"/>
    </w:rPr>
  </w:style>
  <w:style w:type="character" w:customStyle="1" w:styleId="ref-vol">
    <w:name w:val="ref-vol"/>
    <w:rsid w:val="002F3D83"/>
    <w:rPr>
      <w:rFonts w:cs="Times New Roman"/>
    </w:rPr>
  </w:style>
  <w:style w:type="character" w:customStyle="1" w:styleId="highlight">
    <w:name w:val="highlight"/>
    <w:uiPriority w:val="99"/>
    <w:rsid w:val="00C15A27"/>
    <w:rPr>
      <w:rFonts w:cs="Times New Roman"/>
    </w:rPr>
  </w:style>
  <w:style w:type="paragraph" w:customStyle="1" w:styleId="TableParagraph">
    <w:name w:val="Table Paragraph"/>
    <w:basedOn w:val="a0"/>
    <w:uiPriority w:val="99"/>
    <w:rsid w:val="002D5AC4"/>
    <w:pPr>
      <w:autoSpaceDE w:val="0"/>
      <w:autoSpaceDN w:val="0"/>
      <w:ind w:left="107"/>
    </w:pPr>
    <w:rPr>
      <w:sz w:val="22"/>
      <w:szCs w:val="22"/>
    </w:rPr>
  </w:style>
  <w:style w:type="table" w:styleId="af5">
    <w:name w:val="Table Grid"/>
    <w:basedOn w:val="a2"/>
    <w:uiPriority w:val="99"/>
    <w:rsid w:val="00630CD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p-slug-vol">
    <w:name w:val="pop-slug-vol"/>
    <w:uiPriority w:val="99"/>
    <w:rsid w:val="00630CDD"/>
  </w:style>
  <w:style w:type="paragraph" w:customStyle="1" w:styleId="af6">
    <w:name w:val="Содержимое врезки"/>
    <w:basedOn w:val="a0"/>
    <w:uiPriority w:val="99"/>
    <w:qFormat/>
    <w:rsid w:val="00630CDD"/>
    <w:rPr>
      <w:szCs w:val="22"/>
    </w:rPr>
  </w:style>
  <w:style w:type="character" w:styleId="af7">
    <w:name w:val="annotation reference"/>
    <w:semiHidden/>
    <w:rsid w:val="00F3261D"/>
    <w:rPr>
      <w:rFonts w:cs="Times New Roman"/>
      <w:sz w:val="16"/>
      <w:szCs w:val="16"/>
    </w:rPr>
  </w:style>
  <w:style w:type="paragraph" w:styleId="af8">
    <w:name w:val="annotation text"/>
    <w:basedOn w:val="a0"/>
    <w:link w:val="af9"/>
    <w:uiPriority w:val="99"/>
    <w:qFormat/>
    <w:rsid w:val="00F3261D"/>
    <w:pPr>
      <w:autoSpaceDE w:val="0"/>
      <w:autoSpaceDN w:val="0"/>
    </w:pPr>
    <w:rPr>
      <w:sz w:val="20"/>
      <w:szCs w:val="20"/>
      <w:lang w:val="x-none" w:eastAsia="x-none"/>
    </w:rPr>
  </w:style>
  <w:style w:type="character" w:customStyle="1" w:styleId="af9">
    <w:name w:val="Текст примечания Знак"/>
    <w:link w:val="af8"/>
    <w:uiPriority w:val="99"/>
    <w:locked/>
    <w:rsid w:val="00F3261D"/>
    <w:rPr>
      <w:rFonts w:ascii="Times New Roman" w:hAnsi="Times New Roman" w:cs="Times New Roman"/>
    </w:rPr>
  </w:style>
  <w:style w:type="paragraph" w:customStyle="1" w:styleId="afa">
    <w:name w:val="УДД"/>
    <w:aliases w:val="УУР"/>
    <w:basedOn w:val="a"/>
    <w:link w:val="afb"/>
    <w:uiPriority w:val="99"/>
    <w:qFormat/>
    <w:rsid w:val="00E67AEF"/>
    <w:pPr>
      <w:numPr>
        <w:numId w:val="0"/>
      </w:numPr>
      <w:tabs>
        <w:tab w:val="left" w:pos="1276"/>
      </w:tabs>
      <w:autoSpaceDE w:val="0"/>
      <w:autoSpaceDN w:val="0"/>
      <w:spacing w:before="0"/>
      <w:ind w:right="3"/>
    </w:pPr>
    <w:rPr>
      <w:b/>
      <w:spacing w:val="-4"/>
      <w:szCs w:val="24"/>
      <w:shd w:val="clear" w:color="auto" w:fill="auto"/>
    </w:rPr>
  </w:style>
  <w:style w:type="paragraph" w:customStyle="1" w:styleId="afc">
    <w:name w:val="кОММ"/>
    <w:basedOn w:val="a0"/>
    <w:link w:val="afd"/>
    <w:uiPriority w:val="99"/>
    <w:rsid w:val="00F3261D"/>
    <w:pPr>
      <w:tabs>
        <w:tab w:val="left" w:pos="993"/>
      </w:tabs>
      <w:autoSpaceDE w:val="0"/>
      <w:autoSpaceDN w:val="0"/>
      <w:spacing w:before="10"/>
      <w:ind w:left="993"/>
    </w:pPr>
    <w:rPr>
      <w:i/>
      <w:color w:val="2F2F2F"/>
      <w:sz w:val="22"/>
      <w:szCs w:val="22"/>
      <w:lang w:val="x-none" w:eastAsia="x-none"/>
    </w:rPr>
  </w:style>
  <w:style w:type="character" w:customStyle="1" w:styleId="afb">
    <w:name w:val="УДД Знак"/>
    <w:link w:val="afa"/>
    <w:uiPriority w:val="99"/>
    <w:locked/>
    <w:rsid w:val="00FE48E5"/>
    <w:rPr>
      <w:rFonts w:ascii="Times New Roman" w:eastAsia="MS Mincho" w:hAnsi="Times New Roman"/>
      <w:b/>
      <w:color w:val="303030"/>
      <w:spacing w:val="-4"/>
      <w:sz w:val="24"/>
      <w:szCs w:val="24"/>
      <w:lang w:val="x-none" w:eastAsia="en-US"/>
    </w:rPr>
  </w:style>
  <w:style w:type="character" w:customStyle="1" w:styleId="afd">
    <w:name w:val="кОММ Знак"/>
    <w:link w:val="afc"/>
    <w:uiPriority w:val="99"/>
    <w:locked/>
    <w:rsid w:val="00F3261D"/>
    <w:rPr>
      <w:rFonts w:ascii="Times New Roman" w:hAnsi="Times New Roman" w:cs="Times New Roman"/>
      <w:i/>
      <w:color w:val="2F2F2F"/>
      <w:sz w:val="22"/>
      <w:szCs w:val="22"/>
    </w:rPr>
  </w:style>
  <w:style w:type="character" w:customStyle="1" w:styleId="slug-pub-date">
    <w:name w:val="slug-pub-date"/>
    <w:uiPriority w:val="99"/>
    <w:rsid w:val="00560364"/>
    <w:rPr>
      <w:rFonts w:cs="Times New Roman"/>
    </w:rPr>
  </w:style>
  <w:style w:type="character" w:customStyle="1" w:styleId="slug-vol">
    <w:name w:val="slug-vol"/>
    <w:uiPriority w:val="99"/>
    <w:rsid w:val="00560364"/>
    <w:rPr>
      <w:rFonts w:cs="Times New Roman"/>
    </w:rPr>
  </w:style>
  <w:style w:type="character" w:customStyle="1" w:styleId="slug-issue">
    <w:name w:val="slug-issue"/>
    <w:uiPriority w:val="99"/>
    <w:rsid w:val="00560364"/>
    <w:rPr>
      <w:rFonts w:cs="Times New Roman"/>
    </w:rPr>
  </w:style>
  <w:style w:type="character" w:customStyle="1" w:styleId="slug-pages">
    <w:name w:val="slug-pages"/>
    <w:uiPriority w:val="99"/>
    <w:rsid w:val="00560364"/>
    <w:rPr>
      <w:rFonts w:cs="Times New Roman"/>
    </w:rPr>
  </w:style>
  <w:style w:type="character" w:customStyle="1" w:styleId="name">
    <w:name w:val="name"/>
    <w:uiPriority w:val="99"/>
    <w:rsid w:val="009A31F0"/>
    <w:rPr>
      <w:rFonts w:cs="Times New Roman"/>
    </w:rPr>
  </w:style>
  <w:style w:type="character" w:customStyle="1" w:styleId="contribdegrees">
    <w:name w:val="contribdegrees"/>
    <w:uiPriority w:val="99"/>
    <w:rsid w:val="000D7787"/>
    <w:rPr>
      <w:rFonts w:cs="Times New Roman"/>
    </w:rPr>
  </w:style>
  <w:style w:type="character" w:styleId="HTML">
    <w:name w:val="HTML Cite"/>
    <w:uiPriority w:val="99"/>
    <w:semiHidden/>
    <w:rsid w:val="000D7787"/>
    <w:rPr>
      <w:rFonts w:cs="Times New Roman"/>
      <w:i/>
      <w:iCs/>
    </w:rPr>
  </w:style>
  <w:style w:type="table" w:customStyle="1" w:styleId="16">
    <w:name w:val="Сетка таблицы1"/>
    <w:uiPriority w:val="99"/>
    <w:rsid w:val="00FB33D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7">
    <w:name w:val="Абзац списка1"/>
    <w:basedOn w:val="a0"/>
    <w:uiPriority w:val="99"/>
    <w:rsid w:val="00E77C0B"/>
    <w:pPr>
      <w:autoSpaceDE w:val="0"/>
      <w:autoSpaceDN w:val="0"/>
      <w:ind w:left="2122" w:hanging="360"/>
    </w:pPr>
    <w:rPr>
      <w:sz w:val="22"/>
      <w:szCs w:val="22"/>
    </w:rPr>
  </w:style>
  <w:style w:type="paragraph" w:styleId="afe">
    <w:name w:val="caption"/>
    <w:basedOn w:val="a0"/>
    <w:uiPriority w:val="99"/>
    <w:qFormat/>
    <w:rsid w:val="00300A32"/>
    <w:pPr>
      <w:suppressLineNumbers/>
      <w:spacing w:after="120"/>
    </w:pPr>
    <w:rPr>
      <w:rFonts w:eastAsia="MS Mincho" w:cs="Mangal"/>
      <w:i/>
      <w:iCs/>
      <w:shd w:val="clear" w:color="auto" w:fill="FFFFFF"/>
    </w:rPr>
  </w:style>
  <w:style w:type="paragraph" w:styleId="aff">
    <w:name w:val="header"/>
    <w:basedOn w:val="a0"/>
    <w:link w:val="aff0"/>
    <w:uiPriority w:val="99"/>
    <w:rsid w:val="00300A32"/>
    <w:pPr>
      <w:tabs>
        <w:tab w:val="center" w:pos="4677"/>
        <w:tab w:val="right" w:pos="9355"/>
      </w:tabs>
    </w:pPr>
    <w:rPr>
      <w:sz w:val="22"/>
      <w:szCs w:val="22"/>
      <w:lang w:val="x-none"/>
    </w:rPr>
  </w:style>
  <w:style w:type="character" w:customStyle="1" w:styleId="aff0">
    <w:name w:val="Верхний колонтитул Знак"/>
    <w:link w:val="aff"/>
    <w:uiPriority w:val="99"/>
    <w:locked/>
    <w:rsid w:val="00300A32"/>
    <w:rPr>
      <w:rFonts w:ascii="Times New Roman" w:hAnsi="Times New Roman" w:cs="Times New Roman"/>
      <w:sz w:val="22"/>
      <w:szCs w:val="22"/>
      <w:lang w:eastAsia="en-US"/>
    </w:rPr>
  </w:style>
  <w:style w:type="paragraph" w:customStyle="1" w:styleId="34">
    <w:name w:val="3"/>
    <w:basedOn w:val="af2"/>
    <w:link w:val="35"/>
    <w:uiPriority w:val="99"/>
    <w:rsid w:val="00300A32"/>
    <w:pPr>
      <w:ind w:left="142"/>
    </w:pPr>
    <w:rPr>
      <w:sz w:val="22"/>
      <w:szCs w:val="22"/>
      <w:lang w:val="x-none"/>
    </w:rPr>
  </w:style>
  <w:style w:type="character" w:customStyle="1" w:styleId="35">
    <w:name w:val="3 Знак"/>
    <w:link w:val="34"/>
    <w:uiPriority w:val="99"/>
    <w:locked/>
    <w:rsid w:val="00300A32"/>
    <w:rPr>
      <w:rFonts w:ascii="Times New Roman" w:hAnsi="Times New Roman" w:cs="Times New Roman"/>
      <w:sz w:val="22"/>
      <w:szCs w:val="22"/>
      <w:lang w:eastAsia="en-US"/>
    </w:rPr>
  </w:style>
  <w:style w:type="character" w:customStyle="1" w:styleId="18">
    <w:name w:val="Текст примечания Знак1"/>
    <w:uiPriority w:val="99"/>
    <w:locked/>
    <w:rsid w:val="0068438A"/>
    <w:rPr>
      <w:rFonts w:ascii="Times New Roman" w:hAnsi="Times New Roman" w:cs="Times New Roman"/>
      <w:sz w:val="20"/>
      <w:szCs w:val="20"/>
      <w:lang w:eastAsia="en-US"/>
    </w:rPr>
  </w:style>
  <w:style w:type="paragraph" w:customStyle="1" w:styleId="aff1">
    <w:name w:val="Памятки"/>
    <w:basedOn w:val="a0"/>
    <w:link w:val="aff2"/>
    <w:uiPriority w:val="99"/>
    <w:rsid w:val="0068438A"/>
    <w:rPr>
      <w:i/>
      <w:color w:val="FF0000"/>
      <w:lang w:val="x-none"/>
    </w:rPr>
  </w:style>
  <w:style w:type="character" w:customStyle="1" w:styleId="aff2">
    <w:name w:val="Памятки Знак"/>
    <w:link w:val="aff1"/>
    <w:uiPriority w:val="99"/>
    <w:locked/>
    <w:rsid w:val="0068438A"/>
    <w:rPr>
      <w:rFonts w:ascii="Times New Roman" w:hAnsi="Times New Roman" w:cs="Times New Roman"/>
      <w:i/>
      <w:color w:val="FF0000"/>
      <w:sz w:val="24"/>
      <w:szCs w:val="24"/>
      <w:lang w:eastAsia="en-US"/>
    </w:rPr>
  </w:style>
  <w:style w:type="paragraph" w:styleId="aff3">
    <w:name w:val="TOC Heading"/>
    <w:basedOn w:val="10"/>
    <w:next w:val="a0"/>
    <w:uiPriority w:val="99"/>
    <w:qFormat/>
    <w:rsid w:val="00FC6FE9"/>
    <w:pPr>
      <w:keepNext/>
      <w:keepLines/>
      <w:shd w:val="clear" w:color="auto" w:fill="auto"/>
      <w:tabs>
        <w:tab w:val="clear" w:pos="142"/>
      </w:tabs>
      <w:spacing w:before="240" w:after="120" w:line="259" w:lineRule="auto"/>
      <w:ind w:firstLine="567"/>
      <w:jc w:val="left"/>
      <w:outlineLvl w:val="9"/>
    </w:pPr>
    <w:rPr>
      <w:rFonts w:ascii="Cambria" w:eastAsia="Times New Roman" w:hAnsi="Cambria"/>
      <w:b/>
      <w:i/>
      <w:iCs w:val="0"/>
      <w:noProof w:val="0"/>
      <w:color w:val="365F91"/>
      <w:sz w:val="32"/>
      <w:szCs w:val="32"/>
    </w:rPr>
  </w:style>
  <w:style w:type="paragraph" w:styleId="aff4">
    <w:name w:val="annotation subject"/>
    <w:basedOn w:val="af8"/>
    <w:next w:val="af8"/>
    <w:link w:val="aff5"/>
    <w:uiPriority w:val="99"/>
    <w:semiHidden/>
    <w:unhideWhenUsed/>
    <w:rsid w:val="009F6EBB"/>
    <w:pPr>
      <w:autoSpaceDE/>
      <w:autoSpaceDN/>
    </w:pPr>
    <w:rPr>
      <w:rFonts w:eastAsia="Calibri"/>
      <w:b/>
      <w:bCs/>
      <w:lang w:eastAsia="en-US"/>
    </w:rPr>
  </w:style>
  <w:style w:type="character" w:customStyle="1" w:styleId="aff5">
    <w:name w:val="Тема примечания Знак"/>
    <w:link w:val="aff4"/>
    <w:uiPriority w:val="99"/>
    <w:semiHidden/>
    <w:rsid w:val="009F6EBB"/>
    <w:rPr>
      <w:rFonts w:ascii="Times New Roman" w:hAnsi="Times New Roman" w:cs="Times New Roman"/>
      <w:b/>
      <w:bCs/>
      <w:lang w:eastAsia="en-US"/>
    </w:rPr>
  </w:style>
  <w:style w:type="character" w:customStyle="1" w:styleId="titledefault">
    <w:name w:val="title_default"/>
    <w:basedOn w:val="a1"/>
    <w:rsid w:val="009F6EBB"/>
  </w:style>
  <w:style w:type="paragraph" w:styleId="aff6">
    <w:name w:val="Revision"/>
    <w:hidden/>
    <w:uiPriority w:val="99"/>
    <w:semiHidden/>
    <w:rsid w:val="00504F9E"/>
    <w:rPr>
      <w:rFonts w:ascii="Times New Roman" w:hAnsi="Times New Roman"/>
      <w:sz w:val="24"/>
      <w:szCs w:val="24"/>
      <w:lang w:eastAsia="en-US"/>
    </w:rPr>
  </w:style>
  <w:style w:type="paragraph" w:customStyle="1" w:styleId="1">
    <w:name w:val="Стиль1"/>
    <w:basedOn w:val="a0"/>
    <w:rsid w:val="008A0120"/>
    <w:pPr>
      <w:numPr>
        <w:numId w:val="29"/>
      </w:numPr>
      <w:spacing w:before="240"/>
      <w:ind w:left="9291"/>
    </w:pPr>
    <w:rPr>
      <w:szCs w:val="20"/>
      <w:lang w:eastAsia="ko-KR"/>
    </w:rPr>
  </w:style>
  <w:style w:type="paragraph" w:customStyle="1" w:styleId="aff7">
    <w:name w:val="список"/>
    <w:basedOn w:val="1"/>
    <w:link w:val="aff8"/>
    <w:rsid w:val="008A0120"/>
    <w:pPr>
      <w:spacing w:before="0"/>
      <w:ind w:left="0" w:firstLine="709"/>
    </w:pPr>
    <w:rPr>
      <w:iCs/>
      <w:lang w:val="x-none"/>
    </w:rPr>
  </w:style>
  <w:style w:type="character" w:customStyle="1" w:styleId="aff8">
    <w:name w:val="список Знак"/>
    <w:link w:val="aff7"/>
    <w:locked/>
    <w:rsid w:val="008A0120"/>
    <w:rPr>
      <w:rFonts w:ascii="Times New Roman" w:eastAsia="Times New Roman" w:hAnsi="Times New Roman"/>
      <w:iCs/>
      <w:sz w:val="24"/>
      <w:lang w:eastAsia="ko-KR"/>
    </w:rPr>
  </w:style>
  <w:style w:type="character" w:styleId="aff9">
    <w:name w:val="FollowedHyperlink"/>
    <w:uiPriority w:val="99"/>
    <w:semiHidden/>
    <w:unhideWhenUsed/>
    <w:rsid w:val="00EB1217"/>
    <w:rPr>
      <w:color w:val="800080"/>
      <w:u w:val="single"/>
    </w:rPr>
  </w:style>
  <w:style w:type="character" w:customStyle="1" w:styleId="mixed-citation">
    <w:name w:val="mixed-citation"/>
    <w:basedOn w:val="a1"/>
    <w:rsid w:val="00F10FBB"/>
  </w:style>
  <w:style w:type="character" w:customStyle="1" w:styleId="ref-title">
    <w:name w:val="ref-title"/>
    <w:basedOn w:val="a1"/>
    <w:rsid w:val="00F10FBB"/>
  </w:style>
  <w:style w:type="character" w:customStyle="1" w:styleId="nlmstring-name">
    <w:name w:val="nlm_string-name"/>
    <w:basedOn w:val="a1"/>
    <w:rsid w:val="00F10FBB"/>
  </w:style>
  <w:style w:type="character" w:customStyle="1" w:styleId="journalname">
    <w:name w:val="journalname"/>
    <w:basedOn w:val="a1"/>
    <w:rsid w:val="00F10FBB"/>
  </w:style>
  <w:style w:type="character" w:customStyle="1" w:styleId="year">
    <w:name w:val="year"/>
    <w:basedOn w:val="a1"/>
    <w:rsid w:val="00F10FBB"/>
  </w:style>
  <w:style w:type="character" w:customStyle="1" w:styleId="volume">
    <w:name w:val="volume"/>
    <w:basedOn w:val="a1"/>
    <w:rsid w:val="00F10FBB"/>
  </w:style>
  <w:style w:type="character" w:customStyle="1" w:styleId="issue">
    <w:name w:val="issue"/>
    <w:basedOn w:val="a1"/>
    <w:rsid w:val="00F10FBB"/>
  </w:style>
  <w:style w:type="character" w:customStyle="1" w:styleId="page">
    <w:name w:val="page"/>
    <w:basedOn w:val="a1"/>
    <w:rsid w:val="00F10FBB"/>
  </w:style>
  <w:style w:type="character" w:customStyle="1" w:styleId="mw-cite-backlink">
    <w:name w:val="mw-cite-backlink"/>
    <w:basedOn w:val="a1"/>
    <w:rsid w:val="007120F4"/>
  </w:style>
  <w:style w:type="paragraph" w:customStyle="1" w:styleId="19">
    <w:name w:val="Название1"/>
    <w:basedOn w:val="a0"/>
    <w:next w:val="a0"/>
    <w:link w:val="affa"/>
    <w:qFormat/>
    <w:locked/>
    <w:rsid w:val="00453BF8"/>
    <w:pPr>
      <w:contextualSpacing/>
    </w:pPr>
    <w:rPr>
      <w:rFonts w:ascii="Cambria" w:hAnsi="Cambria"/>
      <w:spacing w:val="-10"/>
      <w:kern w:val="28"/>
      <w:sz w:val="56"/>
      <w:szCs w:val="56"/>
    </w:rPr>
  </w:style>
  <w:style w:type="character" w:customStyle="1" w:styleId="affa">
    <w:name w:val="Название Знак"/>
    <w:link w:val="19"/>
    <w:rsid w:val="00453BF8"/>
    <w:rPr>
      <w:rFonts w:ascii="Cambria" w:eastAsia="Times New Roman" w:hAnsi="Cambria" w:cs="Times New Roman"/>
      <w:spacing w:val="-10"/>
      <w:kern w:val="28"/>
      <w:sz w:val="56"/>
      <w:szCs w:val="56"/>
      <w:lang w:eastAsia="en-US"/>
    </w:rPr>
  </w:style>
  <w:style w:type="character" w:customStyle="1" w:styleId="authors-list-item">
    <w:name w:val="authors-list-item"/>
    <w:basedOn w:val="a1"/>
    <w:rsid w:val="00267C50"/>
  </w:style>
  <w:style w:type="character" w:customStyle="1" w:styleId="author-sup-separator">
    <w:name w:val="author-sup-separator"/>
    <w:basedOn w:val="a1"/>
    <w:rsid w:val="00267C50"/>
  </w:style>
  <w:style w:type="character" w:customStyle="1" w:styleId="comma">
    <w:name w:val="comma"/>
    <w:basedOn w:val="a1"/>
    <w:rsid w:val="00267C50"/>
  </w:style>
  <w:style w:type="character" w:customStyle="1" w:styleId="period">
    <w:name w:val="period"/>
    <w:basedOn w:val="a1"/>
    <w:rsid w:val="00267C50"/>
  </w:style>
  <w:style w:type="character" w:customStyle="1" w:styleId="1a">
    <w:name w:val="Неразрешенное упоминание1"/>
    <w:uiPriority w:val="99"/>
    <w:semiHidden/>
    <w:unhideWhenUsed/>
    <w:rsid w:val="007A1ACD"/>
    <w:rPr>
      <w:color w:val="605E5C"/>
      <w:shd w:val="clear" w:color="auto" w:fill="E1DFDD"/>
    </w:rPr>
  </w:style>
  <w:style w:type="paragraph" w:styleId="affb">
    <w:name w:val="No Spacing"/>
    <w:uiPriority w:val="1"/>
    <w:qFormat/>
    <w:rsid w:val="006D217F"/>
    <w:rPr>
      <w:rFonts w:ascii="Times New Roman" w:eastAsia="Times New Roman" w:hAnsi="Times New Roman"/>
      <w:sz w:val="24"/>
      <w:szCs w:val="24"/>
    </w:rPr>
  </w:style>
  <w:style w:type="character" w:customStyle="1" w:styleId="40">
    <w:name w:val="Заголовок 4 Знак"/>
    <w:link w:val="4"/>
    <w:rsid w:val="00E86998"/>
    <w:rPr>
      <w:rFonts w:ascii="Calibri" w:eastAsia="Times New Roman" w:hAnsi="Calibri" w:cs="Times New Roman"/>
      <w:b/>
      <w:bCs/>
      <w:sz w:val="28"/>
      <w:szCs w:val="28"/>
    </w:rPr>
  </w:style>
  <w:style w:type="paragraph" w:customStyle="1" w:styleId="22">
    <w:name w:val="Стиль2"/>
    <w:basedOn w:val="10"/>
    <w:link w:val="23"/>
    <w:qFormat/>
    <w:rsid w:val="00FC5F6F"/>
    <w:pPr>
      <w:spacing w:after="120" w:line="360" w:lineRule="auto"/>
      <w:ind w:firstLine="567"/>
    </w:pPr>
    <w:rPr>
      <w:i/>
      <w:iCs w:val="0"/>
      <w:noProof w:val="0"/>
      <w:color w:val="auto"/>
      <w:sz w:val="28"/>
      <w:szCs w:val="28"/>
    </w:rPr>
  </w:style>
  <w:style w:type="paragraph" w:customStyle="1" w:styleId="42">
    <w:name w:val="Стиль4"/>
    <w:basedOn w:val="22"/>
    <w:link w:val="43"/>
    <w:qFormat/>
    <w:rsid w:val="00FC5F6F"/>
    <w:rPr>
      <w:b/>
      <w:bCs w:val="0"/>
      <w:i w:val="0"/>
      <w:iCs/>
    </w:rPr>
  </w:style>
  <w:style w:type="character" w:customStyle="1" w:styleId="23">
    <w:name w:val="Стиль2 Знак"/>
    <w:basedOn w:val="11"/>
    <w:link w:val="22"/>
    <w:rsid w:val="00FC5F6F"/>
    <w:rPr>
      <w:rFonts w:ascii="Times New Roman" w:eastAsia="MS Gothic" w:hAnsi="Times New Roman"/>
      <w:bCs/>
      <w:i w:val="0"/>
      <w:iCs/>
      <w:noProof/>
      <w:color w:val="222222"/>
      <w:sz w:val="28"/>
      <w:szCs w:val="28"/>
      <w:shd w:val="clear" w:color="auto" w:fill="FFFFFF"/>
      <w:lang w:val="x-none" w:eastAsia="ko-KR"/>
    </w:rPr>
  </w:style>
  <w:style w:type="paragraph" w:customStyle="1" w:styleId="230">
    <w:name w:val="23"/>
    <w:basedOn w:val="a0"/>
    <w:link w:val="231"/>
    <w:qFormat/>
    <w:rsid w:val="00E7744E"/>
    <w:pPr>
      <w:spacing w:line="360" w:lineRule="auto"/>
      <w:ind w:left="709"/>
      <w:contextualSpacing/>
      <w:jc w:val="both"/>
    </w:pPr>
    <w:rPr>
      <w:b/>
      <w:bCs/>
    </w:rPr>
  </w:style>
  <w:style w:type="character" w:customStyle="1" w:styleId="43">
    <w:name w:val="Стиль4 Знак"/>
    <w:link w:val="42"/>
    <w:rsid w:val="00FC5F6F"/>
    <w:rPr>
      <w:rFonts w:ascii="Times New Roman" w:eastAsia="MS Gothic" w:hAnsi="Times New Roman"/>
      <w:b/>
      <w:bCs w:val="0"/>
      <w:i w:val="0"/>
      <w:iCs/>
      <w:sz w:val="28"/>
      <w:szCs w:val="28"/>
      <w:shd w:val="clear" w:color="auto" w:fill="FFFFFF"/>
      <w:lang w:val="x-none" w:eastAsia="ko-KR"/>
    </w:rPr>
  </w:style>
  <w:style w:type="character" w:customStyle="1" w:styleId="231">
    <w:name w:val="23 Знак"/>
    <w:link w:val="230"/>
    <w:rsid w:val="00E7744E"/>
    <w:rPr>
      <w:rFonts w:ascii="Times New Roman" w:eastAsia="Times New Roman" w:hAnsi="Times New Roman"/>
      <w:b/>
      <w:bCs/>
      <w:sz w:val="24"/>
      <w:szCs w:val="24"/>
    </w:rPr>
  </w:style>
  <w:style w:type="paragraph" w:styleId="affc">
    <w:name w:val="Bibliography"/>
    <w:basedOn w:val="a0"/>
    <w:next w:val="a0"/>
    <w:uiPriority w:val="37"/>
    <w:unhideWhenUsed/>
    <w:rsid w:val="00A13A5C"/>
  </w:style>
  <w:style w:type="paragraph" w:styleId="affd">
    <w:name w:val="Normal (Web)"/>
    <w:basedOn w:val="a0"/>
    <w:uiPriority w:val="99"/>
    <w:unhideWhenUsed/>
    <w:rsid w:val="0057197A"/>
    <w:pPr>
      <w:spacing w:before="100" w:beforeAutospacing="1" w:after="100" w:afterAutospacing="1"/>
    </w:pPr>
  </w:style>
  <w:style w:type="character" w:customStyle="1" w:styleId="citation-doi">
    <w:name w:val="citation-doi"/>
    <w:basedOn w:val="a1"/>
    <w:rsid w:val="00AE64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890657">
      <w:bodyDiv w:val="1"/>
      <w:marLeft w:val="0"/>
      <w:marRight w:val="0"/>
      <w:marTop w:val="0"/>
      <w:marBottom w:val="0"/>
      <w:divBdr>
        <w:top w:val="none" w:sz="0" w:space="0" w:color="auto"/>
        <w:left w:val="none" w:sz="0" w:space="0" w:color="auto"/>
        <w:bottom w:val="none" w:sz="0" w:space="0" w:color="auto"/>
        <w:right w:val="none" w:sz="0" w:space="0" w:color="auto"/>
      </w:divBdr>
      <w:divsChild>
        <w:div w:id="643658727">
          <w:marLeft w:val="0"/>
          <w:marRight w:val="0"/>
          <w:marTop w:val="0"/>
          <w:marBottom w:val="0"/>
          <w:divBdr>
            <w:top w:val="none" w:sz="0" w:space="0" w:color="auto"/>
            <w:left w:val="none" w:sz="0" w:space="0" w:color="auto"/>
            <w:bottom w:val="none" w:sz="0" w:space="0" w:color="auto"/>
            <w:right w:val="none" w:sz="0" w:space="0" w:color="auto"/>
          </w:divBdr>
          <w:divsChild>
            <w:div w:id="103961513">
              <w:marLeft w:val="0"/>
              <w:marRight w:val="0"/>
              <w:marTop w:val="0"/>
              <w:marBottom w:val="0"/>
              <w:divBdr>
                <w:top w:val="none" w:sz="0" w:space="0" w:color="auto"/>
                <w:left w:val="none" w:sz="0" w:space="0" w:color="auto"/>
                <w:bottom w:val="none" w:sz="0" w:space="0" w:color="auto"/>
                <w:right w:val="none" w:sz="0" w:space="0" w:color="auto"/>
              </w:divBdr>
              <w:divsChild>
                <w:div w:id="29282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69164">
      <w:bodyDiv w:val="1"/>
      <w:marLeft w:val="0"/>
      <w:marRight w:val="0"/>
      <w:marTop w:val="0"/>
      <w:marBottom w:val="0"/>
      <w:divBdr>
        <w:top w:val="none" w:sz="0" w:space="0" w:color="auto"/>
        <w:left w:val="none" w:sz="0" w:space="0" w:color="auto"/>
        <w:bottom w:val="none" w:sz="0" w:space="0" w:color="auto"/>
        <w:right w:val="none" w:sz="0" w:space="0" w:color="auto"/>
      </w:divBdr>
    </w:div>
    <w:div w:id="176432076">
      <w:bodyDiv w:val="1"/>
      <w:marLeft w:val="0"/>
      <w:marRight w:val="0"/>
      <w:marTop w:val="0"/>
      <w:marBottom w:val="0"/>
      <w:divBdr>
        <w:top w:val="none" w:sz="0" w:space="0" w:color="auto"/>
        <w:left w:val="none" w:sz="0" w:space="0" w:color="auto"/>
        <w:bottom w:val="none" w:sz="0" w:space="0" w:color="auto"/>
        <w:right w:val="none" w:sz="0" w:space="0" w:color="auto"/>
      </w:divBdr>
    </w:div>
    <w:div w:id="253630645">
      <w:bodyDiv w:val="1"/>
      <w:marLeft w:val="0"/>
      <w:marRight w:val="0"/>
      <w:marTop w:val="0"/>
      <w:marBottom w:val="0"/>
      <w:divBdr>
        <w:top w:val="none" w:sz="0" w:space="0" w:color="auto"/>
        <w:left w:val="none" w:sz="0" w:space="0" w:color="auto"/>
        <w:bottom w:val="none" w:sz="0" w:space="0" w:color="auto"/>
        <w:right w:val="none" w:sz="0" w:space="0" w:color="auto"/>
      </w:divBdr>
    </w:div>
    <w:div w:id="303582190">
      <w:bodyDiv w:val="1"/>
      <w:marLeft w:val="0"/>
      <w:marRight w:val="0"/>
      <w:marTop w:val="0"/>
      <w:marBottom w:val="0"/>
      <w:divBdr>
        <w:top w:val="none" w:sz="0" w:space="0" w:color="auto"/>
        <w:left w:val="none" w:sz="0" w:space="0" w:color="auto"/>
        <w:bottom w:val="none" w:sz="0" w:space="0" w:color="auto"/>
        <w:right w:val="none" w:sz="0" w:space="0" w:color="auto"/>
      </w:divBdr>
      <w:divsChild>
        <w:div w:id="1762750516">
          <w:marLeft w:val="0"/>
          <w:marRight w:val="0"/>
          <w:marTop w:val="0"/>
          <w:marBottom w:val="0"/>
          <w:divBdr>
            <w:top w:val="none" w:sz="0" w:space="0" w:color="auto"/>
            <w:left w:val="none" w:sz="0" w:space="0" w:color="auto"/>
            <w:bottom w:val="none" w:sz="0" w:space="0" w:color="auto"/>
            <w:right w:val="none" w:sz="0" w:space="0" w:color="auto"/>
          </w:divBdr>
          <w:divsChild>
            <w:div w:id="1049960069">
              <w:marLeft w:val="0"/>
              <w:marRight w:val="0"/>
              <w:marTop w:val="0"/>
              <w:marBottom w:val="0"/>
              <w:divBdr>
                <w:top w:val="none" w:sz="0" w:space="0" w:color="auto"/>
                <w:left w:val="none" w:sz="0" w:space="0" w:color="auto"/>
                <w:bottom w:val="none" w:sz="0" w:space="0" w:color="auto"/>
                <w:right w:val="none" w:sz="0" w:space="0" w:color="auto"/>
              </w:divBdr>
              <w:divsChild>
                <w:div w:id="149405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928079">
      <w:bodyDiv w:val="1"/>
      <w:marLeft w:val="0"/>
      <w:marRight w:val="0"/>
      <w:marTop w:val="0"/>
      <w:marBottom w:val="0"/>
      <w:divBdr>
        <w:top w:val="none" w:sz="0" w:space="0" w:color="auto"/>
        <w:left w:val="none" w:sz="0" w:space="0" w:color="auto"/>
        <w:bottom w:val="none" w:sz="0" w:space="0" w:color="auto"/>
        <w:right w:val="none" w:sz="0" w:space="0" w:color="auto"/>
      </w:divBdr>
      <w:divsChild>
        <w:div w:id="576093760">
          <w:marLeft w:val="0"/>
          <w:marRight w:val="0"/>
          <w:marTop w:val="0"/>
          <w:marBottom w:val="0"/>
          <w:divBdr>
            <w:top w:val="none" w:sz="0" w:space="0" w:color="auto"/>
            <w:left w:val="none" w:sz="0" w:space="0" w:color="auto"/>
            <w:bottom w:val="none" w:sz="0" w:space="0" w:color="auto"/>
            <w:right w:val="none" w:sz="0" w:space="0" w:color="auto"/>
          </w:divBdr>
          <w:divsChild>
            <w:div w:id="1338507642">
              <w:marLeft w:val="0"/>
              <w:marRight w:val="0"/>
              <w:marTop w:val="0"/>
              <w:marBottom w:val="0"/>
              <w:divBdr>
                <w:top w:val="none" w:sz="0" w:space="0" w:color="auto"/>
                <w:left w:val="none" w:sz="0" w:space="0" w:color="auto"/>
                <w:bottom w:val="none" w:sz="0" w:space="0" w:color="auto"/>
                <w:right w:val="none" w:sz="0" w:space="0" w:color="auto"/>
              </w:divBdr>
              <w:divsChild>
                <w:div w:id="1969043952">
                  <w:marLeft w:val="0"/>
                  <w:marRight w:val="0"/>
                  <w:marTop w:val="0"/>
                  <w:marBottom w:val="0"/>
                  <w:divBdr>
                    <w:top w:val="none" w:sz="0" w:space="0" w:color="auto"/>
                    <w:left w:val="none" w:sz="0" w:space="0" w:color="auto"/>
                    <w:bottom w:val="none" w:sz="0" w:space="0" w:color="auto"/>
                    <w:right w:val="none" w:sz="0" w:space="0" w:color="auto"/>
                  </w:divBdr>
                  <w:divsChild>
                    <w:div w:id="57365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916005">
      <w:bodyDiv w:val="1"/>
      <w:marLeft w:val="0"/>
      <w:marRight w:val="0"/>
      <w:marTop w:val="0"/>
      <w:marBottom w:val="0"/>
      <w:divBdr>
        <w:top w:val="none" w:sz="0" w:space="0" w:color="auto"/>
        <w:left w:val="none" w:sz="0" w:space="0" w:color="auto"/>
        <w:bottom w:val="none" w:sz="0" w:space="0" w:color="auto"/>
        <w:right w:val="none" w:sz="0" w:space="0" w:color="auto"/>
      </w:divBdr>
    </w:div>
    <w:div w:id="571737853">
      <w:bodyDiv w:val="1"/>
      <w:marLeft w:val="0"/>
      <w:marRight w:val="0"/>
      <w:marTop w:val="0"/>
      <w:marBottom w:val="0"/>
      <w:divBdr>
        <w:top w:val="none" w:sz="0" w:space="0" w:color="auto"/>
        <w:left w:val="none" w:sz="0" w:space="0" w:color="auto"/>
        <w:bottom w:val="none" w:sz="0" w:space="0" w:color="auto"/>
        <w:right w:val="none" w:sz="0" w:space="0" w:color="auto"/>
      </w:divBdr>
      <w:divsChild>
        <w:div w:id="1094126430">
          <w:marLeft w:val="0"/>
          <w:marRight w:val="0"/>
          <w:marTop w:val="0"/>
          <w:marBottom w:val="0"/>
          <w:divBdr>
            <w:top w:val="none" w:sz="0" w:space="0" w:color="auto"/>
            <w:left w:val="none" w:sz="0" w:space="0" w:color="auto"/>
            <w:bottom w:val="none" w:sz="0" w:space="0" w:color="auto"/>
            <w:right w:val="none" w:sz="0" w:space="0" w:color="auto"/>
          </w:divBdr>
          <w:divsChild>
            <w:div w:id="1015300866">
              <w:marLeft w:val="0"/>
              <w:marRight w:val="0"/>
              <w:marTop w:val="0"/>
              <w:marBottom w:val="0"/>
              <w:divBdr>
                <w:top w:val="none" w:sz="0" w:space="0" w:color="auto"/>
                <w:left w:val="none" w:sz="0" w:space="0" w:color="auto"/>
                <w:bottom w:val="none" w:sz="0" w:space="0" w:color="auto"/>
                <w:right w:val="none" w:sz="0" w:space="0" w:color="auto"/>
              </w:divBdr>
              <w:divsChild>
                <w:div w:id="113652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016683">
      <w:bodyDiv w:val="1"/>
      <w:marLeft w:val="0"/>
      <w:marRight w:val="0"/>
      <w:marTop w:val="0"/>
      <w:marBottom w:val="0"/>
      <w:divBdr>
        <w:top w:val="none" w:sz="0" w:space="0" w:color="auto"/>
        <w:left w:val="none" w:sz="0" w:space="0" w:color="auto"/>
        <w:bottom w:val="none" w:sz="0" w:space="0" w:color="auto"/>
        <w:right w:val="none" w:sz="0" w:space="0" w:color="auto"/>
      </w:divBdr>
      <w:divsChild>
        <w:div w:id="1394309002">
          <w:marLeft w:val="0"/>
          <w:marRight w:val="0"/>
          <w:marTop w:val="0"/>
          <w:marBottom w:val="0"/>
          <w:divBdr>
            <w:top w:val="none" w:sz="0" w:space="0" w:color="auto"/>
            <w:left w:val="none" w:sz="0" w:space="0" w:color="auto"/>
            <w:bottom w:val="none" w:sz="0" w:space="0" w:color="auto"/>
            <w:right w:val="none" w:sz="0" w:space="0" w:color="auto"/>
          </w:divBdr>
          <w:divsChild>
            <w:div w:id="56056640">
              <w:marLeft w:val="0"/>
              <w:marRight w:val="0"/>
              <w:marTop w:val="0"/>
              <w:marBottom w:val="0"/>
              <w:divBdr>
                <w:top w:val="none" w:sz="0" w:space="0" w:color="auto"/>
                <w:left w:val="none" w:sz="0" w:space="0" w:color="auto"/>
                <w:bottom w:val="none" w:sz="0" w:space="0" w:color="auto"/>
                <w:right w:val="none" w:sz="0" w:space="0" w:color="auto"/>
              </w:divBdr>
              <w:divsChild>
                <w:div w:id="201904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611046">
      <w:bodyDiv w:val="1"/>
      <w:marLeft w:val="0"/>
      <w:marRight w:val="0"/>
      <w:marTop w:val="0"/>
      <w:marBottom w:val="0"/>
      <w:divBdr>
        <w:top w:val="none" w:sz="0" w:space="0" w:color="auto"/>
        <w:left w:val="none" w:sz="0" w:space="0" w:color="auto"/>
        <w:bottom w:val="none" w:sz="0" w:space="0" w:color="auto"/>
        <w:right w:val="none" w:sz="0" w:space="0" w:color="auto"/>
      </w:divBdr>
    </w:div>
    <w:div w:id="810752416">
      <w:bodyDiv w:val="1"/>
      <w:marLeft w:val="0"/>
      <w:marRight w:val="0"/>
      <w:marTop w:val="0"/>
      <w:marBottom w:val="0"/>
      <w:divBdr>
        <w:top w:val="none" w:sz="0" w:space="0" w:color="auto"/>
        <w:left w:val="none" w:sz="0" w:space="0" w:color="auto"/>
        <w:bottom w:val="none" w:sz="0" w:space="0" w:color="auto"/>
        <w:right w:val="none" w:sz="0" w:space="0" w:color="auto"/>
      </w:divBdr>
    </w:div>
    <w:div w:id="860356686">
      <w:bodyDiv w:val="1"/>
      <w:marLeft w:val="0"/>
      <w:marRight w:val="0"/>
      <w:marTop w:val="0"/>
      <w:marBottom w:val="0"/>
      <w:divBdr>
        <w:top w:val="none" w:sz="0" w:space="0" w:color="auto"/>
        <w:left w:val="none" w:sz="0" w:space="0" w:color="auto"/>
        <w:bottom w:val="none" w:sz="0" w:space="0" w:color="auto"/>
        <w:right w:val="none" w:sz="0" w:space="0" w:color="auto"/>
      </w:divBdr>
    </w:div>
    <w:div w:id="886138641">
      <w:bodyDiv w:val="1"/>
      <w:marLeft w:val="0"/>
      <w:marRight w:val="0"/>
      <w:marTop w:val="0"/>
      <w:marBottom w:val="0"/>
      <w:divBdr>
        <w:top w:val="none" w:sz="0" w:space="0" w:color="auto"/>
        <w:left w:val="none" w:sz="0" w:space="0" w:color="auto"/>
        <w:bottom w:val="none" w:sz="0" w:space="0" w:color="auto"/>
        <w:right w:val="none" w:sz="0" w:space="0" w:color="auto"/>
      </w:divBdr>
    </w:div>
    <w:div w:id="913780354">
      <w:bodyDiv w:val="1"/>
      <w:marLeft w:val="0"/>
      <w:marRight w:val="0"/>
      <w:marTop w:val="0"/>
      <w:marBottom w:val="0"/>
      <w:divBdr>
        <w:top w:val="none" w:sz="0" w:space="0" w:color="auto"/>
        <w:left w:val="none" w:sz="0" w:space="0" w:color="auto"/>
        <w:bottom w:val="none" w:sz="0" w:space="0" w:color="auto"/>
        <w:right w:val="none" w:sz="0" w:space="0" w:color="auto"/>
      </w:divBdr>
      <w:divsChild>
        <w:div w:id="567766145">
          <w:marLeft w:val="0"/>
          <w:marRight w:val="0"/>
          <w:marTop w:val="0"/>
          <w:marBottom w:val="0"/>
          <w:divBdr>
            <w:top w:val="none" w:sz="0" w:space="0" w:color="auto"/>
            <w:left w:val="none" w:sz="0" w:space="0" w:color="auto"/>
            <w:bottom w:val="none" w:sz="0" w:space="0" w:color="auto"/>
            <w:right w:val="none" w:sz="0" w:space="0" w:color="auto"/>
          </w:divBdr>
          <w:divsChild>
            <w:div w:id="274361686">
              <w:marLeft w:val="0"/>
              <w:marRight w:val="0"/>
              <w:marTop w:val="0"/>
              <w:marBottom w:val="0"/>
              <w:divBdr>
                <w:top w:val="none" w:sz="0" w:space="0" w:color="auto"/>
                <w:left w:val="none" w:sz="0" w:space="0" w:color="auto"/>
                <w:bottom w:val="none" w:sz="0" w:space="0" w:color="auto"/>
                <w:right w:val="none" w:sz="0" w:space="0" w:color="auto"/>
              </w:divBdr>
              <w:divsChild>
                <w:div w:id="96542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997501">
      <w:bodyDiv w:val="1"/>
      <w:marLeft w:val="0"/>
      <w:marRight w:val="0"/>
      <w:marTop w:val="0"/>
      <w:marBottom w:val="0"/>
      <w:divBdr>
        <w:top w:val="none" w:sz="0" w:space="0" w:color="auto"/>
        <w:left w:val="none" w:sz="0" w:space="0" w:color="auto"/>
        <w:bottom w:val="none" w:sz="0" w:space="0" w:color="auto"/>
        <w:right w:val="none" w:sz="0" w:space="0" w:color="auto"/>
      </w:divBdr>
    </w:div>
    <w:div w:id="1015766418">
      <w:marLeft w:val="0"/>
      <w:marRight w:val="0"/>
      <w:marTop w:val="0"/>
      <w:marBottom w:val="0"/>
      <w:divBdr>
        <w:top w:val="none" w:sz="0" w:space="0" w:color="auto"/>
        <w:left w:val="none" w:sz="0" w:space="0" w:color="auto"/>
        <w:bottom w:val="none" w:sz="0" w:space="0" w:color="auto"/>
        <w:right w:val="none" w:sz="0" w:space="0" w:color="auto"/>
      </w:divBdr>
      <w:divsChild>
        <w:div w:id="1015766638">
          <w:marLeft w:val="0"/>
          <w:marRight w:val="0"/>
          <w:marTop w:val="0"/>
          <w:marBottom w:val="0"/>
          <w:divBdr>
            <w:top w:val="none" w:sz="0" w:space="0" w:color="auto"/>
            <w:left w:val="none" w:sz="0" w:space="0" w:color="auto"/>
            <w:bottom w:val="none" w:sz="0" w:space="0" w:color="auto"/>
            <w:right w:val="none" w:sz="0" w:space="0" w:color="auto"/>
          </w:divBdr>
          <w:divsChild>
            <w:div w:id="1015766503">
              <w:marLeft w:val="0"/>
              <w:marRight w:val="0"/>
              <w:marTop w:val="0"/>
              <w:marBottom w:val="0"/>
              <w:divBdr>
                <w:top w:val="none" w:sz="0" w:space="0" w:color="auto"/>
                <w:left w:val="none" w:sz="0" w:space="0" w:color="auto"/>
                <w:bottom w:val="none" w:sz="0" w:space="0" w:color="auto"/>
                <w:right w:val="none" w:sz="0" w:space="0" w:color="auto"/>
              </w:divBdr>
              <w:divsChild>
                <w:div w:id="1015766606">
                  <w:marLeft w:val="0"/>
                  <w:marRight w:val="0"/>
                  <w:marTop w:val="0"/>
                  <w:marBottom w:val="0"/>
                  <w:divBdr>
                    <w:top w:val="none" w:sz="0" w:space="0" w:color="auto"/>
                    <w:left w:val="none" w:sz="0" w:space="0" w:color="auto"/>
                    <w:bottom w:val="none" w:sz="0" w:space="0" w:color="auto"/>
                    <w:right w:val="none" w:sz="0" w:space="0" w:color="auto"/>
                  </w:divBdr>
                  <w:divsChild>
                    <w:div w:id="101576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766420">
      <w:marLeft w:val="0"/>
      <w:marRight w:val="0"/>
      <w:marTop w:val="0"/>
      <w:marBottom w:val="0"/>
      <w:divBdr>
        <w:top w:val="none" w:sz="0" w:space="0" w:color="auto"/>
        <w:left w:val="none" w:sz="0" w:space="0" w:color="auto"/>
        <w:bottom w:val="none" w:sz="0" w:space="0" w:color="auto"/>
        <w:right w:val="none" w:sz="0" w:space="0" w:color="auto"/>
      </w:divBdr>
      <w:divsChild>
        <w:div w:id="1015766438">
          <w:marLeft w:val="0"/>
          <w:marRight w:val="0"/>
          <w:marTop w:val="0"/>
          <w:marBottom w:val="0"/>
          <w:divBdr>
            <w:top w:val="none" w:sz="0" w:space="0" w:color="auto"/>
            <w:left w:val="none" w:sz="0" w:space="0" w:color="auto"/>
            <w:bottom w:val="none" w:sz="0" w:space="0" w:color="auto"/>
            <w:right w:val="none" w:sz="0" w:space="0" w:color="auto"/>
          </w:divBdr>
          <w:divsChild>
            <w:div w:id="1015766459">
              <w:marLeft w:val="0"/>
              <w:marRight w:val="0"/>
              <w:marTop w:val="0"/>
              <w:marBottom w:val="0"/>
              <w:divBdr>
                <w:top w:val="none" w:sz="0" w:space="0" w:color="auto"/>
                <w:left w:val="none" w:sz="0" w:space="0" w:color="auto"/>
                <w:bottom w:val="none" w:sz="0" w:space="0" w:color="auto"/>
                <w:right w:val="none" w:sz="0" w:space="0" w:color="auto"/>
              </w:divBdr>
              <w:divsChild>
                <w:div w:id="1015766509">
                  <w:marLeft w:val="0"/>
                  <w:marRight w:val="0"/>
                  <w:marTop w:val="0"/>
                  <w:marBottom w:val="0"/>
                  <w:divBdr>
                    <w:top w:val="none" w:sz="0" w:space="0" w:color="auto"/>
                    <w:left w:val="none" w:sz="0" w:space="0" w:color="auto"/>
                    <w:bottom w:val="none" w:sz="0" w:space="0" w:color="auto"/>
                    <w:right w:val="none" w:sz="0" w:space="0" w:color="auto"/>
                  </w:divBdr>
                  <w:divsChild>
                    <w:div w:id="101576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766423">
      <w:marLeft w:val="0"/>
      <w:marRight w:val="0"/>
      <w:marTop w:val="0"/>
      <w:marBottom w:val="0"/>
      <w:divBdr>
        <w:top w:val="none" w:sz="0" w:space="0" w:color="auto"/>
        <w:left w:val="none" w:sz="0" w:space="0" w:color="auto"/>
        <w:bottom w:val="none" w:sz="0" w:space="0" w:color="auto"/>
        <w:right w:val="none" w:sz="0" w:space="0" w:color="auto"/>
      </w:divBdr>
      <w:divsChild>
        <w:div w:id="1015766550">
          <w:marLeft w:val="0"/>
          <w:marRight w:val="0"/>
          <w:marTop w:val="0"/>
          <w:marBottom w:val="0"/>
          <w:divBdr>
            <w:top w:val="none" w:sz="0" w:space="0" w:color="auto"/>
            <w:left w:val="none" w:sz="0" w:space="0" w:color="auto"/>
            <w:bottom w:val="none" w:sz="0" w:space="0" w:color="auto"/>
            <w:right w:val="none" w:sz="0" w:space="0" w:color="auto"/>
          </w:divBdr>
          <w:divsChild>
            <w:div w:id="1015766693">
              <w:marLeft w:val="0"/>
              <w:marRight w:val="0"/>
              <w:marTop w:val="0"/>
              <w:marBottom w:val="0"/>
              <w:divBdr>
                <w:top w:val="none" w:sz="0" w:space="0" w:color="auto"/>
                <w:left w:val="none" w:sz="0" w:space="0" w:color="auto"/>
                <w:bottom w:val="none" w:sz="0" w:space="0" w:color="auto"/>
                <w:right w:val="none" w:sz="0" w:space="0" w:color="auto"/>
              </w:divBdr>
              <w:divsChild>
                <w:div w:id="1015766435">
                  <w:marLeft w:val="0"/>
                  <w:marRight w:val="0"/>
                  <w:marTop w:val="0"/>
                  <w:marBottom w:val="0"/>
                  <w:divBdr>
                    <w:top w:val="none" w:sz="0" w:space="0" w:color="auto"/>
                    <w:left w:val="none" w:sz="0" w:space="0" w:color="auto"/>
                    <w:bottom w:val="none" w:sz="0" w:space="0" w:color="auto"/>
                    <w:right w:val="none" w:sz="0" w:space="0" w:color="auto"/>
                  </w:divBdr>
                  <w:divsChild>
                    <w:div w:id="101576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766429">
      <w:marLeft w:val="0"/>
      <w:marRight w:val="0"/>
      <w:marTop w:val="0"/>
      <w:marBottom w:val="0"/>
      <w:divBdr>
        <w:top w:val="none" w:sz="0" w:space="0" w:color="auto"/>
        <w:left w:val="none" w:sz="0" w:space="0" w:color="auto"/>
        <w:bottom w:val="none" w:sz="0" w:space="0" w:color="auto"/>
        <w:right w:val="none" w:sz="0" w:space="0" w:color="auto"/>
      </w:divBdr>
      <w:divsChild>
        <w:div w:id="1015766670">
          <w:marLeft w:val="0"/>
          <w:marRight w:val="0"/>
          <w:marTop w:val="0"/>
          <w:marBottom w:val="0"/>
          <w:divBdr>
            <w:top w:val="none" w:sz="0" w:space="0" w:color="auto"/>
            <w:left w:val="none" w:sz="0" w:space="0" w:color="auto"/>
            <w:bottom w:val="none" w:sz="0" w:space="0" w:color="auto"/>
            <w:right w:val="none" w:sz="0" w:space="0" w:color="auto"/>
          </w:divBdr>
          <w:divsChild>
            <w:div w:id="1015766424">
              <w:marLeft w:val="0"/>
              <w:marRight w:val="0"/>
              <w:marTop w:val="0"/>
              <w:marBottom w:val="0"/>
              <w:divBdr>
                <w:top w:val="none" w:sz="0" w:space="0" w:color="auto"/>
                <w:left w:val="none" w:sz="0" w:space="0" w:color="auto"/>
                <w:bottom w:val="none" w:sz="0" w:space="0" w:color="auto"/>
                <w:right w:val="none" w:sz="0" w:space="0" w:color="auto"/>
              </w:divBdr>
              <w:divsChild>
                <w:div w:id="1015766477">
                  <w:marLeft w:val="0"/>
                  <w:marRight w:val="0"/>
                  <w:marTop w:val="0"/>
                  <w:marBottom w:val="0"/>
                  <w:divBdr>
                    <w:top w:val="none" w:sz="0" w:space="0" w:color="auto"/>
                    <w:left w:val="none" w:sz="0" w:space="0" w:color="auto"/>
                    <w:bottom w:val="none" w:sz="0" w:space="0" w:color="auto"/>
                    <w:right w:val="none" w:sz="0" w:space="0" w:color="auto"/>
                  </w:divBdr>
                  <w:divsChild>
                    <w:div w:id="101576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766431">
      <w:marLeft w:val="0"/>
      <w:marRight w:val="0"/>
      <w:marTop w:val="0"/>
      <w:marBottom w:val="0"/>
      <w:divBdr>
        <w:top w:val="none" w:sz="0" w:space="0" w:color="auto"/>
        <w:left w:val="none" w:sz="0" w:space="0" w:color="auto"/>
        <w:bottom w:val="none" w:sz="0" w:space="0" w:color="auto"/>
        <w:right w:val="none" w:sz="0" w:space="0" w:color="auto"/>
      </w:divBdr>
      <w:divsChild>
        <w:div w:id="1015766714">
          <w:marLeft w:val="0"/>
          <w:marRight w:val="0"/>
          <w:marTop w:val="0"/>
          <w:marBottom w:val="0"/>
          <w:divBdr>
            <w:top w:val="none" w:sz="0" w:space="0" w:color="auto"/>
            <w:left w:val="none" w:sz="0" w:space="0" w:color="auto"/>
            <w:bottom w:val="none" w:sz="0" w:space="0" w:color="auto"/>
            <w:right w:val="none" w:sz="0" w:space="0" w:color="auto"/>
          </w:divBdr>
          <w:divsChild>
            <w:div w:id="1015766682">
              <w:marLeft w:val="0"/>
              <w:marRight w:val="0"/>
              <w:marTop w:val="0"/>
              <w:marBottom w:val="0"/>
              <w:divBdr>
                <w:top w:val="none" w:sz="0" w:space="0" w:color="auto"/>
                <w:left w:val="none" w:sz="0" w:space="0" w:color="auto"/>
                <w:bottom w:val="none" w:sz="0" w:space="0" w:color="auto"/>
                <w:right w:val="none" w:sz="0" w:space="0" w:color="auto"/>
              </w:divBdr>
              <w:divsChild>
                <w:div w:id="1015766520">
                  <w:marLeft w:val="0"/>
                  <w:marRight w:val="0"/>
                  <w:marTop w:val="0"/>
                  <w:marBottom w:val="0"/>
                  <w:divBdr>
                    <w:top w:val="none" w:sz="0" w:space="0" w:color="auto"/>
                    <w:left w:val="none" w:sz="0" w:space="0" w:color="auto"/>
                    <w:bottom w:val="none" w:sz="0" w:space="0" w:color="auto"/>
                    <w:right w:val="none" w:sz="0" w:space="0" w:color="auto"/>
                  </w:divBdr>
                  <w:divsChild>
                    <w:div w:id="101576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766432">
      <w:marLeft w:val="0"/>
      <w:marRight w:val="0"/>
      <w:marTop w:val="0"/>
      <w:marBottom w:val="0"/>
      <w:divBdr>
        <w:top w:val="none" w:sz="0" w:space="0" w:color="auto"/>
        <w:left w:val="none" w:sz="0" w:space="0" w:color="auto"/>
        <w:bottom w:val="none" w:sz="0" w:space="0" w:color="auto"/>
        <w:right w:val="none" w:sz="0" w:space="0" w:color="auto"/>
      </w:divBdr>
      <w:divsChild>
        <w:div w:id="1015766544">
          <w:marLeft w:val="0"/>
          <w:marRight w:val="0"/>
          <w:marTop w:val="0"/>
          <w:marBottom w:val="0"/>
          <w:divBdr>
            <w:top w:val="none" w:sz="0" w:space="0" w:color="auto"/>
            <w:left w:val="none" w:sz="0" w:space="0" w:color="auto"/>
            <w:bottom w:val="none" w:sz="0" w:space="0" w:color="auto"/>
            <w:right w:val="none" w:sz="0" w:space="0" w:color="auto"/>
          </w:divBdr>
          <w:divsChild>
            <w:div w:id="1015766641">
              <w:marLeft w:val="0"/>
              <w:marRight w:val="0"/>
              <w:marTop w:val="0"/>
              <w:marBottom w:val="0"/>
              <w:divBdr>
                <w:top w:val="none" w:sz="0" w:space="0" w:color="auto"/>
                <w:left w:val="none" w:sz="0" w:space="0" w:color="auto"/>
                <w:bottom w:val="none" w:sz="0" w:space="0" w:color="auto"/>
                <w:right w:val="none" w:sz="0" w:space="0" w:color="auto"/>
              </w:divBdr>
              <w:divsChild>
                <w:div w:id="1015766527">
                  <w:marLeft w:val="0"/>
                  <w:marRight w:val="0"/>
                  <w:marTop w:val="0"/>
                  <w:marBottom w:val="0"/>
                  <w:divBdr>
                    <w:top w:val="none" w:sz="0" w:space="0" w:color="auto"/>
                    <w:left w:val="none" w:sz="0" w:space="0" w:color="auto"/>
                    <w:bottom w:val="none" w:sz="0" w:space="0" w:color="auto"/>
                    <w:right w:val="none" w:sz="0" w:space="0" w:color="auto"/>
                  </w:divBdr>
                  <w:divsChild>
                    <w:div w:id="101576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766441">
      <w:marLeft w:val="0"/>
      <w:marRight w:val="0"/>
      <w:marTop w:val="0"/>
      <w:marBottom w:val="0"/>
      <w:divBdr>
        <w:top w:val="none" w:sz="0" w:space="0" w:color="auto"/>
        <w:left w:val="none" w:sz="0" w:space="0" w:color="auto"/>
        <w:bottom w:val="none" w:sz="0" w:space="0" w:color="auto"/>
        <w:right w:val="none" w:sz="0" w:space="0" w:color="auto"/>
      </w:divBdr>
      <w:divsChild>
        <w:div w:id="1015766691">
          <w:marLeft w:val="0"/>
          <w:marRight w:val="0"/>
          <w:marTop w:val="0"/>
          <w:marBottom w:val="0"/>
          <w:divBdr>
            <w:top w:val="none" w:sz="0" w:space="0" w:color="auto"/>
            <w:left w:val="none" w:sz="0" w:space="0" w:color="auto"/>
            <w:bottom w:val="none" w:sz="0" w:space="0" w:color="auto"/>
            <w:right w:val="none" w:sz="0" w:space="0" w:color="auto"/>
          </w:divBdr>
          <w:divsChild>
            <w:div w:id="1015766620">
              <w:marLeft w:val="0"/>
              <w:marRight w:val="0"/>
              <w:marTop w:val="0"/>
              <w:marBottom w:val="0"/>
              <w:divBdr>
                <w:top w:val="none" w:sz="0" w:space="0" w:color="auto"/>
                <w:left w:val="none" w:sz="0" w:space="0" w:color="auto"/>
                <w:bottom w:val="none" w:sz="0" w:space="0" w:color="auto"/>
                <w:right w:val="none" w:sz="0" w:space="0" w:color="auto"/>
              </w:divBdr>
              <w:divsChild>
                <w:div w:id="1015766514">
                  <w:marLeft w:val="0"/>
                  <w:marRight w:val="0"/>
                  <w:marTop w:val="0"/>
                  <w:marBottom w:val="0"/>
                  <w:divBdr>
                    <w:top w:val="none" w:sz="0" w:space="0" w:color="auto"/>
                    <w:left w:val="none" w:sz="0" w:space="0" w:color="auto"/>
                    <w:bottom w:val="none" w:sz="0" w:space="0" w:color="auto"/>
                    <w:right w:val="none" w:sz="0" w:space="0" w:color="auto"/>
                  </w:divBdr>
                  <w:divsChild>
                    <w:div w:id="101576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766445">
      <w:marLeft w:val="0"/>
      <w:marRight w:val="0"/>
      <w:marTop w:val="0"/>
      <w:marBottom w:val="0"/>
      <w:divBdr>
        <w:top w:val="none" w:sz="0" w:space="0" w:color="auto"/>
        <w:left w:val="none" w:sz="0" w:space="0" w:color="auto"/>
        <w:bottom w:val="none" w:sz="0" w:space="0" w:color="auto"/>
        <w:right w:val="none" w:sz="0" w:space="0" w:color="auto"/>
      </w:divBdr>
      <w:divsChild>
        <w:div w:id="1015766457">
          <w:marLeft w:val="0"/>
          <w:marRight w:val="0"/>
          <w:marTop w:val="0"/>
          <w:marBottom w:val="0"/>
          <w:divBdr>
            <w:top w:val="none" w:sz="0" w:space="0" w:color="auto"/>
            <w:left w:val="none" w:sz="0" w:space="0" w:color="auto"/>
            <w:bottom w:val="none" w:sz="0" w:space="0" w:color="auto"/>
            <w:right w:val="none" w:sz="0" w:space="0" w:color="auto"/>
          </w:divBdr>
          <w:divsChild>
            <w:div w:id="1015766549">
              <w:marLeft w:val="0"/>
              <w:marRight w:val="0"/>
              <w:marTop w:val="0"/>
              <w:marBottom w:val="0"/>
              <w:divBdr>
                <w:top w:val="none" w:sz="0" w:space="0" w:color="auto"/>
                <w:left w:val="none" w:sz="0" w:space="0" w:color="auto"/>
                <w:bottom w:val="none" w:sz="0" w:space="0" w:color="auto"/>
                <w:right w:val="none" w:sz="0" w:space="0" w:color="auto"/>
              </w:divBdr>
              <w:divsChild>
                <w:div w:id="1015766442">
                  <w:marLeft w:val="0"/>
                  <w:marRight w:val="0"/>
                  <w:marTop w:val="0"/>
                  <w:marBottom w:val="0"/>
                  <w:divBdr>
                    <w:top w:val="none" w:sz="0" w:space="0" w:color="auto"/>
                    <w:left w:val="none" w:sz="0" w:space="0" w:color="auto"/>
                    <w:bottom w:val="none" w:sz="0" w:space="0" w:color="auto"/>
                    <w:right w:val="none" w:sz="0" w:space="0" w:color="auto"/>
                  </w:divBdr>
                  <w:divsChild>
                    <w:div w:id="101576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766450">
      <w:marLeft w:val="0"/>
      <w:marRight w:val="0"/>
      <w:marTop w:val="0"/>
      <w:marBottom w:val="0"/>
      <w:divBdr>
        <w:top w:val="none" w:sz="0" w:space="0" w:color="auto"/>
        <w:left w:val="none" w:sz="0" w:space="0" w:color="auto"/>
        <w:bottom w:val="none" w:sz="0" w:space="0" w:color="auto"/>
        <w:right w:val="none" w:sz="0" w:space="0" w:color="auto"/>
      </w:divBdr>
      <w:divsChild>
        <w:div w:id="1015766478">
          <w:marLeft w:val="0"/>
          <w:marRight w:val="0"/>
          <w:marTop w:val="0"/>
          <w:marBottom w:val="0"/>
          <w:divBdr>
            <w:top w:val="none" w:sz="0" w:space="0" w:color="auto"/>
            <w:left w:val="none" w:sz="0" w:space="0" w:color="auto"/>
            <w:bottom w:val="none" w:sz="0" w:space="0" w:color="auto"/>
            <w:right w:val="none" w:sz="0" w:space="0" w:color="auto"/>
          </w:divBdr>
          <w:divsChild>
            <w:div w:id="1015766458">
              <w:marLeft w:val="0"/>
              <w:marRight w:val="0"/>
              <w:marTop w:val="0"/>
              <w:marBottom w:val="0"/>
              <w:divBdr>
                <w:top w:val="none" w:sz="0" w:space="0" w:color="auto"/>
                <w:left w:val="none" w:sz="0" w:space="0" w:color="auto"/>
                <w:bottom w:val="none" w:sz="0" w:space="0" w:color="auto"/>
                <w:right w:val="none" w:sz="0" w:space="0" w:color="auto"/>
              </w:divBdr>
              <w:divsChild>
                <w:div w:id="1015766447">
                  <w:marLeft w:val="0"/>
                  <w:marRight w:val="0"/>
                  <w:marTop w:val="0"/>
                  <w:marBottom w:val="0"/>
                  <w:divBdr>
                    <w:top w:val="none" w:sz="0" w:space="0" w:color="auto"/>
                    <w:left w:val="none" w:sz="0" w:space="0" w:color="auto"/>
                    <w:bottom w:val="none" w:sz="0" w:space="0" w:color="auto"/>
                    <w:right w:val="none" w:sz="0" w:space="0" w:color="auto"/>
                  </w:divBdr>
                  <w:divsChild>
                    <w:div w:id="101576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766453">
      <w:marLeft w:val="0"/>
      <w:marRight w:val="0"/>
      <w:marTop w:val="0"/>
      <w:marBottom w:val="0"/>
      <w:divBdr>
        <w:top w:val="none" w:sz="0" w:space="0" w:color="auto"/>
        <w:left w:val="none" w:sz="0" w:space="0" w:color="auto"/>
        <w:bottom w:val="none" w:sz="0" w:space="0" w:color="auto"/>
        <w:right w:val="none" w:sz="0" w:space="0" w:color="auto"/>
      </w:divBdr>
      <w:divsChild>
        <w:div w:id="1015766518">
          <w:marLeft w:val="0"/>
          <w:marRight w:val="0"/>
          <w:marTop w:val="0"/>
          <w:marBottom w:val="0"/>
          <w:divBdr>
            <w:top w:val="none" w:sz="0" w:space="0" w:color="auto"/>
            <w:left w:val="none" w:sz="0" w:space="0" w:color="auto"/>
            <w:bottom w:val="none" w:sz="0" w:space="0" w:color="auto"/>
            <w:right w:val="none" w:sz="0" w:space="0" w:color="auto"/>
          </w:divBdr>
          <w:divsChild>
            <w:div w:id="1015766707">
              <w:marLeft w:val="0"/>
              <w:marRight w:val="0"/>
              <w:marTop w:val="0"/>
              <w:marBottom w:val="0"/>
              <w:divBdr>
                <w:top w:val="none" w:sz="0" w:space="0" w:color="auto"/>
                <w:left w:val="none" w:sz="0" w:space="0" w:color="auto"/>
                <w:bottom w:val="none" w:sz="0" w:space="0" w:color="auto"/>
                <w:right w:val="none" w:sz="0" w:space="0" w:color="auto"/>
              </w:divBdr>
              <w:divsChild>
                <w:div w:id="101576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766454">
      <w:marLeft w:val="0"/>
      <w:marRight w:val="0"/>
      <w:marTop w:val="0"/>
      <w:marBottom w:val="0"/>
      <w:divBdr>
        <w:top w:val="none" w:sz="0" w:space="0" w:color="auto"/>
        <w:left w:val="none" w:sz="0" w:space="0" w:color="auto"/>
        <w:bottom w:val="none" w:sz="0" w:space="0" w:color="auto"/>
        <w:right w:val="none" w:sz="0" w:space="0" w:color="auto"/>
      </w:divBdr>
      <w:divsChild>
        <w:div w:id="1015766562">
          <w:marLeft w:val="0"/>
          <w:marRight w:val="0"/>
          <w:marTop w:val="0"/>
          <w:marBottom w:val="0"/>
          <w:divBdr>
            <w:top w:val="none" w:sz="0" w:space="0" w:color="auto"/>
            <w:left w:val="none" w:sz="0" w:space="0" w:color="auto"/>
            <w:bottom w:val="none" w:sz="0" w:space="0" w:color="auto"/>
            <w:right w:val="none" w:sz="0" w:space="0" w:color="auto"/>
          </w:divBdr>
          <w:divsChild>
            <w:div w:id="1015766497">
              <w:marLeft w:val="0"/>
              <w:marRight w:val="0"/>
              <w:marTop w:val="0"/>
              <w:marBottom w:val="0"/>
              <w:divBdr>
                <w:top w:val="none" w:sz="0" w:space="0" w:color="auto"/>
                <w:left w:val="none" w:sz="0" w:space="0" w:color="auto"/>
                <w:bottom w:val="none" w:sz="0" w:space="0" w:color="auto"/>
                <w:right w:val="none" w:sz="0" w:space="0" w:color="auto"/>
              </w:divBdr>
              <w:divsChild>
                <w:div w:id="1015766425">
                  <w:marLeft w:val="0"/>
                  <w:marRight w:val="0"/>
                  <w:marTop w:val="0"/>
                  <w:marBottom w:val="0"/>
                  <w:divBdr>
                    <w:top w:val="none" w:sz="0" w:space="0" w:color="auto"/>
                    <w:left w:val="none" w:sz="0" w:space="0" w:color="auto"/>
                    <w:bottom w:val="none" w:sz="0" w:space="0" w:color="auto"/>
                    <w:right w:val="none" w:sz="0" w:space="0" w:color="auto"/>
                  </w:divBdr>
                </w:div>
              </w:divsChild>
            </w:div>
            <w:div w:id="1015766587">
              <w:marLeft w:val="0"/>
              <w:marRight w:val="0"/>
              <w:marTop w:val="0"/>
              <w:marBottom w:val="0"/>
              <w:divBdr>
                <w:top w:val="none" w:sz="0" w:space="0" w:color="auto"/>
                <w:left w:val="none" w:sz="0" w:space="0" w:color="auto"/>
                <w:bottom w:val="none" w:sz="0" w:space="0" w:color="auto"/>
                <w:right w:val="none" w:sz="0" w:space="0" w:color="auto"/>
              </w:divBdr>
              <w:divsChild>
                <w:div w:id="1015766538">
                  <w:marLeft w:val="0"/>
                  <w:marRight w:val="0"/>
                  <w:marTop w:val="0"/>
                  <w:marBottom w:val="0"/>
                  <w:divBdr>
                    <w:top w:val="none" w:sz="0" w:space="0" w:color="auto"/>
                    <w:left w:val="none" w:sz="0" w:space="0" w:color="auto"/>
                    <w:bottom w:val="none" w:sz="0" w:space="0" w:color="auto"/>
                    <w:right w:val="none" w:sz="0" w:space="0" w:color="auto"/>
                  </w:divBdr>
                </w:div>
              </w:divsChild>
            </w:div>
            <w:div w:id="1015766637">
              <w:marLeft w:val="0"/>
              <w:marRight w:val="0"/>
              <w:marTop w:val="0"/>
              <w:marBottom w:val="0"/>
              <w:divBdr>
                <w:top w:val="none" w:sz="0" w:space="0" w:color="auto"/>
                <w:left w:val="none" w:sz="0" w:space="0" w:color="auto"/>
                <w:bottom w:val="none" w:sz="0" w:space="0" w:color="auto"/>
                <w:right w:val="none" w:sz="0" w:space="0" w:color="auto"/>
              </w:divBdr>
              <w:divsChild>
                <w:div w:id="1015766465">
                  <w:marLeft w:val="0"/>
                  <w:marRight w:val="0"/>
                  <w:marTop w:val="0"/>
                  <w:marBottom w:val="0"/>
                  <w:divBdr>
                    <w:top w:val="none" w:sz="0" w:space="0" w:color="auto"/>
                    <w:left w:val="none" w:sz="0" w:space="0" w:color="auto"/>
                    <w:bottom w:val="none" w:sz="0" w:space="0" w:color="auto"/>
                    <w:right w:val="none" w:sz="0" w:space="0" w:color="auto"/>
                  </w:divBdr>
                </w:div>
              </w:divsChild>
            </w:div>
            <w:div w:id="1015766721">
              <w:marLeft w:val="0"/>
              <w:marRight w:val="0"/>
              <w:marTop w:val="0"/>
              <w:marBottom w:val="0"/>
              <w:divBdr>
                <w:top w:val="none" w:sz="0" w:space="0" w:color="auto"/>
                <w:left w:val="none" w:sz="0" w:space="0" w:color="auto"/>
                <w:bottom w:val="none" w:sz="0" w:space="0" w:color="auto"/>
                <w:right w:val="none" w:sz="0" w:space="0" w:color="auto"/>
              </w:divBdr>
              <w:divsChild>
                <w:div w:id="101576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766460">
      <w:marLeft w:val="0"/>
      <w:marRight w:val="0"/>
      <w:marTop w:val="0"/>
      <w:marBottom w:val="0"/>
      <w:divBdr>
        <w:top w:val="none" w:sz="0" w:space="0" w:color="auto"/>
        <w:left w:val="none" w:sz="0" w:space="0" w:color="auto"/>
        <w:bottom w:val="none" w:sz="0" w:space="0" w:color="auto"/>
        <w:right w:val="none" w:sz="0" w:space="0" w:color="auto"/>
      </w:divBdr>
      <w:divsChild>
        <w:div w:id="1015766417">
          <w:marLeft w:val="0"/>
          <w:marRight w:val="0"/>
          <w:marTop w:val="0"/>
          <w:marBottom w:val="0"/>
          <w:divBdr>
            <w:top w:val="none" w:sz="0" w:space="0" w:color="auto"/>
            <w:left w:val="none" w:sz="0" w:space="0" w:color="auto"/>
            <w:bottom w:val="none" w:sz="0" w:space="0" w:color="auto"/>
            <w:right w:val="none" w:sz="0" w:space="0" w:color="auto"/>
          </w:divBdr>
          <w:divsChild>
            <w:div w:id="1015766513">
              <w:marLeft w:val="0"/>
              <w:marRight w:val="0"/>
              <w:marTop w:val="0"/>
              <w:marBottom w:val="0"/>
              <w:divBdr>
                <w:top w:val="none" w:sz="0" w:space="0" w:color="auto"/>
                <w:left w:val="none" w:sz="0" w:space="0" w:color="auto"/>
                <w:bottom w:val="none" w:sz="0" w:space="0" w:color="auto"/>
                <w:right w:val="none" w:sz="0" w:space="0" w:color="auto"/>
              </w:divBdr>
              <w:divsChild>
                <w:div w:id="1015766615">
                  <w:marLeft w:val="0"/>
                  <w:marRight w:val="0"/>
                  <w:marTop w:val="0"/>
                  <w:marBottom w:val="0"/>
                  <w:divBdr>
                    <w:top w:val="none" w:sz="0" w:space="0" w:color="auto"/>
                    <w:left w:val="none" w:sz="0" w:space="0" w:color="auto"/>
                    <w:bottom w:val="none" w:sz="0" w:space="0" w:color="auto"/>
                    <w:right w:val="none" w:sz="0" w:space="0" w:color="auto"/>
                  </w:divBdr>
                  <w:divsChild>
                    <w:div w:id="101576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766463">
      <w:marLeft w:val="0"/>
      <w:marRight w:val="0"/>
      <w:marTop w:val="0"/>
      <w:marBottom w:val="0"/>
      <w:divBdr>
        <w:top w:val="none" w:sz="0" w:space="0" w:color="auto"/>
        <w:left w:val="none" w:sz="0" w:space="0" w:color="auto"/>
        <w:bottom w:val="none" w:sz="0" w:space="0" w:color="auto"/>
        <w:right w:val="none" w:sz="0" w:space="0" w:color="auto"/>
      </w:divBdr>
      <w:divsChild>
        <w:div w:id="1015766614">
          <w:marLeft w:val="0"/>
          <w:marRight w:val="0"/>
          <w:marTop w:val="0"/>
          <w:marBottom w:val="0"/>
          <w:divBdr>
            <w:top w:val="none" w:sz="0" w:space="0" w:color="auto"/>
            <w:left w:val="none" w:sz="0" w:space="0" w:color="auto"/>
            <w:bottom w:val="none" w:sz="0" w:space="0" w:color="auto"/>
            <w:right w:val="none" w:sz="0" w:space="0" w:color="auto"/>
          </w:divBdr>
          <w:divsChild>
            <w:div w:id="1015766548">
              <w:marLeft w:val="0"/>
              <w:marRight w:val="0"/>
              <w:marTop w:val="0"/>
              <w:marBottom w:val="0"/>
              <w:divBdr>
                <w:top w:val="none" w:sz="0" w:space="0" w:color="auto"/>
                <w:left w:val="none" w:sz="0" w:space="0" w:color="auto"/>
                <w:bottom w:val="none" w:sz="0" w:space="0" w:color="auto"/>
                <w:right w:val="none" w:sz="0" w:space="0" w:color="auto"/>
              </w:divBdr>
              <w:divsChild>
                <w:div w:id="1015766665">
                  <w:marLeft w:val="0"/>
                  <w:marRight w:val="0"/>
                  <w:marTop w:val="0"/>
                  <w:marBottom w:val="0"/>
                  <w:divBdr>
                    <w:top w:val="none" w:sz="0" w:space="0" w:color="auto"/>
                    <w:left w:val="none" w:sz="0" w:space="0" w:color="auto"/>
                    <w:bottom w:val="none" w:sz="0" w:space="0" w:color="auto"/>
                    <w:right w:val="none" w:sz="0" w:space="0" w:color="auto"/>
                  </w:divBdr>
                  <w:divsChild>
                    <w:div w:id="101576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766466">
      <w:marLeft w:val="0"/>
      <w:marRight w:val="0"/>
      <w:marTop w:val="0"/>
      <w:marBottom w:val="0"/>
      <w:divBdr>
        <w:top w:val="none" w:sz="0" w:space="0" w:color="auto"/>
        <w:left w:val="none" w:sz="0" w:space="0" w:color="auto"/>
        <w:bottom w:val="none" w:sz="0" w:space="0" w:color="auto"/>
        <w:right w:val="none" w:sz="0" w:space="0" w:color="auto"/>
      </w:divBdr>
      <w:divsChild>
        <w:div w:id="1015766605">
          <w:marLeft w:val="0"/>
          <w:marRight w:val="0"/>
          <w:marTop w:val="0"/>
          <w:marBottom w:val="0"/>
          <w:divBdr>
            <w:top w:val="none" w:sz="0" w:space="0" w:color="auto"/>
            <w:left w:val="none" w:sz="0" w:space="0" w:color="auto"/>
            <w:bottom w:val="none" w:sz="0" w:space="0" w:color="auto"/>
            <w:right w:val="none" w:sz="0" w:space="0" w:color="auto"/>
          </w:divBdr>
          <w:divsChild>
            <w:div w:id="1015766537">
              <w:marLeft w:val="0"/>
              <w:marRight w:val="0"/>
              <w:marTop w:val="0"/>
              <w:marBottom w:val="0"/>
              <w:divBdr>
                <w:top w:val="none" w:sz="0" w:space="0" w:color="auto"/>
                <w:left w:val="none" w:sz="0" w:space="0" w:color="auto"/>
                <w:bottom w:val="none" w:sz="0" w:space="0" w:color="auto"/>
                <w:right w:val="none" w:sz="0" w:space="0" w:color="auto"/>
              </w:divBdr>
              <w:divsChild>
                <w:div w:id="1015766577">
                  <w:marLeft w:val="0"/>
                  <w:marRight w:val="0"/>
                  <w:marTop w:val="0"/>
                  <w:marBottom w:val="0"/>
                  <w:divBdr>
                    <w:top w:val="none" w:sz="0" w:space="0" w:color="auto"/>
                    <w:left w:val="none" w:sz="0" w:space="0" w:color="auto"/>
                    <w:bottom w:val="none" w:sz="0" w:space="0" w:color="auto"/>
                    <w:right w:val="none" w:sz="0" w:space="0" w:color="auto"/>
                  </w:divBdr>
                  <w:divsChild>
                    <w:div w:id="101576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766468">
      <w:marLeft w:val="0"/>
      <w:marRight w:val="0"/>
      <w:marTop w:val="0"/>
      <w:marBottom w:val="0"/>
      <w:divBdr>
        <w:top w:val="none" w:sz="0" w:space="0" w:color="auto"/>
        <w:left w:val="none" w:sz="0" w:space="0" w:color="auto"/>
        <w:bottom w:val="none" w:sz="0" w:space="0" w:color="auto"/>
        <w:right w:val="none" w:sz="0" w:space="0" w:color="auto"/>
      </w:divBdr>
      <w:divsChild>
        <w:div w:id="1015766652">
          <w:marLeft w:val="0"/>
          <w:marRight w:val="0"/>
          <w:marTop w:val="0"/>
          <w:marBottom w:val="450"/>
          <w:divBdr>
            <w:top w:val="none" w:sz="0" w:space="0" w:color="auto"/>
            <w:left w:val="none" w:sz="0" w:space="0" w:color="auto"/>
            <w:bottom w:val="none" w:sz="0" w:space="0" w:color="auto"/>
            <w:right w:val="none" w:sz="0" w:space="0" w:color="auto"/>
          </w:divBdr>
        </w:div>
        <w:div w:id="1015766685">
          <w:marLeft w:val="0"/>
          <w:marRight w:val="0"/>
          <w:marTop w:val="0"/>
          <w:marBottom w:val="285"/>
          <w:divBdr>
            <w:top w:val="none" w:sz="0" w:space="0" w:color="auto"/>
            <w:left w:val="none" w:sz="0" w:space="0" w:color="auto"/>
            <w:bottom w:val="none" w:sz="0" w:space="0" w:color="auto"/>
            <w:right w:val="none" w:sz="0" w:space="0" w:color="auto"/>
          </w:divBdr>
          <w:divsChild>
            <w:div w:id="101576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766489">
      <w:marLeft w:val="0"/>
      <w:marRight w:val="0"/>
      <w:marTop w:val="0"/>
      <w:marBottom w:val="0"/>
      <w:divBdr>
        <w:top w:val="none" w:sz="0" w:space="0" w:color="auto"/>
        <w:left w:val="none" w:sz="0" w:space="0" w:color="auto"/>
        <w:bottom w:val="none" w:sz="0" w:space="0" w:color="auto"/>
        <w:right w:val="none" w:sz="0" w:space="0" w:color="auto"/>
      </w:divBdr>
      <w:divsChild>
        <w:div w:id="1015766657">
          <w:marLeft w:val="0"/>
          <w:marRight w:val="0"/>
          <w:marTop w:val="0"/>
          <w:marBottom w:val="0"/>
          <w:divBdr>
            <w:top w:val="none" w:sz="0" w:space="0" w:color="auto"/>
            <w:left w:val="none" w:sz="0" w:space="0" w:color="auto"/>
            <w:bottom w:val="none" w:sz="0" w:space="0" w:color="auto"/>
            <w:right w:val="none" w:sz="0" w:space="0" w:color="auto"/>
          </w:divBdr>
          <w:divsChild>
            <w:div w:id="1015766482">
              <w:marLeft w:val="0"/>
              <w:marRight w:val="0"/>
              <w:marTop w:val="0"/>
              <w:marBottom w:val="0"/>
              <w:divBdr>
                <w:top w:val="none" w:sz="0" w:space="0" w:color="auto"/>
                <w:left w:val="none" w:sz="0" w:space="0" w:color="auto"/>
                <w:bottom w:val="none" w:sz="0" w:space="0" w:color="auto"/>
                <w:right w:val="none" w:sz="0" w:space="0" w:color="auto"/>
              </w:divBdr>
              <w:divsChild>
                <w:div w:id="1015766516">
                  <w:marLeft w:val="0"/>
                  <w:marRight w:val="0"/>
                  <w:marTop w:val="0"/>
                  <w:marBottom w:val="0"/>
                  <w:divBdr>
                    <w:top w:val="none" w:sz="0" w:space="0" w:color="auto"/>
                    <w:left w:val="none" w:sz="0" w:space="0" w:color="auto"/>
                    <w:bottom w:val="none" w:sz="0" w:space="0" w:color="auto"/>
                    <w:right w:val="none" w:sz="0" w:space="0" w:color="auto"/>
                  </w:divBdr>
                  <w:divsChild>
                    <w:div w:id="101576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766490">
      <w:marLeft w:val="0"/>
      <w:marRight w:val="0"/>
      <w:marTop w:val="0"/>
      <w:marBottom w:val="0"/>
      <w:divBdr>
        <w:top w:val="none" w:sz="0" w:space="0" w:color="auto"/>
        <w:left w:val="none" w:sz="0" w:space="0" w:color="auto"/>
        <w:bottom w:val="none" w:sz="0" w:space="0" w:color="auto"/>
        <w:right w:val="none" w:sz="0" w:space="0" w:color="auto"/>
      </w:divBdr>
      <w:divsChild>
        <w:div w:id="1015766644">
          <w:marLeft w:val="0"/>
          <w:marRight w:val="0"/>
          <w:marTop w:val="0"/>
          <w:marBottom w:val="0"/>
          <w:divBdr>
            <w:top w:val="none" w:sz="0" w:space="0" w:color="auto"/>
            <w:left w:val="none" w:sz="0" w:space="0" w:color="auto"/>
            <w:bottom w:val="none" w:sz="0" w:space="0" w:color="auto"/>
            <w:right w:val="none" w:sz="0" w:space="0" w:color="auto"/>
          </w:divBdr>
          <w:divsChild>
            <w:div w:id="1015766626">
              <w:marLeft w:val="0"/>
              <w:marRight w:val="0"/>
              <w:marTop w:val="0"/>
              <w:marBottom w:val="0"/>
              <w:divBdr>
                <w:top w:val="none" w:sz="0" w:space="0" w:color="auto"/>
                <w:left w:val="none" w:sz="0" w:space="0" w:color="auto"/>
                <w:bottom w:val="none" w:sz="0" w:space="0" w:color="auto"/>
                <w:right w:val="none" w:sz="0" w:space="0" w:color="auto"/>
              </w:divBdr>
              <w:divsChild>
                <w:div w:id="1015766624">
                  <w:marLeft w:val="0"/>
                  <w:marRight w:val="0"/>
                  <w:marTop w:val="0"/>
                  <w:marBottom w:val="0"/>
                  <w:divBdr>
                    <w:top w:val="none" w:sz="0" w:space="0" w:color="auto"/>
                    <w:left w:val="none" w:sz="0" w:space="0" w:color="auto"/>
                    <w:bottom w:val="none" w:sz="0" w:space="0" w:color="auto"/>
                    <w:right w:val="none" w:sz="0" w:space="0" w:color="auto"/>
                  </w:divBdr>
                  <w:divsChild>
                    <w:div w:id="101576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766493">
      <w:marLeft w:val="0"/>
      <w:marRight w:val="0"/>
      <w:marTop w:val="0"/>
      <w:marBottom w:val="0"/>
      <w:divBdr>
        <w:top w:val="none" w:sz="0" w:space="0" w:color="auto"/>
        <w:left w:val="none" w:sz="0" w:space="0" w:color="auto"/>
        <w:bottom w:val="none" w:sz="0" w:space="0" w:color="auto"/>
        <w:right w:val="none" w:sz="0" w:space="0" w:color="auto"/>
      </w:divBdr>
      <w:divsChild>
        <w:div w:id="1015766710">
          <w:marLeft w:val="0"/>
          <w:marRight w:val="0"/>
          <w:marTop w:val="0"/>
          <w:marBottom w:val="0"/>
          <w:divBdr>
            <w:top w:val="none" w:sz="0" w:space="0" w:color="auto"/>
            <w:left w:val="none" w:sz="0" w:space="0" w:color="auto"/>
            <w:bottom w:val="none" w:sz="0" w:space="0" w:color="auto"/>
            <w:right w:val="none" w:sz="0" w:space="0" w:color="auto"/>
          </w:divBdr>
          <w:divsChild>
            <w:div w:id="1015766636">
              <w:marLeft w:val="0"/>
              <w:marRight w:val="0"/>
              <w:marTop w:val="0"/>
              <w:marBottom w:val="0"/>
              <w:divBdr>
                <w:top w:val="none" w:sz="0" w:space="0" w:color="auto"/>
                <w:left w:val="none" w:sz="0" w:space="0" w:color="auto"/>
                <w:bottom w:val="none" w:sz="0" w:space="0" w:color="auto"/>
                <w:right w:val="none" w:sz="0" w:space="0" w:color="auto"/>
              </w:divBdr>
              <w:divsChild>
                <w:div w:id="1015766598">
                  <w:marLeft w:val="0"/>
                  <w:marRight w:val="0"/>
                  <w:marTop w:val="0"/>
                  <w:marBottom w:val="0"/>
                  <w:divBdr>
                    <w:top w:val="none" w:sz="0" w:space="0" w:color="auto"/>
                    <w:left w:val="none" w:sz="0" w:space="0" w:color="auto"/>
                    <w:bottom w:val="none" w:sz="0" w:space="0" w:color="auto"/>
                    <w:right w:val="none" w:sz="0" w:space="0" w:color="auto"/>
                  </w:divBdr>
                  <w:divsChild>
                    <w:div w:id="101576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766498">
      <w:marLeft w:val="0"/>
      <w:marRight w:val="0"/>
      <w:marTop w:val="0"/>
      <w:marBottom w:val="0"/>
      <w:divBdr>
        <w:top w:val="none" w:sz="0" w:space="0" w:color="auto"/>
        <w:left w:val="none" w:sz="0" w:space="0" w:color="auto"/>
        <w:bottom w:val="none" w:sz="0" w:space="0" w:color="auto"/>
        <w:right w:val="none" w:sz="0" w:space="0" w:color="auto"/>
      </w:divBdr>
      <w:divsChild>
        <w:div w:id="1015766583">
          <w:marLeft w:val="0"/>
          <w:marRight w:val="0"/>
          <w:marTop w:val="0"/>
          <w:marBottom w:val="0"/>
          <w:divBdr>
            <w:top w:val="none" w:sz="0" w:space="0" w:color="auto"/>
            <w:left w:val="none" w:sz="0" w:space="0" w:color="auto"/>
            <w:bottom w:val="none" w:sz="0" w:space="0" w:color="auto"/>
            <w:right w:val="none" w:sz="0" w:space="0" w:color="auto"/>
          </w:divBdr>
          <w:divsChild>
            <w:div w:id="1015766461">
              <w:marLeft w:val="0"/>
              <w:marRight w:val="0"/>
              <w:marTop w:val="0"/>
              <w:marBottom w:val="0"/>
              <w:divBdr>
                <w:top w:val="none" w:sz="0" w:space="0" w:color="auto"/>
                <w:left w:val="none" w:sz="0" w:space="0" w:color="auto"/>
                <w:bottom w:val="none" w:sz="0" w:space="0" w:color="auto"/>
                <w:right w:val="none" w:sz="0" w:space="0" w:color="auto"/>
              </w:divBdr>
              <w:divsChild>
                <w:div w:id="1015766684">
                  <w:marLeft w:val="0"/>
                  <w:marRight w:val="0"/>
                  <w:marTop w:val="0"/>
                  <w:marBottom w:val="0"/>
                  <w:divBdr>
                    <w:top w:val="none" w:sz="0" w:space="0" w:color="auto"/>
                    <w:left w:val="none" w:sz="0" w:space="0" w:color="auto"/>
                    <w:bottom w:val="none" w:sz="0" w:space="0" w:color="auto"/>
                    <w:right w:val="none" w:sz="0" w:space="0" w:color="auto"/>
                  </w:divBdr>
                  <w:divsChild>
                    <w:div w:id="101576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766500">
      <w:marLeft w:val="0"/>
      <w:marRight w:val="0"/>
      <w:marTop w:val="0"/>
      <w:marBottom w:val="0"/>
      <w:divBdr>
        <w:top w:val="none" w:sz="0" w:space="0" w:color="auto"/>
        <w:left w:val="none" w:sz="0" w:space="0" w:color="auto"/>
        <w:bottom w:val="none" w:sz="0" w:space="0" w:color="auto"/>
        <w:right w:val="none" w:sz="0" w:space="0" w:color="auto"/>
      </w:divBdr>
      <w:divsChild>
        <w:div w:id="1015766573">
          <w:marLeft w:val="0"/>
          <w:marRight w:val="0"/>
          <w:marTop w:val="0"/>
          <w:marBottom w:val="0"/>
          <w:divBdr>
            <w:top w:val="none" w:sz="0" w:space="0" w:color="auto"/>
            <w:left w:val="none" w:sz="0" w:space="0" w:color="auto"/>
            <w:bottom w:val="none" w:sz="0" w:space="0" w:color="auto"/>
            <w:right w:val="none" w:sz="0" w:space="0" w:color="auto"/>
          </w:divBdr>
          <w:divsChild>
            <w:div w:id="1015766487">
              <w:marLeft w:val="0"/>
              <w:marRight w:val="0"/>
              <w:marTop w:val="0"/>
              <w:marBottom w:val="0"/>
              <w:divBdr>
                <w:top w:val="none" w:sz="0" w:space="0" w:color="auto"/>
                <w:left w:val="none" w:sz="0" w:space="0" w:color="auto"/>
                <w:bottom w:val="none" w:sz="0" w:space="0" w:color="auto"/>
                <w:right w:val="none" w:sz="0" w:space="0" w:color="auto"/>
              </w:divBdr>
              <w:divsChild>
                <w:div w:id="1015766558">
                  <w:marLeft w:val="0"/>
                  <w:marRight w:val="0"/>
                  <w:marTop w:val="0"/>
                  <w:marBottom w:val="0"/>
                  <w:divBdr>
                    <w:top w:val="none" w:sz="0" w:space="0" w:color="auto"/>
                    <w:left w:val="none" w:sz="0" w:space="0" w:color="auto"/>
                    <w:bottom w:val="none" w:sz="0" w:space="0" w:color="auto"/>
                    <w:right w:val="none" w:sz="0" w:space="0" w:color="auto"/>
                  </w:divBdr>
                  <w:divsChild>
                    <w:div w:id="101576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766501">
      <w:marLeft w:val="0"/>
      <w:marRight w:val="0"/>
      <w:marTop w:val="0"/>
      <w:marBottom w:val="0"/>
      <w:divBdr>
        <w:top w:val="none" w:sz="0" w:space="0" w:color="auto"/>
        <w:left w:val="none" w:sz="0" w:space="0" w:color="auto"/>
        <w:bottom w:val="none" w:sz="0" w:space="0" w:color="auto"/>
        <w:right w:val="none" w:sz="0" w:space="0" w:color="auto"/>
      </w:divBdr>
      <w:divsChild>
        <w:div w:id="1015766713">
          <w:marLeft w:val="0"/>
          <w:marRight w:val="0"/>
          <w:marTop w:val="0"/>
          <w:marBottom w:val="0"/>
          <w:divBdr>
            <w:top w:val="none" w:sz="0" w:space="0" w:color="auto"/>
            <w:left w:val="none" w:sz="0" w:space="0" w:color="auto"/>
            <w:bottom w:val="none" w:sz="0" w:space="0" w:color="auto"/>
            <w:right w:val="none" w:sz="0" w:space="0" w:color="auto"/>
          </w:divBdr>
          <w:divsChild>
            <w:div w:id="1015766589">
              <w:marLeft w:val="0"/>
              <w:marRight w:val="0"/>
              <w:marTop w:val="0"/>
              <w:marBottom w:val="0"/>
              <w:divBdr>
                <w:top w:val="none" w:sz="0" w:space="0" w:color="auto"/>
                <w:left w:val="none" w:sz="0" w:space="0" w:color="auto"/>
                <w:bottom w:val="none" w:sz="0" w:space="0" w:color="auto"/>
                <w:right w:val="none" w:sz="0" w:space="0" w:color="auto"/>
              </w:divBdr>
              <w:divsChild>
                <w:div w:id="1015766578">
                  <w:marLeft w:val="0"/>
                  <w:marRight w:val="0"/>
                  <w:marTop w:val="0"/>
                  <w:marBottom w:val="0"/>
                  <w:divBdr>
                    <w:top w:val="none" w:sz="0" w:space="0" w:color="auto"/>
                    <w:left w:val="none" w:sz="0" w:space="0" w:color="auto"/>
                    <w:bottom w:val="none" w:sz="0" w:space="0" w:color="auto"/>
                    <w:right w:val="none" w:sz="0" w:space="0" w:color="auto"/>
                  </w:divBdr>
                  <w:divsChild>
                    <w:div w:id="101576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766502">
      <w:marLeft w:val="0"/>
      <w:marRight w:val="0"/>
      <w:marTop w:val="0"/>
      <w:marBottom w:val="0"/>
      <w:divBdr>
        <w:top w:val="none" w:sz="0" w:space="0" w:color="auto"/>
        <w:left w:val="none" w:sz="0" w:space="0" w:color="auto"/>
        <w:bottom w:val="none" w:sz="0" w:space="0" w:color="auto"/>
        <w:right w:val="none" w:sz="0" w:space="0" w:color="auto"/>
      </w:divBdr>
      <w:divsChild>
        <w:div w:id="1015766434">
          <w:marLeft w:val="0"/>
          <w:marRight w:val="0"/>
          <w:marTop w:val="0"/>
          <w:marBottom w:val="0"/>
          <w:divBdr>
            <w:top w:val="none" w:sz="0" w:space="0" w:color="auto"/>
            <w:left w:val="none" w:sz="0" w:space="0" w:color="auto"/>
            <w:bottom w:val="none" w:sz="0" w:space="0" w:color="auto"/>
            <w:right w:val="none" w:sz="0" w:space="0" w:color="auto"/>
          </w:divBdr>
          <w:divsChild>
            <w:div w:id="1015766678">
              <w:marLeft w:val="0"/>
              <w:marRight w:val="0"/>
              <w:marTop w:val="0"/>
              <w:marBottom w:val="0"/>
              <w:divBdr>
                <w:top w:val="none" w:sz="0" w:space="0" w:color="auto"/>
                <w:left w:val="none" w:sz="0" w:space="0" w:color="auto"/>
                <w:bottom w:val="none" w:sz="0" w:space="0" w:color="auto"/>
                <w:right w:val="none" w:sz="0" w:space="0" w:color="auto"/>
              </w:divBdr>
              <w:divsChild>
                <w:div w:id="1015766610">
                  <w:marLeft w:val="0"/>
                  <w:marRight w:val="0"/>
                  <w:marTop w:val="0"/>
                  <w:marBottom w:val="0"/>
                  <w:divBdr>
                    <w:top w:val="none" w:sz="0" w:space="0" w:color="auto"/>
                    <w:left w:val="none" w:sz="0" w:space="0" w:color="auto"/>
                    <w:bottom w:val="none" w:sz="0" w:space="0" w:color="auto"/>
                    <w:right w:val="none" w:sz="0" w:space="0" w:color="auto"/>
                  </w:divBdr>
                  <w:divsChild>
                    <w:div w:id="101576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766505">
      <w:marLeft w:val="0"/>
      <w:marRight w:val="0"/>
      <w:marTop w:val="0"/>
      <w:marBottom w:val="0"/>
      <w:divBdr>
        <w:top w:val="none" w:sz="0" w:space="0" w:color="auto"/>
        <w:left w:val="none" w:sz="0" w:space="0" w:color="auto"/>
        <w:bottom w:val="none" w:sz="0" w:space="0" w:color="auto"/>
        <w:right w:val="none" w:sz="0" w:space="0" w:color="auto"/>
      </w:divBdr>
      <w:divsChild>
        <w:div w:id="1015766716">
          <w:marLeft w:val="0"/>
          <w:marRight w:val="0"/>
          <w:marTop w:val="0"/>
          <w:marBottom w:val="0"/>
          <w:divBdr>
            <w:top w:val="none" w:sz="0" w:space="0" w:color="auto"/>
            <w:left w:val="none" w:sz="0" w:space="0" w:color="auto"/>
            <w:bottom w:val="none" w:sz="0" w:space="0" w:color="auto"/>
            <w:right w:val="none" w:sz="0" w:space="0" w:color="auto"/>
          </w:divBdr>
          <w:divsChild>
            <w:div w:id="1015766530">
              <w:marLeft w:val="0"/>
              <w:marRight w:val="0"/>
              <w:marTop w:val="0"/>
              <w:marBottom w:val="0"/>
              <w:divBdr>
                <w:top w:val="none" w:sz="0" w:space="0" w:color="auto"/>
                <w:left w:val="none" w:sz="0" w:space="0" w:color="auto"/>
                <w:bottom w:val="none" w:sz="0" w:space="0" w:color="auto"/>
                <w:right w:val="none" w:sz="0" w:space="0" w:color="auto"/>
              </w:divBdr>
              <w:divsChild>
                <w:div w:id="1015766617">
                  <w:marLeft w:val="0"/>
                  <w:marRight w:val="0"/>
                  <w:marTop w:val="0"/>
                  <w:marBottom w:val="0"/>
                  <w:divBdr>
                    <w:top w:val="none" w:sz="0" w:space="0" w:color="auto"/>
                    <w:left w:val="none" w:sz="0" w:space="0" w:color="auto"/>
                    <w:bottom w:val="none" w:sz="0" w:space="0" w:color="auto"/>
                    <w:right w:val="none" w:sz="0" w:space="0" w:color="auto"/>
                  </w:divBdr>
                  <w:divsChild>
                    <w:div w:id="101576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766508">
      <w:marLeft w:val="0"/>
      <w:marRight w:val="0"/>
      <w:marTop w:val="0"/>
      <w:marBottom w:val="0"/>
      <w:divBdr>
        <w:top w:val="none" w:sz="0" w:space="0" w:color="auto"/>
        <w:left w:val="none" w:sz="0" w:space="0" w:color="auto"/>
        <w:bottom w:val="none" w:sz="0" w:space="0" w:color="auto"/>
        <w:right w:val="none" w:sz="0" w:space="0" w:color="auto"/>
      </w:divBdr>
    </w:div>
    <w:div w:id="1015766511">
      <w:marLeft w:val="0"/>
      <w:marRight w:val="0"/>
      <w:marTop w:val="0"/>
      <w:marBottom w:val="0"/>
      <w:divBdr>
        <w:top w:val="none" w:sz="0" w:space="0" w:color="auto"/>
        <w:left w:val="none" w:sz="0" w:space="0" w:color="auto"/>
        <w:bottom w:val="none" w:sz="0" w:space="0" w:color="auto"/>
        <w:right w:val="none" w:sz="0" w:space="0" w:color="auto"/>
      </w:divBdr>
      <w:divsChild>
        <w:div w:id="1015766643">
          <w:marLeft w:val="0"/>
          <w:marRight w:val="0"/>
          <w:marTop w:val="0"/>
          <w:marBottom w:val="0"/>
          <w:divBdr>
            <w:top w:val="none" w:sz="0" w:space="0" w:color="auto"/>
            <w:left w:val="none" w:sz="0" w:space="0" w:color="auto"/>
            <w:bottom w:val="none" w:sz="0" w:space="0" w:color="auto"/>
            <w:right w:val="none" w:sz="0" w:space="0" w:color="auto"/>
          </w:divBdr>
          <w:divsChild>
            <w:div w:id="1015766534">
              <w:marLeft w:val="0"/>
              <w:marRight w:val="0"/>
              <w:marTop w:val="0"/>
              <w:marBottom w:val="0"/>
              <w:divBdr>
                <w:top w:val="none" w:sz="0" w:space="0" w:color="auto"/>
                <w:left w:val="none" w:sz="0" w:space="0" w:color="auto"/>
                <w:bottom w:val="none" w:sz="0" w:space="0" w:color="auto"/>
                <w:right w:val="none" w:sz="0" w:space="0" w:color="auto"/>
              </w:divBdr>
              <w:divsChild>
                <w:div w:id="1015766619">
                  <w:marLeft w:val="0"/>
                  <w:marRight w:val="0"/>
                  <w:marTop w:val="0"/>
                  <w:marBottom w:val="0"/>
                  <w:divBdr>
                    <w:top w:val="none" w:sz="0" w:space="0" w:color="auto"/>
                    <w:left w:val="none" w:sz="0" w:space="0" w:color="auto"/>
                    <w:bottom w:val="none" w:sz="0" w:space="0" w:color="auto"/>
                    <w:right w:val="none" w:sz="0" w:space="0" w:color="auto"/>
                  </w:divBdr>
                  <w:divsChild>
                    <w:div w:id="101576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766512">
      <w:marLeft w:val="0"/>
      <w:marRight w:val="0"/>
      <w:marTop w:val="0"/>
      <w:marBottom w:val="0"/>
      <w:divBdr>
        <w:top w:val="none" w:sz="0" w:space="0" w:color="auto"/>
        <w:left w:val="none" w:sz="0" w:space="0" w:color="auto"/>
        <w:bottom w:val="none" w:sz="0" w:space="0" w:color="auto"/>
        <w:right w:val="none" w:sz="0" w:space="0" w:color="auto"/>
      </w:divBdr>
    </w:div>
    <w:div w:id="1015766521">
      <w:marLeft w:val="0"/>
      <w:marRight w:val="0"/>
      <w:marTop w:val="0"/>
      <w:marBottom w:val="0"/>
      <w:divBdr>
        <w:top w:val="none" w:sz="0" w:space="0" w:color="auto"/>
        <w:left w:val="none" w:sz="0" w:space="0" w:color="auto"/>
        <w:bottom w:val="none" w:sz="0" w:space="0" w:color="auto"/>
        <w:right w:val="none" w:sz="0" w:space="0" w:color="auto"/>
      </w:divBdr>
      <w:divsChild>
        <w:div w:id="1015766430">
          <w:marLeft w:val="0"/>
          <w:marRight w:val="0"/>
          <w:marTop w:val="0"/>
          <w:marBottom w:val="0"/>
          <w:divBdr>
            <w:top w:val="none" w:sz="0" w:space="0" w:color="auto"/>
            <w:left w:val="none" w:sz="0" w:space="0" w:color="auto"/>
            <w:bottom w:val="none" w:sz="0" w:space="0" w:color="auto"/>
            <w:right w:val="none" w:sz="0" w:space="0" w:color="auto"/>
          </w:divBdr>
          <w:divsChild>
            <w:div w:id="1015766499">
              <w:marLeft w:val="0"/>
              <w:marRight w:val="0"/>
              <w:marTop w:val="0"/>
              <w:marBottom w:val="0"/>
              <w:divBdr>
                <w:top w:val="none" w:sz="0" w:space="0" w:color="auto"/>
                <w:left w:val="none" w:sz="0" w:space="0" w:color="auto"/>
                <w:bottom w:val="none" w:sz="0" w:space="0" w:color="auto"/>
                <w:right w:val="none" w:sz="0" w:space="0" w:color="auto"/>
              </w:divBdr>
              <w:divsChild>
                <w:div w:id="101576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766522">
      <w:marLeft w:val="0"/>
      <w:marRight w:val="0"/>
      <w:marTop w:val="0"/>
      <w:marBottom w:val="0"/>
      <w:divBdr>
        <w:top w:val="none" w:sz="0" w:space="0" w:color="auto"/>
        <w:left w:val="none" w:sz="0" w:space="0" w:color="auto"/>
        <w:bottom w:val="none" w:sz="0" w:space="0" w:color="auto"/>
        <w:right w:val="none" w:sz="0" w:space="0" w:color="auto"/>
      </w:divBdr>
      <w:divsChild>
        <w:div w:id="1015766590">
          <w:marLeft w:val="0"/>
          <w:marRight w:val="0"/>
          <w:marTop w:val="0"/>
          <w:marBottom w:val="0"/>
          <w:divBdr>
            <w:top w:val="none" w:sz="0" w:space="0" w:color="auto"/>
            <w:left w:val="none" w:sz="0" w:space="0" w:color="auto"/>
            <w:bottom w:val="none" w:sz="0" w:space="0" w:color="auto"/>
            <w:right w:val="none" w:sz="0" w:space="0" w:color="auto"/>
          </w:divBdr>
          <w:divsChild>
            <w:div w:id="1015766535">
              <w:marLeft w:val="0"/>
              <w:marRight w:val="0"/>
              <w:marTop w:val="0"/>
              <w:marBottom w:val="0"/>
              <w:divBdr>
                <w:top w:val="none" w:sz="0" w:space="0" w:color="auto"/>
                <w:left w:val="none" w:sz="0" w:space="0" w:color="auto"/>
                <w:bottom w:val="none" w:sz="0" w:space="0" w:color="auto"/>
                <w:right w:val="none" w:sz="0" w:space="0" w:color="auto"/>
              </w:divBdr>
              <w:divsChild>
                <w:div w:id="1015766419">
                  <w:marLeft w:val="0"/>
                  <w:marRight w:val="0"/>
                  <w:marTop w:val="0"/>
                  <w:marBottom w:val="0"/>
                  <w:divBdr>
                    <w:top w:val="none" w:sz="0" w:space="0" w:color="auto"/>
                    <w:left w:val="none" w:sz="0" w:space="0" w:color="auto"/>
                    <w:bottom w:val="none" w:sz="0" w:space="0" w:color="auto"/>
                    <w:right w:val="none" w:sz="0" w:space="0" w:color="auto"/>
                  </w:divBdr>
                  <w:divsChild>
                    <w:div w:id="101576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766529">
      <w:marLeft w:val="0"/>
      <w:marRight w:val="0"/>
      <w:marTop w:val="0"/>
      <w:marBottom w:val="0"/>
      <w:divBdr>
        <w:top w:val="none" w:sz="0" w:space="0" w:color="auto"/>
        <w:left w:val="none" w:sz="0" w:space="0" w:color="auto"/>
        <w:bottom w:val="none" w:sz="0" w:space="0" w:color="auto"/>
        <w:right w:val="none" w:sz="0" w:space="0" w:color="auto"/>
      </w:divBdr>
      <w:divsChild>
        <w:div w:id="1015766669">
          <w:marLeft w:val="0"/>
          <w:marRight w:val="0"/>
          <w:marTop w:val="0"/>
          <w:marBottom w:val="0"/>
          <w:divBdr>
            <w:top w:val="none" w:sz="0" w:space="0" w:color="auto"/>
            <w:left w:val="none" w:sz="0" w:space="0" w:color="auto"/>
            <w:bottom w:val="none" w:sz="0" w:space="0" w:color="auto"/>
            <w:right w:val="none" w:sz="0" w:space="0" w:color="auto"/>
          </w:divBdr>
          <w:divsChild>
            <w:div w:id="1015766462">
              <w:marLeft w:val="0"/>
              <w:marRight w:val="0"/>
              <w:marTop w:val="0"/>
              <w:marBottom w:val="0"/>
              <w:divBdr>
                <w:top w:val="none" w:sz="0" w:space="0" w:color="auto"/>
                <w:left w:val="none" w:sz="0" w:space="0" w:color="auto"/>
                <w:bottom w:val="none" w:sz="0" w:space="0" w:color="auto"/>
                <w:right w:val="none" w:sz="0" w:space="0" w:color="auto"/>
              </w:divBdr>
              <w:divsChild>
                <w:div w:id="1015766575">
                  <w:marLeft w:val="0"/>
                  <w:marRight w:val="0"/>
                  <w:marTop w:val="0"/>
                  <w:marBottom w:val="0"/>
                  <w:divBdr>
                    <w:top w:val="none" w:sz="0" w:space="0" w:color="auto"/>
                    <w:left w:val="none" w:sz="0" w:space="0" w:color="auto"/>
                    <w:bottom w:val="none" w:sz="0" w:space="0" w:color="auto"/>
                    <w:right w:val="none" w:sz="0" w:space="0" w:color="auto"/>
                  </w:divBdr>
                  <w:divsChild>
                    <w:div w:id="101576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766541">
      <w:marLeft w:val="0"/>
      <w:marRight w:val="0"/>
      <w:marTop w:val="0"/>
      <w:marBottom w:val="0"/>
      <w:divBdr>
        <w:top w:val="none" w:sz="0" w:space="0" w:color="auto"/>
        <w:left w:val="none" w:sz="0" w:space="0" w:color="auto"/>
        <w:bottom w:val="none" w:sz="0" w:space="0" w:color="auto"/>
        <w:right w:val="none" w:sz="0" w:space="0" w:color="auto"/>
      </w:divBdr>
      <w:divsChild>
        <w:div w:id="1015766654">
          <w:marLeft w:val="0"/>
          <w:marRight w:val="0"/>
          <w:marTop w:val="0"/>
          <w:marBottom w:val="0"/>
          <w:divBdr>
            <w:top w:val="none" w:sz="0" w:space="0" w:color="auto"/>
            <w:left w:val="none" w:sz="0" w:space="0" w:color="auto"/>
            <w:bottom w:val="none" w:sz="0" w:space="0" w:color="auto"/>
            <w:right w:val="none" w:sz="0" w:space="0" w:color="auto"/>
          </w:divBdr>
          <w:divsChild>
            <w:div w:id="1015766679">
              <w:marLeft w:val="0"/>
              <w:marRight w:val="0"/>
              <w:marTop w:val="0"/>
              <w:marBottom w:val="0"/>
              <w:divBdr>
                <w:top w:val="none" w:sz="0" w:space="0" w:color="auto"/>
                <w:left w:val="none" w:sz="0" w:space="0" w:color="auto"/>
                <w:bottom w:val="none" w:sz="0" w:space="0" w:color="auto"/>
                <w:right w:val="none" w:sz="0" w:space="0" w:color="auto"/>
              </w:divBdr>
              <w:divsChild>
                <w:div w:id="1015766439">
                  <w:marLeft w:val="0"/>
                  <w:marRight w:val="0"/>
                  <w:marTop w:val="0"/>
                  <w:marBottom w:val="0"/>
                  <w:divBdr>
                    <w:top w:val="none" w:sz="0" w:space="0" w:color="auto"/>
                    <w:left w:val="none" w:sz="0" w:space="0" w:color="auto"/>
                    <w:bottom w:val="none" w:sz="0" w:space="0" w:color="auto"/>
                    <w:right w:val="none" w:sz="0" w:space="0" w:color="auto"/>
                  </w:divBdr>
                  <w:divsChild>
                    <w:div w:id="101576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766545">
      <w:marLeft w:val="0"/>
      <w:marRight w:val="0"/>
      <w:marTop w:val="0"/>
      <w:marBottom w:val="0"/>
      <w:divBdr>
        <w:top w:val="none" w:sz="0" w:space="0" w:color="auto"/>
        <w:left w:val="none" w:sz="0" w:space="0" w:color="auto"/>
        <w:bottom w:val="none" w:sz="0" w:space="0" w:color="auto"/>
        <w:right w:val="none" w:sz="0" w:space="0" w:color="auto"/>
      </w:divBdr>
      <w:divsChild>
        <w:div w:id="1015766581">
          <w:marLeft w:val="0"/>
          <w:marRight w:val="0"/>
          <w:marTop w:val="0"/>
          <w:marBottom w:val="0"/>
          <w:divBdr>
            <w:top w:val="none" w:sz="0" w:space="0" w:color="auto"/>
            <w:left w:val="none" w:sz="0" w:space="0" w:color="auto"/>
            <w:bottom w:val="none" w:sz="0" w:space="0" w:color="auto"/>
            <w:right w:val="none" w:sz="0" w:space="0" w:color="auto"/>
          </w:divBdr>
          <w:divsChild>
            <w:div w:id="1015766525">
              <w:marLeft w:val="0"/>
              <w:marRight w:val="0"/>
              <w:marTop w:val="0"/>
              <w:marBottom w:val="0"/>
              <w:divBdr>
                <w:top w:val="none" w:sz="0" w:space="0" w:color="auto"/>
                <w:left w:val="none" w:sz="0" w:space="0" w:color="auto"/>
                <w:bottom w:val="none" w:sz="0" w:space="0" w:color="auto"/>
                <w:right w:val="none" w:sz="0" w:space="0" w:color="auto"/>
              </w:divBdr>
              <w:divsChild>
                <w:div w:id="1015766720">
                  <w:marLeft w:val="0"/>
                  <w:marRight w:val="0"/>
                  <w:marTop w:val="0"/>
                  <w:marBottom w:val="0"/>
                  <w:divBdr>
                    <w:top w:val="none" w:sz="0" w:space="0" w:color="auto"/>
                    <w:left w:val="none" w:sz="0" w:space="0" w:color="auto"/>
                    <w:bottom w:val="none" w:sz="0" w:space="0" w:color="auto"/>
                    <w:right w:val="none" w:sz="0" w:space="0" w:color="auto"/>
                  </w:divBdr>
                  <w:divsChild>
                    <w:div w:id="101576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766551">
      <w:marLeft w:val="0"/>
      <w:marRight w:val="0"/>
      <w:marTop w:val="0"/>
      <w:marBottom w:val="0"/>
      <w:divBdr>
        <w:top w:val="none" w:sz="0" w:space="0" w:color="auto"/>
        <w:left w:val="none" w:sz="0" w:space="0" w:color="auto"/>
        <w:bottom w:val="none" w:sz="0" w:space="0" w:color="auto"/>
        <w:right w:val="none" w:sz="0" w:space="0" w:color="auto"/>
      </w:divBdr>
      <w:divsChild>
        <w:div w:id="1015766491">
          <w:marLeft w:val="0"/>
          <w:marRight w:val="0"/>
          <w:marTop w:val="0"/>
          <w:marBottom w:val="0"/>
          <w:divBdr>
            <w:top w:val="none" w:sz="0" w:space="0" w:color="auto"/>
            <w:left w:val="none" w:sz="0" w:space="0" w:color="auto"/>
            <w:bottom w:val="none" w:sz="0" w:space="0" w:color="auto"/>
            <w:right w:val="none" w:sz="0" w:space="0" w:color="auto"/>
          </w:divBdr>
          <w:divsChild>
            <w:div w:id="1015766718">
              <w:marLeft w:val="0"/>
              <w:marRight w:val="0"/>
              <w:marTop w:val="0"/>
              <w:marBottom w:val="0"/>
              <w:divBdr>
                <w:top w:val="none" w:sz="0" w:space="0" w:color="auto"/>
                <w:left w:val="none" w:sz="0" w:space="0" w:color="auto"/>
                <w:bottom w:val="none" w:sz="0" w:space="0" w:color="auto"/>
                <w:right w:val="none" w:sz="0" w:space="0" w:color="auto"/>
              </w:divBdr>
              <w:divsChild>
                <w:div w:id="1015766715">
                  <w:marLeft w:val="0"/>
                  <w:marRight w:val="0"/>
                  <w:marTop w:val="0"/>
                  <w:marBottom w:val="0"/>
                  <w:divBdr>
                    <w:top w:val="none" w:sz="0" w:space="0" w:color="auto"/>
                    <w:left w:val="none" w:sz="0" w:space="0" w:color="auto"/>
                    <w:bottom w:val="none" w:sz="0" w:space="0" w:color="auto"/>
                    <w:right w:val="none" w:sz="0" w:space="0" w:color="auto"/>
                  </w:divBdr>
                  <w:divsChild>
                    <w:div w:id="101576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766552">
      <w:marLeft w:val="0"/>
      <w:marRight w:val="0"/>
      <w:marTop w:val="0"/>
      <w:marBottom w:val="0"/>
      <w:divBdr>
        <w:top w:val="none" w:sz="0" w:space="0" w:color="auto"/>
        <w:left w:val="none" w:sz="0" w:space="0" w:color="auto"/>
        <w:bottom w:val="none" w:sz="0" w:space="0" w:color="auto"/>
        <w:right w:val="none" w:sz="0" w:space="0" w:color="auto"/>
      </w:divBdr>
    </w:div>
    <w:div w:id="1015766553">
      <w:marLeft w:val="0"/>
      <w:marRight w:val="0"/>
      <w:marTop w:val="0"/>
      <w:marBottom w:val="0"/>
      <w:divBdr>
        <w:top w:val="none" w:sz="0" w:space="0" w:color="auto"/>
        <w:left w:val="none" w:sz="0" w:space="0" w:color="auto"/>
        <w:bottom w:val="none" w:sz="0" w:space="0" w:color="auto"/>
        <w:right w:val="none" w:sz="0" w:space="0" w:color="auto"/>
      </w:divBdr>
    </w:div>
    <w:div w:id="1015766554">
      <w:marLeft w:val="0"/>
      <w:marRight w:val="0"/>
      <w:marTop w:val="0"/>
      <w:marBottom w:val="0"/>
      <w:divBdr>
        <w:top w:val="none" w:sz="0" w:space="0" w:color="auto"/>
        <w:left w:val="none" w:sz="0" w:space="0" w:color="auto"/>
        <w:bottom w:val="none" w:sz="0" w:space="0" w:color="auto"/>
        <w:right w:val="none" w:sz="0" w:space="0" w:color="auto"/>
      </w:divBdr>
      <w:divsChild>
        <w:div w:id="1015766607">
          <w:marLeft w:val="0"/>
          <w:marRight w:val="0"/>
          <w:marTop w:val="0"/>
          <w:marBottom w:val="0"/>
          <w:divBdr>
            <w:top w:val="none" w:sz="0" w:space="0" w:color="auto"/>
            <w:left w:val="none" w:sz="0" w:space="0" w:color="auto"/>
            <w:bottom w:val="none" w:sz="0" w:space="0" w:color="auto"/>
            <w:right w:val="none" w:sz="0" w:space="0" w:color="auto"/>
          </w:divBdr>
          <w:divsChild>
            <w:div w:id="1015766433">
              <w:marLeft w:val="0"/>
              <w:marRight w:val="0"/>
              <w:marTop w:val="0"/>
              <w:marBottom w:val="0"/>
              <w:divBdr>
                <w:top w:val="none" w:sz="0" w:space="0" w:color="auto"/>
                <w:left w:val="none" w:sz="0" w:space="0" w:color="auto"/>
                <w:bottom w:val="none" w:sz="0" w:space="0" w:color="auto"/>
                <w:right w:val="none" w:sz="0" w:space="0" w:color="auto"/>
              </w:divBdr>
              <w:divsChild>
                <w:div w:id="1015766635">
                  <w:marLeft w:val="0"/>
                  <w:marRight w:val="0"/>
                  <w:marTop w:val="0"/>
                  <w:marBottom w:val="0"/>
                  <w:divBdr>
                    <w:top w:val="none" w:sz="0" w:space="0" w:color="auto"/>
                    <w:left w:val="none" w:sz="0" w:space="0" w:color="auto"/>
                    <w:bottom w:val="none" w:sz="0" w:space="0" w:color="auto"/>
                    <w:right w:val="none" w:sz="0" w:space="0" w:color="auto"/>
                  </w:divBdr>
                  <w:divsChild>
                    <w:div w:id="101576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766556">
      <w:marLeft w:val="0"/>
      <w:marRight w:val="0"/>
      <w:marTop w:val="0"/>
      <w:marBottom w:val="0"/>
      <w:divBdr>
        <w:top w:val="none" w:sz="0" w:space="0" w:color="auto"/>
        <w:left w:val="none" w:sz="0" w:space="0" w:color="auto"/>
        <w:bottom w:val="none" w:sz="0" w:space="0" w:color="auto"/>
        <w:right w:val="none" w:sz="0" w:space="0" w:color="auto"/>
      </w:divBdr>
    </w:div>
    <w:div w:id="1015766557">
      <w:marLeft w:val="0"/>
      <w:marRight w:val="0"/>
      <w:marTop w:val="0"/>
      <w:marBottom w:val="0"/>
      <w:divBdr>
        <w:top w:val="none" w:sz="0" w:space="0" w:color="auto"/>
        <w:left w:val="none" w:sz="0" w:space="0" w:color="auto"/>
        <w:bottom w:val="none" w:sz="0" w:space="0" w:color="auto"/>
        <w:right w:val="none" w:sz="0" w:space="0" w:color="auto"/>
      </w:divBdr>
      <w:divsChild>
        <w:div w:id="1015766446">
          <w:marLeft w:val="0"/>
          <w:marRight w:val="0"/>
          <w:marTop w:val="0"/>
          <w:marBottom w:val="0"/>
          <w:divBdr>
            <w:top w:val="none" w:sz="0" w:space="0" w:color="auto"/>
            <w:left w:val="none" w:sz="0" w:space="0" w:color="auto"/>
            <w:bottom w:val="none" w:sz="0" w:space="0" w:color="auto"/>
            <w:right w:val="none" w:sz="0" w:space="0" w:color="auto"/>
          </w:divBdr>
        </w:div>
        <w:div w:id="1015766474">
          <w:marLeft w:val="0"/>
          <w:marRight w:val="0"/>
          <w:marTop w:val="0"/>
          <w:marBottom w:val="0"/>
          <w:divBdr>
            <w:top w:val="none" w:sz="0" w:space="0" w:color="auto"/>
            <w:left w:val="none" w:sz="0" w:space="0" w:color="auto"/>
            <w:bottom w:val="none" w:sz="0" w:space="0" w:color="auto"/>
            <w:right w:val="none" w:sz="0" w:space="0" w:color="auto"/>
          </w:divBdr>
        </w:div>
        <w:div w:id="1015766531">
          <w:marLeft w:val="0"/>
          <w:marRight w:val="0"/>
          <w:marTop w:val="0"/>
          <w:marBottom w:val="0"/>
          <w:divBdr>
            <w:top w:val="none" w:sz="0" w:space="0" w:color="auto"/>
            <w:left w:val="none" w:sz="0" w:space="0" w:color="auto"/>
            <w:bottom w:val="none" w:sz="0" w:space="0" w:color="auto"/>
            <w:right w:val="none" w:sz="0" w:space="0" w:color="auto"/>
          </w:divBdr>
        </w:div>
      </w:divsChild>
    </w:div>
    <w:div w:id="1015766563">
      <w:marLeft w:val="0"/>
      <w:marRight w:val="0"/>
      <w:marTop w:val="0"/>
      <w:marBottom w:val="0"/>
      <w:divBdr>
        <w:top w:val="none" w:sz="0" w:space="0" w:color="auto"/>
        <w:left w:val="none" w:sz="0" w:space="0" w:color="auto"/>
        <w:bottom w:val="none" w:sz="0" w:space="0" w:color="auto"/>
        <w:right w:val="none" w:sz="0" w:space="0" w:color="auto"/>
      </w:divBdr>
      <w:divsChild>
        <w:div w:id="1015766632">
          <w:marLeft w:val="0"/>
          <w:marRight w:val="0"/>
          <w:marTop w:val="0"/>
          <w:marBottom w:val="0"/>
          <w:divBdr>
            <w:top w:val="none" w:sz="0" w:space="0" w:color="auto"/>
            <w:left w:val="none" w:sz="0" w:space="0" w:color="auto"/>
            <w:bottom w:val="none" w:sz="0" w:space="0" w:color="auto"/>
            <w:right w:val="none" w:sz="0" w:space="0" w:color="auto"/>
          </w:divBdr>
          <w:divsChild>
            <w:div w:id="1015766699">
              <w:marLeft w:val="0"/>
              <w:marRight w:val="0"/>
              <w:marTop w:val="0"/>
              <w:marBottom w:val="0"/>
              <w:divBdr>
                <w:top w:val="none" w:sz="0" w:space="0" w:color="auto"/>
                <w:left w:val="none" w:sz="0" w:space="0" w:color="auto"/>
                <w:bottom w:val="none" w:sz="0" w:space="0" w:color="auto"/>
                <w:right w:val="none" w:sz="0" w:space="0" w:color="auto"/>
              </w:divBdr>
              <w:divsChild>
                <w:div w:id="1015766571">
                  <w:marLeft w:val="0"/>
                  <w:marRight w:val="0"/>
                  <w:marTop w:val="0"/>
                  <w:marBottom w:val="0"/>
                  <w:divBdr>
                    <w:top w:val="none" w:sz="0" w:space="0" w:color="auto"/>
                    <w:left w:val="none" w:sz="0" w:space="0" w:color="auto"/>
                    <w:bottom w:val="none" w:sz="0" w:space="0" w:color="auto"/>
                    <w:right w:val="none" w:sz="0" w:space="0" w:color="auto"/>
                  </w:divBdr>
                  <w:divsChild>
                    <w:div w:id="101576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766570">
      <w:marLeft w:val="0"/>
      <w:marRight w:val="0"/>
      <w:marTop w:val="0"/>
      <w:marBottom w:val="0"/>
      <w:divBdr>
        <w:top w:val="none" w:sz="0" w:space="0" w:color="auto"/>
        <w:left w:val="none" w:sz="0" w:space="0" w:color="auto"/>
        <w:bottom w:val="none" w:sz="0" w:space="0" w:color="auto"/>
        <w:right w:val="none" w:sz="0" w:space="0" w:color="auto"/>
      </w:divBdr>
      <w:divsChild>
        <w:div w:id="1015766673">
          <w:marLeft w:val="0"/>
          <w:marRight w:val="0"/>
          <w:marTop w:val="0"/>
          <w:marBottom w:val="0"/>
          <w:divBdr>
            <w:top w:val="none" w:sz="0" w:space="0" w:color="auto"/>
            <w:left w:val="none" w:sz="0" w:space="0" w:color="auto"/>
            <w:bottom w:val="none" w:sz="0" w:space="0" w:color="auto"/>
            <w:right w:val="none" w:sz="0" w:space="0" w:color="auto"/>
          </w:divBdr>
          <w:divsChild>
            <w:div w:id="1015766485">
              <w:marLeft w:val="0"/>
              <w:marRight w:val="0"/>
              <w:marTop w:val="0"/>
              <w:marBottom w:val="0"/>
              <w:divBdr>
                <w:top w:val="none" w:sz="0" w:space="0" w:color="auto"/>
                <w:left w:val="none" w:sz="0" w:space="0" w:color="auto"/>
                <w:bottom w:val="none" w:sz="0" w:space="0" w:color="auto"/>
                <w:right w:val="none" w:sz="0" w:space="0" w:color="auto"/>
              </w:divBdr>
              <w:divsChild>
                <w:div w:id="1015766595">
                  <w:marLeft w:val="0"/>
                  <w:marRight w:val="0"/>
                  <w:marTop w:val="0"/>
                  <w:marBottom w:val="0"/>
                  <w:divBdr>
                    <w:top w:val="none" w:sz="0" w:space="0" w:color="auto"/>
                    <w:left w:val="none" w:sz="0" w:space="0" w:color="auto"/>
                    <w:bottom w:val="none" w:sz="0" w:space="0" w:color="auto"/>
                    <w:right w:val="none" w:sz="0" w:space="0" w:color="auto"/>
                  </w:divBdr>
                  <w:divsChild>
                    <w:div w:id="101576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766584">
      <w:marLeft w:val="0"/>
      <w:marRight w:val="0"/>
      <w:marTop w:val="0"/>
      <w:marBottom w:val="0"/>
      <w:divBdr>
        <w:top w:val="none" w:sz="0" w:space="0" w:color="auto"/>
        <w:left w:val="none" w:sz="0" w:space="0" w:color="auto"/>
        <w:bottom w:val="none" w:sz="0" w:space="0" w:color="auto"/>
        <w:right w:val="none" w:sz="0" w:space="0" w:color="auto"/>
      </w:divBdr>
    </w:div>
    <w:div w:id="1015766591">
      <w:marLeft w:val="0"/>
      <w:marRight w:val="0"/>
      <w:marTop w:val="0"/>
      <w:marBottom w:val="0"/>
      <w:divBdr>
        <w:top w:val="none" w:sz="0" w:space="0" w:color="auto"/>
        <w:left w:val="none" w:sz="0" w:space="0" w:color="auto"/>
        <w:bottom w:val="none" w:sz="0" w:space="0" w:color="auto"/>
        <w:right w:val="none" w:sz="0" w:space="0" w:color="auto"/>
      </w:divBdr>
      <w:divsChild>
        <w:div w:id="1015766492">
          <w:marLeft w:val="0"/>
          <w:marRight w:val="0"/>
          <w:marTop w:val="0"/>
          <w:marBottom w:val="0"/>
          <w:divBdr>
            <w:top w:val="none" w:sz="0" w:space="0" w:color="auto"/>
            <w:left w:val="none" w:sz="0" w:space="0" w:color="auto"/>
            <w:bottom w:val="none" w:sz="0" w:space="0" w:color="auto"/>
            <w:right w:val="none" w:sz="0" w:space="0" w:color="auto"/>
          </w:divBdr>
          <w:divsChild>
            <w:div w:id="1015766621">
              <w:marLeft w:val="0"/>
              <w:marRight w:val="0"/>
              <w:marTop w:val="0"/>
              <w:marBottom w:val="0"/>
              <w:divBdr>
                <w:top w:val="none" w:sz="0" w:space="0" w:color="auto"/>
                <w:left w:val="none" w:sz="0" w:space="0" w:color="auto"/>
                <w:bottom w:val="none" w:sz="0" w:space="0" w:color="auto"/>
                <w:right w:val="none" w:sz="0" w:space="0" w:color="auto"/>
              </w:divBdr>
              <w:divsChild>
                <w:div w:id="1015766717">
                  <w:marLeft w:val="0"/>
                  <w:marRight w:val="0"/>
                  <w:marTop w:val="0"/>
                  <w:marBottom w:val="0"/>
                  <w:divBdr>
                    <w:top w:val="none" w:sz="0" w:space="0" w:color="auto"/>
                    <w:left w:val="none" w:sz="0" w:space="0" w:color="auto"/>
                    <w:bottom w:val="none" w:sz="0" w:space="0" w:color="auto"/>
                    <w:right w:val="none" w:sz="0" w:space="0" w:color="auto"/>
                  </w:divBdr>
                  <w:divsChild>
                    <w:div w:id="101576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766593">
      <w:marLeft w:val="0"/>
      <w:marRight w:val="0"/>
      <w:marTop w:val="0"/>
      <w:marBottom w:val="0"/>
      <w:divBdr>
        <w:top w:val="none" w:sz="0" w:space="0" w:color="auto"/>
        <w:left w:val="none" w:sz="0" w:space="0" w:color="auto"/>
        <w:bottom w:val="none" w:sz="0" w:space="0" w:color="auto"/>
        <w:right w:val="none" w:sz="0" w:space="0" w:color="auto"/>
      </w:divBdr>
      <w:divsChild>
        <w:div w:id="1015766547">
          <w:marLeft w:val="0"/>
          <w:marRight w:val="0"/>
          <w:marTop w:val="0"/>
          <w:marBottom w:val="0"/>
          <w:divBdr>
            <w:top w:val="none" w:sz="0" w:space="0" w:color="auto"/>
            <w:left w:val="none" w:sz="0" w:space="0" w:color="auto"/>
            <w:bottom w:val="none" w:sz="0" w:space="0" w:color="auto"/>
            <w:right w:val="none" w:sz="0" w:space="0" w:color="auto"/>
          </w:divBdr>
          <w:divsChild>
            <w:div w:id="1015766722">
              <w:marLeft w:val="0"/>
              <w:marRight w:val="0"/>
              <w:marTop w:val="0"/>
              <w:marBottom w:val="0"/>
              <w:divBdr>
                <w:top w:val="none" w:sz="0" w:space="0" w:color="auto"/>
                <w:left w:val="none" w:sz="0" w:space="0" w:color="auto"/>
                <w:bottom w:val="none" w:sz="0" w:space="0" w:color="auto"/>
                <w:right w:val="none" w:sz="0" w:space="0" w:color="auto"/>
              </w:divBdr>
              <w:divsChild>
                <w:div w:id="1015766444">
                  <w:marLeft w:val="0"/>
                  <w:marRight w:val="0"/>
                  <w:marTop w:val="0"/>
                  <w:marBottom w:val="0"/>
                  <w:divBdr>
                    <w:top w:val="none" w:sz="0" w:space="0" w:color="auto"/>
                    <w:left w:val="none" w:sz="0" w:space="0" w:color="auto"/>
                    <w:bottom w:val="none" w:sz="0" w:space="0" w:color="auto"/>
                    <w:right w:val="none" w:sz="0" w:space="0" w:color="auto"/>
                  </w:divBdr>
                  <w:divsChild>
                    <w:div w:id="101576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766597">
      <w:marLeft w:val="0"/>
      <w:marRight w:val="0"/>
      <w:marTop w:val="0"/>
      <w:marBottom w:val="0"/>
      <w:divBdr>
        <w:top w:val="none" w:sz="0" w:space="0" w:color="auto"/>
        <w:left w:val="none" w:sz="0" w:space="0" w:color="auto"/>
        <w:bottom w:val="none" w:sz="0" w:space="0" w:color="auto"/>
        <w:right w:val="none" w:sz="0" w:space="0" w:color="auto"/>
      </w:divBdr>
      <w:divsChild>
        <w:div w:id="1015766695">
          <w:marLeft w:val="0"/>
          <w:marRight w:val="0"/>
          <w:marTop w:val="0"/>
          <w:marBottom w:val="0"/>
          <w:divBdr>
            <w:top w:val="none" w:sz="0" w:space="0" w:color="auto"/>
            <w:left w:val="none" w:sz="0" w:space="0" w:color="auto"/>
            <w:bottom w:val="none" w:sz="0" w:space="0" w:color="auto"/>
            <w:right w:val="none" w:sz="0" w:space="0" w:color="auto"/>
          </w:divBdr>
          <w:divsChild>
            <w:div w:id="1015766486">
              <w:marLeft w:val="0"/>
              <w:marRight w:val="0"/>
              <w:marTop w:val="0"/>
              <w:marBottom w:val="0"/>
              <w:divBdr>
                <w:top w:val="none" w:sz="0" w:space="0" w:color="auto"/>
                <w:left w:val="none" w:sz="0" w:space="0" w:color="auto"/>
                <w:bottom w:val="none" w:sz="0" w:space="0" w:color="auto"/>
                <w:right w:val="none" w:sz="0" w:space="0" w:color="auto"/>
              </w:divBdr>
              <w:divsChild>
                <w:div w:id="1015766680">
                  <w:marLeft w:val="0"/>
                  <w:marRight w:val="0"/>
                  <w:marTop w:val="0"/>
                  <w:marBottom w:val="0"/>
                  <w:divBdr>
                    <w:top w:val="none" w:sz="0" w:space="0" w:color="auto"/>
                    <w:left w:val="none" w:sz="0" w:space="0" w:color="auto"/>
                    <w:bottom w:val="none" w:sz="0" w:space="0" w:color="auto"/>
                    <w:right w:val="none" w:sz="0" w:space="0" w:color="auto"/>
                  </w:divBdr>
                  <w:divsChild>
                    <w:div w:id="101576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766609">
      <w:marLeft w:val="0"/>
      <w:marRight w:val="0"/>
      <w:marTop w:val="0"/>
      <w:marBottom w:val="0"/>
      <w:divBdr>
        <w:top w:val="none" w:sz="0" w:space="0" w:color="auto"/>
        <w:left w:val="none" w:sz="0" w:space="0" w:color="auto"/>
        <w:bottom w:val="none" w:sz="0" w:space="0" w:color="auto"/>
        <w:right w:val="none" w:sz="0" w:space="0" w:color="auto"/>
      </w:divBdr>
      <w:divsChild>
        <w:div w:id="1015766616">
          <w:marLeft w:val="0"/>
          <w:marRight w:val="0"/>
          <w:marTop w:val="0"/>
          <w:marBottom w:val="0"/>
          <w:divBdr>
            <w:top w:val="none" w:sz="0" w:space="0" w:color="auto"/>
            <w:left w:val="none" w:sz="0" w:space="0" w:color="auto"/>
            <w:bottom w:val="none" w:sz="0" w:space="0" w:color="auto"/>
            <w:right w:val="none" w:sz="0" w:space="0" w:color="auto"/>
          </w:divBdr>
          <w:divsChild>
            <w:div w:id="1015766666">
              <w:marLeft w:val="0"/>
              <w:marRight w:val="0"/>
              <w:marTop w:val="0"/>
              <w:marBottom w:val="0"/>
              <w:divBdr>
                <w:top w:val="none" w:sz="0" w:space="0" w:color="auto"/>
                <w:left w:val="none" w:sz="0" w:space="0" w:color="auto"/>
                <w:bottom w:val="none" w:sz="0" w:space="0" w:color="auto"/>
                <w:right w:val="none" w:sz="0" w:space="0" w:color="auto"/>
              </w:divBdr>
              <w:divsChild>
                <w:div w:id="1015766515">
                  <w:marLeft w:val="0"/>
                  <w:marRight w:val="0"/>
                  <w:marTop w:val="0"/>
                  <w:marBottom w:val="0"/>
                  <w:divBdr>
                    <w:top w:val="none" w:sz="0" w:space="0" w:color="auto"/>
                    <w:left w:val="none" w:sz="0" w:space="0" w:color="auto"/>
                    <w:bottom w:val="none" w:sz="0" w:space="0" w:color="auto"/>
                    <w:right w:val="none" w:sz="0" w:space="0" w:color="auto"/>
                  </w:divBdr>
                  <w:divsChild>
                    <w:div w:id="101576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766611">
      <w:marLeft w:val="0"/>
      <w:marRight w:val="0"/>
      <w:marTop w:val="0"/>
      <w:marBottom w:val="0"/>
      <w:divBdr>
        <w:top w:val="none" w:sz="0" w:space="0" w:color="auto"/>
        <w:left w:val="none" w:sz="0" w:space="0" w:color="auto"/>
        <w:bottom w:val="none" w:sz="0" w:space="0" w:color="auto"/>
        <w:right w:val="none" w:sz="0" w:space="0" w:color="auto"/>
      </w:divBdr>
      <w:divsChild>
        <w:div w:id="1015766681">
          <w:marLeft w:val="0"/>
          <w:marRight w:val="0"/>
          <w:marTop w:val="0"/>
          <w:marBottom w:val="0"/>
          <w:divBdr>
            <w:top w:val="none" w:sz="0" w:space="0" w:color="auto"/>
            <w:left w:val="none" w:sz="0" w:space="0" w:color="auto"/>
            <w:bottom w:val="none" w:sz="0" w:space="0" w:color="auto"/>
            <w:right w:val="none" w:sz="0" w:space="0" w:color="auto"/>
          </w:divBdr>
          <w:divsChild>
            <w:div w:id="1015766688">
              <w:marLeft w:val="0"/>
              <w:marRight w:val="0"/>
              <w:marTop w:val="0"/>
              <w:marBottom w:val="0"/>
              <w:divBdr>
                <w:top w:val="none" w:sz="0" w:space="0" w:color="auto"/>
                <w:left w:val="none" w:sz="0" w:space="0" w:color="auto"/>
                <w:bottom w:val="none" w:sz="0" w:space="0" w:color="auto"/>
                <w:right w:val="none" w:sz="0" w:space="0" w:color="auto"/>
              </w:divBdr>
              <w:divsChild>
                <w:div w:id="1015766672">
                  <w:marLeft w:val="0"/>
                  <w:marRight w:val="0"/>
                  <w:marTop w:val="0"/>
                  <w:marBottom w:val="0"/>
                  <w:divBdr>
                    <w:top w:val="none" w:sz="0" w:space="0" w:color="auto"/>
                    <w:left w:val="none" w:sz="0" w:space="0" w:color="auto"/>
                    <w:bottom w:val="none" w:sz="0" w:space="0" w:color="auto"/>
                    <w:right w:val="none" w:sz="0" w:space="0" w:color="auto"/>
                  </w:divBdr>
                  <w:divsChild>
                    <w:div w:id="101576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766622">
      <w:marLeft w:val="0"/>
      <w:marRight w:val="0"/>
      <w:marTop w:val="0"/>
      <w:marBottom w:val="0"/>
      <w:divBdr>
        <w:top w:val="none" w:sz="0" w:space="0" w:color="auto"/>
        <w:left w:val="none" w:sz="0" w:space="0" w:color="auto"/>
        <w:bottom w:val="none" w:sz="0" w:space="0" w:color="auto"/>
        <w:right w:val="none" w:sz="0" w:space="0" w:color="auto"/>
      </w:divBdr>
      <w:divsChild>
        <w:div w:id="1015766580">
          <w:marLeft w:val="0"/>
          <w:marRight w:val="0"/>
          <w:marTop w:val="0"/>
          <w:marBottom w:val="0"/>
          <w:divBdr>
            <w:top w:val="none" w:sz="0" w:space="0" w:color="auto"/>
            <w:left w:val="none" w:sz="0" w:space="0" w:color="auto"/>
            <w:bottom w:val="none" w:sz="0" w:space="0" w:color="auto"/>
            <w:right w:val="none" w:sz="0" w:space="0" w:color="auto"/>
          </w:divBdr>
          <w:divsChild>
            <w:div w:id="1015766600">
              <w:marLeft w:val="0"/>
              <w:marRight w:val="0"/>
              <w:marTop w:val="0"/>
              <w:marBottom w:val="0"/>
              <w:divBdr>
                <w:top w:val="none" w:sz="0" w:space="0" w:color="auto"/>
                <w:left w:val="none" w:sz="0" w:space="0" w:color="auto"/>
                <w:bottom w:val="none" w:sz="0" w:space="0" w:color="auto"/>
                <w:right w:val="none" w:sz="0" w:space="0" w:color="auto"/>
              </w:divBdr>
              <w:divsChild>
                <w:div w:id="1015766572">
                  <w:marLeft w:val="0"/>
                  <w:marRight w:val="0"/>
                  <w:marTop w:val="0"/>
                  <w:marBottom w:val="0"/>
                  <w:divBdr>
                    <w:top w:val="none" w:sz="0" w:space="0" w:color="auto"/>
                    <w:left w:val="none" w:sz="0" w:space="0" w:color="auto"/>
                    <w:bottom w:val="none" w:sz="0" w:space="0" w:color="auto"/>
                    <w:right w:val="none" w:sz="0" w:space="0" w:color="auto"/>
                  </w:divBdr>
                  <w:divsChild>
                    <w:div w:id="101576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766627">
      <w:marLeft w:val="0"/>
      <w:marRight w:val="0"/>
      <w:marTop w:val="0"/>
      <w:marBottom w:val="0"/>
      <w:divBdr>
        <w:top w:val="none" w:sz="0" w:space="0" w:color="auto"/>
        <w:left w:val="none" w:sz="0" w:space="0" w:color="auto"/>
        <w:bottom w:val="none" w:sz="0" w:space="0" w:color="auto"/>
        <w:right w:val="none" w:sz="0" w:space="0" w:color="auto"/>
      </w:divBdr>
      <w:divsChild>
        <w:div w:id="1015766464">
          <w:marLeft w:val="0"/>
          <w:marRight w:val="0"/>
          <w:marTop w:val="0"/>
          <w:marBottom w:val="0"/>
          <w:divBdr>
            <w:top w:val="none" w:sz="0" w:space="0" w:color="auto"/>
            <w:left w:val="none" w:sz="0" w:space="0" w:color="auto"/>
            <w:bottom w:val="none" w:sz="0" w:space="0" w:color="auto"/>
            <w:right w:val="none" w:sz="0" w:space="0" w:color="auto"/>
          </w:divBdr>
          <w:divsChild>
            <w:div w:id="1015766655">
              <w:marLeft w:val="0"/>
              <w:marRight w:val="0"/>
              <w:marTop w:val="0"/>
              <w:marBottom w:val="0"/>
              <w:divBdr>
                <w:top w:val="none" w:sz="0" w:space="0" w:color="auto"/>
                <w:left w:val="none" w:sz="0" w:space="0" w:color="auto"/>
                <w:bottom w:val="none" w:sz="0" w:space="0" w:color="auto"/>
                <w:right w:val="none" w:sz="0" w:space="0" w:color="auto"/>
              </w:divBdr>
              <w:divsChild>
                <w:div w:id="1015766496">
                  <w:marLeft w:val="0"/>
                  <w:marRight w:val="0"/>
                  <w:marTop w:val="0"/>
                  <w:marBottom w:val="0"/>
                  <w:divBdr>
                    <w:top w:val="none" w:sz="0" w:space="0" w:color="auto"/>
                    <w:left w:val="none" w:sz="0" w:space="0" w:color="auto"/>
                    <w:bottom w:val="none" w:sz="0" w:space="0" w:color="auto"/>
                    <w:right w:val="none" w:sz="0" w:space="0" w:color="auto"/>
                  </w:divBdr>
                  <w:divsChild>
                    <w:div w:id="101576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766628">
      <w:marLeft w:val="0"/>
      <w:marRight w:val="0"/>
      <w:marTop w:val="0"/>
      <w:marBottom w:val="0"/>
      <w:divBdr>
        <w:top w:val="none" w:sz="0" w:space="0" w:color="auto"/>
        <w:left w:val="none" w:sz="0" w:space="0" w:color="auto"/>
        <w:bottom w:val="none" w:sz="0" w:space="0" w:color="auto"/>
        <w:right w:val="none" w:sz="0" w:space="0" w:color="auto"/>
      </w:divBdr>
    </w:div>
    <w:div w:id="1015766640">
      <w:marLeft w:val="0"/>
      <w:marRight w:val="0"/>
      <w:marTop w:val="0"/>
      <w:marBottom w:val="0"/>
      <w:divBdr>
        <w:top w:val="none" w:sz="0" w:space="0" w:color="auto"/>
        <w:left w:val="none" w:sz="0" w:space="0" w:color="auto"/>
        <w:bottom w:val="none" w:sz="0" w:space="0" w:color="auto"/>
        <w:right w:val="none" w:sz="0" w:space="0" w:color="auto"/>
      </w:divBdr>
      <w:divsChild>
        <w:div w:id="1015766507">
          <w:marLeft w:val="0"/>
          <w:marRight w:val="0"/>
          <w:marTop w:val="0"/>
          <w:marBottom w:val="0"/>
          <w:divBdr>
            <w:top w:val="none" w:sz="0" w:space="0" w:color="auto"/>
            <w:left w:val="none" w:sz="0" w:space="0" w:color="auto"/>
            <w:bottom w:val="none" w:sz="0" w:space="0" w:color="auto"/>
            <w:right w:val="none" w:sz="0" w:space="0" w:color="auto"/>
          </w:divBdr>
          <w:divsChild>
            <w:div w:id="1015766579">
              <w:marLeft w:val="0"/>
              <w:marRight w:val="0"/>
              <w:marTop w:val="0"/>
              <w:marBottom w:val="0"/>
              <w:divBdr>
                <w:top w:val="none" w:sz="0" w:space="0" w:color="auto"/>
                <w:left w:val="none" w:sz="0" w:space="0" w:color="auto"/>
                <w:bottom w:val="none" w:sz="0" w:space="0" w:color="auto"/>
                <w:right w:val="none" w:sz="0" w:space="0" w:color="auto"/>
              </w:divBdr>
              <w:divsChild>
                <w:div w:id="1015766582">
                  <w:marLeft w:val="0"/>
                  <w:marRight w:val="0"/>
                  <w:marTop w:val="0"/>
                  <w:marBottom w:val="0"/>
                  <w:divBdr>
                    <w:top w:val="none" w:sz="0" w:space="0" w:color="auto"/>
                    <w:left w:val="none" w:sz="0" w:space="0" w:color="auto"/>
                    <w:bottom w:val="none" w:sz="0" w:space="0" w:color="auto"/>
                    <w:right w:val="none" w:sz="0" w:space="0" w:color="auto"/>
                  </w:divBdr>
                  <w:divsChild>
                    <w:div w:id="101576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766646">
      <w:marLeft w:val="0"/>
      <w:marRight w:val="0"/>
      <w:marTop w:val="0"/>
      <w:marBottom w:val="0"/>
      <w:divBdr>
        <w:top w:val="none" w:sz="0" w:space="0" w:color="auto"/>
        <w:left w:val="none" w:sz="0" w:space="0" w:color="auto"/>
        <w:bottom w:val="none" w:sz="0" w:space="0" w:color="auto"/>
        <w:right w:val="none" w:sz="0" w:space="0" w:color="auto"/>
      </w:divBdr>
      <w:divsChild>
        <w:div w:id="1015766709">
          <w:marLeft w:val="0"/>
          <w:marRight w:val="0"/>
          <w:marTop w:val="0"/>
          <w:marBottom w:val="0"/>
          <w:divBdr>
            <w:top w:val="none" w:sz="0" w:space="0" w:color="auto"/>
            <w:left w:val="none" w:sz="0" w:space="0" w:color="auto"/>
            <w:bottom w:val="none" w:sz="0" w:space="0" w:color="auto"/>
            <w:right w:val="none" w:sz="0" w:space="0" w:color="auto"/>
          </w:divBdr>
          <w:divsChild>
            <w:div w:id="1015766697">
              <w:marLeft w:val="0"/>
              <w:marRight w:val="0"/>
              <w:marTop w:val="0"/>
              <w:marBottom w:val="0"/>
              <w:divBdr>
                <w:top w:val="none" w:sz="0" w:space="0" w:color="auto"/>
                <w:left w:val="none" w:sz="0" w:space="0" w:color="auto"/>
                <w:bottom w:val="none" w:sz="0" w:space="0" w:color="auto"/>
                <w:right w:val="none" w:sz="0" w:space="0" w:color="auto"/>
              </w:divBdr>
              <w:divsChild>
                <w:div w:id="1015766543">
                  <w:marLeft w:val="0"/>
                  <w:marRight w:val="0"/>
                  <w:marTop w:val="0"/>
                  <w:marBottom w:val="0"/>
                  <w:divBdr>
                    <w:top w:val="none" w:sz="0" w:space="0" w:color="auto"/>
                    <w:left w:val="none" w:sz="0" w:space="0" w:color="auto"/>
                    <w:bottom w:val="none" w:sz="0" w:space="0" w:color="auto"/>
                    <w:right w:val="none" w:sz="0" w:space="0" w:color="auto"/>
                  </w:divBdr>
                  <w:divsChild>
                    <w:div w:id="101576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766648">
      <w:marLeft w:val="0"/>
      <w:marRight w:val="0"/>
      <w:marTop w:val="0"/>
      <w:marBottom w:val="0"/>
      <w:divBdr>
        <w:top w:val="none" w:sz="0" w:space="0" w:color="auto"/>
        <w:left w:val="none" w:sz="0" w:space="0" w:color="auto"/>
        <w:bottom w:val="none" w:sz="0" w:space="0" w:color="auto"/>
        <w:right w:val="none" w:sz="0" w:space="0" w:color="auto"/>
      </w:divBdr>
      <w:divsChild>
        <w:div w:id="1015766449">
          <w:marLeft w:val="0"/>
          <w:marRight w:val="0"/>
          <w:marTop w:val="0"/>
          <w:marBottom w:val="0"/>
          <w:divBdr>
            <w:top w:val="none" w:sz="0" w:space="0" w:color="auto"/>
            <w:left w:val="none" w:sz="0" w:space="0" w:color="auto"/>
            <w:bottom w:val="none" w:sz="0" w:space="0" w:color="auto"/>
            <w:right w:val="none" w:sz="0" w:space="0" w:color="auto"/>
          </w:divBdr>
          <w:divsChild>
            <w:div w:id="1015766588">
              <w:marLeft w:val="0"/>
              <w:marRight w:val="0"/>
              <w:marTop w:val="0"/>
              <w:marBottom w:val="0"/>
              <w:divBdr>
                <w:top w:val="none" w:sz="0" w:space="0" w:color="auto"/>
                <w:left w:val="none" w:sz="0" w:space="0" w:color="auto"/>
                <w:bottom w:val="none" w:sz="0" w:space="0" w:color="auto"/>
                <w:right w:val="none" w:sz="0" w:space="0" w:color="auto"/>
              </w:divBdr>
              <w:divsChild>
                <w:div w:id="1015766469">
                  <w:marLeft w:val="0"/>
                  <w:marRight w:val="0"/>
                  <w:marTop w:val="0"/>
                  <w:marBottom w:val="0"/>
                  <w:divBdr>
                    <w:top w:val="none" w:sz="0" w:space="0" w:color="auto"/>
                    <w:left w:val="none" w:sz="0" w:space="0" w:color="auto"/>
                    <w:bottom w:val="none" w:sz="0" w:space="0" w:color="auto"/>
                    <w:right w:val="none" w:sz="0" w:space="0" w:color="auto"/>
                  </w:divBdr>
                  <w:divsChild>
                    <w:div w:id="10157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766651">
      <w:marLeft w:val="0"/>
      <w:marRight w:val="0"/>
      <w:marTop w:val="0"/>
      <w:marBottom w:val="0"/>
      <w:divBdr>
        <w:top w:val="none" w:sz="0" w:space="0" w:color="auto"/>
        <w:left w:val="none" w:sz="0" w:space="0" w:color="auto"/>
        <w:bottom w:val="none" w:sz="0" w:space="0" w:color="auto"/>
        <w:right w:val="none" w:sz="0" w:space="0" w:color="auto"/>
      </w:divBdr>
    </w:div>
    <w:div w:id="1015766659">
      <w:marLeft w:val="0"/>
      <w:marRight w:val="0"/>
      <w:marTop w:val="0"/>
      <w:marBottom w:val="0"/>
      <w:divBdr>
        <w:top w:val="none" w:sz="0" w:space="0" w:color="auto"/>
        <w:left w:val="none" w:sz="0" w:space="0" w:color="auto"/>
        <w:bottom w:val="none" w:sz="0" w:space="0" w:color="auto"/>
        <w:right w:val="none" w:sz="0" w:space="0" w:color="auto"/>
      </w:divBdr>
      <w:divsChild>
        <w:div w:id="1015766683">
          <w:marLeft w:val="0"/>
          <w:marRight w:val="0"/>
          <w:marTop w:val="0"/>
          <w:marBottom w:val="0"/>
          <w:divBdr>
            <w:top w:val="none" w:sz="0" w:space="0" w:color="auto"/>
            <w:left w:val="none" w:sz="0" w:space="0" w:color="auto"/>
            <w:bottom w:val="none" w:sz="0" w:space="0" w:color="auto"/>
            <w:right w:val="none" w:sz="0" w:space="0" w:color="auto"/>
          </w:divBdr>
          <w:divsChild>
            <w:div w:id="1015766524">
              <w:marLeft w:val="0"/>
              <w:marRight w:val="0"/>
              <w:marTop w:val="0"/>
              <w:marBottom w:val="0"/>
              <w:divBdr>
                <w:top w:val="none" w:sz="0" w:space="0" w:color="auto"/>
                <w:left w:val="none" w:sz="0" w:space="0" w:color="auto"/>
                <w:bottom w:val="none" w:sz="0" w:space="0" w:color="auto"/>
                <w:right w:val="none" w:sz="0" w:space="0" w:color="auto"/>
              </w:divBdr>
              <w:divsChild>
                <w:div w:id="1015766712">
                  <w:marLeft w:val="0"/>
                  <w:marRight w:val="0"/>
                  <w:marTop w:val="0"/>
                  <w:marBottom w:val="0"/>
                  <w:divBdr>
                    <w:top w:val="none" w:sz="0" w:space="0" w:color="auto"/>
                    <w:left w:val="none" w:sz="0" w:space="0" w:color="auto"/>
                    <w:bottom w:val="none" w:sz="0" w:space="0" w:color="auto"/>
                    <w:right w:val="none" w:sz="0" w:space="0" w:color="auto"/>
                  </w:divBdr>
                  <w:divsChild>
                    <w:div w:id="101576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766661">
      <w:marLeft w:val="0"/>
      <w:marRight w:val="0"/>
      <w:marTop w:val="0"/>
      <w:marBottom w:val="0"/>
      <w:divBdr>
        <w:top w:val="none" w:sz="0" w:space="0" w:color="auto"/>
        <w:left w:val="none" w:sz="0" w:space="0" w:color="auto"/>
        <w:bottom w:val="none" w:sz="0" w:space="0" w:color="auto"/>
        <w:right w:val="none" w:sz="0" w:space="0" w:color="auto"/>
      </w:divBdr>
      <w:divsChild>
        <w:div w:id="1015766437">
          <w:marLeft w:val="0"/>
          <w:marRight w:val="0"/>
          <w:marTop w:val="0"/>
          <w:marBottom w:val="0"/>
          <w:divBdr>
            <w:top w:val="none" w:sz="0" w:space="0" w:color="auto"/>
            <w:left w:val="none" w:sz="0" w:space="0" w:color="auto"/>
            <w:bottom w:val="none" w:sz="0" w:space="0" w:color="auto"/>
            <w:right w:val="none" w:sz="0" w:space="0" w:color="auto"/>
          </w:divBdr>
          <w:divsChild>
            <w:div w:id="1015766426">
              <w:marLeft w:val="0"/>
              <w:marRight w:val="0"/>
              <w:marTop w:val="0"/>
              <w:marBottom w:val="0"/>
              <w:divBdr>
                <w:top w:val="none" w:sz="0" w:space="0" w:color="auto"/>
                <w:left w:val="none" w:sz="0" w:space="0" w:color="auto"/>
                <w:bottom w:val="none" w:sz="0" w:space="0" w:color="auto"/>
                <w:right w:val="none" w:sz="0" w:space="0" w:color="auto"/>
              </w:divBdr>
              <w:divsChild>
                <w:div w:id="1015766594">
                  <w:marLeft w:val="0"/>
                  <w:marRight w:val="0"/>
                  <w:marTop w:val="0"/>
                  <w:marBottom w:val="0"/>
                  <w:divBdr>
                    <w:top w:val="none" w:sz="0" w:space="0" w:color="auto"/>
                    <w:left w:val="none" w:sz="0" w:space="0" w:color="auto"/>
                    <w:bottom w:val="none" w:sz="0" w:space="0" w:color="auto"/>
                    <w:right w:val="none" w:sz="0" w:space="0" w:color="auto"/>
                  </w:divBdr>
                  <w:divsChild>
                    <w:div w:id="101576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766662">
      <w:marLeft w:val="0"/>
      <w:marRight w:val="0"/>
      <w:marTop w:val="0"/>
      <w:marBottom w:val="0"/>
      <w:divBdr>
        <w:top w:val="none" w:sz="0" w:space="0" w:color="auto"/>
        <w:left w:val="none" w:sz="0" w:space="0" w:color="auto"/>
        <w:bottom w:val="none" w:sz="0" w:space="0" w:color="auto"/>
        <w:right w:val="none" w:sz="0" w:space="0" w:color="auto"/>
      </w:divBdr>
      <w:divsChild>
        <w:div w:id="1015766703">
          <w:marLeft w:val="0"/>
          <w:marRight w:val="0"/>
          <w:marTop w:val="0"/>
          <w:marBottom w:val="0"/>
          <w:divBdr>
            <w:top w:val="none" w:sz="0" w:space="0" w:color="auto"/>
            <w:left w:val="none" w:sz="0" w:space="0" w:color="auto"/>
            <w:bottom w:val="none" w:sz="0" w:space="0" w:color="auto"/>
            <w:right w:val="none" w:sz="0" w:space="0" w:color="auto"/>
          </w:divBdr>
          <w:divsChild>
            <w:div w:id="1015766440">
              <w:marLeft w:val="0"/>
              <w:marRight w:val="0"/>
              <w:marTop w:val="0"/>
              <w:marBottom w:val="0"/>
              <w:divBdr>
                <w:top w:val="none" w:sz="0" w:space="0" w:color="auto"/>
                <w:left w:val="none" w:sz="0" w:space="0" w:color="auto"/>
                <w:bottom w:val="none" w:sz="0" w:space="0" w:color="auto"/>
                <w:right w:val="none" w:sz="0" w:space="0" w:color="auto"/>
              </w:divBdr>
              <w:divsChild>
                <w:div w:id="1015766647">
                  <w:marLeft w:val="0"/>
                  <w:marRight w:val="0"/>
                  <w:marTop w:val="0"/>
                  <w:marBottom w:val="0"/>
                  <w:divBdr>
                    <w:top w:val="none" w:sz="0" w:space="0" w:color="auto"/>
                    <w:left w:val="none" w:sz="0" w:space="0" w:color="auto"/>
                    <w:bottom w:val="none" w:sz="0" w:space="0" w:color="auto"/>
                    <w:right w:val="none" w:sz="0" w:space="0" w:color="auto"/>
                  </w:divBdr>
                  <w:divsChild>
                    <w:div w:id="10157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766664">
      <w:marLeft w:val="0"/>
      <w:marRight w:val="0"/>
      <w:marTop w:val="0"/>
      <w:marBottom w:val="0"/>
      <w:divBdr>
        <w:top w:val="none" w:sz="0" w:space="0" w:color="auto"/>
        <w:left w:val="none" w:sz="0" w:space="0" w:color="auto"/>
        <w:bottom w:val="none" w:sz="0" w:space="0" w:color="auto"/>
        <w:right w:val="none" w:sz="0" w:space="0" w:color="auto"/>
      </w:divBdr>
    </w:div>
    <w:div w:id="1015766668">
      <w:marLeft w:val="0"/>
      <w:marRight w:val="0"/>
      <w:marTop w:val="0"/>
      <w:marBottom w:val="0"/>
      <w:divBdr>
        <w:top w:val="none" w:sz="0" w:space="0" w:color="auto"/>
        <w:left w:val="none" w:sz="0" w:space="0" w:color="auto"/>
        <w:bottom w:val="none" w:sz="0" w:space="0" w:color="auto"/>
        <w:right w:val="none" w:sz="0" w:space="0" w:color="auto"/>
      </w:divBdr>
    </w:div>
    <w:div w:id="1015766671">
      <w:marLeft w:val="0"/>
      <w:marRight w:val="0"/>
      <w:marTop w:val="0"/>
      <w:marBottom w:val="0"/>
      <w:divBdr>
        <w:top w:val="none" w:sz="0" w:space="0" w:color="auto"/>
        <w:left w:val="none" w:sz="0" w:space="0" w:color="auto"/>
        <w:bottom w:val="none" w:sz="0" w:space="0" w:color="auto"/>
        <w:right w:val="none" w:sz="0" w:space="0" w:color="auto"/>
      </w:divBdr>
      <w:divsChild>
        <w:div w:id="1015766585">
          <w:marLeft w:val="0"/>
          <w:marRight w:val="0"/>
          <w:marTop w:val="0"/>
          <w:marBottom w:val="0"/>
          <w:divBdr>
            <w:top w:val="none" w:sz="0" w:space="0" w:color="auto"/>
            <w:left w:val="none" w:sz="0" w:space="0" w:color="auto"/>
            <w:bottom w:val="none" w:sz="0" w:space="0" w:color="auto"/>
            <w:right w:val="none" w:sz="0" w:space="0" w:color="auto"/>
          </w:divBdr>
          <w:divsChild>
            <w:div w:id="1015766542">
              <w:marLeft w:val="0"/>
              <w:marRight w:val="0"/>
              <w:marTop w:val="0"/>
              <w:marBottom w:val="0"/>
              <w:divBdr>
                <w:top w:val="none" w:sz="0" w:space="0" w:color="auto"/>
                <w:left w:val="none" w:sz="0" w:space="0" w:color="auto"/>
                <w:bottom w:val="none" w:sz="0" w:space="0" w:color="auto"/>
                <w:right w:val="none" w:sz="0" w:space="0" w:color="auto"/>
              </w:divBdr>
              <w:divsChild>
                <w:div w:id="1015766650">
                  <w:marLeft w:val="0"/>
                  <w:marRight w:val="0"/>
                  <w:marTop w:val="0"/>
                  <w:marBottom w:val="0"/>
                  <w:divBdr>
                    <w:top w:val="none" w:sz="0" w:space="0" w:color="auto"/>
                    <w:left w:val="none" w:sz="0" w:space="0" w:color="auto"/>
                    <w:bottom w:val="none" w:sz="0" w:space="0" w:color="auto"/>
                    <w:right w:val="none" w:sz="0" w:space="0" w:color="auto"/>
                  </w:divBdr>
                  <w:divsChild>
                    <w:div w:id="101576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766677">
      <w:marLeft w:val="0"/>
      <w:marRight w:val="0"/>
      <w:marTop w:val="0"/>
      <w:marBottom w:val="0"/>
      <w:divBdr>
        <w:top w:val="none" w:sz="0" w:space="0" w:color="auto"/>
        <w:left w:val="none" w:sz="0" w:space="0" w:color="auto"/>
        <w:bottom w:val="none" w:sz="0" w:space="0" w:color="auto"/>
        <w:right w:val="none" w:sz="0" w:space="0" w:color="auto"/>
      </w:divBdr>
      <w:divsChild>
        <w:div w:id="1015766448">
          <w:marLeft w:val="0"/>
          <w:marRight w:val="0"/>
          <w:marTop w:val="0"/>
          <w:marBottom w:val="0"/>
          <w:divBdr>
            <w:top w:val="none" w:sz="0" w:space="0" w:color="auto"/>
            <w:left w:val="none" w:sz="0" w:space="0" w:color="auto"/>
            <w:bottom w:val="none" w:sz="0" w:space="0" w:color="auto"/>
            <w:right w:val="none" w:sz="0" w:space="0" w:color="auto"/>
          </w:divBdr>
          <w:divsChild>
            <w:div w:id="1015766452">
              <w:marLeft w:val="0"/>
              <w:marRight w:val="0"/>
              <w:marTop w:val="0"/>
              <w:marBottom w:val="0"/>
              <w:divBdr>
                <w:top w:val="none" w:sz="0" w:space="0" w:color="auto"/>
                <w:left w:val="none" w:sz="0" w:space="0" w:color="auto"/>
                <w:bottom w:val="none" w:sz="0" w:space="0" w:color="auto"/>
                <w:right w:val="none" w:sz="0" w:space="0" w:color="auto"/>
              </w:divBdr>
              <w:divsChild>
                <w:div w:id="1015766656">
                  <w:marLeft w:val="0"/>
                  <w:marRight w:val="0"/>
                  <w:marTop w:val="0"/>
                  <w:marBottom w:val="0"/>
                  <w:divBdr>
                    <w:top w:val="none" w:sz="0" w:space="0" w:color="auto"/>
                    <w:left w:val="none" w:sz="0" w:space="0" w:color="auto"/>
                    <w:bottom w:val="none" w:sz="0" w:space="0" w:color="auto"/>
                    <w:right w:val="none" w:sz="0" w:space="0" w:color="auto"/>
                  </w:divBdr>
                </w:div>
              </w:divsChild>
            </w:div>
            <w:div w:id="1015766471">
              <w:marLeft w:val="0"/>
              <w:marRight w:val="0"/>
              <w:marTop w:val="0"/>
              <w:marBottom w:val="0"/>
              <w:divBdr>
                <w:top w:val="none" w:sz="0" w:space="0" w:color="auto"/>
                <w:left w:val="none" w:sz="0" w:space="0" w:color="auto"/>
                <w:bottom w:val="none" w:sz="0" w:space="0" w:color="auto"/>
                <w:right w:val="none" w:sz="0" w:space="0" w:color="auto"/>
              </w:divBdr>
              <w:divsChild>
                <w:div w:id="1015766568">
                  <w:marLeft w:val="0"/>
                  <w:marRight w:val="0"/>
                  <w:marTop w:val="0"/>
                  <w:marBottom w:val="0"/>
                  <w:divBdr>
                    <w:top w:val="none" w:sz="0" w:space="0" w:color="auto"/>
                    <w:left w:val="none" w:sz="0" w:space="0" w:color="auto"/>
                    <w:bottom w:val="none" w:sz="0" w:space="0" w:color="auto"/>
                    <w:right w:val="none" w:sz="0" w:space="0" w:color="auto"/>
                  </w:divBdr>
                </w:div>
              </w:divsChild>
            </w:div>
            <w:div w:id="1015766472">
              <w:marLeft w:val="0"/>
              <w:marRight w:val="0"/>
              <w:marTop w:val="0"/>
              <w:marBottom w:val="0"/>
              <w:divBdr>
                <w:top w:val="none" w:sz="0" w:space="0" w:color="auto"/>
                <w:left w:val="none" w:sz="0" w:space="0" w:color="auto"/>
                <w:bottom w:val="none" w:sz="0" w:space="0" w:color="auto"/>
                <w:right w:val="none" w:sz="0" w:space="0" w:color="auto"/>
              </w:divBdr>
              <w:divsChild>
                <w:div w:id="1015766519">
                  <w:marLeft w:val="0"/>
                  <w:marRight w:val="0"/>
                  <w:marTop w:val="0"/>
                  <w:marBottom w:val="0"/>
                  <w:divBdr>
                    <w:top w:val="none" w:sz="0" w:space="0" w:color="auto"/>
                    <w:left w:val="none" w:sz="0" w:space="0" w:color="auto"/>
                    <w:bottom w:val="none" w:sz="0" w:space="0" w:color="auto"/>
                    <w:right w:val="none" w:sz="0" w:space="0" w:color="auto"/>
                  </w:divBdr>
                </w:div>
              </w:divsChild>
            </w:div>
            <w:div w:id="1015766473">
              <w:marLeft w:val="0"/>
              <w:marRight w:val="0"/>
              <w:marTop w:val="0"/>
              <w:marBottom w:val="0"/>
              <w:divBdr>
                <w:top w:val="none" w:sz="0" w:space="0" w:color="auto"/>
                <w:left w:val="none" w:sz="0" w:space="0" w:color="auto"/>
                <w:bottom w:val="none" w:sz="0" w:space="0" w:color="auto"/>
                <w:right w:val="none" w:sz="0" w:space="0" w:color="auto"/>
              </w:divBdr>
              <w:divsChild>
                <w:div w:id="1015766561">
                  <w:marLeft w:val="0"/>
                  <w:marRight w:val="0"/>
                  <w:marTop w:val="0"/>
                  <w:marBottom w:val="0"/>
                  <w:divBdr>
                    <w:top w:val="none" w:sz="0" w:space="0" w:color="auto"/>
                    <w:left w:val="none" w:sz="0" w:space="0" w:color="auto"/>
                    <w:bottom w:val="none" w:sz="0" w:space="0" w:color="auto"/>
                    <w:right w:val="none" w:sz="0" w:space="0" w:color="auto"/>
                  </w:divBdr>
                </w:div>
              </w:divsChild>
            </w:div>
            <w:div w:id="1015766475">
              <w:marLeft w:val="0"/>
              <w:marRight w:val="0"/>
              <w:marTop w:val="0"/>
              <w:marBottom w:val="0"/>
              <w:divBdr>
                <w:top w:val="none" w:sz="0" w:space="0" w:color="auto"/>
                <w:left w:val="none" w:sz="0" w:space="0" w:color="auto"/>
                <w:bottom w:val="none" w:sz="0" w:space="0" w:color="auto"/>
                <w:right w:val="none" w:sz="0" w:space="0" w:color="auto"/>
              </w:divBdr>
              <w:divsChild>
                <w:div w:id="1015766494">
                  <w:marLeft w:val="0"/>
                  <w:marRight w:val="0"/>
                  <w:marTop w:val="0"/>
                  <w:marBottom w:val="0"/>
                  <w:divBdr>
                    <w:top w:val="none" w:sz="0" w:space="0" w:color="auto"/>
                    <w:left w:val="none" w:sz="0" w:space="0" w:color="auto"/>
                    <w:bottom w:val="none" w:sz="0" w:space="0" w:color="auto"/>
                    <w:right w:val="none" w:sz="0" w:space="0" w:color="auto"/>
                  </w:divBdr>
                </w:div>
              </w:divsChild>
            </w:div>
            <w:div w:id="1015766476">
              <w:marLeft w:val="0"/>
              <w:marRight w:val="0"/>
              <w:marTop w:val="0"/>
              <w:marBottom w:val="0"/>
              <w:divBdr>
                <w:top w:val="none" w:sz="0" w:space="0" w:color="auto"/>
                <w:left w:val="none" w:sz="0" w:space="0" w:color="auto"/>
                <w:bottom w:val="none" w:sz="0" w:space="0" w:color="auto"/>
                <w:right w:val="none" w:sz="0" w:space="0" w:color="auto"/>
              </w:divBdr>
              <w:divsChild>
                <w:div w:id="1015766653">
                  <w:marLeft w:val="0"/>
                  <w:marRight w:val="0"/>
                  <w:marTop w:val="0"/>
                  <w:marBottom w:val="0"/>
                  <w:divBdr>
                    <w:top w:val="none" w:sz="0" w:space="0" w:color="auto"/>
                    <w:left w:val="none" w:sz="0" w:space="0" w:color="auto"/>
                    <w:bottom w:val="none" w:sz="0" w:space="0" w:color="auto"/>
                    <w:right w:val="none" w:sz="0" w:space="0" w:color="auto"/>
                  </w:divBdr>
                </w:div>
              </w:divsChild>
            </w:div>
            <w:div w:id="1015766483">
              <w:marLeft w:val="0"/>
              <w:marRight w:val="0"/>
              <w:marTop w:val="0"/>
              <w:marBottom w:val="0"/>
              <w:divBdr>
                <w:top w:val="none" w:sz="0" w:space="0" w:color="auto"/>
                <w:left w:val="none" w:sz="0" w:space="0" w:color="auto"/>
                <w:bottom w:val="none" w:sz="0" w:space="0" w:color="auto"/>
                <w:right w:val="none" w:sz="0" w:space="0" w:color="auto"/>
              </w:divBdr>
              <w:divsChild>
                <w:div w:id="1015766536">
                  <w:marLeft w:val="0"/>
                  <w:marRight w:val="0"/>
                  <w:marTop w:val="0"/>
                  <w:marBottom w:val="0"/>
                  <w:divBdr>
                    <w:top w:val="none" w:sz="0" w:space="0" w:color="auto"/>
                    <w:left w:val="none" w:sz="0" w:space="0" w:color="auto"/>
                    <w:bottom w:val="none" w:sz="0" w:space="0" w:color="auto"/>
                    <w:right w:val="none" w:sz="0" w:space="0" w:color="auto"/>
                  </w:divBdr>
                </w:div>
              </w:divsChild>
            </w:div>
            <w:div w:id="1015766484">
              <w:marLeft w:val="0"/>
              <w:marRight w:val="0"/>
              <w:marTop w:val="0"/>
              <w:marBottom w:val="0"/>
              <w:divBdr>
                <w:top w:val="none" w:sz="0" w:space="0" w:color="auto"/>
                <w:left w:val="none" w:sz="0" w:space="0" w:color="auto"/>
                <w:bottom w:val="none" w:sz="0" w:space="0" w:color="auto"/>
                <w:right w:val="none" w:sz="0" w:space="0" w:color="auto"/>
              </w:divBdr>
              <w:divsChild>
                <w:div w:id="1015766576">
                  <w:marLeft w:val="0"/>
                  <w:marRight w:val="0"/>
                  <w:marTop w:val="0"/>
                  <w:marBottom w:val="0"/>
                  <w:divBdr>
                    <w:top w:val="none" w:sz="0" w:space="0" w:color="auto"/>
                    <w:left w:val="none" w:sz="0" w:space="0" w:color="auto"/>
                    <w:bottom w:val="none" w:sz="0" w:space="0" w:color="auto"/>
                    <w:right w:val="none" w:sz="0" w:space="0" w:color="auto"/>
                  </w:divBdr>
                </w:div>
              </w:divsChild>
            </w:div>
            <w:div w:id="1015766532">
              <w:marLeft w:val="0"/>
              <w:marRight w:val="0"/>
              <w:marTop w:val="0"/>
              <w:marBottom w:val="0"/>
              <w:divBdr>
                <w:top w:val="none" w:sz="0" w:space="0" w:color="auto"/>
                <w:left w:val="none" w:sz="0" w:space="0" w:color="auto"/>
                <w:bottom w:val="none" w:sz="0" w:space="0" w:color="auto"/>
                <w:right w:val="none" w:sz="0" w:space="0" w:color="auto"/>
              </w:divBdr>
              <w:divsChild>
                <w:div w:id="1015766675">
                  <w:marLeft w:val="0"/>
                  <w:marRight w:val="0"/>
                  <w:marTop w:val="0"/>
                  <w:marBottom w:val="0"/>
                  <w:divBdr>
                    <w:top w:val="none" w:sz="0" w:space="0" w:color="auto"/>
                    <w:left w:val="none" w:sz="0" w:space="0" w:color="auto"/>
                    <w:bottom w:val="none" w:sz="0" w:space="0" w:color="auto"/>
                    <w:right w:val="none" w:sz="0" w:space="0" w:color="auto"/>
                  </w:divBdr>
                </w:div>
              </w:divsChild>
            </w:div>
            <w:div w:id="1015766540">
              <w:marLeft w:val="0"/>
              <w:marRight w:val="0"/>
              <w:marTop w:val="0"/>
              <w:marBottom w:val="0"/>
              <w:divBdr>
                <w:top w:val="none" w:sz="0" w:space="0" w:color="auto"/>
                <w:left w:val="none" w:sz="0" w:space="0" w:color="auto"/>
                <w:bottom w:val="none" w:sz="0" w:space="0" w:color="auto"/>
                <w:right w:val="none" w:sz="0" w:space="0" w:color="auto"/>
              </w:divBdr>
              <w:divsChild>
                <w:div w:id="1015766642">
                  <w:marLeft w:val="0"/>
                  <w:marRight w:val="0"/>
                  <w:marTop w:val="0"/>
                  <w:marBottom w:val="0"/>
                  <w:divBdr>
                    <w:top w:val="none" w:sz="0" w:space="0" w:color="auto"/>
                    <w:left w:val="none" w:sz="0" w:space="0" w:color="auto"/>
                    <w:bottom w:val="none" w:sz="0" w:space="0" w:color="auto"/>
                    <w:right w:val="none" w:sz="0" w:space="0" w:color="auto"/>
                  </w:divBdr>
                </w:div>
              </w:divsChild>
            </w:div>
            <w:div w:id="1015766565">
              <w:marLeft w:val="0"/>
              <w:marRight w:val="0"/>
              <w:marTop w:val="0"/>
              <w:marBottom w:val="0"/>
              <w:divBdr>
                <w:top w:val="none" w:sz="0" w:space="0" w:color="auto"/>
                <w:left w:val="none" w:sz="0" w:space="0" w:color="auto"/>
                <w:bottom w:val="none" w:sz="0" w:space="0" w:color="auto"/>
                <w:right w:val="none" w:sz="0" w:space="0" w:color="auto"/>
              </w:divBdr>
              <w:divsChild>
                <w:div w:id="1015766663">
                  <w:marLeft w:val="0"/>
                  <w:marRight w:val="0"/>
                  <w:marTop w:val="0"/>
                  <w:marBottom w:val="0"/>
                  <w:divBdr>
                    <w:top w:val="none" w:sz="0" w:space="0" w:color="auto"/>
                    <w:left w:val="none" w:sz="0" w:space="0" w:color="auto"/>
                    <w:bottom w:val="none" w:sz="0" w:space="0" w:color="auto"/>
                    <w:right w:val="none" w:sz="0" w:space="0" w:color="auto"/>
                  </w:divBdr>
                </w:div>
              </w:divsChild>
            </w:div>
            <w:div w:id="1015766630">
              <w:marLeft w:val="0"/>
              <w:marRight w:val="0"/>
              <w:marTop w:val="0"/>
              <w:marBottom w:val="0"/>
              <w:divBdr>
                <w:top w:val="none" w:sz="0" w:space="0" w:color="auto"/>
                <w:left w:val="none" w:sz="0" w:space="0" w:color="auto"/>
                <w:bottom w:val="none" w:sz="0" w:space="0" w:color="auto"/>
                <w:right w:val="none" w:sz="0" w:space="0" w:color="auto"/>
              </w:divBdr>
              <w:divsChild>
                <w:div w:id="1015766443">
                  <w:marLeft w:val="0"/>
                  <w:marRight w:val="0"/>
                  <w:marTop w:val="0"/>
                  <w:marBottom w:val="0"/>
                  <w:divBdr>
                    <w:top w:val="none" w:sz="0" w:space="0" w:color="auto"/>
                    <w:left w:val="none" w:sz="0" w:space="0" w:color="auto"/>
                    <w:bottom w:val="none" w:sz="0" w:space="0" w:color="auto"/>
                    <w:right w:val="none" w:sz="0" w:space="0" w:color="auto"/>
                  </w:divBdr>
                </w:div>
              </w:divsChild>
            </w:div>
            <w:div w:id="1015766667">
              <w:marLeft w:val="0"/>
              <w:marRight w:val="0"/>
              <w:marTop w:val="0"/>
              <w:marBottom w:val="0"/>
              <w:divBdr>
                <w:top w:val="none" w:sz="0" w:space="0" w:color="auto"/>
                <w:left w:val="none" w:sz="0" w:space="0" w:color="auto"/>
                <w:bottom w:val="none" w:sz="0" w:space="0" w:color="auto"/>
                <w:right w:val="none" w:sz="0" w:space="0" w:color="auto"/>
              </w:divBdr>
              <w:divsChild>
                <w:div w:id="1015766564">
                  <w:marLeft w:val="0"/>
                  <w:marRight w:val="0"/>
                  <w:marTop w:val="0"/>
                  <w:marBottom w:val="0"/>
                  <w:divBdr>
                    <w:top w:val="none" w:sz="0" w:space="0" w:color="auto"/>
                    <w:left w:val="none" w:sz="0" w:space="0" w:color="auto"/>
                    <w:bottom w:val="none" w:sz="0" w:space="0" w:color="auto"/>
                    <w:right w:val="none" w:sz="0" w:space="0" w:color="auto"/>
                  </w:divBdr>
                </w:div>
              </w:divsChild>
            </w:div>
            <w:div w:id="1015766686">
              <w:marLeft w:val="0"/>
              <w:marRight w:val="0"/>
              <w:marTop w:val="0"/>
              <w:marBottom w:val="0"/>
              <w:divBdr>
                <w:top w:val="none" w:sz="0" w:space="0" w:color="auto"/>
                <w:left w:val="none" w:sz="0" w:space="0" w:color="auto"/>
                <w:bottom w:val="none" w:sz="0" w:space="0" w:color="auto"/>
                <w:right w:val="none" w:sz="0" w:space="0" w:color="auto"/>
              </w:divBdr>
              <w:divsChild>
                <w:div w:id="1015766422">
                  <w:marLeft w:val="0"/>
                  <w:marRight w:val="0"/>
                  <w:marTop w:val="0"/>
                  <w:marBottom w:val="0"/>
                  <w:divBdr>
                    <w:top w:val="none" w:sz="0" w:space="0" w:color="auto"/>
                    <w:left w:val="none" w:sz="0" w:space="0" w:color="auto"/>
                    <w:bottom w:val="none" w:sz="0" w:space="0" w:color="auto"/>
                    <w:right w:val="none" w:sz="0" w:space="0" w:color="auto"/>
                  </w:divBdr>
                </w:div>
              </w:divsChild>
            </w:div>
            <w:div w:id="1015766694">
              <w:marLeft w:val="0"/>
              <w:marRight w:val="0"/>
              <w:marTop w:val="0"/>
              <w:marBottom w:val="0"/>
              <w:divBdr>
                <w:top w:val="none" w:sz="0" w:space="0" w:color="auto"/>
                <w:left w:val="none" w:sz="0" w:space="0" w:color="auto"/>
                <w:bottom w:val="none" w:sz="0" w:space="0" w:color="auto"/>
                <w:right w:val="none" w:sz="0" w:space="0" w:color="auto"/>
              </w:divBdr>
              <w:divsChild>
                <w:div w:id="1015766634">
                  <w:marLeft w:val="0"/>
                  <w:marRight w:val="0"/>
                  <w:marTop w:val="0"/>
                  <w:marBottom w:val="0"/>
                  <w:divBdr>
                    <w:top w:val="none" w:sz="0" w:space="0" w:color="auto"/>
                    <w:left w:val="none" w:sz="0" w:space="0" w:color="auto"/>
                    <w:bottom w:val="none" w:sz="0" w:space="0" w:color="auto"/>
                    <w:right w:val="none" w:sz="0" w:space="0" w:color="auto"/>
                  </w:divBdr>
                </w:div>
              </w:divsChild>
            </w:div>
            <w:div w:id="1015766702">
              <w:marLeft w:val="0"/>
              <w:marRight w:val="0"/>
              <w:marTop w:val="0"/>
              <w:marBottom w:val="0"/>
              <w:divBdr>
                <w:top w:val="none" w:sz="0" w:space="0" w:color="auto"/>
                <w:left w:val="none" w:sz="0" w:space="0" w:color="auto"/>
                <w:bottom w:val="none" w:sz="0" w:space="0" w:color="auto"/>
                <w:right w:val="none" w:sz="0" w:space="0" w:color="auto"/>
              </w:divBdr>
              <w:divsChild>
                <w:div w:id="1015766596">
                  <w:marLeft w:val="0"/>
                  <w:marRight w:val="0"/>
                  <w:marTop w:val="0"/>
                  <w:marBottom w:val="0"/>
                  <w:divBdr>
                    <w:top w:val="none" w:sz="0" w:space="0" w:color="auto"/>
                    <w:left w:val="none" w:sz="0" w:space="0" w:color="auto"/>
                    <w:bottom w:val="none" w:sz="0" w:space="0" w:color="auto"/>
                    <w:right w:val="none" w:sz="0" w:space="0" w:color="auto"/>
                  </w:divBdr>
                </w:div>
              </w:divsChild>
            </w:div>
            <w:div w:id="1015766706">
              <w:marLeft w:val="0"/>
              <w:marRight w:val="0"/>
              <w:marTop w:val="0"/>
              <w:marBottom w:val="0"/>
              <w:divBdr>
                <w:top w:val="none" w:sz="0" w:space="0" w:color="auto"/>
                <w:left w:val="none" w:sz="0" w:space="0" w:color="auto"/>
                <w:bottom w:val="none" w:sz="0" w:space="0" w:color="auto"/>
                <w:right w:val="none" w:sz="0" w:space="0" w:color="auto"/>
              </w:divBdr>
              <w:divsChild>
                <w:div w:id="1015766451">
                  <w:marLeft w:val="0"/>
                  <w:marRight w:val="0"/>
                  <w:marTop w:val="0"/>
                  <w:marBottom w:val="0"/>
                  <w:divBdr>
                    <w:top w:val="none" w:sz="0" w:space="0" w:color="auto"/>
                    <w:left w:val="none" w:sz="0" w:space="0" w:color="auto"/>
                    <w:bottom w:val="none" w:sz="0" w:space="0" w:color="auto"/>
                    <w:right w:val="none" w:sz="0" w:space="0" w:color="auto"/>
                  </w:divBdr>
                </w:div>
              </w:divsChild>
            </w:div>
            <w:div w:id="1015766708">
              <w:marLeft w:val="0"/>
              <w:marRight w:val="0"/>
              <w:marTop w:val="0"/>
              <w:marBottom w:val="0"/>
              <w:divBdr>
                <w:top w:val="none" w:sz="0" w:space="0" w:color="auto"/>
                <w:left w:val="none" w:sz="0" w:space="0" w:color="auto"/>
                <w:bottom w:val="none" w:sz="0" w:space="0" w:color="auto"/>
                <w:right w:val="none" w:sz="0" w:space="0" w:color="auto"/>
              </w:divBdr>
              <w:divsChild>
                <w:div w:id="101576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766692">
      <w:marLeft w:val="0"/>
      <w:marRight w:val="0"/>
      <w:marTop w:val="0"/>
      <w:marBottom w:val="0"/>
      <w:divBdr>
        <w:top w:val="none" w:sz="0" w:space="0" w:color="auto"/>
        <w:left w:val="none" w:sz="0" w:space="0" w:color="auto"/>
        <w:bottom w:val="none" w:sz="0" w:space="0" w:color="auto"/>
        <w:right w:val="none" w:sz="0" w:space="0" w:color="auto"/>
      </w:divBdr>
      <w:divsChild>
        <w:div w:id="1015766689">
          <w:marLeft w:val="0"/>
          <w:marRight w:val="0"/>
          <w:marTop w:val="0"/>
          <w:marBottom w:val="0"/>
          <w:divBdr>
            <w:top w:val="none" w:sz="0" w:space="0" w:color="auto"/>
            <w:left w:val="none" w:sz="0" w:space="0" w:color="auto"/>
            <w:bottom w:val="none" w:sz="0" w:space="0" w:color="auto"/>
            <w:right w:val="none" w:sz="0" w:space="0" w:color="auto"/>
          </w:divBdr>
          <w:divsChild>
            <w:div w:id="1015766455">
              <w:marLeft w:val="0"/>
              <w:marRight w:val="0"/>
              <w:marTop w:val="0"/>
              <w:marBottom w:val="0"/>
              <w:divBdr>
                <w:top w:val="none" w:sz="0" w:space="0" w:color="auto"/>
                <w:left w:val="none" w:sz="0" w:space="0" w:color="auto"/>
                <w:bottom w:val="none" w:sz="0" w:space="0" w:color="auto"/>
                <w:right w:val="none" w:sz="0" w:space="0" w:color="auto"/>
              </w:divBdr>
              <w:divsChild>
                <w:div w:id="1015766546">
                  <w:marLeft w:val="0"/>
                  <w:marRight w:val="0"/>
                  <w:marTop w:val="0"/>
                  <w:marBottom w:val="0"/>
                  <w:divBdr>
                    <w:top w:val="none" w:sz="0" w:space="0" w:color="auto"/>
                    <w:left w:val="none" w:sz="0" w:space="0" w:color="auto"/>
                    <w:bottom w:val="none" w:sz="0" w:space="0" w:color="auto"/>
                    <w:right w:val="none" w:sz="0" w:space="0" w:color="auto"/>
                  </w:divBdr>
                  <w:divsChild>
                    <w:div w:id="101576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766700">
      <w:marLeft w:val="0"/>
      <w:marRight w:val="0"/>
      <w:marTop w:val="0"/>
      <w:marBottom w:val="0"/>
      <w:divBdr>
        <w:top w:val="none" w:sz="0" w:space="0" w:color="auto"/>
        <w:left w:val="none" w:sz="0" w:space="0" w:color="auto"/>
        <w:bottom w:val="none" w:sz="0" w:space="0" w:color="auto"/>
        <w:right w:val="none" w:sz="0" w:space="0" w:color="auto"/>
      </w:divBdr>
      <w:divsChild>
        <w:div w:id="1015766506">
          <w:marLeft w:val="0"/>
          <w:marRight w:val="0"/>
          <w:marTop w:val="0"/>
          <w:marBottom w:val="0"/>
          <w:divBdr>
            <w:top w:val="none" w:sz="0" w:space="0" w:color="auto"/>
            <w:left w:val="none" w:sz="0" w:space="0" w:color="auto"/>
            <w:bottom w:val="none" w:sz="0" w:space="0" w:color="auto"/>
            <w:right w:val="none" w:sz="0" w:space="0" w:color="auto"/>
          </w:divBdr>
          <w:divsChild>
            <w:div w:id="1015766528">
              <w:marLeft w:val="0"/>
              <w:marRight w:val="0"/>
              <w:marTop w:val="0"/>
              <w:marBottom w:val="0"/>
              <w:divBdr>
                <w:top w:val="none" w:sz="0" w:space="0" w:color="auto"/>
                <w:left w:val="none" w:sz="0" w:space="0" w:color="auto"/>
                <w:bottom w:val="none" w:sz="0" w:space="0" w:color="auto"/>
                <w:right w:val="none" w:sz="0" w:space="0" w:color="auto"/>
              </w:divBdr>
              <w:divsChild>
                <w:div w:id="1015766602">
                  <w:marLeft w:val="0"/>
                  <w:marRight w:val="0"/>
                  <w:marTop w:val="0"/>
                  <w:marBottom w:val="0"/>
                  <w:divBdr>
                    <w:top w:val="none" w:sz="0" w:space="0" w:color="auto"/>
                    <w:left w:val="none" w:sz="0" w:space="0" w:color="auto"/>
                    <w:bottom w:val="none" w:sz="0" w:space="0" w:color="auto"/>
                    <w:right w:val="none" w:sz="0" w:space="0" w:color="auto"/>
                  </w:divBdr>
                  <w:divsChild>
                    <w:div w:id="101576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766701">
      <w:marLeft w:val="0"/>
      <w:marRight w:val="0"/>
      <w:marTop w:val="0"/>
      <w:marBottom w:val="0"/>
      <w:divBdr>
        <w:top w:val="none" w:sz="0" w:space="0" w:color="auto"/>
        <w:left w:val="none" w:sz="0" w:space="0" w:color="auto"/>
        <w:bottom w:val="none" w:sz="0" w:space="0" w:color="auto"/>
        <w:right w:val="none" w:sz="0" w:space="0" w:color="auto"/>
      </w:divBdr>
      <w:divsChild>
        <w:div w:id="1015766559">
          <w:marLeft w:val="0"/>
          <w:marRight w:val="0"/>
          <w:marTop w:val="0"/>
          <w:marBottom w:val="0"/>
          <w:divBdr>
            <w:top w:val="none" w:sz="0" w:space="0" w:color="auto"/>
            <w:left w:val="none" w:sz="0" w:space="0" w:color="auto"/>
            <w:bottom w:val="none" w:sz="0" w:space="0" w:color="auto"/>
            <w:right w:val="none" w:sz="0" w:space="0" w:color="auto"/>
          </w:divBdr>
          <w:divsChild>
            <w:div w:id="1015766674">
              <w:marLeft w:val="0"/>
              <w:marRight w:val="0"/>
              <w:marTop w:val="0"/>
              <w:marBottom w:val="0"/>
              <w:divBdr>
                <w:top w:val="none" w:sz="0" w:space="0" w:color="auto"/>
                <w:left w:val="none" w:sz="0" w:space="0" w:color="auto"/>
                <w:bottom w:val="none" w:sz="0" w:space="0" w:color="auto"/>
                <w:right w:val="none" w:sz="0" w:space="0" w:color="auto"/>
              </w:divBdr>
              <w:divsChild>
                <w:div w:id="1015766608">
                  <w:marLeft w:val="0"/>
                  <w:marRight w:val="0"/>
                  <w:marTop w:val="0"/>
                  <w:marBottom w:val="0"/>
                  <w:divBdr>
                    <w:top w:val="none" w:sz="0" w:space="0" w:color="auto"/>
                    <w:left w:val="none" w:sz="0" w:space="0" w:color="auto"/>
                    <w:bottom w:val="none" w:sz="0" w:space="0" w:color="auto"/>
                    <w:right w:val="none" w:sz="0" w:space="0" w:color="auto"/>
                  </w:divBdr>
                  <w:divsChild>
                    <w:div w:id="101576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766705">
      <w:marLeft w:val="0"/>
      <w:marRight w:val="0"/>
      <w:marTop w:val="0"/>
      <w:marBottom w:val="0"/>
      <w:divBdr>
        <w:top w:val="none" w:sz="0" w:space="0" w:color="auto"/>
        <w:left w:val="none" w:sz="0" w:space="0" w:color="auto"/>
        <w:bottom w:val="none" w:sz="0" w:space="0" w:color="auto"/>
        <w:right w:val="none" w:sz="0" w:space="0" w:color="auto"/>
      </w:divBdr>
    </w:div>
    <w:div w:id="1015766719">
      <w:marLeft w:val="0"/>
      <w:marRight w:val="0"/>
      <w:marTop w:val="0"/>
      <w:marBottom w:val="0"/>
      <w:divBdr>
        <w:top w:val="none" w:sz="0" w:space="0" w:color="auto"/>
        <w:left w:val="none" w:sz="0" w:space="0" w:color="auto"/>
        <w:bottom w:val="none" w:sz="0" w:space="0" w:color="auto"/>
        <w:right w:val="none" w:sz="0" w:space="0" w:color="auto"/>
      </w:divBdr>
    </w:div>
    <w:div w:id="1088044841">
      <w:bodyDiv w:val="1"/>
      <w:marLeft w:val="0"/>
      <w:marRight w:val="0"/>
      <w:marTop w:val="0"/>
      <w:marBottom w:val="0"/>
      <w:divBdr>
        <w:top w:val="none" w:sz="0" w:space="0" w:color="auto"/>
        <w:left w:val="none" w:sz="0" w:space="0" w:color="auto"/>
        <w:bottom w:val="none" w:sz="0" w:space="0" w:color="auto"/>
        <w:right w:val="none" w:sz="0" w:space="0" w:color="auto"/>
      </w:divBdr>
      <w:divsChild>
        <w:div w:id="1017971140">
          <w:marLeft w:val="0"/>
          <w:marRight w:val="0"/>
          <w:marTop w:val="0"/>
          <w:marBottom w:val="0"/>
          <w:divBdr>
            <w:top w:val="none" w:sz="0" w:space="0" w:color="auto"/>
            <w:left w:val="none" w:sz="0" w:space="0" w:color="auto"/>
            <w:bottom w:val="none" w:sz="0" w:space="0" w:color="auto"/>
            <w:right w:val="none" w:sz="0" w:space="0" w:color="auto"/>
          </w:divBdr>
          <w:divsChild>
            <w:div w:id="680819028">
              <w:marLeft w:val="0"/>
              <w:marRight w:val="0"/>
              <w:marTop w:val="0"/>
              <w:marBottom w:val="0"/>
              <w:divBdr>
                <w:top w:val="none" w:sz="0" w:space="0" w:color="auto"/>
                <w:left w:val="none" w:sz="0" w:space="0" w:color="auto"/>
                <w:bottom w:val="none" w:sz="0" w:space="0" w:color="auto"/>
                <w:right w:val="none" w:sz="0" w:space="0" w:color="auto"/>
              </w:divBdr>
              <w:divsChild>
                <w:div w:id="128045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172862">
      <w:bodyDiv w:val="1"/>
      <w:marLeft w:val="0"/>
      <w:marRight w:val="0"/>
      <w:marTop w:val="0"/>
      <w:marBottom w:val="0"/>
      <w:divBdr>
        <w:top w:val="none" w:sz="0" w:space="0" w:color="auto"/>
        <w:left w:val="none" w:sz="0" w:space="0" w:color="auto"/>
        <w:bottom w:val="none" w:sz="0" w:space="0" w:color="auto"/>
        <w:right w:val="none" w:sz="0" w:space="0" w:color="auto"/>
      </w:divBdr>
    </w:div>
    <w:div w:id="1137264037">
      <w:bodyDiv w:val="1"/>
      <w:marLeft w:val="0"/>
      <w:marRight w:val="0"/>
      <w:marTop w:val="0"/>
      <w:marBottom w:val="0"/>
      <w:divBdr>
        <w:top w:val="none" w:sz="0" w:space="0" w:color="auto"/>
        <w:left w:val="none" w:sz="0" w:space="0" w:color="auto"/>
        <w:bottom w:val="none" w:sz="0" w:space="0" w:color="auto"/>
        <w:right w:val="none" w:sz="0" w:space="0" w:color="auto"/>
      </w:divBdr>
    </w:div>
    <w:div w:id="1262880133">
      <w:bodyDiv w:val="1"/>
      <w:marLeft w:val="0"/>
      <w:marRight w:val="0"/>
      <w:marTop w:val="0"/>
      <w:marBottom w:val="0"/>
      <w:divBdr>
        <w:top w:val="none" w:sz="0" w:space="0" w:color="auto"/>
        <w:left w:val="none" w:sz="0" w:space="0" w:color="auto"/>
        <w:bottom w:val="none" w:sz="0" w:space="0" w:color="auto"/>
        <w:right w:val="none" w:sz="0" w:space="0" w:color="auto"/>
      </w:divBdr>
    </w:div>
    <w:div w:id="1647708084">
      <w:bodyDiv w:val="1"/>
      <w:marLeft w:val="0"/>
      <w:marRight w:val="0"/>
      <w:marTop w:val="0"/>
      <w:marBottom w:val="0"/>
      <w:divBdr>
        <w:top w:val="none" w:sz="0" w:space="0" w:color="auto"/>
        <w:left w:val="none" w:sz="0" w:space="0" w:color="auto"/>
        <w:bottom w:val="none" w:sz="0" w:space="0" w:color="auto"/>
        <w:right w:val="none" w:sz="0" w:space="0" w:color="auto"/>
      </w:divBdr>
    </w:div>
    <w:div w:id="1655910271">
      <w:bodyDiv w:val="1"/>
      <w:marLeft w:val="0"/>
      <w:marRight w:val="0"/>
      <w:marTop w:val="0"/>
      <w:marBottom w:val="0"/>
      <w:divBdr>
        <w:top w:val="none" w:sz="0" w:space="0" w:color="auto"/>
        <w:left w:val="none" w:sz="0" w:space="0" w:color="auto"/>
        <w:bottom w:val="none" w:sz="0" w:space="0" w:color="auto"/>
        <w:right w:val="none" w:sz="0" w:space="0" w:color="auto"/>
      </w:divBdr>
    </w:div>
    <w:div w:id="1745224635">
      <w:bodyDiv w:val="1"/>
      <w:marLeft w:val="0"/>
      <w:marRight w:val="0"/>
      <w:marTop w:val="0"/>
      <w:marBottom w:val="0"/>
      <w:divBdr>
        <w:top w:val="none" w:sz="0" w:space="0" w:color="auto"/>
        <w:left w:val="none" w:sz="0" w:space="0" w:color="auto"/>
        <w:bottom w:val="none" w:sz="0" w:space="0" w:color="auto"/>
        <w:right w:val="none" w:sz="0" w:space="0" w:color="auto"/>
      </w:divBdr>
    </w:div>
    <w:div w:id="1883204014">
      <w:bodyDiv w:val="1"/>
      <w:marLeft w:val="0"/>
      <w:marRight w:val="0"/>
      <w:marTop w:val="0"/>
      <w:marBottom w:val="0"/>
      <w:divBdr>
        <w:top w:val="none" w:sz="0" w:space="0" w:color="auto"/>
        <w:left w:val="none" w:sz="0" w:space="0" w:color="auto"/>
        <w:bottom w:val="none" w:sz="0" w:space="0" w:color="auto"/>
        <w:right w:val="none" w:sz="0" w:space="0" w:color="auto"/>
      </w:divBdr>
    </w:div>
    <w:div w:id="1886063381">
      <w:bodyDiv w:val="1"/>
      <w:marLeft w:val="0"/>
      <w:marRight w:val="0"/>
      <w:marTop w:val="0"/>
      <w:marBottom w:val="0"/>
      <w:divBdr>
        <w:top w:val="none" w:sz="0" w:space="0" w:color="auto"/>
        <w:left w:val="none" w:sz="0" w:space="0" w:color="auto"/>
        <w:bottom w:val="none" w:sz="0" w:space="0" w:color="auto"/>
        <w:right w:val="none" w:sz="0" w:space="0" w:color="auto"/>
      </w:divBdr>
      <w:divsChild>
        <w:div w:id="1939945168">
          <w:marLeft w:val="446"/>
          <w:marRight w:val="0"/>
          <w:marTop w:val="0"/>
          <w:marBottom w:val="0"/>
          <w:divBdr>
            <w:top w:val="none" w:sz="0" w:space="0" w:color="auto"/>
            <w:left w:val="none" w:sz="0" w:space="0" w:color="auto"/>
            <w:bottom w:val="none" w:sz="0" w:space="0" w:color="auto"/>
            <w:right w:val="none" w:sz="0" w:space="0" w:color="auto"/>
          </w:divBdr>
        </w:div>
      </w:divsChild>
    </w:div>
    <w:div w:id="1895459287">
      <w:bodyDiv w:val="1"/>
      <w:marLeft w:val="0"/>
      <w:marRight w:val="0"/>
      <w:marTop w:val="0"/>
      <w:marBottom w:val="0"/>
      <w:divBdr>
        <w:top w:val="none" w:sz="0" w:space="0" w:color="auto"/>
        <w:left w:val="none" w:sz="0" w:space="0" w:color="auto"/>
        <w:bottom w:val="none" w:sz="0" w:space="0" w:color="auto"/>
        <w:right w:val="none" w:sz="0" w:space="0" w:color="auto"/>
      </w:divBdr>
    </w:div>
    <w:div w:id="2014869219">
      <w:bodyDiv w:val="1"/>
      <w:marLeft w:val="0"/>
      <w:marRight w:val="0"/>
      <w:marTop w:val="0"/>
      <w:marBottom w:val="0"/>
      <w:divBdr>
        <w:top w:val="none" w:sz="0" w:space="0" w:color="auto"/>
        <w:left w:val="none" w:sz="0" w:space="0" w:color="auto"/>
        <w:bottom w:val="none" w:sz="0" w:space="0" w:color="auto"/>
        <w:right w:val="none" w:sz="0" w:space="0" w:color="auto"/>
      </w:divBdr>
    </w:div>
    <w:div w:id="2039044305">
      <w:bodyDiv w:val="1"/>
      <w:marLeft w:val="0"/>
      <w:marRight w:val="0"/>
      <w:marTop w:val="0"/>
      <w:marBottom w:val="0"/>
      <w:divBdr>
        <w:top w:val="none" w:sz="0" w:space="0" w:color="auto"/>
        <w:left w:val="none" w:sz="0" w:space="0" w:color="auto"/>
        <w:bottom w:val="none" w:sz="0" w:space="0" w:color="auto"/>
        <w:right w:val="none" w:sz="0" w:space="0" w:color="auto"/>
      </w:divBdr>
    </w:div>
    <w:div w:id="2068411048">
      <w:bodyDiv w:val="1"/>
      <w:marLeft w:val="0"/>
      <w:marRight w:val="0"/>
      <w:marTop w:val="0"/>
      <w:marBottom w:val="0"/>
      <w:divBdr>
        <w:top w:val="none" w:sz="0" w:space="0" w:color="auto"/>
        <w:left w:val="none" w:sz="0" w:space="0" w:color="auto"/>
        <w:bottom w:val="none" w:sz="0" w:space="0" w:color="auto"/>
        <w:right w:val="none" w:sz="0" w:space="0" w:color="auto"/>
      </w:divBdr>
      <w:divsChild>
        <w:div w:id="591283415">
          <w:marLeft w:val="0"/>
          <w:marRight w:val="0"/>
          <w:marTop w:val="0"/>
          <w:marBottom w:val="0"/>
          <w:divBdr>
            <w:top w:val="none" w:sz="0" w:space="0" w:color="auto"/>
            <w:left w:val="none" w:sz="0" w:space="0" w:color="auto"/>
            <w:bottom w:val="none" w:sz="0" w:space="0" w:color="auto"/>
            <w:right w:val="none" w:sz="0" w:space="0" w:color="auto"/>
          </w:divBdr>
          <w:divsChild>
            <w:div w:id="418597033">
              <w:marLeft w:val="0"/>
              <w:marRight w:val="0"/>
              <w:marTop w:val="0"/>
              <w:marBottom w:val="0"/>
              <w:divBdr>
                <w:top w:val="none" w:sz="0" w:space="0" w:color="auto"/>
                <w:left w:val="none" w:sz="0" w:space="0" w:color="auto"/>
                <w:bottom w:val="none" w:sz="0" w:space="0" w:color="auto"/>
                <w:right w:val="none" w:sz="0" w:space="0" w:color="auto"/>
              </w:divBdr>
              <w:divsChild>
                <w:div w:id="198118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003921">
      <w:bodyDiv w:val="1"/>
      <w:marLeft w:val="0"/>
      <w:marRight w:val="0"/>
      <w:marTop w:val="0"/>
      <w:marBottom w:val="0"/>
      <w:divBdr>
        <w:top w:val="none" w:sz="0" w:space="0" w:color="auto"/>
        <w:left w:val="none" w:sz="0" w:space="0" w:color="auto"/>
        <w:bottom w:val="none" w:sz="0" w:space="0" w:color="auto"/>
        <w:right w:val="none" w:sz="0" w:space="0" w:color="auto"/>
      </w:divBdr>
    </w:div>
    <w:div w:id="2112585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0%D0%B1%D0%B1%D1%80%D0%B5%D0%B2%D0%B8%D0%B0%D1%82%D1%83%D1%80%D0%B0" TargetMode="External"/><Relationship Id="rId13" Type="http://schemas.openxmlformats.org/officeDocument/2006/relationships/hyperlink" Target="http://grls.rosminzdrav.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doi.org/10.3348/kjr.2023.0385" TargetMode="External"/><Relationship Id="rId4" Type="http://schemas.openxmlformats.org/officeDocument/2006/relationships/settings" Target="settings.xml"/><Relationship Id="rId9" Type="http://schemas.openxmlformats.org/officeDocument/2006/relationships/hyperlink" Target="https://ru.wikipedia.org/wiki/%D0%97%D0%BB%D0%BE%D0%BA%D0%B0%D1%87%D0%B5%D1%81%D1%82%D0%B2%D0%B5%D0%BD%D0%BD%D0%B0%D1%8F_%D0%BE%D0%BF%D1%83%D1%85%D0%BE%D0%BB%D1%8C" TargetMode="Externa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Nav</b:Tag>
    <b:SourceType>ArticleInAPeriodical</b:SourceType>
    <b:Guid>{9E90C64A-3FC9-4C2F-B7B5-D5F20B74FB62}</b:Guid>
    <b:Author>
      <b:Author>
        <b:NameList>
          <b:Person>
            <b:Last>Navari RM</b:Last>
            <b:First>Gray</b:First>
            <b:Middle>SE, Kerr AC.</b:Middle>
          </b:Person>
        </b:NameList>
      </b:Author>
    </b:Author>
    <b:Title>Olanzapine versus aprepitant for the prevention of chemotherapy-induced nausea and vomiting: a randomized phase III trial</b:Title>
    <b:PeriodicalTitle>J Support Oncol 2011;9(5):188-95.</b:PeriodicalTitle>
    <b:RefOrder>1</b:RefOrder>
  </b:Source>
  <b:Source>
    <b:Tag>Cha3</b:Tag>
    <b:SourceType>ArticleInAPeriodical</b:SourceType>
    <b:Guid>{1AECC373-2522-4B9E-A326-07AF411C2582}</b:Guid>
    <b:Author>
      <b:Author>
        <b:NameList>
          <b:Person>
            <b:Last>Chaoyang Chen</b:Last>
            <b:First>Ruoming</b:First>
            <b:Middle>Li, Ting Yang.</b:Middle>
          </b:Person>
        </b:NameList>
      </b:Author>
    </b:Author>
    <b:Title>Denosumab Versus Zoledronic Acid in the Prevention of Skeletal-related Events in Vulnerable Cancer Patients: A Meta-analysis of Randomized, Controlled Trials</b:Title>
    <b:PeriodicalTitle>Clinical Therapeutics 2020, 42(8): 1494-1507.e1</b:PeriodicalTitle>
    <b:RefOrder>2</b:RefOrder>
  </b:Source>
  <b:Source>
    <b:Tag>Son</b:Tag>
    <b:SourceType>ArticleInAPeriodical</b:SourceType>
    <b:Guid>{1B295A1A-CDDE-4E61-AFC8-1EB553EEE689}</b:Guid>
    <b:Author>
      <b:Author>
        <b:NameList>
          <b:Person>
            <b:Last>Sonal Krishan</b:Last>
            <b:First>Nalinda</b:First>
            <b:Middle>Panditaratne, Rajeev Verma, Roderick Robertson</b:Middle>
          </b:Person>
        </b:NameList>
      </b:Author>
    </b:Author>
    <b:Title>Incremental value of CT venography combined with pulmonary CT angiography for the detection of thromboembolic disease: systematic review and meta-analysis</b:Title>
    <b:PeriodicalTitle>AJR Am J Roentgenol 2011;196(5):1065-72.</b:PeriodicalTitle>
    <b:RefOrder>3</b:RefOrder>
  </b:Source>
  <b:Source>
    <b:Tag>Wen</b:Tag>
    <b:SourceType>ArticleInAPeriodical</b:SourceType>
    <b:Guid>{E87F82E0-9268-44E4-9414-074739A4E80F}</b:Guid>
    <b:Author>
      <b:Author>
        <b:NameList>
          <b:Person>
            <b:Last>Wendy Lim</b:Last>
            <b:First>Grégoire</b:First>
            <b:Middle>Le Gal, Shannon M. Bates, et al.</b:Middle>
          </b:Person>
        </b:NameList>
      </b:Author>
    </b:Author>
    <b:Title>American Society of Hematology 2018 guidelines for management of venous thromboembolism: diagnosis of venous thromboembolism</b:Title>
    <b:PeriodicalTitle>Blood Adv (2018) 2 (22): 3226–3256</b:PeriodicalTitle>
    <b:RefOrder>4</b:RefOrder>
  </b:Source>
  <b:Source>
    <b:Tag>Cec</b:Tag>
    <b:SourceType>ArticleInAPeriodical</b:SourceType>
    <b:Guid>{D0C2CEFC-2CD2-439D-AEDB-E50865CD2CD6}</b:Guid>
    <b:Author>
      <b:Author>
        <b:NameList>
          <b:Person>
            <b:Last>Cecilia Becattini</b:Last>
            <b:First>Melina</b:First>
            <b:Middle>Verso, Andres Muňoz, Giancarlo Agnelli</b:Middle>
          </b:Person>
        </b:NameList>
      </b:Author>
    </b:Author>
    <b:Title>Updated meta-analysis on prevention of venous thromboembolism in ambulatory cancer patients</b:Title>
    <b:PeriodicalTitle>Haematologica. 2020 Mar; 105(3): 838–848.</b:PeriodicalTitle>
    <b:RefOrder>5</b:RefOrder>
  </b:Source>
  <b:Source>
    <b:Tag>Gar1</b:Tag>
    <b:SourceType>ArticleInAPeriodical</b:SourceType>
    <b:Guid>{9BEE1365-97E0-4C09-A47E-B897AE2273CA}</b:Guid>
    <b:Author>
      <b:Author>
        <b:NameList>
          <b:Person>
            <b:Last>Gary H. Lyman</b:Last>
            <b:First>Marc</b:First>
            <b:Middle>Carrier, Cihan Ay, et al.</b:Middle>
          </b:Person>
        </b:NameList>
      </b:Author>
    </b:Author>
    <b:Title>American Society of Hematology 2021 guidelines for management of venous thromboembolism: prevention and treatment in patients with cancer</b:Title>
    <b:PeriodicalTitle>Blood Adv (2021) 5 (4): 927–974</b:PeriodicalTitle>
    <b:RefOrder>6</b:RefOrder>
  </b:Source>
  <b:Source>
    <b:Tag>NCC2</b:Tag>
    <b:SourceType>ArticleInAPeriodical</b:SourceType>
    <b:Guid>{F3FFAC4A-1BF6-4941-B4E3-0CDC0C1DE8C7}</b:Guid>
    <b:Author>
      <b:Author>
        <b:Corporate>NCCN Guidelines.</b:Corporate>
      </b:Author>
    </b:Author>
    <b:Title> Prevention and Treatment of Cancer-Related Infections. v.1, 2021</b:Title>
    <b:PeriodicalTitle>https://www.nccn.org/professionals/physician_gls/pdf/infections.pdf</b:PeriodicalTitle>
    <b:RefOrder>7</b:RefOrder>
  </b:Source>
  <b:Source>
    <b:Tag>Yos1</b:Tag>
    <b:SourceType>ArticleInAPeriodical</b:SourceType>
    <b:Guid>{89AB2A40-C34C-49BA-8F32-5154478366D8}</b:Guid>
    <b:Author>
      <b:Author>
        <b:NameList>
          <b:Person>
            <b:Last>Yoshimasa Kosaka</b:Last>
            <b:First>Yoshiaki</b:First>
            <b:Middle>Rai, Norikazu Masuda, et al.</b:Middle>
          </b:Person>
        </b:NameList>
      </b:Author>
    </b:Author>
    <b:Title>Phase III placebo-controlled, double-blind, randomized trial of pegfilgrastim to reduce the risk of febrile neutropenia in breast cancer patients receiving docetaxel/cyclophosphamide chemotherapy</b:Title>
    <b:PeriodicalTitle>Support Care Cancer 2015 Apr;23(4):1137-43.</b:PeriodicalTitle>
    <b:RefOrder>8</b:RefOrder>
  </b:Source>
  <b:Source>
    <b:Tag>Mic</b:Tag>
    <b:SourceType>ArticleInAPeriodical</b:SourceType>
    <b:Guid>{74D277BC-B458-4701-B62C-C2845D337C33}</b:Guid>
    <b:Author>
      <b:Author>
        <b:NameList>
          <b:Person>
            <b:Last>Mical Paul</b:Last>
            <b:First>Dafna</b:First>
            <b:Middle>Yahav, Abigail Fraser, Leonard Leibovici</b:Middle>
          </b:Person>
        </b:NameList>
      </b:Author>
    </b:Author>
    <b:Title>Empirical antibiotic monotherapy for febrile neutropenia: systematic review and meta-analysis of randomized controlled trials</b:Title>
    <b:PeriodicalTitle>Journal of Antimicrobial Chemotherapy, Volume 57, Issue 2, February 2006, Pages 176–189</b:PeriodicalTitle>
    <b:RefOrder>9</b:RefOrder>
  </b:Source>
  <b:Source>
    <b:Tag>Zhu1</b:Tag>
    <b:SourceType>ArticleInAPeriodical</b:SourceType>
    <b:Guid>{9C27E633-71B8-49E1-87E5-1AABB2221575}</b:Guid>
    <b:Author>
      <b:Author>
        <b:NameList>
          <b:Person>
            <b:Last>Zhujun Mao</b:Last>
            <b:First>Keping</b:First>
            <b:Middle>Shen, Limin Zhu, et al.</b:Middle>
          </b:Person>
        </b:NameList>
      </b:Author>
    </b:Author>
    <b:Title>Comparisons of Cardiotoxicity and Efficacy of Anthracycline-Based Therapies in Breast Cancer: A Network Meta-Analysis of Randomized Clinical Trials</b:Title>
    <b:PeriodicalTitle>Oncol Res Treat 2019;42(7-8):405-413.</b:PeriodicalTitle>
    <b:RefOrder>12</b:RefOrder>
  </b:Source>
  <b:Source>
    <b:Tag>Are2</b:Tag>
    <b:SourceType>ArticleInAPeriodical</b:SourceType>
    <b:Guid>{36B2EA29-89D0-4DD4-9AF1-8DADB821CB86}</b:Guid>
    <b:Author>
      <b:Author>
        <b:NameList>
          <b:Person>
            <b:Last>Albakri</b:Last>
            <b:First>Aref</b:First>
          </b:Person>
        </b:NameList>
      </b:Author>
    </b:Author>
    <b:Title>Systolic heart failure: A review of clinical status and metaanalysis of diagnosis and clinical management methods</b:Title>
    <b:PeriodicalTitle>Trends in Res, 2018, 1(4), doi: 10.15761/TR.1000124</b:PeriodicalTitle>
    <b:RefOrder>13</b:RefOrder>
  </b:Source>
  <b:Source>
    <b:Tag>Jas</b:Tag>
    <b:SourceType>ArticleInAPeriodical</b:SourceType>
    <b:Guid>{C219A4DF-6812-4B98-8987-C209165A9391}</b:Guid>
    <b:Author>
      <b:Author>
        <b:NameList>
          <b:Person>
            <b:Last>Jasper Tromp</b:Last>
            <b:First>Wouter</b:First>
            <b:Middle>Ouwerkerk, Dirk J. van Veldhuisen, et al.</b:Middle>
          </b:Person>
        </b:NameList>
      </b:Author>
    </b:Author>
    <b:Title>A Systematic Review and Network-Meta-Analysis of Pharmacological Treatment of Heart Failure With Reduced Ejection Fraction</b:Title>
    <b:PeriodicalTitle>J Am Coll Cardiol HF. Dec 08, 2021.</b:PeriodicalTitle>
    <b:RefOrder>14</b:RefOrder>
  </b:Source>
  <b:Source>
    <b:Tag>Kas</b:Tag>
    <b:SourceType>ArticleInAPeriodical</b:SourceType>
    <b:Guid>{260BA841-0128-4DF7-9CCC-089EA64F866F}</b:Guid>
    <b:Author>
      <b:Author>
        <b:NameList>
          <b:Person>
            <b:Last>Kashif Kalam</b:Last>
            <b:First>Thomas</b:First>
            <b:Middle>H.Marwick</b:Middle>
          </b:Person>
        </b:NameList>
      </b:Author>
    </b:Author>
    <b:Title>Role of cardioprotective therapy for prevention of cardiotoxicity with chemotherapy: A systematic review and meta-analysis</b:Title>
    <b:PeriodicalTitle>Eur J Cancer 2013 Sep;49(13):2900-9.</b:PeriodicalTitle>
    <b:RefOrder>15</b:RefOrder>
  </b:Source>
  <b:Source>
    <b:Tag>Jin</b:Tag>
    <b:SourceType>ArticleInAPeriodical</b:SourceType>
    <b:Guid>{85817461-BBC2-45F8-AF04-764BA5A7AB85}</b:Guid>
    <b:Author>
      <b:Author>
        <b:NameList>
          <b:Person>
            <b:Last>Jing Li</b:Last>
            <b:First>Hengxiu</b:First>
            <b:Middle>Yan</b:Middle>
          </b:Person>
        </b:NameList>
      </b:Author>
    </b:Author>
    <b:Title>Skin toxicity with anti-EGFR monoclonal antibody in cancer patients: a meta-analysis of 65 randomized controlled trials</b:Title>
    <b:PeriodicalTitle>Cancer Chemother Pharmacol 2018 Oct;82(4):571-583.</b:PeriodicalTitle>
    <b:RefOrder>16</b:RefOrder>
  </b:Source>
  <b:Source>
    <b:Tag>Emi</b:Tag>
    <b:SourceType>ArticleInAPeriodical</b:SourceType>
    <b:Guid>{3505EA24-05FB-4C28-BDA0-A2292E8E5704}</b:Guid>
    <b:Author>
      <b:Author>
        <b:NameList>
          <b:Person>
            <b:Last>Emily J Martin</b:Last>
            <b:First>Andrew</b:First>
            <b:Middle>R Bruggeman, Vinit V Nalawade, et al.</b:Middle>
          </b:Person>
        </b:NameList>
      </b:Author>
    </b:Author>
    <b:Title>Palliative Radiotherapy Versus Esophageal Stent Placement in the Management of Patients With Metastatic Esophageal Cancer</b:Title>
    <b:PeriodicalTitle>J Natl Compr Canc Netw  2020 May;18(5):569-574.</b:PeriodicalTitle>
    <b:RefOrder>17</b:RefOrder>
  </b:Source>
  <b:Source>
    <b:Tag>MAE</b:Tag>
    <b:SourceType>ArticleInAPeriodical</b:SourceType>
    <b:Guid>{255CAEDF-5308-4915-B854-F569B40344B0}</b:Guid>
    <b:Author>
      <b:Author>
        <b:NameList>
          <b:Person>
            <b:Last>M A E de van der Schueren</b:Last>
            <b:First>A</b:First>
            <b:Middle>Laviano, H Blanchard, et al.</b:Middle>
          </b:Person>
        </b:NameList>
      </b:Author>
    </b:Author>
    <b:Title>Systematic review and meta-analysis of the evidence for oral nutritional intervention on nutritional and clinical outcomes during chemo(radio)therapy: current evidence and guidance for design of future trials</b:Title>
    <b:PeriodicalTitle>Ann Oncol. 2018 May; 29(5): 1141–1153.</b:PeriodicalTitle>
    <b:RefOrder>18</b:RefOrder>
  </b:Source>
  <b:Source>
    <b:Tag>NCC3</b:Tag>
    <b:SourceType>ArticleInAPeriodical</b:SourceType>
    <b:Guid>{E0617577-A58C-404E-B164-D172EBA598A3}</b:Guid>
    <b:Author>
      <b:Author>
        <b:Corporate>NCCN guidelines. </b:Corporate>
      </b:Author>
    </b:Author>
    <b:Title>Management of Immunotherapy-Related Toxicities. Version 4, 2021.</b:Title>
    <b:PeriodicalTitle>https://www.nccn.org/professionals/physician_gls/pdf/immunotherapy.pdf</b:PeriodicalTitle>
    <b:RefOrder>20</b:RefOrder>
  </b:Source>
  <b:Source>
    <b:Tag>Dan</b:Tag>
    <b:SourceType>ArticleInAPeriodical</b:SourceType>
    <b:Guid>{74AFF98C-03BF-4C7F-84E1-8C9361C871CB}</b:Guid>
    <b:Author>
      <b:Author>
        <b:NameList>
          <b:Person>
            <b:Last>Daniel H Johnson</b:Last>
            <b:First>Chrystia</b:First>
            <b:Middle>M Zobniw, Van A Trinh, et al.</b:Middle>
          </b:Person>
        </b:NameList>
      </b:Author>
    </b:Author>
    <b:Title>Infliximab associated with faster symptom resolution compared with corticosteroids alone for the management of immune-related enterocolitis</b:Title>
    <b:PeriodicalTitle>Journal for ImmunoTherapy of Cancer, 2018, article number: 103 (2018) </b:PeriodicalTitle>
    <b:RefOrder>21</b:RefOrder>
  </b:Source>
  <b:Source>
    <b:Tag>PBo</b:Tag>
    <b:SourceType>ArticleInAPeriodical</b:SourceType>
    <b:Guid>{375CAB3D-EA48-4F3F-9F14-0F2E0B2BDE85}</b:Guid>
    <b:Author>
      <b:Author>
        <b:NameList>
          <b:Person>
            <b:Last>P.Bossi</b:Last>
            <b:First>A.Antonuzzo,</b:First>
            <b:Middle>N.I.Cherny, et al.</b:Middle>
          </b:Person>
        </b:NameList>
      </b:Author>
    </b:Author>
    <b:Title>Diarrhoea in adult cancer patients: ESMO Clinical Practice Guidelines</b:Title>
    <b:PeriodicalTitle>Annals of Oncology, 2018, 29(4): pages iv126-iv142</b:PeriodicalTitle>
    <b:RefOrder>22</b:RefOrder>
  </b:Source>
  <b:Source>
    <b:Tag>DEP</b:Tag>
    <b:SourceType>ArticleInAPeriodical</b:SourceType>
    <b:Guid>{CAE63814-4BBB-46F2-B4F8-A71EDBEF607F}</b:Guid>
    <b:Author>
      <b:Author>
        <b:NameList>
          <b:Person>
            <b:Last>D. E. Peterson</b:Last>
            <b:First>R.-J.</b:First>
            <b:Middle>Bensadoun, F. Roila</b:Middle>
          </b:Person>
        </b:NameList>
      </b:Author>
    </b:Author>
    <b:Title>Management of oral and gastrointestinal mucositis: ESMO Clinical Practice Guidelines</b:Title>
    <b:PeriodicalTitle>Annals of Oncology 21 (Supplement 5): v261–v265, 2010</b:PeriodicalTitle>
    <b:RefOrder>23</b:RefOrder>
  </b:Source>
  <b:Source>
    <b:Tag>Yas</b:Tag>
    <b:SourceType>ArticleInAPeriodical</b:SourceType>
    <b:Guid>{862207D0-569F-4B29-BD18-9B33387B9643}</b:Guid>
    <b:Author>
      <b:Author>
        <b:NameList>
          <b:Person>
            <b:Last>Yasuo Ohashi</b:Last>
            <b:First>Yukari</b:First>
            <b:Middle>Uemura, Yasuhito Fujisaka, et al.</b:Middle>
          </b:Person>
        </b:NameList>
      </b:Author>
    </b:Author>
    <b:Title>Meta-analysis of epoetin beta and darbepoetin alfa treatment for chemotherapy-induced anemia and mortality: Individual patient data from Japanese randomized, placebo-controlled trials</b:Title>
    <b:PeriodicalTitle>Cancer Sci 2013 Apr;104(4):481-5.</b:PeriodicalTitle>
    <b:RefOrder>24</b:RefOrder>
  </b:Source>
  <b:Source>
    <b:Tag>Ana</b:Tag>
    <b:SourceType>ArticleInAPeriodical</b:SourceType>
    <b:Guid>{FD7BB12B-1C79-48B5-8DCA-F0E5FA7D20F2}</b:Guid>
    <b:Author>
      <b:Author>
        <b:NameList>
          <b:Person>
            <b:Last>Anat Gafter-Gvili 1</b:Last>
            <b:First>Benaya</b:First>
            <b:Middle>Rozen-Zvi, Liat Vidal, et al.</b:Middle>
          </b:Person>
        </b:NameList>
      </b:Author>
    </b:Author>
    <b:Title>Intravenous iron supplementation for the treatment of chemotherapy-induced anaemia - systematic review and meta-analysis of randomised controlled trials</b:Title>
    <b:PeriodicalTitle>Acta Oncol 2013 Jan;52(1):18-29.</b:PeriodicalTitle>
    <b:RefOrder>25</b:RefOrder>
  </b:Source>
  <b:Source>
    <b:Tag>Fan</b:Tag>
    <b:SourceType>ArticleInAPeriodical</b:SourceType>
    <b:Guid>{760F5885-C6A1-47C4-A30C-2837AFE72912}</b:Guid>
    <b:Author>
      <b:Author>
        <b:NameList>
          <b:Person>
            <b:Last>M. Fallon</b:Last>
            <b:First>R.</b:First>
            <b:Middle>Giusti, F. Aielli, P. Hoskin, R. Rolke, M. Sharma &amp; C. I. Ripamonti</b:Middle>
          </b:Person>
        </b:NameList>
      </b:Author>
    </b:Author>
    <b:Title> Management of Cancer Pain in Adult Patients </b:Title>
    <b:PeriodicalTitle>ESMO Clinical Practice Guidelines Ann Oncol (2018) 29 (Suppl 4): iv166–iv191</b:PeriodicalTitle>
    <b:RefOrder>26</b:RefOrder>
  </b:Source>
  <b:Source>
    <b:Tag>Vit</b:Tag>
    <b:SourceType>ArticleInAPeriodical</b:SourceType>
    <b:Guid>{88D7EA51-151F-4C08-A97A-5FC650729A4C}</b:Guid>
    <b:Author>
      <b:Author>
        <b:NameList>
          <b:Person>
            <b:Last>Vito Andrea Capozzi</b:Last>
            <b:First>Luciano</b:First>
            <b:Middle>Monfardini, Giulio Sozzi, et al.</b:Middle>
          </b:Person>
        </b:NameList>
      </b:Author>
    </b:Author>
    <b:Title>Peripherally Inserted Central Venous Catheters (PICC) versus totally implantable venous access device (PORT) for chemotherapy administration: a meta-analysis on gynecological cancer patients</b:Title>
    <b:PeriodicalTitle>Acta Biomed 2021 Nov 3;92(5):e2021257</b:PeriodicalTitle>
    <b:RefOrder>27</b:RefOrder>
  </b:Source>
  <b:Source>
    <b:Tag>Wor</b:Tag>
    <b:SourceType>ArticleInAPeriodical</b:SourceType>
    <b:Guid>{6FF4BED3-2A18-4062-BD9E-C40CEE39650E}</b:Guid>
    <b:Author>
      <b:Author>
        <b:NameList>
          <b:Person>
            <b:Last>Orestis Efthimiou</b:Last>
            <b:First>Adriani</b:First>
            <b:Middle>Nikolakopoulou, Georgia Salanti</b:Middle>
          </b:Person>
        </b:NameList>
      </b:Author>
    </b:Author>
    <b:Title>Network Meta-Analysis of Evidence Comparing Analgesics for Cancer Pain Management Initiation &amp; Maintenance and for Breakthrough Cancer Pain. World Health Organization Guideline</b:Title>
    <b:PeriodicalTitle>https://www.who.int/ncds/management/palliative-care/Cancer-pain-guidelines-Annex-7.pdf</b:PeriodicalTitle>
    <b:RefOrder>28</b:RefOrder>
  </b:Source>
</b:Sources>
</file>

<file path=customXml/itemProps1.xml><?xml version="1.0" encoding="utf-8"?>
<ds:datastoreItem xmlns:ds="http://schemas.openxmlformats.org/officeDocument/2006/customXml" ds:itemID="{3B8900A7-62DA-42DE-BF79-498C58204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73</Pages>
  <Words>127879</Words>
  <Characters>728911</Characters>
  <Application>Microsoft Office Word</Application>
  <DocSecurity>0</DocSecurity>
  <Lines>6074</Lines>
  <Paragraphs>1710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855080</CharactersWithSpaces>
  <SharedDoc>false</SharedDoc>
  <HLinks>
    <vt:vector size="324" baseType="variant">
      <vt:variant>
        <vt:i4>3932268</vt:i4>
      </vt:variant>
      <vt:variant>
        <vt:i4>579</vt:i4>
      </vt:variant>
      <vt:variant>
        <vt:i4>0</vt:i4>
      </vt:variant>
      <vt:variant>
        <vt:i4>5</vt:i4>
      </vt:variant>
      <vt:variant>
        <vt:lpwstr>http://grls.rosminzdrav.ru/</vt:lpwstr>
      </vt:variant>
      <vt:variant>
        <vt:lpwstr/>
      </vt:variant>
      <vt:variant>
        <vt:i4>8192033</vt:i4>
      </vt:variant>
      <vt:variant>
        <vt:i4>528</vt:i4>
      </vt:variant>
      <vt:variant>
        <vt:i4>0</vt:i4>
      </vt:variant>
      <vt:variant>
        <vt:i4>5</vt:i4>
      </vt:variant>
      <vt:variant>
        <vt:lpwstr>https://www.rosoncoweb.ru/standarts/RUSSCO/2021/2021-39.pdf</vt:lpwstr>
      </vt:variant>
      <vt:variant>
        <vt:lpwstr/>
      </vt:variant>
      <vt:variant>
        <vt:i4>6946899</vt:i4>
      </vt:variant>
      <vt:variant>
        <vt:i4>306</vt:i4>
      </vt:variant>
      <vt:variant>
        <vt:i4>0</vt:i4>
      </vt:variant>
      <vt:variant>
        <vt:i4>5</vt:i4>
      </vt:variant>
      <vt:variant>
        <vt:lpwstr>https://ru.wikipedia.org/wiki/%D0%97%D0%BB%D0%BE%D0%BA%D0%B0%D1%87%D0%B5%D1%81%D1%82%D0%B2%D0%B5%D0%BD%D0%BD%D0%B0%D1%8F_%D0%BE%D0%BF%D1%83%D1%85%D0%BE%D0%BB%D1%8C</vt:lpwstr>
      </vt:variant>
      <vt:variant>
        <vt:lpwstr/>
      </vt:variant>
      <vt:variant>
        <vt:i4>3670072</vt:i4>
      </vt:variant>
      <vt:variant>
        <vt:i4>303</vt:i4>
      </vt:variant>
      <vt:variant>
        <vt:i4>0</vt:i4>
      </vt:variant>
      <vt:variant>
        <vt:i4>5</vt:i4>
      </vt:variant>
      <vt:variant>
        <vt:lpwstr>https://ru.wikipedia.org/wiki/%D0%90%D0%B1%D0%B1%D1%80%D0%B5%D0%B2%D0%B8%D0%B0%D1%82%D1%83%D1%80%D0%B0</vt:lpwstr>
      </vt:variant>
      <vt:variant>
        <vt:lpwstr/>
      </vt:variant>
      <vt:variant>
        <vt:i4>1638450</vt:i4>
      </vt:variant>
      <vt:variant>
        <vt:i4>296</vt:i4>
      </vt:variant>
      <vt:variant>
        <vt:i4>0</vt:i4>
      </vt:variant>
      <vt:variant>
        <vt:i4>5</vt:i4>
      </vt:variant>
      <vt:variant>
        <vt:lpwstr/>
      </vt:variant>
      <vt:variant>
        <vt:lpwstr>_Toc98349311</vt:lpwstr>
      </vt:variant>
      <vt:variant>
        <vt:i4>1572914</vt:i4>
      </vt:variant>
      <vt:variant>
        <vt:i4>290</vt:i4>
      </vt:variant>
      <vt:variant>
        <vt:i4>0</vt:i4>
      </vt:variant>
      <vt:variant>
        <vt:i4>5</vt:i4>
      </vt:variant>
      <vt:variant>
        <vt:lpwstr/>
      </vt:variant>
      <vt:variant>
        <vt:lpwstr>_Toc98349310</vt:lpwstr>
      </vt:variant>
      <vt:variant>
        <vt:i4>1114163</vt:i4>
      </vt:variant>
      <vt:variant>
        <vt:i4>284</vt:i4>
      </vt:variant>
      <vt:variant>
        <vt:i4>0</vt:i4>
      </vt:variant>
      <vt:variant>
        <vt:i4>5</vt:i4>
      </vt:variant>
      <vt:variant>
        <vt:lpwstr/>
      </vt:variant>
      <vt:variant>
        <vt:lpwstr>_Toc98349309</vt:lpwstr>
      </vt:variant>
      <vt:variant>
        <vt:i4>1048627</vt:i4>
      </vt:variant>
      <vt:variant>
        <vt:i4>278</vt:i4>
      </vt:variant>
      <vt:variant>
        <vt:i4>0</vt:i4>
      </vt:variant>
      <vt:variant>
        <vt:i4>5</vt:i4>
      </vt:variant>
      <vt:variant>
        <vt:lpwstr/>
      </vt:variant>
      <vt:variant>
        <vt:lpwstr>_Toc98349308</vt:lpwstr>
      </vt:variant>
      <vt:variant>
        <vt:i4>2031667</vt:i4>
      </vt:variant>
      <vt:variant>
        <vt:i4>272</vt:i4>
      </vt:variant>
      <vt:variant>
        <vt:i4>0</vt:i4>
      </vt:variant>
      <vt:variant>
        <vt:i4>5</vt:i4>
      </vt:variant>
      <vt:variant>
        <vt:lpwstr/>
      </vt:variant>
      <vt:variant>
        <vt:lpwstr>_Toc98349307</vt:lpwstr>
      </vt:variant>
      <vt:variant>
        <vt:i4>1966131</vt:i4>
      </vt:variant>
      <vt:variant>
        <vt:i4>266</vt:i4>
      </vt:variant>
      <vt:variant>
        <vt:i4>0</vt:i4>
      </vt:variant>
      <vt:variant>
        <vt:i4>5</vt:i4>
      </vt:variant>
      <vt:variant>
        <vt:lpwstr/>
      </vt:variant>
      <vt:variant>
        <vt:lpwstr>_Toc98349306</vt:lpwstr>
      </vt:variant>
      <vt:variant>
        <vt:i4>1900595</vt:i4>
      </vt:variant>
      <vt:variant>
        <vt:i4>260</vt:i4>
      </vt:variant>
      <vt:variant>
        <vt:i4>0</vt:i4>
      </vt:variant>
      <vt:variant>
        <vt:i4>5</vt:i4>
      </vt:variant>
      <vt:variant>
        <vt:lpwstr/>
      </vt:variant>
      <vt:variant>
        <vt:lpwstr>_Toc98349305</vt:lpwstr>
      </vt:variant>
      <vt:variant>
        <vt:i4>1835059</vt:i4>
      </vt:variant>
      <vt:variant>
        <vt:i4>254</vt:i4>
      </vt:variant>
      <vt:variant>
        <vt:i4>0</vt:i4>
      </vt:variant>
      <vt:variant>
        <vt:i4>5</vt:i4>
      </vt:variant>
      <vt:variant>
        <vt:lpwstr/>
      </vt:variant>
      <vt:variant>
        <vt:lpwstr>_Toc98349304</vt:lpwstr>
      </vt:variant>
      <vt:variant>
        <vt:i4>1769523</vt:i4>
      </vt:variant>
      <vt:variant>
        <vt:i4>248</vt:i4>
      </vt:variant>
      <vt:variant>
        <vt:i4>0</vt:i4>
      </vt:variant>
      <vt:variant>
        <vt:i4>5</vt:i4>
      </vt:variant>
      <vt:variant>
        <vt:lpwstr/>
      </vt:variant>
      <vt:variant>
        <vt:lpwstr>_Toc98349303</vt:lpwstr>
      </vt:variant>
      <vt:variant>
        <vt:i4>1703987</vt:i4>
      </vt:variant>
      <vt:variant>
        <vt:i4>242</vt:i4>
      </vt:variant>
      <vt:variant>
        <vt:i4>0</vt:i4>
      </vt:variant>
      <vt:variant>
        <vt:i4>5</vt:i4>
      </vt:variant>
      <vt:variant>
        <vt:lpwstr/>
      </vt:variant>
      <vt:variant>
        <vt:lpwstr>_Toc98349302</vt:lpwstr>
      </vt:variant>
      <vt:variant>
        <vt:i4>1638451</vt:i4>
      </vt:variant>
      <vt:variant>
        <vt:i4>236</vt:i4>
      </vt:variant>
      <vt:variant>
        <vt:i4>0</vt:i4>
      </vt:variant>
      <vt:variant>
        <vt:i4>5</vt:i4>
      </vt:variant>
      <vt:variant>
        <vt:lpwstr/>
      </vt:variant>
      <vt:variant>
        <vt:lpwstr>_Toc98349301</vt:lpwstr>
      </vt:variant>
      <vt:variant>
        <vt:i4>1572915</vt:i4>
      </vt:variant>
      <vt:variant>
        <vt:i4>230</vt:i4>
      </vt:variant>
      <vt:variant>
        <vt:i4>0</vt:i4>
      </vt:variant>
      <vt:variant>
        <vt:i4>5</vt:i4>
      </vt:variant>
      <vt:variant>
        <vt:lpwstr/>
      </vt:variant>
      <vt:variant>
        <vt:lpwstr>_Toc98349300</vt:lpwstr>
      </vt:variant>
      <vt:variant>
        <vt:i4>1048634</vt:i4>
      </vt:variant>
      <vt:variant>
        <vt:i4>224</vt:i4>
      </vt:variant>
      <vt:variant>
        <vt:i4>0</vt:i4>
      </vt:variant>
      <vt:variant>
        <vt:i4>5</vt:i4>
      </vt:variant>
      <vt:variant>
        <vt:lpwstr/>
      </vt:variant>
      <vt:variant>
        <vt:lpwstr>_Toc98349299</vt:lpwstr>
      </vt:variant>
      <vt:variant>
        <vt:i4>1114170</vt:i4>
      </vt:variant>
      <vt:variant>
        <vt:i4>218</vt:i4>
      </vt:variant>
      <vt:variant>
        <vt:i4>0</vt:i4>
      </vt:variant>
      <vt:variant>
        <vt:i4>5</vt:i4>
      </vt:variant>
      <vt:variant>
        <vt:lpwstr/>
      </vt:variant>
      <vt:variant>
        <vt:lpwstr>_Toc98349298</vt:lpwstr>
      </vt:variant>
      <vt:variant>
        <vt:i4>1966138</vt:i4>
      </vt:variant>
      <vt:variant>
        <vt:i4>212</vt:i4>
      </vt:variant>
      <vt:variant>
        <vt:i4>0</vt:i4>
      </vt:variant>
      <vt:variant>
        <vt:i4>5</vt:i4>
      </vt:variant>
      <vt:variant>
        <vt:lpwstr/>
      </vt:variant>
      <vt:variant>
        <vt:lpwstr>_Toc98349297</vt:lpwstr>
      </vt:variant>
      <vt:variant>
        <vt:i4>2031674</vt:i4>
      </vt:variant>
      <vt:variant>
        <vt:i4>206</vt:i4>
      </vt:variant>
      <vt:variant>
        <vt:i4>0</vt:i4>
      </vt:variant>
      <vt:variant>
        <vt:i4>5</vt:i4>
      </vt:variant>
      <vt:variant>
        <vt:lpwstr/>
      </vt:variant>
      <vt:variant>
        <vt:lpwstr>_Toc98349296</vt:lpwstr>
      </vt:variant>
      <vt:variant>
        <vt:i4>1835066</vt:i4>
      </vt:variant>
      <vt:variant>
        <vt:i4>200</vt:i4>
      </vt:variant>
      <vt:variant>
        <vt:i4>0</vt:i4>
      </vt:variant>
      <vt:variant>
        <vt:i4>5</vt:i4>
      </vt:variant>
      <vt:variant>
        <vt:lpwstr/>
      </vt:variant>
      <vt:variant>
        <vt:lpwstr>_Toc98349295</vt:lpwstr>
      </vt:variant>
      <vt:variant>
        <vt:i4>1900602</vt:i4>
      </vt:variant>
      <vt:variant>
        <vt:i4>194</vt:i4>
      </vt:variant>
      <vt:variant>
        <vt:i4>0</vt:i4>
      </vt:variant>
      <vt:variant>
        <vt:i4>5</vt:i4>
      </vt:variant>
      <vt:variant>
        <vt:lpwstr/>
      </vt:variant>
      <vt:variant>
        <vt:lpwstr>_Toc98349294</vt:lpwstr>
      </vt:variant>
      <vt:variant>
        <vt:i4>1703994</vt:i4>
      </vt:variant>
      <vt:variant>
        <vt:i4>188</vt:i4>
      </vt:variant>
      <vt:variant>
        <vt:i4>0</vt:i4>
      </vt:variant>
      <vt:variant>
        <vt:i4>5</vt:i4>
      </vt:variant>
      <vt:variant>
        <vt:lpwstr/>
      </vt:variant>
      <vt:variant>
        <vt:lpwstr>_Toc98349293</vt:lpwstr>
      </vt:variant>
      <vt:variant>
        <vt:i4>1769530</vt:i4>
      </vt:variant>
      <vt:variant>
        <vt:i4>182</vt:i4>
      </vt:variant>
      <vt:variant>
        <vt:i4>0</vt:i4>
      </vt:variant>
      <vt:variant>
        <vt:i4>5</vt:i4>
      </vt:variant>
      <vt:variant>
        <vt:lpwstr/>
      </vt:variant>
      <vt:variant>
        <vt:lpwstr>_Toc98349292</vt:lpwstr>
      </vt:variant>
      <vt:variant>
        <vt:i4>1572922</vt:i4>
      </vt:variant>
      <vt:variant>
        <vt:i4>176</vt:i4>
      </vt:variant>
      <vt:variant>
        <vt:i4>0</vt:i4>
      </vt:variant>
      <vt:variant>
        <vt:i4>5</vt:i4>
      </vt:variant>
      <vt:variant>
        <vt:lpwstr/>
      </vt:variant>
      <vt:variant>
        <vt:lpwstr>_Toc98349291</vt:lpwstr>
      </vt:variant>
      <vt:variant>
        <vt:i4>1638458</vt:i4>
      </vt:variant>
      <vt:variant>
        <vt:i4>170</vt:i4>
      </vt:variant>
      <vt:variant>
        <vt:i4>0</vt:i4>
      </vt:variant>
      <vt:variant>
        <vt:i4>5</vt:i4>
      </vt:variant>
      <vt:variant>
        <vt:lpwstr/>
      </vt:variant>
      <vt:variant>
        <vt:lpwstr>_Toc98349290</vt:lpwstr>
      </vt:variant>
      <vt:variant>
        <vt:i4>1048635</vt:i4>
      </vt:variant>
      <vt:variant>
        <vt:i4>164</vt:i4>
      </vt:variant>
      <vt:variant>
        <vt:i4>0</vt:i4>
      </vt:variant>
      <vt:variant>
        <vt:i4>5</vt:i4>
      </vt:variant>
      <vt:variant>
        <vt:lpwstr/>
      </vt:variant>
      <vt:variant>
        <vt:lpwstr>_Toc98349289</vt:lpwstr>
      </vt:variant>
      <vt:variant>
        <vt:i4>1114171</vt:i4>
      </vt:variant>
      <vt:variant>
        <vt:i4>158</vt:i4>
      </vt:variant>
      <vt:variant>
        <vt:i4>0</vt:i4>
      </vt:variant>
      <vt:variant>
        <vt:i4>5</vt:i4>
      </vt:variant>
      <vt:variant>
        <vt:lpwstr/>
      </vt:variant>
      <vt:variant>
        <vt:lpwstr>_Toc98349288</vt:lpwstr>
      </vt:variant>
      <vt:variant>
        <vt:i4>1966139</vt:i4>
      </vt:variant>
      <vt:variant>
        <vt:i4>152</vt:i4>
      </vt:variant>
      <vt:variant>
        <vt:i4>0</vt:i4>
      </vt:variant>
      <vt:variant>
        <vt:i4>5</vt:i4>
      </vt:variant>
      <vt:variant>
        <vt:lpwstr/>
      </vt:variant>
      <vt:variant>
        <vt:lpwstr>_Toc98349287</vt:lpwstr>
      </vt:variant>
      <vt:variant>
        <vt:i4>2031675</vt:i4>
      </vt:variant>
      <vt:variant>
        <vt:i4>146</vt:i4>
      </vt:variant>
      <vt:variant>
        <vt:i4>0</vt:i4>
      </vt:variant>
      <vt:variant>
        <vt:i4>5</vt:i4>
      </vt:variant>
      <vt:variant>
        <vt:lpwstr/>
      </vt:variant>
      <vt:variant>
        <vt:lpwstr>_Toc98349286</vt:lpwstr>
      </vt:variant>
      <vt:variant>
        <vt:i4>1835067</vt:i4>
      </vt:variant>
      <vt:variant>
        <vt:i4>140</vt:i4>
      </vt:variant>
      <vt:variant>
        <vt:i4>0</vt:i4>
      </vt:variant>
      <vt:variant>
        <vt:i4>5</vt:i4>
      </vt:variant>
      <vt:variant>
        <vt:lpwstr/>
      </vt:variant>
      <vt:variant>
        <vt:lpwstr>_Toc98349285</vt:lpwstr>
      </vt:variant>
      <vt:variant>
        <vt:i4>1900603</vt:i4>
      </vt:variant>
      <vt:variant>
        <vt:i4>134</vt:i4>
      </vt:variant>
      <vt:variant>
        <vt:i4>0</vt:i4>
      </vt:variant>
      <vt:variant>
        <vt:i4>5</vt:i4>
      </vt:variant>
      <vt:variant>
        <vt:lpwstr/>
      </vt:variant>
      <vt:variant>
        <vt:lpwstr>_Toc98349284</vt:lpwstr>
      </vt:variant>
      <vt:variant>
        <vt:i4>1703995</vt:i4>
      </vt:variant>
      <vt:variant>
        <vt:i4>128</vt:i4>
      </vt:variant>
      <vt:variant>
        <vt:i4>0</vt:i4>
      </vt:variant>
      <vt:variant>
        <vt:i4>5</vt:i4>
      </vt:variant>
      <vt:variant>
        <vt:lpwstr/>
      </vt:variant>
      <vt:variant>
        <vt:lpwstr>_Toc98349283</vt:lpwstr>
      </vt:variant>
      <vt:variant>
        <vt:i4>1769531</vt:i4>
      </vt:variant>
      <vt:variant>
        <vt:i4>122</vt:i4>
      </vt:variant>
      <vt:variant>
        <vt:i4>0</vt:i4>
      </vt:variant>
      <vt:variant>
        <vt:i4>5</vt:i4>
      </vt:variant>
      <vt:variant>
        <vt:lpwstr/>
      </vt:variant>
      <vt:variant>
        <vt:lpwstr>_Toc98349282</vt:lpwstr>
      </vt:variant>
      <vt:variant>
        <vt:i4>1572923</vt:i4>
      </vt:variant>
      <vt:variant>
        <vt:i4>116</vt:i4>
      </vt:variant>
      <vt:variant>
        <vt:i4>0</vt:i4>
      </vt:variant>
      <vt:variant>
        <vt:i4>5</vt:i4>
      </vt:variant>
      <vt:variant>
        <vt:lpwstr/>
      </vt:variant>
      <vt:variant>
        <vt:lpwstr>_Toc98349281</vt:lpwstr>
      </vt:variant>
      <vt:variant>
        <vt:i4>1638459</vt:i4>
      </vt:variant>
      <vt:variant>
        <vt:i4>110</vt:i4>
      </vt:variant>
      <vt:variant>
        <vt:i4>0</vt:i4>
      </vt:variant>
      <vt:variant>
        <vt:i4>5</vt:i4>
      </vt:variant>
      <vt:variant>
        <vt:lpwstr/>
      </vt:variant>
      <vt:variant>
        <vt:lpwstr>_Toc98349280</vt:lpwstr>
      </vt:variant>
      <vt:variant>
        <vt:i4>1048628</vt:i4>
      </vt:variant>
      <vt:variant>
        <vt:i4>104</vt:i4>
      </vt:variant>
      <vt:variant>
        <vt:i4>0</vt:i4>
      </vt:variant>
      <vt:variant>
        <vt:i4>5</vt:i4>
      </vt:variant>
      <vt:variant>
        <vt:lpwstr/>
      </vt:variant>
      <vt:variant>
        <vt:lpwstr>_Toc98349279</vt:lpwstr>
      </vt:variant>
      <vt:variant>
        <vt:i4>1114164</vt:i4>
      </vt:variant>
      <vt:variant>
        <vt:i4>98</vt:i4>
      </vt:variant>
      <vt:variant>
        <vt:i4>0</vt:i4>
      </vt:variant>
      <vt:variant>
        <vt:i4>5</vt:i4>
      </vt:variant>
      <vt:variant>
        <vt:lpwstr/>
      </vt:variant>
      <vt:variant>
        <vt:lpwstr>_Toc98349278</vt:lpwstr>
      </vt:variant>
      <vt:variant>
        <vt:i4>1966132</vt:i4>
      </vt:variant>
      <vt:variant>
        <vt:i4>92</vt:i4>
      </vt:variant>
      <vt:variant>
        <vt:i4>0</vt:i4>
      </vt:variant>
      <vt:variant>
        <vt:i4>5</vt:i4>
      </vt:variant>
      <vt:variant>
        <vt:lpwstr/>
      </vt:variant>
      <vt:variant>
        <vt:lpwstr>_Toc98349277</vt:lpwstr>
      </vt:variant>
      <vt:variant>
        <vt:i4>2031668</vt:i4>
      </vt:variant>
      <vt:variant>
        <vt:i4>86</vt:i4>
      </vt:variant>
      <vt:variant>
        <vt:i4>0</vt:i4>
      </vt:variant>
      <vt:variant>
        <vt:i4>5</vt:i4>
      </vt:variant>
      <vt:variant>
        <vt:lpwstr/>
      </vt:variant>
      <vt:variant>
        <vt:lpwstr>_Toc98349276</vt:lpwstr>
      </vt:variant>
      <vt:variant>
        <vt:i4>1835060</vt:i4>
      </vt:variant>
      <vt:variant>
        <vt:i4>80</vt:i4>
      </vt:variant>
      <vt:variant>
        <vt:i4>0</vt:i4>
      </vt:variant>
      <vt:variant>
        <vt:i4>5</vt:i4>
      </vt:variant>
      <vt:variant>
        <vt:lpwstr/>
      </vt:variant>
      <vt:variant>
        <vt:lpwstr>_Toc98349275</vt:lpwstr>
      </vt:variant>
      <vt:variant>
        <vt:i4>1900596</vt:i4>
      </vt:variant>
      <vt:variant>
        <vt:i4>74</vt:i4>
      </vt:variant>
      <vt:variant>
        <vt:i4>0</vt:i4>
      </vt:variant>
      <vt:variant>
        <vt:i4>5</vt:i4>
      </vt:variant>
      <vt:variant>
        <vt:lpwstr/>
      </vt:variant>
      <vt:variant>
        <vt:lpwstr>_Toc98349274</vt:lpwstr>
      </vt:variant>
      <vt:variant>
        <vt:i4>1703988</vt:i4>
      </vt:variant>
      <vt:variant>
        <vt:i4>68</vt:i4>
      </vt:variant>
      <vt:variant>
        <vt:i4>0</vt:i4>
      </vt:variant>
      <vt:variant>
        <vt:i4>5</vt:i4>
      </vt:variant>
      <vt:variant>
        <vt:lpwstr/>
      </vt:variant>
      <vt:variant>
        <vt:lpwstr>_Toc98349273</vt:lpwstr>
      </vt:variant>
      <vt:variant>
        <vt:i4>1769524</vt:i4>
      </vt:variant>
      <vt:variant>
        <vt:i4>62</vt:i4>
      </vt:variant>
      <vt:variant>
        <vt:i4>0</vt:i4>
      </vt:variant>
      <vt:variant>
        <vt:i4>5</vt:i4>
      </vt:variant>
      <vt:variant>
        <vt:lpwstr/>
      </vt:variant>
      <vt:variant>
        <vt:lpwstr>_Toc98349272</vt:lpwstr>
      </vt:variant>
      <vt:variant>
        <vt:i4>1572916</vt:i4>
      </vt:variant>
      <vt:variant>
        <vt:i4>56</vt:i4>
      </vt:variant>
      <vt:variant>
        <vt:i4>0</vt:i4>
      </vt:variant>
      <vt:variant>
        <vt:i4>5</vt:i4>
      </vt:variant>
      <vt:variant>
        <vt:lpwstr/>
      </vt:variant>
      <vt:variant>
        <vt:lpwstr>_Toc98349271</vt:lpwstr>
      </vt:variant>
      <vt:variant>
        <vt:i4>1638452</vt:i4>
      </vt:variant>
      <vt:variant>
        <vt:i4>50</vt:i4>
      </vt:variant>
      <vt:variant>
        <vt:i4>0</vt:i4>
      </vt:variant>
      <vt:variant>
        <vt:i4>5</vt:i4>
      </vt:variant>
      <vt:variant>
        <vt:lpwstr/>
      </vt:variant>
      <vt:variant>
        <vt:lpwstr>_Toc98349270</vt:lpwstr>
      </vt:variant>
      <vt:variant>
        <vt:i4>1048629</vt:i4>
      </vt:variant>
      <vt:variant>
        <vt:i4>44</vt:i4>
      </vt:variant>
      <vt:variant>
        <vt:i4>0</vt:i4>
      </vt:variant>
      <vt:variant>
        <vt:i4>5</vt:i4>
      </vt:variant>
      <vt:variant>
        <vt:lpwstr/>
      </vt:variant>
      <vt:variant>
        <vt:lpwstr>_Toc98349269</vt:lpwstr>
      </vt:variant>
      <vt:variant>
        <vt:i4>1114165</vt:i4>
      </vt:variant>
      <vt:variant>
        <vt:i4>38</vt:i4>
      </vt:variant>
      <vt:variant>
        <vt:i4>0</vt:i4>
      </vt:variant>
      <vt:variant>
        <vt:i4>5</vt:i4>
      </vt:variant>
      <vt:variant>
        <vt:lpwstr/>
      </vt:variant>
      <vt:variant>
        <vt:lpwstr>_Toc98349268</vt:lpwstr>
      </vt:variant>
      <vt:variant>
        <vt:i4>1966133</vt:i4>
      </vt:variant>
      <vt:variant>
        <vt:i4>32</vt:i4>
      </vt:variant>
      <vt:variant>
        <vt:i4>0</vt:i4>
      </vt:variant>
      <vt:variant>
        <vt:i4>5</vt:i4>
      </vt:variant>
      <vt:variant>
        <vt:lpwstr/>
      </vt:variant>
      <vt:variant>
        <vt:lpwstr>_Toc98349267</vt:lpwstr>
      </vt:variant>
      <vt:variant>
        <vt:i4>2031669</vt:i4>
      </vt:variant>
      <vt:variant>
        <vt:i4>26</vt:i4>
      </vt:variant>
      <vt:variant>
        <vt:i4>0</vt:i4>
      </vt:variant>
      <vt:variant>
        <vt:i4>5</vt:i4>
      </vt:variant>
      <vt:variant>
        <vt:lpwstr/>
      </vt:variant>
      <vt:variant>
        <vt:lpwstr>_Toc98349266</vt:lpwstr>
      </vt:variant>
      <vt:variant>
        <vt:i4>1835061</vt:i4>
      </vt:variant>
      <vt:variant>
        <vt:i4>20</vt:i4>
      </vt:variant>
      <vt:variant>
        <vt:i4>0</vt:i4>
      </vt:variant>
      <vt:variant>
        <vt:i4>5</vt:i4>
      </vt:variant>
      <vt:variant>
        <vt:lpwstr/>
      </vt:variant>
      <vt:variant>
        <vt:lpwstr>_Toc98349265</vt:lpwstr>
      </vt:variant>
      <vt:variant>
        <vt:i4>1900597</vt:i4>
      </vt:variant>
      <vt:variant>
        <vt:i4>14</vt:i4>
      </vt:variant>
      <vt:variant>
        <vt:i4>0</vt:i4>
      </vt:variant>
      <vt:variant>
        <vt:i4>5</vt:i4>
      </vt:variant>
      <vt:variant>
        <vt:lpwstr/>
      </vt:variant>
      <vt:variant>
        <vt:lpwstr>_Toc98349264</vt:lpwstr>
      </vt:variant>
      <vt:variant>
        <vt:i4>1703989</vt:i4>
      </vt:variant>
      <vt:variant>
        <vt:i4>8</vt:i4>
      </vt:variant>
      <vt:variant>
        <vt:i4>0</vt:i4>
      </vt:variant>
      <vt:variant>
        <vt:i4>5</vt:i4>
      </vt:variant>
      <vt:variant>
        <vt:lpwstr/>
      </vt:variant>
      <vt:variant>
        <vt:lpwstr>_Toc98349263</vt:lpwstr>
      </vt:variant>
      <vt:variant>
        <vt:i4>1769525</vt:i4>
      </vt:variant>
      <vt:variant>
        <vt:i4>2</vt:i4>
      </vt:variant>
      <vt:variant>
        <vt:i4>0</vt:i4>
      </vt:variant>
      <vt:variant>
        <vt:i4>5</vt:i4>
      </vt:variant>
      <vt:variant>
        <vt:lpwstr/>
      </vt:variant>
      <vt:variant>
        <vt:lpwstr>_Toc98349262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 Microsoft Office</dc:creator>
  <cp:lastModifiedBy>Васильев Алексей Игоревич</cp:lastModifiedBy>
  <cp:revision>9</cp:revision>
  <cp:lastPrinted>2021-09-14T15:50:00Z</cp:lastPrinted>
  <dcterms:created xsi:type="dcterms:W3CDTF">2025-06-20T13:01:00Z</dcterms:created>
  <dcterms:modified xsi:type="dcterms:W3CDTF">2025-06-30T13:30:00Z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http://www.zotero.org/styles/gost-r-7-0-5-2008-numeric</vt:lpwstr>
  </property>
  <property fmtid="{D5CDD505-2E9C-101B-9397-08002B2CF9AE}" pid="21" name="Mendeley Recent Style Name 9_1">
    <vt:lpwstr>Russian GOST R 7.0.5-2008 (numeric)</vt:lpwstr>
  </property>
  <property fmtid="{D5CDD505-2E9C-101B-9397-08002B2CF9AE}" pid="22" name="Mendeley Document_1">
    <vt:lpwstr>True</vt:lpwstr>
  </property>
  <property fmtid="{D5CDD505-2E9C-101B-9397-08002B2CF9AE}" pid="23" name="Mendeley Unique User Id_1">
    <vt:lpwstr>c92ecec2-c384-37b1-b38d-6c28b38a2d6b</vt:lpwstr>
  </property>
  <property fmtid="{D5CDD505-2E9C-101B-9397-08002B2CF9AE}" pid="24" name="Mendeley Citation Style_1">
    <vt:lpwstr>http://www.zotero.org/styles/gost-r-7-0-5-2008-numeric</vt:lpwstr>
  </property>
</Properties>
</file>