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CDAA" w14:textId="11B37253" w:rsidR="00CD17D7" w:rsidRPr="00097824" w:rsidRDefault="00074EA4" w:rsidP="00AD4A9F">
      <w:pPr>
        <w:pStyle w:val="affa"/>
        <w:ind w:left="397" w:firstLine="357"/>
      </w:pPr>
      <w:r w:rsidRPr="00097824">
        <w:rPr>
          <w:noProof/>
          <w:lang w:val="en-US" w:eastAsia="ru-RU"/>
        </w:rPr>
        <mc:AlternateContent>
          <mc:Choice Requires="wps">
            <w:drawing>
              <wp:anchor distT="0" distB="0" distL="114300" distR="114300" simplePos="0" relativeHeight="251658241" behindDoc="1" locked="0" layoutInCell="1" allowOverlap="1" wp14:anchorId="5150EBAA" wp14:editId="4B3A62EE">
                <wp:simplePos x="0" y="0"/>
                <wp:positionH relativeFrom="column">
                  <wp:posOffset>-746760</wp:posOffset>
                </wp:positionH>
                <wp:positionV relativeFrom="paragraph">
                  <wp:posOffset>-405765</wp:posOffset>
                </wp:positionV>
                <wp:extent cx="6924675" cy="10006965"/>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1000696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9525" w:type="dxa"/>
                              <w:tblInd w:w="6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503"/>
                              <w:gridCol w:w="5022"/>
                            </w:tblGrid>
                            <w:tr w:rsidR="005976C5" w:rsidRPr="00DC5C3F" w14:paraId="1F9DCB04" w14:textId="77777777" w:rsidTr="00BB3435">
                              <w:tc>
                                <w:tcPr>
                                  <w:tcW w:w="9525" w:type="dxa"/>
                                  <w:gridSpan w:val="2"/>
                                </w:tcPr>
                                <w:p w14:paraId="4116B801" w14:textId="77777777" w:rsidR="005976C5" w:rsidRPr="009B79B9" w:rsidRDefault="005976C5" w:rsidP="00BB3435">
                                  <w:pPr>
                                    <w:tabs>
                                      <w:tab w:val="left" w:pos="6135"/>
                                    </w:tabs>
                                    <w:jc w:val="center"/>
                                    <w:rPr>
                                      <w:b/>
                                      <w:bCs/>
                                      <w:sz w:val="28"/>
                                      <w:szCs w:val="28"/>
                                    </w:rPr>
                                  </w:pPr>
                                  <w:r w:rsidRPr="009B79B9">
                                    <w:rPr>
                                      <w:b/>
                                      <w:bCs/>
                                      <w:color w:val="808080"/>
                                    </w:rPr>
                                    <w:t xml:space="preserve">Клинические </w:t>
                                  </w:r>
                                  <w:r w:rsidRPr="009B79B9">
                                    <w:rPr>
                                      <w:b/>
                                      <w:bCs/>
                                      <w:noProof/>
                                      <w:color w:val="767171"/>
                                      <w:lang w:eastAsia="ru-RU"/>
                                    </w:rPr>
                                    <w:t>рекомендации</w:t>
                                  </w:r>
                                </w:p>
                              </w:tc>
                            </w:tr>
                            <w:tr w:rsidR="005976C5" w:rsidRPr="00DC5C3F" w14:paraId="33C4E4F2" w14:textId="77777777" w:rsidTr="00BB3435">
                              <w:trPr>
                                <w:trHeight w:val="995"/>
                              </w:trPr>
                              <w:tc>
                                <w:tcPr>
                                  <w:tcW w:w="9525" w:type="dxa"/>
                                  <w:gridSpan w:val="2"/>
                                </w:tcPr>
                                <w:p w14:paraId="03822B54" w14:textId="77777777" w:rsidR="005976C5" w:rsidRPr="00DC5C3F" w:rsidRDefault="005976C5" w:rsidP="00BB3435">
                                  <w:pPr>
                                    <w:tabs>
                                      <w:tab w:val="left" w:pos="6135"/>
                                    </w:tabs>
                                    <w:jc w:val="center"/>
                                    <w:rPr>
                                      <w:sz w:val="28"/>
                                      <w:szCs w:val="28"/>
                                    </w:rPr>
                                  </w:pPr>
                                  <w:r w:rsidRPr="00B61375">
                                    <w:rPr>
                                      <w:b/>
                                      <w:color w:val="000000"/>
                                      <w:sz w:val="44"/>
                                      <w:szCs w:val="44"/>
                                    </w:rPr>
                                    <w:t>Рак желчевыводящей системы</w:t>
                                  </w:r>
                                </w:p>
                              </w:tc>
                            </w:tr>
                            <w:tr w:rsidR="005976C5" w:rsidRPr="00DC5C3F" w14:paraId="6E4D4D9C" w14:textId="77777777" w:rsidTr="00BB3435">
                              <w:trPr>
                                <w:trHeight w:val="980"/>
                              </w:trPr>
                              <w:tc>
                                <w:tcPr>
                                  <w:tcW w:w="4503" w:type="dxa"/>
                                </w:tcPr>
                                <w:p w14:paraId="238FF0EE" w14:textId="77777777" w:rsidR="005976C5" w:rsidRPr="00DC5C3F" w:rsidRDefault="005976C5" w:rsidP="00BB3435">
                                  <w:pPr>
                                    <w:tabs>
                                      <w:tab w:val="left" w:pos="6135"/>
                                    </w:tabs>
                                    <w:spacing w:line="276" w:lineRule="auto"/>
                                    <w:ind w:firstLine="0"/>
                                    <w:jc w:val="right"/>
                                    <w:rPr>
                                      <w:szCs w:val="28"/>
                                    </w:rPr>
                                  </w:pPr>
                                  <w:r w:rsidRPr="00DC5C3F">
                                    <w:rPr>
                                      <w:color w:val="808080"/>
                                      <w:szCs w:val="28"/>
                                    </w:rPr>
                                    <w:t>Кодирование по Международной статистической классификации болезней и проблем, связанных со здоровьем:</w:t>
                                  </w:r>
                                </w:p>
                              </w:tc>
                              <w:tc>
                                <w:tcPr>
                                  <w:tcW w:w="5022" w:type="dxa"/>
                                </w:tcPr>
                                <w:p w14:paraId="641AAC35" w14:textId="5392968A" w:rsidR="005976C5" w:rsidRPr="00DC5C3F" w:rsidRDefault="005976C5" w:rsidP="001F2F1C">
                                  <w:pPr>
                                    <w:tabs>
                                      <w:tab w:val="left" w:pos="6135"/>
                                    </w:tabs>
                                    <w:spacing w:line="276" w:lineRule="auto"/>
                                    <w:ind w:firstLine="0"/>
                                    <w:jc w:val="left"/>
                                    <w:rPr>
                                      <w:szCs w:val="28"/>
                                    </w:rPr>
                                  </w:pPr>
                                  <w:r w:rsidRPr="00B61375">
                                    <w:rPr>
                                      <w:szCs w:val="28"/>
                                    </w:rPr>
                                    <w:t>С22/ С23/ С24</w:t>
                                  </w:r>
                                  <w:r>
                                    <w:rPr>
                                      <w:szCs w:val="28"/>
                                    </w:rPr>
                                    <w:t>.0/С24.8/С24.9</w:t>
                                  </w:r>
                                </w:p>
                              </w:tc>
                            </w:tr>
                            <w:tr w:rsidR="005976C5" w:rsidRPr="00DC5C3F" w14:paraId="34F48095" w14:textId="77777777" w:rsidTr="00BB3435">
                              <w:trPr>
                                <w:trHeight w:val="506"/>
                              </w:trPr>
                              <w:tc>
                                <w:tcPr>
                                  <w:tcW w:w="4503" w:type="dxa"/>
                                </w:tcPr>
                                <w:p w14:paraId="26A74A24" w14:textId="77777777" w:rsidR="005976C5" w:rsidRPr="00DC5C3F" w:rsidRDefault="005976C5" w:rsidP="00BB3435">
                                  <w:pPr>
                                    <w:tabs>
                                      <w:tab w:val="left" w:pos="6135"/>
                                    </w:tabs>
                                    <w:spacing w:line="276" w:lineRule="auto"/>
                                    <w:ind w:firstLine="0"/>
                                    <w:jc w:val="right"/>
                                    <w:rPr>
                                      <w:color w:val="808080"/>
                                      <w:szCs w:val="28"/>
                                    </w:rPr>
                                  </w:pPr>
                                  <w:r w:rsidRPr="00DC5C3F">
                                    <w:rPr>
                                      <w:rStyle w:val="pop-slug-vol"/>
                                      <w:color w:val="767171"/>
                                      <w:szCs w:val="28"/>
                                    </w:rPr>
                                    <w:t>Возрастная группа:</w:t>
                                  </w:r>
                                </w:p>
                              </w:tc>
                              <w:tc>
                                <w:tcPr>
                                  <w:tcW w:w="5022" w:type="dxa"/>
                                </w:tcPr>
                                <w:p w14:paraId="7AD41347" w14:textId="698DEADF" w:rsidR="005976C5" w:rsidRPr="00DC5C3F" w:rsidRDefault="005976C5" w:rsidP="00BB3435">
                                  <w:pPr>
                                    <w:tabs>
                                      <w:tab w:val="left" w:pos="6135"/>
                                    </w:tabs>
                                    <w:spacing w:line="276" w:lineRule="auto"/>
                                    <w:ind w:firstLine="0"/>
                                    <w:jc w:val="left"/>
                                    <w:rPr>
                                      <w:color w:val="808080"/>
                                      <w:szCs w:val="28"/>
                                    </w:rPr>
                                  </w:pPr>
                                  <w:r w:rsidRPr="00B61375">
                                    <w:rPr>
                                      <w:szCs w:val="28"/>
                                    </w:rPr>
                                    <w:t>взрослые</w:t>
                                  </w:r>
                                  <w:r>
                                    <w:rPr>
                                      <w:szCs w:val="28"/>
                                    </w:rPr>
                                    <w:t>, дети</w:t>
                                  </w:r>
                                  <w:r w:rsidRPr="00B61375">
                                    <w:rPr>
                                      <w:szCs w:val="28"/>
                                    </w:rPr>
                                    <w:t xml:space="preserve"> </w:t>
                                  </w:r>
                                </w:p>
                              </w:tc>
                            </w:tr>
                            <w:tr w:rsidR="005976C5" w:rsidRPr="00DC5C3F" w14:paraId="25489E66" w14:textId="77777777" w:rsidTr="00BB3435">
                              <w:trPr>
                                <w:trHeight w:val="414"/>
                              </w:trPr>
                              <w:tc>
                                <w:tcPr>
                                  <w:tcW w:w="4503" w:type="dxa"/>
                                </w:tcPr>
                                <w:p w14:paraId="22F59C49" w14:textId="77777777" w:rsidR="005976C5" w:rsidRPr="00DC5C3F" w:rsidRDefault="005976C5" w:rsidP="00BB3435">
                                  <w:pPr>
                                    <w:tabs>
                                      <w:tab w:val="left" w:pos="6135"/>
                                    </w:tabs>
                                    <w:spacing w:line="276" w:lineRule="auto"/>
                                    <w:ind w:firstLine="0"/>
                                    <w:jc w:val="right"/>
                                    <w:rPr>
                                      <w:color w:val="808080"/>
                                      <w:szCs w:val="28"/>
                                    </w:rPr>
                                  </w:pPr>
                                  <w:r w:rsidRPr="00DC5C3F">
                                    <w:rPr>
                                      <w:color w:val="808080"/>
                                    </w:rPr>
                                    <w:t>Год утверждения:</w:t>
                                  </w:r>
                                </w:p>
                              </w:tc>
                              <w:tc>
                                <w:tcPr>
                                  <w:tcW w:w="5022" w:type="dxa"/>
                                </w:tcPr>
                                <w:p w14:paraId="43797349" w14:textId="0B202E53" w:rsidR="005976C5" w:rsidRPr="00144A9D" w:rsidRDefault="005976C5" w:rsidP="00BB3435">
                                  <w:pPr>
                                    <w:tabs>
                                      <w:tab w:val="left" w:pos="6135"/>
                                    </w:tabs>
                                    <w:spacing w:line="276" w:lineRule="auto"/>
                                    <w:ind w:firstLine="0"/>
                                    <w:jc w:val="left"/>
                                    <w:rPr>
                                      <w:highlight w:val="yellow"/>
                                    </w:rPr>
                                  </w:pPr>
                                  <w:r w:rsidRPr="00CD20DE">
                                    <w:rPr>
                                      <w:lang w:val="en-US"/>
                                    </w:rPr>
                                    <w:t>20</w:t>
                                  </w:r>
                                  <w:r w:rsidRPr="00CD20DE">
                                    <w:t>2</w:t>
                                  </w:r>
                                  <w:r w:rsidR="00D038A7">
                                    <w:t>4</w:t>
                                  </w:r>
                                </w:p>
                              </w:tc>
                            </w:tr>
                            <w:tr w:rsidR="005976C5" w:rsidRPr="00DC5C3F" w14:paraId="629F9315" w14:textId="77777777" w:rsidTr="00BB3435">
                              <w:tc>
                                <w:tcPr>
                                  <w:tcW w:w="9525" w:type="dxa"/>
                                  <w:gridSpan w:val="2"/>
                                </w:tcPr>
                                <w:p w14:paraId="6DF17197" w14:textId="77777777" w:rsidR="005976C5" w:rsidRPr="00DC5C3F" w:rsidRDefault="005976C5" w:rsidP="00BB3435">
                                  <w:pPr>
                                    <w:tabs>
                                      <w:tab w:val="left" w:pos="6135"/>
                                    </w:tabs>
                                    <w:ind w:firstLine="0"/>
                                    <w:rPr>
                                      <w:color w:val="FF0000"/>
                                      <w:sz w:val="20"/>
                                      <w:szCs w:val="20"/>
                                    </w:rPr>
                                  </w:pPr>
                                  <w:r w:rsidRPr="00DC5C3F">
                                    <w:rPr>
                                      <w:color w:val="808080"/>
                                    </w:rPr>
                                    <w:t>Разработчик клинической рекомендации:</w:t>
                                  </w:r>
                                </w:p>
                              </w:tc>
                            </w:tr>
                            <w:tr w:rsidR="005976C5" w:rsidRPr="00DC5C3F" w14:paraId="4636E54F" w14:textId="77777777" w:rsidTr="00BB3435">
                              <w:trPr>
                                <w:trHeight w:val="4170"/>
                              </w:trPr>
                              <w:tc>
                                <w:tcPr>
                                  <w:tcW w:w="9525" w:type="dxa"/>
                                  <w:gridSpan w:val="2"/>
                                </w:tcPr>
                                <w:p w14:paraId="1EDA75C1" w14:textId="77777777" w:rsidR="005976C5" w:rsidRPr="00DC5C3F" w:rsidRDefault="005976C5" w:rsidP="00BB3435">
                                  <w:pPr>
                                    <w:pStyle w:val="affa"/>
                                    <w:numPr>
                                      <w:ilvl w:val="0"/>
                                      <w:numId w:val="2"/>
                                    </w:numPr>
                                    <w:rPr>
                                      <w:b/>
                                      <w:sz w:val="28"/>
                                    </w:rPr>
                                  </w:pPr>
                                  <w:r w:rsidRPr="00E915DE">
                                    <w:t>Российское общество клиническ</w:t>
                                  </w:r>
                                  <w:r>
                                    <w:t>ой</w:t>
                                  </w:r>
                                  <w:r w:rsidRPr="00E915DE">
                                    <w:t xml:space="preserve"> онколог</w:t>
                                  </w:r>
                                  <w:r>
                                    <w:t>ии</w:t>
                                  </w:r>
                                </w:p>
                                <w:p w14:paraId="3DE440E2" w14:textId="77777777" w:rsidR="005976C5" w:rsidRPr="00DC5C3F" w:rsidRDefault="005976C5" w:rsidP="00BB3435">
                                  <w:pPr>
                                    <w:pStyle w:val="affa"/>
                                    <w:numPr>
                                      <w:ilvl w:val="0"/>
                                      <w:numId w:val="2"/>
                                    </w:numPr>
                                    <w:rPr>
                                      <w:b/>
                                      <w:sz w:val="28"/>
                                    </w:rPr>
                                  </w:pPr>
                                  <w:r w:rsidRPr="00E915DE">
                                    <w:t>Ассоциация онкологов России</w:t>
                                  </w:r>
                                </w:p>
                                <w:p w14:paraId="7899FAC9" w14:textId="77777777" w:rsidR="005976C5" w:rsidRPr="00DC5C3F" w:rsidRDefault="005976C5" w:rsidP="00BB3435">
                                  <w:pPr>
                                    <w:pStyle w:val="affa"/>
                                    <w:ind w:firstLine="0"/>
                                    <w:rPr>
                                      <w:b/>
                                      <w:sz w:val="28"/>
                                    </w:rPr>
                                  </w:pPr>
                                </w:p>
                              </w:tc>
                            </w:tr>
                          </w:tbl>
                          <w:p w14:paraId="4307DDF1" w14:textId="77777777" w:rsidR="005976C5" w:rsidRPr="009B79B9" w:rsidRDefault="005976C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50EBAA" id="Rectangle 2" o:spid="_x0000_s1026" style="position:absolute;left:0;text-align:left;margin-left:-58.8pt;margin-top:-31.95pt;width:545.25pt;height:787.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" stroked="f">
                <v:textbox>
                  <w:txbxContent>
                    <w:tbl>
                      <w:tblPr>
                        <w:tblW w:w="9525" w:type="dxa"/>
                        <w:tblInd w:w="6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503"/>
                        <w:gridCol w:w="5022"/>
                      </w:tblGrid>
                      <w:tr w:rsidR="005976C5" w:rsidRPr="00DC5C3F" w14:paraId="1F9DCB04" w14:textId="77777777" w:rsidTr="00BB3435">
                        <w:tc>
                          <w:tcPr>
                            <w:tcW w:w="9525" w:type="dxa"/>
                            <w:gridSpan w:val="2"/>
                          </w:tcPr>
                          <w:p w14:paraId="4116B801" w14:textId="77777777" w:rsidR="005976C5" w:rsidRPr="009B79B9" w:rsidRDefault="005976C5" w:rsidP="00BB3435">
                            <w:pPr>
                              <w:tabs>
                                <w:tab w:val="left" w:pos="6135"/>
                              </w:tabs>
                              <w:jc w:val="center"/>
                              <w:rPr>
                                <w:b/>
                                <w:bCs/>
                                <w:sz w:val="28"/>
                                <w:szCs w:val="28"/>
                              </w:rPr>
                            </w:pPr>
                            <w:r w:rsidRPr="009B79B9">
                              <w:rPr>
                                <w:b/>
                                <w:bCs/>
                                <w:color w:val="808080"/>
                              </w:rPr>
                              <w:t xml:space="preserve">Клинические </w:t>
                            </w:r>
                            <w:r w:rsidRPr="009B79B9">
                              <w:rPr>
                                <w:b/>
                                <w:bCs/>
                                <w:noProof/>
                                <w:color w:val="767171"/>
                                <w:lang w:eastAsia="ru-RU"/>
                              </w:rPr>
                              <w:t>рекомендации</w:t>
                            </w:r>
                          </w:p>
                        </w:tc>
                      </w:tr>
                      <w:tr w:rsidR="005976C5" w:rsidRPr="00DC5C3F" w14:paraId="33C4E4F2" w14:textId="77777777" w:rsidTr="00BB3435">
                        <w:trPr>
                          <w:trHeight w:val="995"/>
                        </w:trPr>
                        <w:tc>
                          <w:tcPr>
                            <w:tcW w:w="9525" w:type="dxa"/>
                            <w:gridSpan w:val="2"/>
                          </w:tcPr>
                          <w:p w14:paraId="03822B54" w14:textId="77777777" w:rsidR="005976C5" w:rsidRPr="00DC5C3F" w:rsidRDefault="005976C5" w:rsidP="00BB3435">
                            <w:pPr>
                              <w:tabs>
                                <w:tab w:val="left" w:pos="6135"/>
                              </w:tabs>
                              <w:jc w:val="center"/>
                              <w:rPr>
                                <w:sz w:val="28"/>
                                <w:szCs w:val="28"/>
                              </w:rPr>
                            </w:pPr>
                            <w:r w:rsidRPr="00B61375">
                              <w:rPr>
                                <w:b/>
                                <w:color w:val="000000"/>
                                <w:sz w:val="44"/>
                                <w:szCs w:val="44"/>
                              </w:rPr>
                              <w:t>Рак желчевыводящей системы</w:t>
                            </w:r>
                          </w:p>
                        </w:tc>
                      </w:tr>
                      <w:tr w:rsidR="005976C5" w:rsidRPr="00DC5C3F" w14:paraId="6E4D4D9C" w14:textId="77777777" w:rsidTr="00BB3435">
                        <w:trPr>
                          <w:trHeight w:val="980"/>
                        </w:trPr>
                        <w:tc>
                          <w:tcPr>
                            <w:tcW w:w="4503" w:type="dxa"/>
                          </w:tcPr>
                          <w:p w14:paraId="238FF0EE" w14:textId="77777777" w:rsidR="005976C5" w:rsidRPr="00DC5C3F" w:rsidRDefault="005976C5" w:rsidP="00BB3435">
                            <w:pPr>
                              <w:tabs>
                                <w:tab w:val="left" w:pos="6135"/>
                              </w:tabs>
                              <w:spacing w:line="276" w:lineRule="auto"/>
                              <w:ind w:firstLine="0"/>
                              <w:jc w:val="right"/>
                              <w:rPr>
                                <w:szCs w:val="28"/>
                              </w:rPr>
                            </w:pPr>
                            <w:r w:rsidRPr="00DC5C3F">
                              <w:rPr>
                                <w:color w:val="808080"/>
                                <w:szCs w:val="28"/>
                              </w:rPr>
                              <w:t>Кодирование по Международной статистической классификации болезней и проблем, связанных со здоровьем:</w:t>
                            </w:r>
                          </w:p>
                        </w:tc>
                        <w:tc>
                          <w:tcPr>
                            <w:tcW w:w="5022" w:type="dxa"/>
                          </w:tcPr>
                          <w:p w14:paraId="641AAC35" w14:textId="5392968A" w:rsidR="005976C5" w:rsidRPr="00DC5C3F" w:rsidRDefault="005976C5" w:rsidP="001F2F1C">
                            <w:pPr>
                              <w:tabs>
                                <w:tab w:val="left" w:pos="6135"/>
                              </w:tabs>
                              <w:spacing w:line="276" w:lineRule="auto"/>
                              <w:ind w:firstLine="0"/>
                              <w:jc w:val="left"/>
                              <w:rPr>
                                <w:szCs w:val="28"/>
                              </w:rPr>
                            </w:pPr>
                            <w:r w:rsidRPr="00B61375">
                              <w:rPr>
                                <w:szCs w:val="28"/>
                              </w:rPr>
                              <w:t>С22/ С23/ С24</w:t>
                            </w:r>
                            <w:r>
                              <w:rPr>
                                <w:szCs w:val="28"/>
                              </w:rPr>
                              <w:t>.0/С24.8/С24.9</w:t>
                            </w:r>
                          </w:p>
                        </w:tc>
                      </w:tr>
                      <w:tr w:rsidR="005976C5" w:rsidRPr="00DC5C3F" w14:paraId="34F48095" w14:textId="77777777" w:rsidTr="00BB3435">
                        <w:trPr>
                          <w:trHeight w:val="506"/>
                        </w:trPr>
                        <w:tc>
                          <w:tcPr>
                            <w:tcW w:w="4503" w:type="dxa"/>
                          </w:tcPr>
                          <w:p w14:paraId="26A74A24" w14:textId="77777777" w:rsidR="005976C5" w:rsidRPr="00DC5C3F" w:rsidRDefault="005976C5" w:rsidP="00BB3435">
                            <w:pPr>
                              <w:tabs>
                                <w:tab w:val="left" w:pos="6135"/>
                              </w:tabs>
                              <w:spacing w:line="276" w:lineRule="auto"/>
                              <w:ind w:firstLine="0"/>
                              <w:jc w:val="right"/>
                              <w:rPr>
                                <w:color w:val="808080"/>
                                <w:szCs w:val="28"/>
                              </w:rPr>
                            </w:pPr>
                            <w:r w:rsidRPr="00DC5C3F">
                              <w:rPr>
                                <w:rStyle w:val="pop-slug-vol"/>
                                <w:color w:val="767171"/>
                                <w:szCs w:val="28"/>
                              </w:rPr>
                              <w:t>Возрастная группа:</w:t>
                            </w:r>
                          </w:p>
                        </w:tc>
                        <w:tc>
                          <w:tcPr>
                            <w:tcW w:w="5022" w:type="dxa"/>
                          </w:tcPr>
                          <w:p w14:paraId="7AD41347" w14:textId="698DEADF" w:rsidR="005976C5" w:rsidRPr="00DC5C3F" w:rsidRDefault="005976C5" w:rsidP="00BB3435">
                            <w:pPr>
                              <w:tabs>
                                <w:tab w:val="left" w:pos="6135"/>
                              </w:tabs>
                              <w:spacing w:line="276" w:lineRule="auto"/>
                              <w:ind w:firstLine="0"/>
                              <w:jc w:val="left"/>
                              <w:rPr>
                                <w:color w:val="808080"/>
                                <w:szCs w:val="28"/>
                              </w:rPr>
                            </w:pPr>
                            <w:r w:rsidRPr="00B61375">
                              <w:rPr>
                                <w:szCs w:val="28"/>
                              </w:rPr>
                              <w:t>взрослые</w:t>
                            </w:r>
                            <w:r>
                              <w:rPr>
                                <w:szCs w:val="28"/>
                              </w:rPr>
                              <w:t>, дети</w:t>
                            </w:r>
                            <w:r w:rsidRPr="00B61375">
                              <w:rPr>
                                <w:szCs w:val="28"/>
                              </w:rPr>
                              <w:t xml:space="preserve"> </w:t>
                            </w:r>
                          </w:p>
                        </w:tc>
                      </w:tr>
                      <w:tr w:rsidR="005976C5" w:rsidRPr="00DC5C3F" w14:paraId="25489E66" w14:textId="77777777" w:rsidTr="00BB3435">
                        <w:trPr>
                          <w:trHeight w:val="414"/>
                        </w:trPr>
                        <w:tc>
                          <w:tcPr>
                            <w:tcW w:w="4503" w:type="dxa"/>
                          </w:tcPr>
                          <w:p w14:paraId="22F59C49" w14:textId="77777777" w:rsidR="005976C5" w:rsidRPr="00DC5C3F" w:rsidRDefault="005976C5" w:rsidP="00BB3435">
                            <w:pPr>
                              <w:tabs>
                                <w:tab w:val="left" w:pos="6135"/>
                              </w:tabs>
                              <w:spacing w:line="276" w:lineRule="auto"/>
                              <w:ind w:firstLine="0"/>
                              <w:jc w:val="right"/>
                              <w:rPr>
                                <w:color w:val="808080"/>
                                <w:szCs w:val="28"/>
                              </w:rPr>
                            </w:pPr>
                            <w:r w:rsidRPr="00DC5C3F">
                              <w:rPr>
                                <w:color w:val="808080"/>
                              </w:rPr>
                              <w:t>Год утверждения:</w:t>
                            </w:r>
                          </w:p>
                        </w:tc>
                        <w:tc>
                          <w:tcPr>
                            <w:tcW w:w="5022" w:type="dxa"/>
                          </w:tcPr>
                          <w:p w14:paraId="43797349" w14:textId="0B202E53" w:rsidR="005976C5" w:rsidRPr="00144A9D" w:rsidRDefault="005976C5" w:rsidP="00BB3435">
                            <w:pPr>
                              <w:tabs>
                                <w:tab w:val="left" w:pos="6135"/>
                              </w:tabs>
                              <w:spacing w:line="276" w:lineRule="auto"/>
                              <w:ind w:firstLine="0"/>
                              <w:jc w:val="left"/>
                              <w:rPr>
                                <w:highlight w:val="yellow"/>
                              </w:rPr>
                            </w:pPr>
                            <w:r w:rsidRPr="00CD20DE">
                              <w:rPr>
                                <w:lang w:val="en-US"/>
                              </w:rPr>
                              <w:t>20</w:t>
                            </w:r>
                            <w:r w:rsidRPr="00CD20DE">
                              <w:t>2</w:t>
                            </w:r>
                            <w:r w:rsidR="00D038A7">
                              <w:t>4</w:t>
                            </w:r>
                          </w:p>
                        </w:tc>
                      </w:tr>
                      <w:tr w:rsidR="005976C5" w:rsidRPr="00DC5C3F" w14:paraId="629F9315" w14:textId="77777777" w:rsidTr="00BB3435">
                        <w:tc>
                          <w:tcPr>
                            <w:tcW w:w="9525" w:type="dxa"/>
                            <w:gridSpan w:val="2"/>
                          </w:tcPr>
                          <w:p w14:paraId="6DF17197" w14:textId="77777777" w:rsidR="005976C5" w:rsidRPr="00DC5C3F" w:rsidRDefault="005976C5" w:rsidP="00BB3435">
                            <w:pPr>
                              <w:tabs>
                                <w:tab w:val="left" w:pos="6135"/>
                              </w:tabs>
                              <w:ind w:firstLine="0"/>
                              <w:rPr>
                                <w:color w:val="FF0000"/>
                                <w:sz w:val="20"/>
                                <w:szCs w:val="20"/>
                              </w:rPr>
                            </w:pPr>
                            <w:r w:rsidRPr="00DC5C3F">
                              <w:rPr>
                                <w:color w:val="808080"/>
                              </w:rPr>
                              <w:t>Разработчик клинической рекомендации:</w:t>
                            </w:r>
                          </w:p>
                        </w:tc>
                      </w:tr>
                      <w:tr w:rsidR="005976C5" w:rsidRPr="00DC5C3F" w14:paraId="4636E54F" w14:textId="77777777" w:rsidTr="00BB3435">
                        <w:trPr>
                          <w:trHeight w:val="4170"/>
                        </w:trPr>
                        <w:tc>
                          <w:tcPr>
                            <w:tcW w:w="9525" w:type="dxa"/>
                            <w:gridSpan w:val="2"/>
                          </w:tcPr>
                          <w:p w14:paraId="1EDA75C1" w14:textId="77777777" w:rsidR="005976C5" w:rsidRPr="00DC5C3F" w:rsidRDefault="005976C5" w:rsidP="00BB3435">
                            <w:pPr>
                              <w:pStyle w:val="affa"/>
                              <w:numPr>
                                <w:ilvl w:val="0"/>
                                <w:numId w:val="2"/>
                              </w:numPr>
                              <w:rPr>
                                <w:b/>
                                <w:sz w:val="28"/>
                              </w:rPr>
                            </w:pPr>
                            <w:r w:rsidRPr="00E915DE">
                              <w:t>Российское общество клиническ</w:t>
                            </w:r>
                            <w:r>
                              <w:t>ой</w:t>
                            </w:r>
                            <w:r w:rsidRPr="00E915DE">
                              <w:t xml:space="preserve"> онколог</w:t>
                            </w:r>
                            <w:r>
                              <w:t>ии</w:t>
                            </w:r>
                          </w:p>
                          <w:p w14:paraId="3DE440E2" w14:textId="77777777" w:rsidR="005976C5" w:rsidRPr="00DC5C3F" w:rsidRDefault="005976C5" w:rsidP="00BB3435">
                            <w:pPr>
                              <w:pStyle w:val="affa"/>
                              <w:numPr>
                                <w:ilvl w:val="0"/>
                                <w:numId w:val="2"/>
                              </w:numPr>
                              <w:rPr>
                                <w:b/>
                                <w:sz w:val="28"/>
                              </w:rPr>
                            </w:pPr>
                            <w:r w:rsidRPr="00E915DE">
                              <w:t>Ассоциация онкологов России</w:t>
                            </w:r>
                          </w:p>
                          <w:p w14:paraId="7899FAC9" w14:textId="77777777" w:rsidR="005976C5" w:rsidRPr="00DC5C3F" w:rsidRDefault="005976C5" w:rsidP="00BB3435">
                            <w:pPr>
                              <w:pStyle w:val="affa"/>
                              <w:ind w:firstLine="0"/>
                              <w:rPr>
                                <w:b/>
                                <w:sz w:val="28"/>
                              </w:rPr>
                            </w:pPr>
                          </w:p>
                        </w:tc>
                      </w:tr>
                    </w:tbl>
                    <w:p w14:paraId="4307DDF1" w14:textId="77777777" w:rsidR="005976C5" w:rsidRPr="009B79B9" w:rsidRDefault="005976C5"/>
                  </w:txbxContent>
                </v:textbox>
              </v:rect>
            </w:pict>
          </mc:Fallback>
        </mc:AlternateContent>
      </w:r>
      <w:r w:rsidRPr="00097824">
        <w:rPr>
          <w:noProof/>
          <w:lang w:val="en-US" w:eastAsia="ru-RU"/>
        </w:rPr>
        <mc:AlternateContent>
          <mc:Choice Requires="wps">
            <w:drawing>
              <wp:anchor distT="0" distB="0" distL="114300" distR="114300" simplePos="0" relativeHeight="251657216" behindDoc="1" locked="0" layoutInCell="1" allowOverlap="1" wp14:anchorId="286DCB66" wp14:editId="2C6F13C7">
                <wp:simplePos x="0" y="0"/>
                <wp:positionH relativeFrom="page">
                  <wp:posOffset>-35560</wp:posOffset>
                </wp:positionH>
                <wp:positionV relativeFrom="paragraph">
                  <wp:posOffset>-962660</wp:posOffset>
                </wp:positionV>
                <wp:extent cx="7601585" cy="11021060"/>
                <wp:effectExtent l="0" t="0" r="0"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1585" cy="11021060"/>
                        </a:xfrm>
                        <a:prstGeom prst="rect">
                          <a:avLst/>
                        </a:prstGeom>
                        <a:solidFill>
                          <a:srgbClr val="0B595D">
                            <a:alpha val="10196"/>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F9FAE" id="Прямоугольник 1" o:spid="_x0000_s1026" style="position:absolute;margin-left:-2.8pt;margin-top:-75.8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" fillcolor="#0b595d" stroked="f">
                <v:fill opacity="6682f"/>
                <w10:wrap anchorx="page"/>
              </v:rect>
            </w:pict>
          </mc:Fallback>
        </mc:AlternateContent>
      </w:r>
    </w:p>
    <w:p w14:paraId="242CA988" w14:textId="77777777" w:rsidR="00CD17D7" w:rsidRPr="00097824" w:rsidRDefault="00CD17D7" w:rsidP="00AD4A9F">
      <w:pPr>
        <w:pStyle w:val="affa"/>
        <w:ind w:left="397" w:firstLine="357"/>
      </w:pPr>
    </w:p>
    <w:p w14:paraId="607097C7" w14:textId="77777777" w:rsidR="00CD17D7" w:rsidRPr="00097824" w:rsidRDefault="00BB3435" w:rsidP="00AD4A9F">
      <w:pPr>
        <w:tabs>
          <w:tab w:val="left" w:pos="5745"/>
        </w:tabs>
        <w:ind w:left="397" w:firstLine="357"/>
      </w:pPr>
      <w:r w:rsidRPr="00097824">
        <w:tab/>
      </w:r>
    </w:p>
    <w:p w14:paraId="5A7B912C" w14:textId="77777777" w:rsidR="00CD17D7" w:rsidRPr="00097824" w:rsidRDefault="00CD17D7" w:rsidP="00AD4A9F">
      <w:pPr>
        <w:ind w:left="397" w:firstLine="357"/>
      </w:pPr>
    </w:p>
    <w:p w14:paraId="517D23B1" w14:textId="77777777" w:rsidR="00CD17D7" w:rsidRPr="00097824" w:rsidRDefault="00CD17D7" w:rsidP="00AD4A9F">
      <w:pPr>
        <w:ind w:left="397" w:firstLine="357"/>
      </w:pPr>
    </w:p>
    <w:p w14:paraId="48CF2DEB" w14:textId="77777777" w:rsidR="00CD17D7" w:rsidRPr="00097824" w:rsidRDefault="00CD17D7" w:rsidP="00AD4A9F">
      <w:pPr>
        <w:ind w:left="397" w:firstLine="357"/>
      </w:pPr>
    </w:p>
    <w:p w14:paraId="4F216A6F" w14:textId="77777777" w:rsidR="00CD17D7" w:rsidRPr="00097824" w:rsidRDefault="00CD17D7" w:rsidP="00AD4A9F">
      <w:pPr>
        <w:ind w:left="397" w:firstLine="357"/>
        <w:jc w:val="left"/>
      </w:pPr>
      <w:bookmarkStart w:id="0" w:name="_Toc492379891"/>
      <w:r w:rsidRPr="00097824">
        <w:rPr>
          <w:b/>
        </w:rPr>
        <w:br w:type="page"/>
      </w:r>
    </w:p>
    <w:p w14:paraId="4FFD0AE7" w14:textId="77777777" w:rsidR="00CD17D7" w:rsidRPr="00097824" w:rsidRDefault="00CD17D7" w:rsidP="00AD4A9F">
      <w:pPr>
        <w:ind w:left="397" w:firstLine="357"/>
        <w:jc w:val="center"/>
        <w:rPr>
          <w:b/>
        </w:rPr>
      </w:pPr>
      <w:bookmarkStart w:id="1" w:name="_Toc11747726"/>
      <w:bookmarkStart w:id="2" w:name="_Toc23142710"/>
      <w:bookmarkStart w:id="3" w:name="_Toc23142866"/>
      <w:r w:rsidRPr="00097824">
        <w:rPr>
          <w:b/>
        </w:rPr>
        <w:lastRenderedPageBreak/>
        <w:t>Оглавление</w:t>
      </w:r>
      <w:bookmarkEnd w:id="0"/>
      <w:bookmarkEnd w:id="1"/>
      <w:bookmarkEnd w:id="2"/>
      <w:bookmarkEnd w:id="3"/>
    </w:p>
    <w:sdt>
      <w:sdtPr>
        <w:rPr>
          <w:b w:val="0"/>
          <w:sz w:val="24"/>
        </w:rPr>
        <w:id w:val="2040703290"/>
        <w:docPartObj>
          <w:docPartGallery w:val="Table of Contents"/>
          <w:docPartUnique/>
        </w:docPartObj>
      </w:sdtPr>
      <w:sdtEndPr>
        <w:rPr>
          <w:bCs/>
        </w:rPr>
      </w:sdtEndPr>
      <w:sdtContent>
        <w:p w14:paraId="19356F44" w14:textId="51B16BE2" w:rsidR="00144A9D" w:rsidRPr="00097824" w:rsidRDefault="007F5427" w:rsidP="00143CD4">
          <w:pPr>
            <w:pStyle w:val="aff0"/>
            <w:tabs>
              <w:tab w:val="left" w:pos="708"/>
              <w:tab w:val="left" w:pos="1416"/>
              <w:tab w:val="left" w:pos="2124"/>
              <w:tab w:val="left" w:pos="2832"/>
              <w:tab w:val="left" w:pos="3540"/>
              <w:tab w:val="left" w:pos="4110"/>
            </w:tabs>
            <w:spacing w:before="0" w:line="360" w:lineRule="auto"/>
            <w:ind w:left="397" w:firstLine="357"/>
            <w:jc w:val="both"/>
            <w:rPr>
              <w:rFonts w:eastAsiaTheme="minorEastAsia"/>
              <w:noProof/>
              <w:sz w:val="24"/>
              <w:lang w:eastAsia="ru-RU"/>
            </w:rPr>
          </w:pPr>
          <w:r w:rsidRPr="00097824">
            <w:rPr>
              <w:sz w:val="24"/>
            </w:rPr>
            <w:fldChar w:fldCharType="begin"/>
          </w:r>
          <w:r w:rsidR="00AF1576" w:rsidRPr="00097824">
            <w:rPr>
              <w:sz w:val="24"/>
            </w:rPr>
            <w:instrText xml:space="preserve"> TOC \o "1-3" \h \z \u </w:instrText>
          </w:r>
          <w:r w:rsidRPr="00097824">
            <w:rPr>
              <w:sz w:val="24"/>
            </w:rPr>
            <w:fldChar w:fldCharType="separate"/>
          </w:r>
          <w:hyperlink w:anchor="_Toc113205044" w:history="1">
            <w:r w:rsidR="00144A9D" w:rsidRPr="00097824">
              <w:rPr>
                <w:noProof/>
                <w:webHidden/>
                <w:sz w:val="24"/>
              </w:rPr>
              <w:tab/>
            </w:r>
          </w:hyperlink>
          <w:r w:rsidR="00143CD4" w:rsidRPr="00097824">
            <w:rPr>
              <w:noProof/>
              <w:sz w:val="24"/>
            </w:rPr>
            <w:tab/>
          </w:r>
        </w:p>
        <w:p w14:paraId="31FA44E4" w14:textId="40D97D7D" w:rsidR="00144A9D" w:rsidRPr="00097824" w:rsidRDefault="00144A9D" w:rsidP="00AD4A9F">
          <w:pPr>
            <w:pStyle w:val="19"/>
            <w:spacing w:after="0"/>
            <w:ind w:left="397" w:firstLine="357"/>
            <w:rPr>
              <w:rFonts w:eastAsiaTheme="minorEastAsia"/>
              <w:noProof/>
              <w:szCs w:val="24"/>
              <w:lang w:eastAsia="ru-RU"/>
            </w:rPr>
          </w:pPr>
          <w:hyperlink w:anchor="_Toc113205045" w:history="1">
            <w:r w:rsidRPr="00097824">
              <w:rPr>
                <w:rStyle w:val="afff"/>
                <w:noProof/>
                <w:color w:val="auto"/>
                <w:szCs w:val="24"/>
              </w:rPr>
              <w:t>1. Краткая информация по заболеванию или состоянию (группе заболеваний или состояний)</w:t>
            </w:r>
            <w:r w:rsidRPr="00097824">
              <w:rPr>
                <w:noProof/>
                <w:webHidden/>
                <w:szCs w:val="24"/>
              </w:rPr>
              <w:tab/>
            </w:r>
            <w:r w:rsidR="007F5427" w:rsidRPr="00097824">
              <w:rPr>
                <w:noProof/>
                <w:webHidden/>
                <w:szCs w:val="24"/>
              </w:rPr>
              <w:fldChar w:fldCharType="begin"/>
            </w:r>
            <w:r w:rsidRPr="00097824">
              <w:rPr>
                <w:noProof/>
                <w:webHidden/>
                <w:szCs w:val="24"/>
              </w:rPr>
              <w:instrText xml:space="preserve"> PAGEREF _Toc113205045 \h </w:instrText>
            </w:r>
            <w:r w:rsidR="007F5427" w:rsidRPr="00097824">
              <w:rPr>
                <w:noProof/>
                <w:webHidden/>
                <w:szCs w:val="24"/>
              </w:rPr>
            </w:r>
            <w:r w:rsidR="007F5427" w:rsidRPr="00097824">
              <w:rPr>
                <w:noProof/>
                <w:webHidden/>
                <w:szCs w:val="24"/>
              </w:rPr>
              <w:fldChar w:fldCharType="separate"/>
            </w:r>
            <w:r w:rsidR="006752A2" w:rsidRPr="00097824">
              <w:rPr>
                <w:noProof/>
                <w:webHidden/>
                <w:szCs w:val="24"/>
              </w:rPr>
              <w:t>6</w:t>
            </w:r>
            <w:r w:rsidR="007F5427" w:rsidRPr="00097824">
              <w:rPr>
                <w:noProof/>
                <w:webHidden/>
                <w:szCs w:val="24"/>
              </w:rPr>
              <w:fldChar w:fldCharType="end"/>
            </w:r>
          </w:hyperlink>
        </w:p>
        <w:p w14:paraId="6931B9B7" w14:textId="64803182" w:rsidR="00144A9D" w:rsidRPr="00097824" w:rsidRDefault="00144A9D" w:rsidP="00EE17B7">
          <w:pPr>
            <w:pStyle w:val="21"/>
            <w:rPr>
              <w:rFonts w:ascii="Times New Roman" w:eastAsiaTheme="minorEastAsia" w:hAnsi="Times New Roman"/>
              <w:noProof/>
              <w:lang w:eastAsia="ru-RU"/>
            </w:rPr>
          </w:pPr>
          <w:hyperlink w:anchor="_Toc113205046" w:history="1">
            <w:r w:rsidRPr="00097824">
              <w:rPr>
                <w:rStyle w:val="afff"/>
                <w:rFonts w:ascii="Times New Roman" w:hAnsi="Times New Roman"/>
                <w:noProof/>
                <w:color w:val="auto"/>
                <w:sz w:val="24"/>
                <w:szCs w:val="24"/>
              </w:rPr>
              <w:t>1.1</w:t>
            </w:r>
            <w:r w:rsidR="00143CD4"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 xml:space="preserve">Определение </w:t>
            </w:r>
            <w:r w:rsidRPr="00097824">
              <w:rPr>
                <w:rStyle w:val="afff"/>
                <w:rFonts w:ascii="Times New Roman" w:hAnsi="Times New Roman"/>
                <w:noProof/>
                <w:color w:val="auto"/>
                <w:sz w:val="24"/>
                <w:szCs w:val="24"/>
                <w:shd w:val="clear" w:color="auto" w:fill="FFFFFF"/>
              </w:rPr>
              <w:t>заболевания или состояния (группы заболеваний или состояний)</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_Toc113205046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6</w:t>
            </w:r>
            <w:r w:rsidR="007F5427" w:rsidRPr="00097824">
              <w:rPr>
                <w:rFonts w:ascii="Times New Roman" w:hAnsi="Times New Roman"/>
                <w:noProof/>
                <w:webHidden/>
              </w:rPr>
              <w:fldChar w:fldCharType="end"/>
            </w:r>
          </w:hyperlink>
        </w:p>
        <w:p w14:paraId="33AE87FC" w14:textId="5F0EAE89" w:rsidR="00144A9D" w:rsidRPr="00097824" w:rsidRDefault="00144A9D" w:rsidP="00EE17B7">
          <w:pPr>
            <w:pStyle w:val="21"/>
            <w:rPr>
              <w:rFonts w:ascii="Times New Roman" w:eastAsiaTheme="minorEastAsia" w:hAnsi="Times New Roman"/>
              <w:noProof/>
              <w:lang w:eastAsia="ru-RU"/>
            </w:rPr>
          </w:pPr>
          <w:hyperlink w:anchor="_Toc113205047" w:history="1">
            <w:r w:rsidRPr="00097824">
              <w:rPr>
                <w:rStyle w:val="afff"/>
                <w:rFonts w:ascii="Times New Roman" w:hAnsi="Times New Roman"/>
                <w:noProof/>
                <w:color w:val="auto"/>
                <w:sz w:val="24"/>
                <w:szCs w:val="24"/>
              </w:rPr>
              <w:t>1.2</w:t>
            </w:r>
            <w:r w:rsidR="00143CD4"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 xml:space="preserve">Этиология и патогенез </w:t>
            </w:r>
            <w:r w:rsidRPr="00097824">
              <w:rPr>
                <w:rStyle w:val="afff"/>
                <w:rFonts w:ascii="Times New Roman" w:hAnsi="Times New Roman"/>
                <w:noProof/>
                <w:color w:val="auto"/>
                <w:sz w:val="24"/>
                <w:szCs w:val="24"/>
                <w:shd w:val="clear" w:color="auto" w:fill="FFFFFF"/>
              </w:rPr>
              <w:t>заболевания или состояния (группы заболеваний или состояний)</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_Toc113205047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6</w:t>
            </w:r>
            <w:r w:rsidR="007F5427" w:rsidRPr="00097824">
              <w:rPr>
                <w:rFonts w:ascii="Times New Roman" w:hAnsi="Times New Roman"/>
                <w:noProof/>
                <w:webHidden/>
              </w:rPr>
              <w:fldChar w:fldCharType="end"/>
            </w:r>
          </w:hyperlink>
        </w:p>
        <w:p w14:paraId="49A3949B" w14:textId="371CBC88" w:rsidR="00144A9D" w:rsidRPr="00097824" w:rsidRDefault="00144A9D" w:rsidP="00EE17B7">
          <w:pPr>
            <w:pStyle w:val="21"/>
            <w:rPr>
              <w:rFonts w:ascii="Times New Roman" w:eastAsiaTheme="minorEastAsia" w:hAnsi="Times New Roman"/>
              <w:noProof/>
              <w:lang w:eastAsia="ru-RU"/>
            </w:rPr>
          </w:pPr>
          <w:hyperlink w:anchor="_Toc113205048" w:history="1">
            <w:r w:rsidRPr="00097824">
              <w:rPr>
                <w:rStyle w:val="afff"/>
                <w:rFonts w:ascii="Times New Roman" w:hAnsi="Times New Roman"/>
                <w:noProof/>
                <w:color w:val="auto"/>
                <w:sz w:val="24"/>
                <w:szCs w:val="24"/>
              </w:rPr>
              <w:t>1.3</w:t>
            </w:r>
            <w:r w:rsidR="00143CD4"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 xml:space="preserve">Эпидемиология </w:t>
            </w:r>
            <w:r w:rsidRPr="00097824">
              <w:rPr>
                <w:rStyle w:val="afff"/>
                <w:rFonts w:ascii="Times New Roman" w:hAnsi="Times New Roman"/>
                <w:noProof/>
                <w:color w:val="auto"/>
                <w:sz w:val="24"/>
                <w:szCs w:val="24"/>
                <w:shd w:val="clear" w:color="auto" w:fill="FFFFFF"/>
              </w:rPr>
              <w:t>заболевания или состояния (группы заболеваний или состояний)</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_Toc113205048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6</w:t>
            </w:r>
            <w:r w:rsidR="007F5427" w:rsidRPr="00097824">
              <w:rPr>
                <w:rFonts w:ascii="Times New Roman" w:hAnsi="Times New Roman"/>
                <w:noProof/>
                <w:webHidden/>
              </w:rPr>
              <w:fldChar w:fldCharType="end"/>
            </w:r>
          </w:hyperlink>
        </w:p>
        <w:p w14:paraId="2388D1C8" w14:textId="2568CC02" w:rsidR="00144A9D" w:rsidRPr="00097824" w:rsidRDefault="00144A9D" w:rsidP="00EE17B7">
          <w:pPr>
            <w:pStyle w:val="21"/>
            <w:rPr>
              <w:rFonts w:ascii="Times New Roman" w:eastAsiaTheme="minorEastAsia" w:hAnsi="Times New Roman"/>
              <w:noProof/>
              <w:lang w:eastAsia="ru-RU"/>
            </w:rPr>
          </w:pPr>
          <w:hyperlink w:anchor="_Toc113205049" w:history="1">
            <w:r w:rsidRPr="00097824">
              <w:rPr>
                <w:rStyle w:val="afff"/>
                <w:rFonts w:ascii="Times New Roman" w:hAnsi="Times New Roman"/>
                <w:noProof/>
                <w:color w:val="auto"/>
                <w:sz w:val="24"/>
                <w:szCs w:val="24"/>
              </w:rPr>
              <w:t>1.4</w:t>
            </w:r>
            <w:r w:rsidRPr="00097824">
              <w:rPr>
                <w:rFonts w:ascii="Times New Roman" w:eastAsiaTheme="minorEastAsia" w:hAnsi="Times New Roman"/>
                <w:noProof/>
                <w:lang w:eastAsia="ru-RU"/>
              </w:rPr>
              <w:tab/>
            </w:r>
            <w:r w:rsidR="002C3FB3" w:rsidRPr="00097824">
              <w:rPr>
                <w:rStyle w:val="afff"/>
                <w:rFonts w:ascii="Times New Roman" w:hAnsi="Times New Roman"/>
                <w:noProof/>
                <w:color w:val="auto"/>
                <w:sz w:val="24"/>
                <w:szCs w:val="24"/>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_Toc113205049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7</w:t>
            </w:r>
            <w:r w:rsidR="007F5427" w:rsidRPr="00097824">
              <w:rPr>
                <w:rFonts w:ascii="Times New Roman" w:hAnsi="Times New Roman"/>
                <w:noProof/>
                <w:webHidden/>
              </w:rPr>
              <w:fldChar w:fldCharType="end"/>
            </w:r>
          </w:hyperlink>
        </w:p>
        <w:p w14:paraId="52E4A678" w14:textId="684F37FC" w:rsidR="00144A9D" w:rsidRPr="00097824" w:rsidRDefault="00144A9D" w:rsidP="00EE17B7">
          <w:pPr>
            <w:pStyle w:val="21"/>
            <w:rPr>
              <w:rFonts w:ascii="Times New Roman" w:eastAsiaTheme="minorEastAsia" w:hAnsi="Times New Roman"/>
              <w:noProof/>
              <w:lang w:eastAsia="ru-RU"/>
            </w:rPr>
          </w:pPr>
          <w:hyperlink w:anchor="_Toc113205050" w:history="1">
            <w:r w:rsidRPr="00097824">
              <w:rPr>
                <w:rStyle w:val="afff"/>
                <w:rFonts w:ascii="Times New Roman" w:hAnsi="Times New Roman"/>
                <w:noProof/>
                <w:color w:val="auto"/>
                <w:sz w:val="24"/>
                <w:szCs w:val="24"/>
              </w:rPr>
              <w:t>1.5</w:t>
            </w:r>
            <w:r w:rsidR="00143CD4"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 xml:space="preserve">Классификация </w:t>
            </w:r>
            <w:r w:rsidRPr="00097824">
              <w:rPr>
                <w:rStyle w:val="afff"/>
                <w:rFonts w:ascii="Times New Roman" w:hAnsi="Times New Roman"/>
                <w:noProof/>
                <w:color w:val="auto"/>
                <w:sz w:val="24"/>
                <w:szCs w:val="24"/>
                <w:shd w:val="clear" w:color="auto" w:fill="FFFFFF"/>
              </w:rPr>
              <w:t>заболевания или состояния (группы заболеваний или состояний)</w:t>
            </w:r>
            <w:r w:rsidRPr="00097824">
              <w:rPr>
                <w:rFonts w:ascii="Times New Roman" w:hAnsi="Times New Roman"/>
                <w:noProof/>
                <w:webHidden/>
              </w:rPr>
              <w:tab/>
            </w:r>
          </w:hyperlink>
        </w:p>
        <w:p w14:paraId="28D32801" w14:textId="52B6DA43" w:rsidR="00144A9D" w:rsidRPr="00097824" w:rsidRDefault="00144A9D" w:rsidP="00EE17B7">
          <w:pPr>
            <w:pStyle w:val="21"/>
            <w:rPr>
              <w:rFonts w:ascii="Times New Roman" w:eastAsiaTheme="minorEastAsia" w:hAnsi="Times New Roman"/>
              <w:noProof/>
              <w:lang w:eastAsia="ru-RU"/>
            </w:rPr>
          </w:pPr>
          <w:hyperlink w:anchor="_Toc113205051" w:history="1">
            <w:r w:rsidRPr="00097824">
              <w:rPr>
                <w:rStyle w:val="afff"/>
                <w:rFonts w:ascii="Times New Roman" w:eastAsia="Times New Roman" w:hAnsi="Times New Roman"/>
                <w:noProof/>
                <w:color w:val="auto"/>
                <w:sz w:val="24"/>
                <w:szCs w:val="24"/>
                <w:lang w:eastAsia="ru-RU"/>
              </w:rPr>
              <w:t xml:space="preserve">1.6 Клиническая картина </w:t>
            </w:r>
            <w:r w:rsidRPr="00097824">
              <w:rPr>
                <w:rStyle w:val="afff"/>
                <w:rFonts w:ascii="Times New Roman" w:hAnsi="Times New Roman"/>
                <w:noProof/>
                <w:color w:val="auto"/>
                <w:sz w:val="24"/>
                <w:szCs w:val="24"/>
                <w:shd w:val="clear" w:color="auto" w:fill="FFFFFF"/>
              </w:rPr>
              <w:t>заболевания или состояния (группы заболеваний или состояний)</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_Toc113205051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9</w:t>
            </w:r>
            <w:r w:rsidR="007F5427" w:rsidRPr="00097824">
              <w:rPr>
                <w:rFonts w:ascii="Times New Roman" w:hAnsi="Times New Roman"/>
                <w:noProof/>
                <w:webHidden/>
              </w:rPr>
              <w:fldChar w:fldCharType="end"/>
            </w:r>
          </w:hyperlink>
        </w:p>
        <w:p w14:paraId="47B2831B" w14:textId="71CD9134" w:rsidR="00144A9D" w:rsidRPr="00097824" w:rsidRDefault="00144A9D" w:rsidP="00AD4A9F">
          <w:pPr>
            <w:pStyle w:val="19"/>
            <w:spacing w:after="0"/>
            <w:ind w:left="397" w:firstLine="357"/>
            <w:rPr>
              <w:rFonts w:eastAsiaTheme="minorEastAsia"/>
              <w:noProof/>
              <w:szCs w:val="24"/>
              <w:lang w:eastAsia="ru-RU"/>
            </w:rPr>
          </w:pPr>
          <w:hyperlink w:anchor="_Toc113205052" w:history="1">
            <w:r w:rsidRPr="00097824">
              <w:rPr>
                <w:rStyle w:val="afff"/>
                <w:noProof/>
                <w:color w:val="auto"/>
                <w:szCs w:val="24"/>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097824">
              <w:rPr>
                <w:noProof/>
                <w:webHidden/>
                <w:szCs w:val="24"/>
              </w:rPr>
              <w:tab/>
            </w:r>
            <w:r w:rsidR="007F5427" w:rsidRPr="00097824">
              <w:rPr>
                <w:noProof/>
                <w:webHidden/>
                <w:szCs w:val="24"/>
              </w:rPr>
              <w:fldChar w:fldCharType="begin"/>
            </w:r>
            <w:r w:rsidRPr="00097824">
              <w:rPr>
                <w:noProof/>
                <w:webHidden/>
                <w:szCs w:val="24"/>
              </w:rPr>
              <w:instrText xml:space="preserve"> PAGEREF _Toc113205052 \h </w:instrText>
            </w:r>
            <w:r w:rsidR="007F5427" w:rsidRPr="00097824">
              <w:rPr>
                <w:noProof/>
                <w:webHidden/>
                <w:szCs w:val="24"/>
              </w:rPr>
            </w:r>
            <w:r w:rsidR="007F5427" w:rsidRPr="00097824">
              <w:rPr>
                <w:noProof/>
                <w:webHidden/>
                <w:szCs w:val="24"/>
              </w:rPr>
              <w:fldChar w:fldCharType="separate"/>
            </w:r>
            <w:r w:rsidR="006752A2" w:rsidRPr="00097824">
              <w:rPr>
                <w:noProof/>
                <w:webHidden/>
                <w:szCs w:val="24"/>
              </w:rPr>
              <w:t>17</w:t>
            </w:r>
            <w:r w:rsidR="007F5427" w:rsidRPr="00097824">
              <w:rPr>
                <w:noProof/>
                <w:webHidden/>
                <w:szCs w:val="24"/>
              </w:rPr>
              <w:fldChar w:fldCharType="end"/>
            </w:r>
          </w:hyperlink>
        </w:p>
        <w:p w14:paraId="2B7F4353" w14:textId="7C191C1A" w:rsidR="00896AC1" w:rsidRPr="00097824" w:rsidRDefault="00896AC1" w:rsidP="00EE17B7">
          <w:pPr>
            <w:pStyle w:val="21"/>
            <w:rPr>
              <w:rFonts w:ascii="Times New Roman" w:hAnsi="Times New Roman"/>
              <w:noProof/>
            </w:rPr>
          </w:pPr>
          <w:r w:rsidRPr="00097824">
            <w:rPr>
              <w:rFonts w:ascii="Times New Roman" w:hAnsi="Times New Roman"/>
              <w:noProof/>
            </w:rPr>
            <w:t>2.1. Внутрипеченочная холангиокарцинома………………………………………...…….17</w:t>
          </w:r>
        </w:p>
        <w:p w14:paraId="265C8D5C" w14:textId="53E0D1BA" w:rsidR="00144A9D" w:rsidRPr="00097824" w:rsidRDefault="00144A9D" w:rsidP="00EE17B7">
          <w:pPr>
            <w:pStyle w:val="21"/>
            <w:rPr>
              <w:rFonts w:ascii="Times New Roman" w:eastAsiaTheme="minorEastAsia" w:hAnsi="Times New Roman"/>
              <w:noProof/>
              <w:lang w:eastAsia="ru-RU"/>
            </w:rPr>
          </w:pPr>
          <w:hyperlink w:anchor="_Toc113205053" w:history="1">
            <w:r w:rsidRPr="00097824">
              <w:rPr>
                <w:rStyle w:val="afff"/>
                <w:rFonts w:ascii="Times New Roman" w:hAnsi="Times New Roman"/>
                <w:noProof/>
                <w:color w:val="auto"/>
                <w:sz w:val="24"/>
                <w:szCs w:val="24"/>
              </w:rPr>
              <w:t>2.1</w:t>
            </w:r>
            <w:r w:rsidR="00896AC1" w:rsidRPr="00097824">
              <w:rPr>
                <w:rStyle w:val="afff"/>
                <w:rFonts w:ascii="Times New Roman" w:hAnsi="Times New Roman"/>
                <w:noProof/>
                <w:color w:val="auto"/>
                <w:sz w:val="24"/>
                <w:szCs w:val="24"/>
              </w:rPr>
              <w:t>.1</w:t>
            </w:r>
            <w:r w:rsidR="00980E88"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Жалобы и анамнез</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_Toc113205053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17</w:t>
            </w:r>
            <w:r w:rsidR="007F5427" w:rsidRPr="00097824">
              <w:rPr>
                <w:rFonts w:ascii="Times New Roman" w:hAnsi="Times New Roman"/>
                <w:noProof/>
                <w:webHidden/>
              </w:rPr>
              <w:fldChar w:fldCharType="end"/>
            </w:r>
          </w:hyperlink>
        </w:p>
        <w:p w14:paraId="47A7C123" w14:textId="484EA5E7" w:rsidR="00144A9D" w:rsidRPr="00097824" w:rsidRDefault="00144A9D" w:rsidP="00EE17B7">
          <w:pPr>
            <w:pStyle w:val="21"/>
            <w:rPr>
              <w:rFonts w:ascii="Times New Roman" w:eastAsiaTheme="minorEastAsia" w:hAnsi="Times New Roman"/>
              <w:noProof/>
              <w:lang w:eastAsia="ru-RU"/>
            </w:rPr>
          </w:pPr>
          <w:hyperlink w:anchor="_Toc113205054" w:history="1">
            <w:r w:rsidRPr="00097824">
              <w:rPr>
                <w:rStyle w:val="afff"/>
                <w:rFonts w:ascii="Times New Roman" w:hAnsi="Times New Roman"/>
                <w:noProof/>
                <w:color w:val="auto"/>
                <w:sz w:val="24"/>
                <w:szCs w:val="24"/>
              </w:rPr>
              <w:t>2.</w:t>
            </w:r>
            <w:r w:rsidR="00896AC1" w:rsidRPr="00097824">
              <w:rPr>
                <w:rStyle w:val="afff"/>
                <w:rFonts w:ascii="Times New Roman" w:hAnsi="Times New Roman"/>
                <w:noProof/>
                <w:color w:val="auto"/>
                <w:sz w:val="24"/>
                <w:szCs w:val="24"/>
              </w:rPr>
              <w:t>1.2.</w:t>
            </w:r>
            <w:r w:rsidR="00980E88"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Физикальное обследование</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_Toc113205054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17</w:t>
            </w:r>
            <w:r w:rsidR="007F5427" w:rsidRPr="00097824">
              <w:rPr>
                <w:rFonts w:ascii="Times New Roman" w:hAnsi="Times New Roman"/>
                <w:noProof/>
                <w:webHidden/>
              </w:rPr>
              <w:fldChar w:fldCharType="end"/>
            </w:r>
          </w:hyperlink>
        </w:p>
        <w:p w14:paraId="09A936D5" w14:textId="79BF13D5" w:rsidR="00144A9D" w:rsidRPr="00097824" w:rsidRDefault="00144A9D" w:rsidP="00EE17B7">
          <w:pPr>
            <w:pStyle w:val="21"/>
            <w:rPr>
              <w:rFonts w:ascii="Times New Roman" w:eastAsiaTheme="minorEastAsia" w:hAnsi="Times New Roman"/>
              <w:noProof/>
              <w:lang w:eastAsia="ru-RU"/>
            </w:rPr>
          </w:pPr>
          <w:hyperlink w:anchor="_Toc113205055" w:history="1">
            <w:r w:rsidRPr="00097824">
              <w:rPr>
                <w:rStyle w:val="afff"/>
                <w:rFonts w:ascii="Times New Roman" w:hAnsi="Times New Roman"/>
                <w:noProof/>
                <w:color w:val="auto"/>
                <w:sz w:val="24"/>
                <w:szCs w:val="24"/>
              </w:rPr>
              <w:t>2.</w:t>
            </w:r>
            <w:r w:rsidR="00896AC1" w:rsidRPr="00097824">
              <w:rPr>
                <w:rStyle w:val="afff"/>
                <w:rFonts w:ascii="Times New Roman" w:hAnsi="Times New Roman"/>
                <w:noProof/>
                <w:color w:val="auto"/>
                <w:sz w:val="24"/>
                <w:szCs w:val="24"/>
              </w:rPr>
              <w:t>1.3.</w:t>
            </w:r>
            <w:r w:rsidRPr="00097824">
              <w:rPr>
                <w:rStyle w:val="afff"/>
                <w:rFonts w:ascii="Times New Roman" w:hAnsi="Times New Roman"/>
                <w:noProof/>
                <w:color w:val="auto"/>
                <w:sz w:val="24"/>
                <w:szCs w:val="24"/>
              </w:rPr>
              <w:t>Лабораторные диагностические исследования</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_Toc113205055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17</w:t>
            </w:r>
            <w:r w:rsidR="007F5427" w:rsidRPr="00097824">
              <w:rPr>
                <w:rFonts w:ascii="Times New Roman" w:hAnsi="Times New Roman"/>
                <w:noProof/>
                <w:webHidden/>
              </w:rPr>
              <w:fldChar w:fldCharType="end"/>
            </w:r>
          </w:hyperlink>
        </w:p>
        <w:p w14:paraId="3BA9380F" w14:textId="7932BD95" w:rsidR="00144A9D" w:rsidRPr="00097824" w:rsidRDefault="00144A9D" w:rsidP="00EE17B7">
          <w:pPr>
            <w:pStyle w:val="21"/>
            <w:rPr>
              <w:rFonts w:ascii="Times New Roman" w:eastAsiaTheme="minorEastAsia" w:hAnsi="Times New Roman"/>
              <w:noProof/>
              <w:lang w:eastAsia="ru-RU"/>
            </w:rPr>
          </w:pPr>
          <w:hyperlink w:anchor="_Toc113205057" w:history="1">
            <w:r w:rsidRPr="00097824">
              <w:rPr>
                <w:rStyle w:val="afff"/>
                <w:rFonts w:ascii="Times New Roman" w:hAnsi="Times New Roman"/>
                <w:noProof/>
                <w:color w:val="auto"/>
                <w:sz w:val="24"/>
                <w:szCs w:val="24"/>
              </w:rPr>
              <w:t>2.</w:t>
            </w:r>
            <w:r w:rsidR="00896AC1" w:rsidRPr="00097824">
              <w:rPr>
                <w:rStyle w:val="afff"/>
                <w:rFonts w:ascii="Times New Roman" w:hAnsi="Times New Roman"/>
                <w:noProof/>
                <w:color w:val="auto"/>
                <w:sz w:val="24"/>
                <w:szCs w:val="24"/>
              </w:rPr>
              <w:t>1.4.</w:t>
            </w:r>
            <w:r w:rsidR="00980E88"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Инструментальные диагностические исследования</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_Toc113205057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18</w:t>
            </w:r>
            <w:r w:rsidR="007F5427" w:rsidRPr="00097824">
              <w:rPr>
                <w:rFonts w:ascii="Times New Roman" w:hAnsi="Times New Roman"/>
                <w:noProof/>
                <w:webHidden/>
              </w:rPr>
              <w:fldChar w:fldCharType="end"/>
            </w:r>
          </w:hyperlink>
        </w:p>
        <w:p w14:paraId="65D87781" w14:textId="5439F4E8" w:rsidR="00144A9D" w:rsidRPr="00097824" w:rsidRDefault="00144A9D" w:rsidP="00EE17B7">
          <w:pPr>
            <w:pStyle w:val="21"/>
            <w:rPr>
              <w:rFonts w:ascii="Times New Roman" w:hAnsi="Times New Roman"/>
              <w:noProof/>
            </w:rPr>
          </w:pPr>
          <w:hyperlink w:anchor="_Toc113205058" w:history="1">
            <w:r w:rsidRPr="00097824">
              <w:rPr>
                <w:rStyle w:val="afff"/>
                <w:rFonts w:ascii="Times New Roman" w:hAnsi="Times New Roman"/>
                <w:noProof/>
                <w:color w:val="auto"/>
                <w:sz w:val="24"/>
                <w:szCs w:val="24"/>
              </w:rPr>
              <w:t>2.</w:t>
            </w:r>
            <w:r w:rsidR="00896AC1" w:rsidRPr="00097824">
              <w:rPr>
                <w:rStyle w:val="afff"/>
                <w:rFonts w:ascii="Times New Roman" w:hAnsi="Times New Roman"/>
                <w:noProof/>
                <w:color w:val="auto"/>
                <w:sz w:val="24"/>
                <w:szCs w:val="24"/>
              </w:rPr>
              <w:t>1.5.</w:t>
            </w:r>
            <w:r w:rsidR="00980E88"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Иные диагностические исследования</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_Toc113205058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20</w:t>
            </w:r>
            <w:r w:rsidR="007F5427" w:rsidRPr="00097824">
              <w:rPr>
                <w:rFonts w:ascii="Times New Roman" w:hAnsi="Times New Roman"/>
                <w:noProof/>
                <w:webHidden/>
              </w:rPr>
              <w:fldChar w:fldCharType="end"/>
            </w:r>
          </w:hyperlink>
        </w:p>
        <w:p w14:paraId="71DAEC1D" w14:textId="02CF3439" w:rsidR="00A6589B" w:rsidRPr="00097824" w:rsidRDefault="00A6589B" w:rsidP="00EE17B7">
          <w:pPr>
            <w:pStyle w:val="21"/>
            <w:rPr>
              <w:rFonts w:ascii="Times New Roman" w:hAnsi="Times New Roman"/>
              <w:noProof/>
              <w:lang w:eastAsia="ru-RU"/>
            </w:rPr>
          </w:pPr>
          <w:r w:rsidRPr="00097824">
            <w:rPr>
              <w:rFonts w:ascii="Times New Roman" w:hAnsi="Times New Roman"/>
              <w:noProof/>
              <w:lang w:eastAsia="ru-RU"/>
            </w:rPr>
            <w:t>2.2. Внепеченочная холангиокарцинома…………………………………………………..22</w:t>
          </w:r>
        </w:p>
        <w:p w14:paraId="2CA94939" w14:textId="43D16790" w:rsidR="00A6589B" w:rsidRPr="00097824" w:rsidRDefault="00A6589B" w:rsidP="00EE17B7">
          <w:pPr>
            <w:pStyle w:val="21"/>
            <w:rPr>
              <w:rFonts w:ascii="Times New Roman" w:eastAsiaTheme="minorEastAsia" w:hAnsi="Times New Roman"/>
              <w:noProof/>
              <w:lang w:eastAsia="ru-RU"/>
            </w:rPr>
          </w:pPr>
          <w:hyperlink w:anchor="_Toc113205053" w:history="1">
            <w:r w:rsidRPr="00097824">
              <w:rPr>
                <w:rStyle w:val="afff"/>
                <w:rFonts w:ascii="Times New Roman" w:hAnsi="Times New Roman"/>
                <w:noProof/>
                <w:color w:val="auto"/>
                <w:sz w:val="24"/>
                <w:szCs w:val="24"/>
              </w:rPr>
              <w:t>2.2.1</w:t>
            </w:r>
            <w:r w:rsidR="00980E88"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Жалобы и анамнез</w:t>
            </w:r>
            <w:r w:rsidRPr="00097824">
              <w:rPr>
                <w:rFonts w:ascii="Times New Roman" w:hAnsi="Times New Roman"/>
                <w:noProof/>
                <w:webHidden/>
              </w:rPr>
              <w:tab/>
              <w:t>22</w:t>
            </w:r>
          </w:hyperlink>
        </w:p>
        <w:p w14:paraId="756AE38D" w14:textId="059B783C" w:rsidR="00A6589B" w:rsidRPr="00097824" w:rsidRDefault="00A6589B" w:rsidP="00EE17B7">
          <w:pPr>
            <w:pStyle w:val="21"/>
            <w:rPr>
              <w:rFonts w:ascii="Times New Roman" w:eastAsiaTheme="minorEastAsia" w:hAnsi="Times New Roman"/>
              <w:noProof/>
              <w:lang w:eastAsia="ru-RU"/>
            </w:rPr>
          </w:pPr>
          <w:hyperlink w:anchor="_Toc113205054" w:history="1">
            <w:r w:rsidRPr="00097824">
              <w:rPr>
                <w:rStyle w:val="afff"/>
                <w:rFonts w:ascii="Times New Roman" w:hAnsi="Times New Roman"/>
                <w:noProof/>
                <w:color w:val="auto"/>
                <w:sz w:val="24"/>
                <w:szCs w:val="24"/>
              </w:rPr>
              <w:t>2.2.2.</w:t>
            </w:r>
            <w:r w:rsidR="00980E88" w:rsidRPr="00097824">
              <w:rPr>
                <w:rStyle w:val="afff"/>
                <w:rFonts w:ascii="Times New Roman" w:hAnsi="Times New Roman"/>
                <w:noProof/>
                <w:color w:val="auto"/>
                <w:sz w:val="24"/>
                <w:szCs w:val="24"/>
              </w:rPr>
              <w:t xml:space="preserve"> </w:t>
            </w:r>
            <w:r w:rsidRPr="00097824">
              <w:rPr>
                <w:rStyle w:val="afff"/>
                <w:rFonts w:ascii="Times New Roman" w:hAnsi="Times New Roman"/>
                <w:noProof/>
                <w:color w:val="auto"/>
                <w:sz w:val="24"/>
                <w:szCs w:val="24"/>
              </w:rPr>
              <w:t>Физикальное обследование</w:t>
            </w:r>
            <w:r w:rsidRPr="00097824">
              <w:rPr>
                <w:rFonts w:ascii="Times New Roman" w:hAnsi="Times New Roman"/>
                <w:noProof/>
                <w:webHidden/>
              </w:rPr>
              <w:tab/>
            </w:r>
            <w:r w:rsidRPr="00097824">
              <w:rPr>
                <w:rFonts w:ascii="Times New Roman" w:hAnsi="Times New Roman"/>
                <w:noProof/>
                <w:webHidden/>
              </w:rPr>
              <w:fldChar w:fldCharType="begin"/>
            </w:r>
            <w:r w:rsidRPr="00097824">
              <w:rPr>
                <w:rFonts w:ascii="Times New Roman" w:hAnsi="Times New Roman"/>
                <w:noProof/>
                <w:webHidden/>
              </w:rPr>
              <w:instrText xml:space="preserve"> PAGEREF _Toc113205054 \h </w:instrText>
            </w:r>
            <w:r w:rsidRPr="00097824">
              <w:rPr>
                <w:rFonts w:ascii="Times New Roman" w:hAnsi="Times New Roman"/>
                <w:noProof/>
                <w:webHidden/>
              </w:rPr>
            </w:r>
            <w:r w:rsidRPr="00097824">
              <w:rPr>
                <w:rFonts w:ascii="Times New Roman" w:hAnsi="Times New Roman"/>
                <w:noProof/>
                <w:webHidden/>
              </w:rPr>
              <w:fldChar w:fldCharType="separate"/>
            </w:r>
            <w:r w:rsidR="006752A2" w:rsidRPr="00097824">
              <w:rPr>
                <w:rFonts w:ascii="Times New Roman" w:hAnsi="Times New Roman"/>
                <w:noProof/>
                <w:webHidden/>
              </w:rPr>
              <w:t>17</w:t>
            </w:r>
            <w:r w:rsidRPr="00097824">
              <w:rPr>
                <w:rFonts w:ascii="Times New Roman" w:hAnsi="Times New Roman"/>
                <w:noProof/>
                <w:webHidden/>
              </w:rPr>
              <w:fldChar w:fldCharType="end"/>
            </w:r>
          </w:hyperlink>
        </w:p>
        <w:p w14:paraId="20A87BE1" w14:textId="3C00C1B1" w:rsidR="00A6589B" w:rsidRPr="00097824" w:rsidRDefault="00A6589B" w:rsidP="00EE17B7">
          <w:pPr>
            <w:pStyle w:val="21"/>
            <w:rPr>
              <w:rFonts w:ascii="Times New Roman" w:eastAsiaTheme="minorEastAsia" w:hAnsi="Times New Roman"/>
              <w:noProof/>
              <w:lang w:eastAsia="ru-RU"/>
            </w:rPr>
          </w:pPr>
          <w:hyperlink w:anchor="_Toc113205055" w:history="1">
            <w:r w:rsidRPr="00097824">
              <w:rPr>
                <w:rStyle w:val="afff"/>
                <w:rFonts w:ascii="Times New Roman" w:hAnsi="Times New Roman"/>
                <w:noProof/>
                <w:color w:val="auto"/>
                <w:sz w:val="24"/>
                <w:szCs w:val="24"/>
              </w:rPr>
              <w:t>2.2.3.</w:t>
            </w:r>
            <w:r w:rsidR="00980E88" w:rsidRPr="00097824">
              <w:rPr>
                <w:rStyle w:val="afff"/>
                <w:rFonts w:ascii="Times New Roman" w:hAnsi="Times New Roman"/>
                <w:noProof/>
                <w:color w:val="auto"/>
                <w:sz w:val="24"/>
                <w:szCs w:val="24"/>
              </w:rPr>
              <w:t xml:space="preserve"> </w:t>
            </w:r>
            <w:r w:rsidRPr="00097824">
              <w:rPr>
                <w:rStyle w:val="afff"/>
                <w:rFonts w:ascii="Times New Roman" w:hAnsi="Times New Roman"/>
                <w:noProof/>
                <w:color w:val="auto"/>
                <w:sz w:val="24"/>
                <w:szCs w:val="24"/>
              </w:rPr>
              <w:t>Лабораторные диагностические исследования</w:t>
            </w:r>
            <w:r w:rsidRPr="00097824">
              <w:rPr>
                <w:rFonts w:ascii="Times New Roman" w:hAnsi="Times New Roman"/>
                <w:noProof/>
                <w:webHidden/>
              </w:rPr>
              <w:tab/>
              <w:t>22</w:t>
            </w:r>
          </w:hyperlink>
        </w:p>
        <w:p w14:paraId="7AA5308A" w14:textId="6736CA6E" w:rsidR="00A6589B" w:rsidRPr="00097824" w:rsidRDefault="00A6589B" w:rsidP="00EE17B7">
          <w:pPr>
            <w:pStyle w:val="21"/>
            <w:rPr>
              <w:rFonts w:ascii="Times New Roman" w:eastAsiaTheme="minorEastAsia" w:hAnsi="Times New Roman"/>
              <w:noProof/>
              <w:lang w:eastAsia="ru-RU"/>
            </w:rPr>
          </w:pPr>
          <w:hyperlink w:anchor="_Toc113205057" w:history="1">
            <w:r w:rsidRPr="00097824">
              <w:rPr>
                <w:rStyle w:val="afff"/>
                <w:rFonts w:ascii="Times New Roman" w:hAnsi="Times New Roman"/>
                <w:noProof/>
                <w:color w:val="auto"/>
                <w:sz w:val="24"/>
                <w:szCs w:val="24"/>
              </w:rPr>
              <w:t>2.2.4.</w:t>
            </w:r>
            <w:r w:rsidR="00980E88"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Инструментальные диагностические исследования</w:t>
            </w:r>
            <w:r w:rsidRPr="00097824">
              <w:rPr>
                <w:rFonts w:ascii="Times New Roman" w:hAnsi="Times New Roman"/>
                <w:noProof/>
                <w:webHidden/>
              </w:rPr>
              <w:tab/>
              <w:t>22</w:t>
            </w:r>
          </w:hyperlink>
        </w:p>
        <w:p w14:paraId="6B3473FA" w14:textId="639C94EF" w:rsidR="00A6589B" w:rsidRPr="00097824" w:rsidRDefault="00A6589B" w:rsidP="00980E88">
          <w:pPr>
            <w:pStyle w:val="21"/>
            <w:rPr>
              <w:rFonts w:ascii="Times New Roman" w:hAnsi="Times New Roman"/>
              <w:noProof/>
            </w:rPr>
          </w:pPr>
          <w:hyperlink w:anchor="_Toc113205058" w:history="1">
            <w:r w:rsidRPr="00097824">
              <w:rPr>
                <w:rStyle w:val="afff"/>
                <w:rFonts w:ascii="Times New Roman" w:hAnsi="Times New Roman"/>
                <w:noProof/>
                <w:color w:val="auto"/>
                <w:sz w:val="24"/>
                <w:szCs w:val="24"/>
              </w:rPr>
              <w:t>2.3.</w:t>
            </w:r>
            <w:r w:rsidR="00980E88" w:rsidRPr="00097824">
              <w:rPr>
                <w:rFonts w:ascii="Times New Roman" w:eastAsiaTheme="minorEastAsia" w:hAnsi="Times New Roman"/>
                <w:noProof/>
                <w:lang w:eastAsia="ru-RU"/>
              </w:rPr>
              <w:t xml:space="preserve"> </w:t>
            </w:r>
            <w:r w:rsidRPr="00097824">
              <w:rPr>
                <w:rFonts w:ascii="Times New Roman" w:eastAsiaTheme="minorEastAsia" w:hAnsi="Times New Roman"/>
                <w:noProof/>
                <w:lang w:eastAsia="ru-RU"/>
              </w:rPr>
              <w:t>Рак желчного пузыря</w:t>
            </w:r>
            <w:r w:rsidRPr="00097824">
              <w:rPr>
                <w:rFonts w:ascii="Times New Roman" w:hAnsi="Times New Roman"/>
                <w:noProof/>
                <w:webHidden/>
              </w:rPr>
              <w:tab/>
            </w:r>
            <w:r w:rsidRPr="00097824">
              <w:rPr>
                <w:rFonts w:ascii="Times New Roman" w:hAnsi="Times New Roman"/>
                <w:noProof/>
                <w:webHidden/>
              </w:rPr>
              <w:fldChar w:fldCharType="begin"/>
            </w:r>
            <w:r w:rsidRPr="00097824">
              <w:rPr>
                <w:rFonts w:ascii="Times New Roman" w:hAnsi="Times New Roman"/>
                <w:noProof/>
                <w:webHidden/>
              </w:rPr>
              <w:instrText xml:space="preserve"> PAGEREF _Toc113205058 \h </w:instrText>
            </w:r>
            <w:r w:rsidRPr="00097824">
              <w:rPr>
                <w:rFonts w:ascii="Times New Roman" w:hAnsi="Times New Roman"/>
                <w:noProof/>
                <w:webHidden/>
              </w:rPr>
            </w:r>
            <w:r w:rsidRPr="00097824">
              <w:rPr>
                <w:rFonts w:ascii="Times New Roman" w:hAnsi="Times New Roman"/>
                <w:noProof/>
                <w:webHidden/>
              </w:rPr>
              <w:fldChar w:fldCharType="separate"/>
            </w:r>
            <w:r w:rsidR="006752A2" w:rsidRPr="00097824">
              <w:rPr>
                <w:rFonts w:ascii="Times New Roman" w:hAnsi="Times New Roman"/>
                <w:noProof/>
                <w:webHidden/>
              </w:rPr>
              <w:t>20</w:t>
            </w:r>
            <w:r w:rsidRPr="00097824">
              <w:rPr>
                <w:rFonts w:ascii="Times New Roman" w:hAnsi="Times New Roman"/>
                <w:noProof/>
                <w:webHidden/>
              </w:rPr>
              <w:fldChar w:fldCharType="end"/>
            </w:r>
          </w:hyperlink>
        </w:p>
        <w:p w14:paraId="4602C570" w14:textId="74A08B14" w:rsidR="00A6589B" w:rsidRPr="00097824" w:rsidRDefault="00980E88" w:rsidP="00EE17B7">
          <w:pPr>
            <w:pStyle w:val="21"/>
            <w:rPr>
              <w:rFonts w:ascii="Times New Roman" w:hAnsi="Times New Roman"/>
              <w:noProof/>
              <w:lang w:eastAsia="ru-RU"/>
            </w:rPr>
          </w:pPr>
          <w:r w:rsidRPr="00097824">
            <w:rPr>
              <w:rFonts w:ascii="Times New Roman" w:hAnsi="Times New Roman"/>
              <w:noProof/>
              <w:lang w:eastAsia="ru-RU"/>
            </w:rPr>
            <w:t xml:space="preserve">2.3.1. </w:t>
          </w:r>
          <w:r w:rsidR="00A6589B" w:rsidRPr="00097824">
            <w:rPr>
              <w:rFonts w:ascii="Times New Roman" w:hAnsi="Times New Roman"/>
              <w:noProof/>
              <w:lang w:eastAsia="ru-RU"/>
            </w:rPr>
            <w:t>Жалобы и анамнез</w:t>
          </w:r>
          <w:r w:rsidR="00A6589B" w:rsidRPr="00097824">
            <w:rPr>
              <w:rFonts w:ascii="Times New Roman" w:hAnsi="Times New Roman"/>
              <w:noProof/>
              <w:lang w:eastAsia="ru-RU"/>
            </w:rPr>
            <w:tab/>
            <w:t>25</w:t>
          </w:r>
        </w:p>
        <w:p w14:paraId="735D2690" w14:textId="52893419" w:rsidR="00A6589B" w:rsidRPr="00097824" w:rsidRDefault="00980E88" w:rsidP="00EE17B7">
          <w:pPr>
            <w:pStyle w:val="21"/>
            <w:rPr>
              <w:rFonts w:ascii="Times New Roman" w:hAnsi="Times New Roman"/>
              <w:noProof/>
              <w:lang w:eastAsia="ru-RU"/>
            </w:rPr>
          </w:pPr>
          <w:r w:rsidRPr="00097824">
            <w:rPr>
              <w:rFonts w:ascii="Times New Roman" w:hAnsi="Times New Roman"/>
              <w:noProof/>
              <w:lang w:eastAsia="ru-RU"/>
            </w:rPr>
            <w:t xml:space="preserve">2.3.2. </w:t>
          </w:r>
          <w:r w:rsidR="00A6589B" w:rsidRPr="00097824">
            <w:rPr>
              <w:rFonts w:ascii="Times New Roman" w:hAnsi="Times New Roman"/>
              <w:noProof/>
              <w:lang w:eastAsia="ru-RU"/>
            </w:rPr>
            <w:t>Физикальное обследование</w:t>
          </w:r>
          <w:r w:rsidR="00A6589B" w:rsidRPr="00097824">
            <w:rPr>
              <w:rFonts w:ascii="Times New Roman" w:hAnsi="Times New Roman"/>
              <w:noProof/>
              <w:lang w:eastAsia="ru-RU"/>
            </w:rPr>
            <w:tab/>
            <w:t>25</w:t>
          </w:r>
        </w:p>
        <w:p w14:paraId="579D4A16" w14:textId="74C62266" w:rsidR="00A6589B" w:rsidRPr="00097824" w:rsidRDefault="00980E88" w:rsidP="00EE17B7">
          <w:pPr>
            <w:pStyle w:val="21"/>
            <w:rPr>
              <w:rFonts w:ascii="Times New Roman" w:hAnsi="Times New Roman"/>
              <w:noProof/>
              <w:lang w:eastAsia="ru-RU"/>
            </w:rPr>
          </w:pPr>
          <w:r w:rsidRPr="00097824">
            <w:rPr>
              <w:rFonts w:ascii="Times New Roman" w:hAnsi="Times New Roman"/>
              <w:noProof/>
              <w:lang w:eastAsia="ru-RU"/>
            </w:rPr>
            <w:t xml:space="preserve">2.3.3. </w:t>
          </w:r>
          <w:r w:rsidR="00A6589B" w:rsidRPr="00097824">
            <w:rPr>
              <w:rFonts w:ascii="Times New Roman" w:hAnsi="Times New Roman"/>
              <w:noProof/>
              <w:lang w:eastAsia="ru-RU"/>
            </w:rPr>
            <w:t>Лабораторные диагностические исследования</w:t>
          </w:r>
          <w:r w:rsidR="00A6589B" w:rsidRPr="00097824">
            <w:rPr>
              <w:rFonts w:ascii="Times New Roman" w:hAnsi="Times New Roman"/>
              <w:noProof/>
              <w:lang w:eastAsia="ru-RU"/>
            </w:rPr>
            <w:tab/>
            <w:t>25</w:t>
          </w:r>
        </w:p>
        <w:p w14:paraId="48301DDC" w14:textId="50908FCC" w:rsidR="00A6589B" w:rsidRPr="00097824" w:rsidRDefault="00980E88" w:rsidP="00EE17B7">
          <w:pPr>
            <w:pStyle w:val="21"/>
            <w:rPr>
              <w:rFonts w:ascii="Times New Roman" w:hAnsi="Times New Roman"/>
              <w:noProof/>
              <w:lang w:eastAsia="ru-RU"/>
            </w:rPr>
          </w:pPr>
          <w:r w:rsidRPr="00097824">
            <w:rPr>
              <w:rFonts w:ascii="Times New Roman" w:hAnsi="Times New Roman"/>
              <w:noProof/>
              <w:lang w:eastAsia="ru-RU"/>
            </w:rPr>
            <w:t xml:space="preserve">2.1.4. </w:t>
          </w:r>
          <w:r w:rsidR="00A6589B" w:rsidRPr="00097824">
            <w:rPr>
              <w:rFonts w:ascii="Times New Roman" w:hAnsi="Times New Roman"/>
              <w:noProof/>
              <w:lang w:eastAsia="ru-RU"/>
            </w:rPr>
            <w:t>Инструментальные диагностические исследования</w:t>
          </w:r>
          <w:r w:rsidR="00A6589B" w:rsidRPr="00097824">
            <w:rPr>
              <w:rFonts w:ascii="Times New Roman" w:hAnsi="Times New Roman"/>
              <w:noProof/>
              <w:lang w:eastAsia="ru-RU"/>
            </w:rPr>
            <w:tab/>
            <w:t>25</w:t>
          </w:r>
        </w:p>
        <w:p w14:paraId="3C6D8AD2" w14:textId="70D6DAD5" w:rsidR="00144A9D" w:rsidRPr="00097824" w:rsidRDefault="00144A9D" w:rsidP="00AD4A9F">
          <w:pPr>
            <w:pStyle w:val="19"/>
            <w:spacing w:after="0"/>
            <w:ind w:left="397" w:firstLine="357"/>
            <w:rPr>
              <w:rFonts w:eastAsiaTheme="minorEastAsia"/>
              <w:noProof/>
              <w:szCs w:val="24"/>
              <w:lang w:eastAsia="ru-RU"/>
            </w:rPr>
          </w:pPr>
          <w:hyperlink w:anchor="_Toc113205059" w:history="1">
            <w:r w:rsidRPr="00097824">
              <w:rPr>
                <w:rStyle w:val="afff"/>
                <w:noProof/>
                <w:color w:val="auto"/>
                <w:szCs w:val="24"/>
              </w:rPr>
              <w:t>3. Лечение, включая медикаментозную и немедикаментозную терапи</w:t>
            </w:r>
            <w:r w:rsidR="00E61071" w:rsidRPr="00097824">
              <w:rPr>
                <w:rStyle w:val="afff"/>
                <w:noProof/>
                <w:color w:val="auto"/>
                <w:szCs w:val="24"/>
              </w:rPr>
              <w:t>ю</w:t>
            </w:r>
            <w:r w:rsidRPr="00097824">
              <w:rPr>
                <w:rStyle w:val="afff"/>
                <w:noProof/>
                <w:color w:val="auto"/>
                <w:szCs w:val="24"/>
              </w:rPr>
              <w:t>, диетотерапию, обезболивание, медицинские показания и противопоказания к применению методов лечения</w:t>
            </w:r>
            <w:r w:rsidRPr="00097824">
              <w:rPr>
                <w:noProof/>
                <w:webHidden/>
                <w:szCs w:val="24"/>
              </w:rPr>
              <w:tab/>
            </w:r>
            <w:r w:rsidR="007F5427" w:rsidRPr="00097824">
              <w:rPr>
                <w:noProof/>
                <w:webHidden/>
                <w:szCs w:val="24"/>
              </w:rPr>
              <w:fldChar w:fldCharType="begin"/>
            </w:r>
            <w:r w:rsidRPr="00097824">
              <w:rPr>
                <w:noProof/>
                <w:webHidden/>
                <w:szCs w:val="24"/>
              </w:rPr>
              <w:instrText xml:space="preserve"> PAGEREF _Toc113205059 \h </w:instrText>
            </w:r>
            <w:r w:rsidR="007F5427" w:rsidRPr="00097824">
              <w:rPr>
                <w:noProof/>
                <w:webHidden/>
                <w:szCs w:val="24"/>
              </w:rPr>
            </w:r>
            <w:r w:rsidR="007F5427" w:rsidRPr="00097824">
              <w:rPr>
                <w:noProof/>
                <w:webHidden/>
                <w:szCs w:val="24"/>
              </w:rPr>
              <w:fldChar w:fldCharType="separate"/>
            </w:r>
            <w:r w:rsidR="006752A2" w:rsidRPr="00097824">
              <w:rPr>
                <w:noProof/>
                <w:webHidden/>
                <w:szCs w:val="24"/>
              </w:rPr>
              <w:t>26</w:t>
            </w:r>
            <w:r w:rsidR="007F5427" w:rsidRPr="00097824">
              <w:rPr>
                <w:noProof/>
                <w:webHidden/>
                <w:szCs w:val="24"/>
              </w:rPr>
              <w:fldChar w:fldCharType="end"/>
            </w:r>
          </w:hyperlink>
        </w:p>
        <w:p w14:paraId="517376E6" w14:textId="00282F44" w:rsidR="00144A9D" w:rsidRPr="00097824" w:rsidRDefault="00144A9D" w:rsidP="00EE17B7">
          <w:pPr>
            <w:pStyle w:val="21"/>
            <w:rPr>
              <w:rFonts w:ascii="Times New Roman" w:eastAsiaTheme="minorEastAsia" w:hAnsi="Times New Roman"/>
              <w:noProof/>
              <w:lang w:eastAsia="ru-RU"/>
            </w:rPr>
          </w:pPr>
          <w:hyperlink w:anchor="_Toc113205060" w:history="1">
            <w:r w:rsidRPr="00097824">
              <w:rPr>
                <w:rStyle w:val="afff"/>
                <w:rFonts w:ascii="Times New Roman" w:hAnsi="Times New Roman"/>
                <w:noProof/>
                <w:color w:val="auto"/>
                <w:sz w:val="24"/>
                <w:szCs w:val="24"/>
              </w:rPr>
              <w:t>3.1</w:t>
            </w:r>
            <w:r w:rsidR="00980E88"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Предоперационное лечение</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_Toc113205060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26</w:t>
            </w:r>
            <w:r w:rsidR="007F5427" w:rsidRPr="00097824">
              <w:rPr>
                <w:rFonts w:ascii="Times New Roman" w:hAnsi="Times New Roman"/>
                <w:noProof/>
                <w:webHidden/>
              </w:rPr>
              <w:fldChar w:fldCharType="end"/>
            </w:r>
          </w:hyperlink>
        </w:p>
        <w:p w14:paraId="55A542E0" w14:textId="3337747D" w:rsidR="00144A9D" w:rsidRPr="00097824" w:rsidRDefault="00144A9D" w:rsidP="00EE17B7">
          <w:pPr>
            <w:pStyle w:val="21"/>
            <w:rPr>
              <w:rFonts w:ascii="Times New Roman" w:hAnsi="Times New Roman"/>
              <w:noProof/>
            </w:rPr>
          </w:pPr>
          <w:hyperlink w:anchor="_Toc113205061" w:history="1">
            <w:r w:rsidRPr="00097824">
              <w:rPr>
                <w:rStyle w:val="afff"/>
                <w:rFonts w:ascii="Times New Roman" w:hAnsi="Times New Roman"/>
                <w:noProof/>
                <w:color w:val="auto"/>
                <w:sz w:val="24"/>
                <w:szCs w:val="24"/>
              </w:rPr>
              <w:t>3.2</w:t>
            </w:r>
            <w:r w:rsidR="00980E88"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Хирургическое лечение</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_Toc113205061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27</w:t>
            </w:r>
            <w:r w:rsidR="007F5427" w:rsidRPr="00097824">
              <w:rPr>
                <w:rFonts w:ascii="Times New Roman" w:hAnsi="Times New Roman"/>
                <w:noProof/>
                <w:webHidden/>
              </w:rPr>
              <w:fldChar w:fldCharType="end"/>
            </w:r>
          </w:hyperlink>
        </w:p>
        <w:p w14:paraId="7A25ED76" w14:textId="46F1D4E0" w:rsidR="00E61071" w:rsidRPr="00097824" w:rsidRDefault="00E61071" w:rsidP="00EE17B7">
          <w:pPr>
            <w:pStyle w:val="21"/>
            <w:rPr>
              <w:rFonts w:ascii="Times New Roman" w:hAnsi="Times New Roman"/>
              <w:noProof/>
            </w:rPr>
          </w:pPr>
          <w:r w:rsidRPr="00097824">
            <w:rPr>
              <w:rFonts w:ascii="Times New Roman" w:hAnsi="Times New Roman"/>
              <w:noProof/>
            </w:rPr>
            <w:t>3.2.1. Внутрипеченочная холангиокарцинома</w:t>
          </w:r>
        </w:p>
        <w:p w14:paraId="4680756F" w14:textId="452A29C4" w:rsidR="00E61071" w:rsidRPr="00097824" w:rsidRDefault="00E61071" w:rsidP="00EE17B7">
          <w:pPr>
            <w:pStyle w:val="21"/>
            <w:rPr>
              <w:rFonts w:ascii="Times New Roman" w:hAnsi="Times New Roman"/>
              <w:noProof/>
            </w:rPr>
          </w:pPr>
          <w:r w:rsidRPr="00097824">
            <w:rPr>
              <w:rFonts w:ascii="Times New Roman" w:hAnsi="Times New Roman"/>
              <w:noProof/>
            </w:rPr>
            <w:t>3.2.2. Рак проксимального отела внепеченочных желчных протоков</w:t>
          </w:r>
        </w:p>
        <w:p w14:paraId="7D911D37" w14:textId="22E2B4B7" w:rsidR="00E61071" w:rsidRPr="00097824" w:rsidRDefault="00E61071" w:rsidP="00EE17B7">
          <w:pPr>
            <w:pStyle w:val="21"/>
            <w:rPr>
              <w:rFonts w:ascii="Times New Roman" w:hAnsi="Times New Roman"/>
              <w:noProof/>
            </w:rPr>
          </w:pPr>
          <w:r w:rsidRPr="00097824">
            <w:rPr>
              <w:rFonts w:ascii="Times New Roman" w:hAnsi="Times New Roman"/>
              <w:noProof/>
            </w:rPr>
            <w:t>3.2.3. Рак дистального отела внепеченочных желчных протоков</w:t>
          </w:r>
        </w:p>
        <w:p w14:paraId="6E3BA453" w14:textId="4C248EFB" w:rsidR="00E61071" w:rsidRPr="00097824" w:rsidRDefault="00E61071" w:rsidP="00EE17B7">
          <w:pPr>
            <w:pStyle w:val="21"/>
            <w:rPr>
              <w:rFonts w:ascii="Times New Roman" w:eastAsiaTheme="minorEastAsia" w:hAnsi="Times New Roman"/>
              <w:noProof/>
              <w:lang w:eastAsia="ru-RU"/>
            </w:rPr>
          </w:pPr>
          <w:r w:rsidRPr="00097824">
            <w:rPr>
              <w:rFonts w:ascii="Times New Roman" w:hAnsi="Times New Roman"/>
              <w:noProof/>
            </w:rPr>
            <w:t>3.2.4. Рак желчного пузыря</w:t>
          </w:r>
        </w:p>
        <w:p w14:paraId="400365BD" w14:textId="588561CD" w:rsidR="00144A9D" w:rsidRPr="00097824" w:rsidRDefault="00144A9D" w:rsidP="00EE17B7">
          <w:pPr>
            <w:pStyle w:val="21"/>
            <w:rPr>
              <w:rFonts w:ascii="Times New Roman" w:eastAsiaTheme="minorEastAsia" w:hAnsi="Times New Roman"/>
              <w:noProof/>
              <w:lang w:eastAsia="ru-RU"/>
            </w:rPr>
          </w:pPr>
          <w:hyperlink w:anchor="_Toc113205062" w:history="1">
            <w:r w:rsidRPr="00097824">
              <w:rPr>
                <w:rStyle w:val="afff"/>
                <w:rFonts w:ascii="Times New Roman" w:hAnsi="Times New Roman"/>
                <w:noProof/>
                <w:color w:val="auto"/>
                <w:sz w:val="24"/>
                <w:szCs w:val="24"/>
              </w:rPr>
              <w:t>3.3</w:t>
            </w:r>
            <w:r w:rsidR="00980E88"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Химиотерапия</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_Toc113205062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31</w:t>
            </w:r>
            <w:r w:rsidR="007F5427" w:rsidRPr="00097824">
              <w:rPr>
                <w:rFonts w:ascii="Times New Roman" w:hAnsi="Times New Roman"/>
                <w:noProof/>
                <w:webHidden/>
              </w:rPr>
              <w:fldChar w:fldCharType="end"/>
            </w:r>
          </w:hyperlink>
        </w:p>
        <w:p w14:paraId="5D62DFBF" w14:textId="4B2573C4" w:rsidR="00144A9D" w:rsidRPr="00097824" w:rsidRDefault="00144A9D" w:rsidP="00EE17B7">
          <w:pPr>
            <w:pStyle w:val="21"/>
            <w:rPr>
              <w:rFonts w:ascii="Times New Roman" w:eastAsiaTheme="minorEastAsia" w:hAnsi="Times New Roman"/>
              <w:noProof/>
              <w:lang w:eastAsia="ru-RU"/>
            </w:rPr>
          </w:pPr>
          <w:hyperlink w:anchor="_Toc113205064" w:history="1">
            <w:r w:rsidRPr="00097824">
              <w:rPr>
                <w:rStyle w:val="afff"/>
                <w:rFonts w:ascii="Times New Roman" w:hAnsi="Times New Roman"/>
                <w:noProof/>
                <w:color w:val="auto"/>
                <w:sz w:val="24"/>
                <w:szCs w:val="24"/>
              </w:rPr>
              <w:t>3.4</w:t>
            </w:r>
            <w:r w:rsidR="00980E88" w:rsidRPr="00097824">
              <w:rPr>
                <w:rStyle w:val="afff"/>
                <w:rFonts w:ascii="Times New Roman" w:hAnsi="Times New Roman"/>
                <w:noProof/>
                <w:color w:val="auto"/>
                <w:sz w:val="24"/>
                <w:szCs w:val="24"/>
              </w:rPr>
              <w:t xml:space="preserve">. </w:t>
            </w:r>
            <w:r w:rsidR="00980E88" w:rsidRPr="00097824">
              <w:rPr>
                <w:rFonts w:ascii="Times New Roman" w:eastAsiaTheme="minorEastAsia" w:hAnsi="Times New Roman"/>
                <w:noProof/>
                <w:lang w:eastAsia="ru-RU"/>
              </w:rPr>
              <w:t xml:space="preserve"> </w:t>
            </w:r>
            <w:r w:rsidRPr="00097824">
              <w:rPr>
                <w:rStyle w:val="afff"/>
                <w:rFonts w:ascii="Times New Roman" w:hAnsi="Times New Roman"/>
                <w:noProof/>
                <w:color w:val="auto"/>
                <w:sz w:val="24"/>
                <w:szCs w:val="24"/>
              </w:rPr>
              <w:t>Лучевая терапия</w:t>
            </w:r>
            <w:r w:rsidRPr="00097824">
              <w:rPr>
                <w:rFonts w:ascii="Times New Roman" w:hAnsi="Times New Roman"/>
                <w:noProof/>
                <w:webHidden/>
              </w:rPr>
              <w:tab/>
            </w:r>
            <w:r w:rsidR="007F5427" w:rsidRPr="00097824">
              <w:rPr>
                <w:rFonts w:ascii="Times New Roman" w:hAnsi="Times New Roman"/>
                <w:noProof/>
                <w:webHidden/>
              </w:rPr>
              <w:fldChar w:fldCharType="begin"/>
            </w:r>
            <w:r w:rsidRPr="00097824">
              <w:rPr>
                <w:rFonts w:ascii="Times New Roman" w:hAnsi="Times New Roman"/>
                <w:noProof/>
                <w:webHidden/>
              </w:rPr>
              <w:instrText xml:space="preserve"> PAGEREF _Toc113205064 \h </w:instrText>
            </w:r>
            <w:r w:rsidR="007F5427" w:rsidRPr="00097824">
              <w:rPr>
                <w:rFonts w:ascii="Times New Roman" w:hAnsi="Times New Roman"/>
                <w:noProof/>
                <w:webHidden/>
              </w:rPr>
            </w:r>
            <w:r w:rsidR="007F5427" w:rsidRPr="00097824">
              <w:rPr>
                <w:rFonts w:ascii="Times New Roman" w:hAnsi="Times New Roman"/>
                <w:noProof/>
                <w:webHidden/>
              </w:rPr>
              <w:fldChar w:fldCharType="separate"/>
            </w:r>
            <w:r w:rsidR="006752A2" w:rsidRPr="00097824">
              <w:rPr>
                <w:rFonts w:ascii="Times New Roman" w:hAnsi="Times New Roman"/>
                <w:noProof/>
                <w:webHidden/>
              </w:rPr>
              <w:t>41</w:t>
            </w:r>
            <w:r w:rsidR="007F5427" w:rsidRPr="00097824">
              <w:rPr>
                <w:rFonts w:ascii="Times New Roman" w:hAnsi="Times New Roman"/>
                <w:noProof/>
                <w:webHidden/>
              </w:rPr>
              <w:fldChar w:fldCharType="end"/>
            </w:r>
          </w:hyperlink>
        </w:p>
        <w:p w14:paraId="352E854B" w14:textId="33629E10" w:rsidR="00144A9D" w:rsidRPr="00097824" w:rsidRDefault="00144A9D" w:rsidP="00AD4A9F">
          <w:pPr>
            <w:pStyle w:val="19"/>
            <w:spacing w:after="0"/>
            <w:ind w:left="397" w:firstLine="357"/>
            <w:rPr>
              <w:rFonts w:eastAsiaTheme="minorEastAsia"/>
              <w:noProof/>
              <w:szCs w:val="24"/>
              <w:lang w:eastAsia="ru-RU"/>
            </w:rPr>
          </w:pPr>
          <w:hyperlink w:anchor="_Toc113205065" w:history="1">
            <w:r w:rsidRPr="00097824">
              <w:rPr>
                <w:rStyle w:val="afff"/>
                <w:noProof/>
                <w:color w:val="auto"/>
                <w:szCs w:val="24"/>
              </w:rPr>
              <w:t xml:space="preserve">4. </w:t>
            </w:r>
            <w:r w:rsidR="00536F95" w:rsidRPr="00097824">
              <w:rPr>
                <w:rStyle w:val="afff"/>
                <w:noProof/>
                <w:color w:val="auto"/>
                <w:szCs w:val="24"/>
              </w:rPr>
              <w:t>Медицинская реабилитация и санаторно-курортное лечение, медицинские показания и противопоказания к применению методов реабилитации, в том числе основанных на использовании природных лечебных факторов</w:t>
            </w:r>
            <w:r w:rsidRPr="00097824">
              <w:rPr>
                <w:noProof/>
                <w:webHidden/>
                <w:szCs w:val="24"/>
              </w:rPr>
              <w:tab/>
            </w:r>
            <w:r w:rsidR="007F5427" w:rsidRPr="00097824">
              <w:rPr>
                <w:noProof/>
                <w:webHidden/>
                <w:szCs w:val="24"/>
              </w:rPr>
              <w:fldChar w:fldCharType="begin"/>
            </w:r>
            <w:r w:rsidRPr="00097824">
              <w:rPr>
                <w:noProof/>
                <w:webHidden/>
                <w:szCs w:val="24"/>
              </w:rPr>
              <w:instrText xml:space="preserve"> PAGEREF _Toc113205065 \h </w:instrText>
            </w:r>
            <w:r w:rsidR="007F5427" w:rsidRPr="00097824">
              <w:rPr>
                <w:noProof/>
                <w:webHidden/>
                <w:szCs w:val="24"/>
              </w:rPr>
            </w:r>
            <w:r w:rsidR="007F5427" w:rsidRPr="00097824">
              <w:rPr>
                <w:noProof/>
                <w:webHidden/>
                <w:szCs w:val="24"/>
              </w:rPr>
              <w:fldChar w:fldCharType="separate"/>
            </w:r>
            <w:r w:rsidR="006752A2" w:rsidRPr="00097824">
              <w:rPr>
                <w:noProof/>
                <w:webHidden/>
                <w:szCs w:val="24"/>
              </w:rPr>
              <w:t>42</w:t>
            </w:r>
            <w:r w:rsidR="007F5427" w:rsidRPr="00097824">
              <w:rPr>
                <w:noProof/>
                <w:webHidden/>
                <w:szCs w:val="24"/>
              </w:rPr>
              <w:fldChar w:fldCharType="end"/>
            </w:r>
          </w:hyperlink>
        </w:p>
        <w:p w14:paraId="54BC5F18" w14:textId="3A7FDBF7" w:rsidR="00144A9D" w:rsidRPr="00097824" w:rsidRDefault="00144A9D" w:rsidP="00AD4A9F">
          <w:pPr>
            <w:pStyle w:val="19"/>
            <w:spacing w:after="0"/>
            <w:ind w:left="397" w:firstLine="357"/>
            <w:rPr>
              <w:rFonts w:eastAsiaTheme="minorEastAsia"/>
              <w:noProof/>
              <w:szCs w:val="24"/>
              <w:lang w:eastAsia="ru-RU"/>
            </w:rPr>
          </w:pPr>
          <w:hyperlink w:anchor="_Toc113205066" w:history="1">
            <w:r w:rsidRPr="00097824">
              <w:rPr>
                <w:rStyle w:val="afff"/>
                <w:noProof/>
                <w:color w:val="auto"/>
                <w:szCs w:val="24"/>
              </w:rPr>
              <w:t>5. Профилактика и диспансерное наблюдение, медицинские показания и противопоказания к применению методов профилактики</w:t>
            </w:r>
            <w:r w:rsidRPr="00097824">
              <w:rPr>
                <w:noProof/>
                <w:webHidden/>
                <w:szCs w:val="24"/>
              </w:rPr>
              <w:tab/>
            </w:r>
            <w:r w:rsidR="007F5427" w:rsidRPr="00097824">
              <w:rPr>
                <w:noProof/>
                <w:webHidden/>
                <w:szCs w:val="24"/>
              </w:rPr>
              <w:fldChar w:fldCharType="begin"/>
            </w:r>
            <w:r w:rsidRPr="00097824">
              <w:rPr>
                <w:noProof/>
                <w:webHidden/>
                <w:szCs w:val="24"/>
              </w:rPr>
              <w:instrText xml:space="preserve"> PAGEREF _Toc113205066 \h </w:instrText>
            </w:r>
            <w:r w:rsidR="007F5427" w:rsidRPr="00097824">
              <w:rPr>
                <w:noProof/>
                <w:webHidden/>
                <w:szCs w:val="24"/>
              </w:rPr>
            </w:r>
            <w:r w:rsidR="007F5427" w:rsidRPr="00097824">
              <w:rPr>
                <w:noProof/>
                <w:webHidden/>
                <w:szCs w:val="24"/>
              </w:rPr>
              <w:fldChar w:fldCharType="separate"/>
            </w:r>
            <w:r w:rsidR="006752A2" w:rsidRPr="00097824">
              <w:rPr>
                <w:noProof/>
                <w:webHidden/>
                <w:szCs w:val="24"/>
              </w:rPr>
              <w:t>42</w:t>
            </w:r>
            <w:r w:rsidR="007F5427" w:rsidRPr="00097824">
              <w:rPr>
                <w:noProof/>
                <w:webHidden/>
                <w:szCs w:val="24"/>
              </w:rPr>
              <w:fldChar w:fldCharType="end"/>
            </w:r>
          </w:hyperlink>
        </w:p>
        <w:p w14:paraId="5998F52F" w14:textId="28C9970B" w:rsidR="00D630AE" w:rsidRPr="00097824" w:rsidRDefault="00144A9D" w:rsidP="00AD4A9F">
          <w:pPr>
            <w:pStyle w:val="19"/>
            <w:spacing w:after="0"/>
            <w:ind w:left="397" w:firstLine="357"/>
            <w:rPr>
              <w:rFonts w:eastAsiaTheme="minorEastAsia"/>
              <w:noProof/>
              <w:szCs w:val="24"/>
              <w:lang w:eastAsia="ru-RU"/>
            </w:rPr>
          </w:pPr>
          <w:hyperlink w:anchor="_Toc113205067" w:history="1">
            <w:r w:rsidRPr="00097824">
              <w:rPr>
                <w:rStyle w:val="afff"/>
                <w:noProof/>
                <w:color w:val="auto"/>
                <w:szCs w:val="24"/>
              </w:rPr>
              <w:t>6</w:t>
            </w:r>
            <w:r w:rsidR="00E61071" w:rsidRPr="00097824">
              <w:rPr>
                <w:rStyle w:val="afff"/>
                <w:noProof/>
                <w:color w:val="auto"/>
                <w:szCs w:val="24"/>
              </w:rPr>
              <w:t>.</w:t>
            </w:r>
            <w:r w:rsidRPr="00097824">
              <w:rPr>
                <w:rStyle w:val="afff"/>
                <w:noProof/>
                <w:color w:val="auto"/>
                <w:szCs w:val="24"/>
              </w:rPr>
              <w:t>Организация</w:t>
            </w:r>
            <w:r w:rsidR="00143CD4" w:rsidRPr="00097824">
              <w:rPr>
                <w:rStyle w:val="afff"/>
                <w:noProof/>
                <w:color w:val="auto"/>
                <w:szCs w:val="24"/>
              </w:rPr>
              <w:t xml:space="preserve"> </w:t>
            </w:r>
            <w:r w:rsidRPr="00097824">
              <w:rPr>
                <w:rStyle w:val="afff"/>
                <w:noProof/>
                <w:color w:val="auto"/>
                <w:szCs w:val="24"/>
              </w:rPr>
              <w:t>оказания</w:t>
            </w:r>
            <w:r w:rsidR="00143CD4" w:rsidRPr="00097824">
              <w:rPr>
                <w:rStyle w:val="afff"/>
                <w:noProof/>
                <w:color w:val="auto"/>
                <w:szCs w:val="24"/>
              </w:rPr>
              <w:t xml:space="preserve"> </w:t>
            </w:r>
            <w:r w:rsidRPr="00097824">
              <w:rPr>
                <w:rStyle w:val="afff"/>
                <w:noProof/>
                <w:color w:val="auto"/>
                <w:szCs w:val="24"/>
              </w:rPr>
              <w:t>медицинской</w:t>
            </w:r>
            <w:r w:rsidR="00143CD4" w:rsidRPr="00097824">
              <w:rPr>
                <w:rStyle w:val="afff"/>
                <w:noProof/>
                <w:color w:val="auto"/>
                <w:szCs w:val="24"/>
              </w:rPr>
              <w:t xml:space="preserve"> </w:t>
            </w:r>
            <w:r w:rsidRPr="00097824">
              <w:rPr>
                <w:rStyle w:val="afff"/>
                <w:noProof/>
                <w:color w:val="auto"/>
                <w:szCs w:val="24"/>
              </w:rPr>
              <w:t>помощи</w:t>
            </w:r>
          </w:hyperlink>
          <w:r w:rsidR="00E61071" w:rsidRPr="00097824">
            <w:rPr>
              <w:noProof/>
              <w:szCs w:val="24"/>
            </w:rPr>
            <w:t>………………………………………4</w:t>
          </w:r>
          <w:r w:rsidR="00143CD4" w:rsidRPr="00097824">
            <w:rPr>
              <w:noProof/>
              <w:szCs w:val="24"/>
            </w:rPr>
            <w:t>2</w:t>
          </w:r>
        </w:p>
        <w:p w14:paraId="5C02E144" w14:textId="1800D2AB" w:rsidR="00144A9D" w:rsidRPr="00097824" w:rsidRDefault="00144A9D" w:rsidP="00AD4A9F">
          <w:pPr>
            <w:pStyle w:val="19"/>
            <w:spacing w:after="0"/>
            <w:ind w:left="397" w:firstLine="357"/>
            <w:rPr>
              <w:rFonts w:eastAsiaTheme="minorEastAsia"/>
              <w:noProof/>
              <w:szCs w:val="24"/>
              <w:lang w:eastAsia="ru-RU"/>
            </w:rPr>
          </w:pPr>
          <w:hyperlink w:anchor="_Toc113205068" w:history="1">
            <w:r w:rsidRPr="00097824">
              <w:rPr>
                <w:rStyle w:val="afff"/>
                <w:noProof/>
                <w:color w:val="auto"/>
                <w:szCs w:val="24"/>
              </w:rPr>
              <w:t>7. Дополнительная информация (в том числе факторы, влияющие на исход заболеванияили состояния)</w:t>
            </w:r>
            <w:r w:rsidRPr="00097824">
              <w:rPr>
                <w:noProof/>
                <w:webHidden/>
                <w:szCs w:val="24"/>
              </w:rPr>
              <w:tab/>
            </w:r>
            <w:r w:rsidR="007F5427" w:rsidRPr="00097824">
              <w:rPr>
                <w:noProof/>
                <w:webHidden/>
                <w:szCs w:val="24"/>
              </w:rPr>
              <w:fldChar w:fldCharType="begin"/>
            </w:r>
            <w:r w:rsidRPr="00097824">
              <w:rPr>
                <w:noProof/>
                <w:webHidden/>
                <w:szCs w:val="24"/>
              </w:rPr>
              <w:instrText xml:space="preserve"> PAGEREF _Toc113205068 \h </w:instrText>
            </w:r>
            <w:r w:rsidR="007F5427" w:rsidRPr="00097824">
              <w:rPr>
                <w:noProof/>
                <w:webHidden/>
                <w:szCs w:val="24"/>
              </w:rPr>
            </w:r>
            <w:r w:rsidR="007F5427" w:rsidRPr="00097824">
              <w:rPr>
                <w:noProof/>
                <w:webHidden/>
                <w:szCs w:val="24"/>
              </w:rPr>
              <w:fldChar w:fldCharType="separate"/>
            </w:r>
            <w:r w:rsidR="006752A2" w:rsidRPr="00097824">
              <w:rPr>
                <w:noProof/>
                <w:webHidden/>
                <w:szCs w:val="24"/>
              </w:rPr>
              <w:t>49</w:t>
            </w:r>
            <w:r w:rsidR="007F5427" w:rsidRPr="00097824">
              <w:rPr>
                <w:noProof/>
                <w:webHidden/>
                <w:szCs w:val="24"/>
              </w:rPr>
              <w:fldChar w:fldCharType="end"/>
            </w:r>
          </w:hyperlink>
        </w:p>
        <w:p w14:paraId="7588DBB2" w14:textId="5C9E746A" w:rsidR="00144A9D" w:rsidRPr="00097824" w:rsidRDefault="00144A9D" w:rsidP="00AD4A9F">
          <w:pPr>
            <w:pStyle w:val="19"/>
            <w:spacing w:after="0"/>
            <w:ind w:left="397" w:firstLine="357"/>
            <w:rPr>
              <w:rFonts w:eastAsiaTheme="minorEastAsia"/>
              <w:noProof/>
              <w:szCs w:val="24"/>
              <w:lang w:eastAsia="ru-RU"/>
            </w:rPr>
          </w:pPr>
          <w:hyperlink w:anchor="_Toc113205069" w:history="1">
            <w:r w:rsidRPr="00097824">
              <w:rPr>
                <w:rStyle w:val="afff"/>
                <w:noProof/>
                <w:color w:val="auto"/>
                <w:szCs w:val="24"/>
              </w:rPr>
              <w:t>Критерии оценки качества медицинской помощи</w:t>
            </w:r>
            <w:r w:rsidRPr="00097824">
              <w:rPr>
                <w:noProof/>
                <w:webHidden/>
                <w:szCs w:val="24"/>
              </w:rPr>
              <w:tab/>
            </w:r>
            <w:r w:rsidR="00143CD4" w:rsidRPr="00097824">
              <w:rPr>
                <w:noProof/>
                <w:webHidden/>
                <w:szCs w:val="24"/>
              </w:rPr>
              <w:t>49</w:t>
            </w:r>
          </w:hyperlink>
        </w:p>
        <w:p w14:paraId="1E612E62" w14:textId="32488A0B" w:rsidR="00144A9D" w:rsidRPr="00097824" w:rsidRDefault="00144A9D" w:rsidP="00AD4A9F">
          <w:pPr>
            <w:pStyle w:val="19"/>
            <w:spacing w:after="0"/>
            <w:ind w:left="397" w:firstLine="357"/>
            <w:rPr>
              <w:rFonts w:eastAsiaTheme="minorEastAsia"/>
              <w:noProof/>
              <w:szCs w:val="24"/>
              <w:lang w:eastAsia="ru-RU"/>
            </w:rPr>
          </w:pPr>
          <w:hyperlink w:anchor="_Toc113205070" w:history="1">
            <w:r w:rsidRPr="00097824">
              <w:rPr>
                <w:rStyle w:val="afff"/>
                <w:noProof/>
                <w:color w:val="auto"/>
                <w:szCs w:val="24"/>
              </w:rPr>
              <w:t>Список литературы.</w:t>
            </w:r>
            <w:r w:rsidRPr="00097824">
              <w:rPr>
                <w:noProof/>
                <w:webHidden/>
                <w:szCs w:val="24"/>
              </w:rPr>
              <w:tab/>
            </w:r>
            <w:r w:rsidR="00143CD4" w:rsidRPr="00097824">
              <w:rPr>
                <w:noProof/>
                <w:webHidden/>
                <w:szCs w:val="24"/>
              </w:rPr>
              <w:t>51</w:t>
            </w:r>
          </w:hyperlink>
        </w:p>
        <w:p w14:paraId="113D1CAD" w14:textId="2CEAE150" w:rsidR="00144A9D" w:rsidRPr="00097824" w:rsidRDefault="00144A9D" w:rsidP="00AD4A9F">
          <w:pPr>
            <w:pStyle w:val="19"/>
            <w:spacing w:after="0"/>
            <w:ind w:left="397" w:firstLine="357"/>
            <w:rPr>
              <w:rFonts w:eastAsiaTheme="minorEastAsia"/>
              <w:noProof/>
              <w:szCs w:val="24"/>
              <w:lang w:eastAsia="ru-RU"/>
            </w:rPr>
          </w:pPr>
          <w:hyperlink w:anchor="_Toc113205071" w:history="1">
            <w:r w:rsidRPr="00097824">
              <w:rPr>
                <w:rStyle w:val="afff"/>
                <w:noProof/>
                <w:color w:val="auto"/>
                <w:szCs w:val="24"/>
                <w:lang w:eastAsia="ru-RU"/>
              </w:rPr>
              <w:t>Приложение А1. Состав рабочей группы по разработке и пересмотру клинических рекомендаций</w:t>
            </w:r>
            <w:r w:rsidRPr="00097824">
              <w:rPr>
                <w:noProof/>
                <w:webHidden/>
                <w:szCs w:val="24"/>
              </w:rPr>
              <w:tab/>
            </w:r>
            <w:r w:rsidR="00143CD4" w:rsidRPr="00097824">
              <w:rPr>
                <w:noProof/>
                <w:webHidden/>
                <w:szCs w:val="24"/>
              </w:rPr>
              <w:t>66</w:t>
            </w:r>
          </w:hyperlink>
        </w:p>
        <w:p w14:paraId="7081DFBA" w14:textId="49365215" w:rsidR="00144A9D" w:rsidRPr="00097824" w:rsidRDefault="00144A9D" w:rsidP="00AD4A9F">
          <w:pPr>
            <w:pStyle w:val="19"/>
            <w:spacing w:after="0"/>
            <w:ind w:left="397" w:firstLine="357"/>
            <w:rPr>
              <w:rFonts w:eastAsiaTheme="minorEastAsia"/>
              <w:noProof/>
              <w:szCs w:val="24"/>
              <w:lang w:eastAsia="ru-RU"/>
            </w:rPr>
          </w:pPr>
          <w:hyperlink w:anchor="_Toc113205072" w:history="1">
            <w:r w:rsidRPr="00097824">
              <w:rPr>
                <w:rStyle w:val="afff"/>
                <w:noProof/>
                <w:color w:val="auto"/>
                <w:szCs w:val="24"/>
              </w:rPr>
              <w:t>Приложение А2. Методология разработки клинических рекомендаций</w:t>
            </w:r>
            <w:r w:rsidRPr="00097824">
              <w:rPr>
                <w:noProof/>
                <w:webHidden/>
                <w:szCs w:val="24"/>
              </w:rPr>
              <w:tab/>
            </w:r>
            <w:r w:rsidR="007F5427" w:rsidRPr="00097824">
              <w:rPr>
                <w:noProof/>
                <w:webHidden/>
                <w:szCs w:val="24"/>
              </w:rPr>
              <w:fldChar w:fldCharType="begin"/>
            </w:r>
            <w:r w:rsidRPr="00097824">
              <w:rPr>
                <w:noProof/>
                <w:webHidden/>
                <w:szCs w:val="24"/>
              </w:rPr>
              <w:instrText xml:space="preserve"> PAGEREF _Toc113205072 \h </w:instrText>
            </w:r>
            <w:r w:rsidR="007F5427" w:rsidRPr="00097824">
              <w:rPr>
                <w:noProof/>
                <w:webHidden/>
                <w:szCs w:val="24"/>
              </w:rPr>
            </w:r>
            <w:r w:rsidR="007F5427" w:rsidRPr="00097824">
              <w:rPr>
                <w:noProof/>
                <w:webHidden/>
                <w:szCs w:val="24"/>
              </w:rPr>
              <w:fldChar w:fldCharType="separate"/>
            </w:r>
            <w:r w:rsidR="006752A2" w:rsidRPr="00097824">
              <w:rPr>
                <w:noProof/>
                <w:webHidden/>
                <w:szCs w:val="24"/>
              </w:rPr>
              <w:t>73</w:t>
            </w:r>
            <w:r w:rsidR="007F5427" w:rsidRPr="00097824">
              <w:rPr>
                <w:noProof/>
                <w:webHidden/>
                <w:szCs w:val="24"/>
              </w:rPr>
              <w:fldChar w:fldCharType="end"/>
            </w:r>
          </w:hyperlink>
        </w:p>
        <w:p w14:paraId="4170DC54" w14:textId="6F2F15E3" w:rsidR="00144A9D" w:rsidRPr="00097824" w:rsidRDefault="00144A9D" w:rsidP="00AD4A9F">
          <w:pPr>
            <w:pStyle w:val="19"/>
            <w:spacing w:after="0"/>
            <w:ind w:left="397" w:firstLine="357"/>
            <w:rPr>
              <w:rFonts w:eastAsiaTheme="minorEastAsia"/>
              <w:noProof/>
              <w:szCs w:val="24"/>
              <w:lang w:eastAsia="ru-RU"/>
            </w:rPr>
          </w:pPr>
          <w:hyperlink w:anchor="_Toc113205073" w:history="1">
            <w:r w:rsidRPr="00097824">
              <w:rPr>
                <w:rStyle w:val="afff"/>
                <w:noProof/>
                <w:color w:val="auto"/>
                <w:szCs w:val="24"/>
              </w:rPr>
              <w:t>Приложение Б. Алгоритмы действий врача</w:t>
            </w:r>
            <w:r w:rsidRPr="00097824">
              <w:rPr>
                <w:noProof/>
                <w:webHidden/>
                <w:szCs w:val="24"/>
              </w:rPr>
              <w:tab/>
            </w:r>
            <w:r w:rsidR="00143CD4" w:rsidRPr="00097824">
              <w:rPr>
                <w:noProof/>
                <w:webHidden/>
                <w:szCs w:val="24"/>
              </w:rPr>
              <w:t>72</w:t>
            </w:r>
          </w:hyperlink>
        </w:p>
        <w:p w14:paraId="21C162CD" w14:textId="4FBAF866" w:rsidR="00144A9D" w:rsidRPr="00097824" w:rsidRDefault="00144A9D" w:rsidP="00AD4A9F">
          <w:pPr>
            <w:pStyle w:val="19"/>
            <w:spacing w:after="0"/>
            <w:ind w:left="397" w:firstLine="357"/>
            <w:rPr>
              <w:rFonts w:eastAsiaTheme="minorEastAsia"/>
              <w:noProof/>
              <w:szCs w:val="24"/>
              <w:lang w:eastAsia="ru-RU"/>
            </w:rPr>
          </w:pPr>
          <w:hyperlink w:anchor="_Toc113205074" w:history="1">
            <w:r w:rsidRPr="00097824">
              <w:rPr>
                <w:rStyle w:val="afff"/>
                <w:noProof/>
                <w:color w:val="auto"/>
                <w:szCs w:val="24"/>
              </w:rPr>
              <w:t>Приложение В. Информация для пациента</w:t>
            </w:r>
            <w:r w:rsidRPr="00097824">
              <w:rPr>
                <w:noProof/>
                <w:webHidden/>
                <w:szCs w:val="24"/>
              </w:rPr>
              <w:tab/>
            </w:r>
            <w:r w:rsidR="00143CD4" w:rsidRPr="00097824">
              <w:rPr>
                <w:noProof/>
                <w:webHidden/>
                <w:szCs w:val="24"/>
              </w:rPr>
              <w:t>73</w:t>
            </w:r>
          </w:hyperlink>
        </w:p>
        <w:p w14:paraId="1C3985CA" w14:textId="0AB493AB" w:rsidR="00A63C83" w:rsidRPr="00097824" w:rsidRDefault="00BB2C79" w:rsidP="00AD4A9F">
          <w:pPr>
            <w:pStyle w:val="19"/>
            <w:spacing w:after="0"/>
            <w:ind w:left="397" w:firstLine="357"/>
            <w:rPr>
              <w:rStyle w:val="afff"/>
              <w:noProof/>
              <w:color w:val="auto"/>
              <w:szCs w:val="24"/>
            </w:rPr>
          </w:pPr>
          <w:r w:rsidRPr="00097824">
            <w:fldChar w:fldCharType="begin"/>
          </w:r>
          <w:r w:rsidRPr="00097824">
            <w:instrText xml:space="preserve"> HYPERLINK \l "_Toc113205075" </w:instrText>
          </w:r>
          <w:r w:rsidRPr="00097824">
            <w:fldChar w:fldCharType="separate"/>
          </w:r>
          <w:r w:rsidR="00144A9D" w:rsidRPr="00097824">
            <w:rPr>
              <w:rStyle w:val="afff"/>
              <w:noProof/>
              <w:color w:val="auto"/>
              <w:szCs w:val="24"/>
            </w:rPr>
            <w:t>Приложение Г</w:t>
          </w:r>
          <w:r w:rsidR="00A63C83" w:rsidRPr="00097824">
            <w:rPr>
              <w:rStyle w:val="afff"/>
              <w:noProof/>
              <w:color w:val="auto"/>
              <w:szCs w:val="24"/>
              <w:lang w:val="en-US"/>
            </w:rPr>
            <w:t>1-</w:t>
          </w:r>
          <w:r w:rsidR="00A63C83" w:rsidRPr="00097824">
            <w:rPr>
              <w:rStyle w:val="afff"/>
              <w:noProof/>
              <w:color w:val="auto"/>
              <w:szCs w:val="24"/>
            </w:rPr>
            <w:t>Г</w:t>
          </w:r>
          <w:r w:rsidR="00A63C83" w:rsidRPr="00097824">
            <w:rPr>
              <w:rStyle w:val="afff"/>
              <w:noProof/>
              <w:color w:val="auto"/>
              <w:szCs w:val="24"/>
              <w:lang w:val="en-US"/>
            </w:rPr>
            <w:t>N</w:t>
          </w:r>
          <w:r w:rsidR="00144A9D" w:rsidRPr="00097824">
            <w:rPr>
              <w:rStyle w:val="afff"/>
              <w:noProof/>
              <w:color w:val="auto"/>
              <w:szCs w:val="24"/>
            </w:rPr>
            <w:t xml:space="preserve">. </w:t>
          </w:r>
          <w:r w:rsidR="00A63C83" w:rsidRPr="00097824">
            <w:rPr>
              <w:rStyle w:val="afff"/>
              <w:noProof/>
              <w:color w:val="auto"/>
              <w:szCs w:val="24"/>
            </w:rPr>
            <w:t xml:space="preserve">риложение Г1 - ГN. Шкалы оценки, вопросники и другие оценочные инструменты состояния пациента, приведенные в клинических рекомендациях…………………………………………………………………………….74    </w:t>
          </w:r>
        </w:p>
        <w:p w14:paraId="12F8159D" w14:textId="3BD95909" w:rsidR="00144A9D" w:rsidRPr="00097824" w:rsidRDefault="00A63C83" w:rsidP="00B62BA4">
          <w:pPr>
            <w:pStyle w:val="19"/>
            <w:spacing w:after="0"/>
            <w:ind w:left="397"/>
            <w:rPr>
              <w:rFonts w:eastAsiaTheme="minorEastAsia"/>
              <w:noProof/>
              <w:szCs w:val="24"/>
              <w:lang w:eastAsia="ru-RU"/>
            </w:rPr>
          </w:pPr>
          <w:r w:rsidRPr="00097824">
            <w:rPr>
              <w:rStyle w:val="afff"/>
              <w:noProof/>
              <w:color w:val="auto"/>
              <w:szCs w:val="24"/>
            </w:rPr>
            <w:t>Приложениие Г1</w:t>
          </w:r>
          <w:r w:rsidR="00144A9D" w:rsidRPr="00097824">
            <w:rPr>
              <w:rStyle w:val="afff"/>
              <w:iCs/>
              <w:noProof/>
              <w:color w:val="auto"/>
              <w:szCs w:val="24"/>
            </w:rPr>
            <w:t>Шкала оценки тяжести состояния пациента по версии ВОЗ/</w:t>
          </w:r>
          <w:r w:rsidR="00144A9D" w:rsidRPr="00097824">
            <w:rPr>
              <w:rStyle w:val="afff"/>
              <w:iCs/>
              <w:noProof/>
              <w:color w:val="auto"/>
              <w:szCs w:val="24"/>
              <w:lang w:val="en-US"/>
            </w:rPr>
            <w:t>ECOG</w:t>
          </w:r>
          <w:r w:rsidR="00144A9D" w:rsidRPr="00097824">
            <w:rPr>
              <w:noProof/>
              <w:webHidden/>
              <w:szCs w:val="24"/>
            </w:rPr>
            <w:tab/>
          </w:r>
          <w:r w:rsidR="00143CD4" w:rsidRPr="00097824">
            <w:rPr>
              <w:noProof/>
              <w:webHidden/>
              <w:szCs w:val="24"/>
            </w:rPr>
            <w:t>74</w:t>
          </w:r>
          <w:r w:rsidR="00BB2C79" w:rsidRPr="00097824">
            <w:rPr>
              <w:noProof/>
              <w:szCs w:val="24"/>
            </w:rPr>
            <w:fldChar w:fldCharType="end"/>
          </w:r>
        </w:p>
        <w:p w14:paraId="45733801" w14:textId="77777777" w:rsidR="0076472E" w:rsidRPr="00097824" w:rsidRDefault="007F5427" w:rsidP="00AD4A9F">
          <w:pPr>
            <w:ind w:left="397" w:firstLine="357"/>
            <w:rPr>
              <w:bCs/>
            </w:rPr>
          </w:pPr>
          <w:r w:rsidRPr="00097824">
            <w:rPr>
              <w:b/>
              <w:bCs/>
              <w:szCs w:val="24"/>
            </w:rPr>
            <w:fldChar w:fldCharType="end"/>
          </w:r>
        </w:p>
      </w:sdtContent>
    </w:sdt>
    <w:p w14:paraId="62E7C01D" w14:textId="77777777" w:rsidR="00980E88" w:rsidRPr="00097824" w:rsidRDefault="00980E88" w:rsidP="00AD4A9F">
      <w:pPr>
        <w:ind w:left="397" w:firstLine="357"/>
      </w:pPr>
    </w:p>
    <w:p w14:paraId="6FC2058E" w14:textId="77777777" w:rsidR="00980E88" w:rsidRPr="00097824" w:rsidRDefault="00980E88" w:rsidP="00AD4A9F">
      <w:pPr>
        <w:ind w:left="397" w:firstLine="357"/>
      </w:pPr>
    </w:p>
    <w:p w14:paraId="015BFD72" w14:textId="77777777" w:rsidR="00980E88" w:rsidRPr="00097824" w:rsidRDefault="00980E88" w:rsidP="00AD4A9F">
      <w:pPr>
        <w:ind w:left="397" w:firstLine="357"/>
      </w:pPr>
    </w:p>
    <w:p w14:paraId="0DBF12D2" w14:textId="479BF783" w:rsidR="002A1129" w:rsidRPr="00097824" w:rsidRDefault="007F5427" w:rsidP="00AD4A9F">
      <w:pPr>
        <w:ind w:left="397" w:firstLine="357"/>
        <w:rPr>
          <w:rFonts w:asciiTheme="minorHAnsi" w:eastAsiaTheme="minorEastAsia" w:hAnsiTheme="minorHAnsi" w:cstheme="minorBidi"/>
          <w:noProof/>
          <w:sz w:val="22"/>
          <w:lang w:eastAsia="ru-RU"/>
        </w:rPr>
      </w:pPr>
      <w:r w:rsidRPr="00097824">
        <w:lastRenderedPageBreak/>
        <w:fldChar w:fldCharType="begin"/>
      </w:r>
      <w:r w:rsidR="00CD17D7" w:rsidRPr="00097824">
        <w:instrText xml:space="preserve"> TOC \o "1-3" \h \z \u </w:instrText>
      </w:r>
      <w:r w:rsidRPr="00097824">
        <w:fldChar w:fldCharType="separate"/>
      </w:r>
    </w:p>
    <w:p w14:paraId="4210ED42" w14:textId="59EB60C6" w:rsidR="00CD17D7" w:rsidRPr="00097824" w:rsidRDefault="007F5427" w:rsidP="00AD4A9F">
      <w:pPr>
        <w:pStyle w:val="10"/>
        <w:spacing w:before="0"/>
        <w:ind w:left="397" w:firstLine="357"/>
        <w:jc w:val="both"/>
      </w:pPr>
      <w:r w:rsidRPr="00097824">
        <w:rPr>
          <w:szCs w:val="24"/>
        </w:rPr>
        <w:fldChar w:fldCharType="end"/>
      </w:r>
      <w:bookmarkStart w:id="4" w:name="__RefHeading___doc_abbreviation"/>
      <w:bookmarkStart w:id="5" w:name="_Toc11747727"/>
      <w:bookmarkStart w:id="6" w:name="_Toc23142712"/>
      <w:bookmarkStart w:id="7" w:name="_Toc113198754"/>
      <w:bookmarkStart w:id="8" w:name="_Toc113205044"/>
      <w:r w:rsidR="00CD17D7" w:rsidRPr="00097824">
        <w:t>Список сокращений</w:t>
      </w:r>
      <w:bookmarkEnd w:id="4"/>
      <w:bookmarkEnd w:id="5"/>
      <w:bookmarkEnd w:id="6"/>
      <w:bookmarkEnd w:id="7"/>
      <w:bookmarkEnd w:id="8"/>
    </w:p>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15"/>
      </w:tblGrid>
      <w:tr w:rsidR="005A526D" w:rsidRPr="00097824" w14:paraId="2A714779" w14:textId="77777777" w:rsidTr="009F4C8A">
        <w:trPr>
          <w:divId w:val="194731767"/>
        </w:trPr>
        <w:tc>
          <w:tcPr>
            <w:tcW w:w="2830" w:type="dxa"/>
          </w:tcPr>
          <w:p w14:paraId="1E6AD46C" w14:textId="77777777" w:rsidR="0034010A" w:rsidRPr="00097824" w:rsidRDefault="0034010A" w:rsidP="00AD4A9F">
            <w:pPr>
              <w:ind w:left="397" w:firstLine="357"/>
            </w:pPr>
            <w:r w:rsidRPr="00097824">
              <w:t>AJCC</w:t>
            </w:r>
          </w:p>
        </w:tc>
        <w:tc>
          <w:tcPr>
            <w:tcW w:w="6515" w:type="dxa"/>
          </w:tcPr>
          <w:p w14:paraId="0363E5BD" w14:textId="42AB384C" w:rsidR="0034010A" w:rsidRPr="00097824" w:rsidRDefault="0034010A" w:rsidP="00AD4A9F">
            <w:pPr>
              <w:ind w:left="397" w:firstLine="357"/>
            </w:pPr>
            <w:r w:rsidRPr="00097824">
              <w:t>Американский объединенный комитет по раку (</w:t>
            </w:r>
            <w:r w:rsidRPr="00097824">
              <w:rPr>
                <w:lang w:val="en-US"/>
              </w:rPr>
              <w:t>American</w:t>
            </w:r>
            <w:r w:rsidR="000F5A6E" w:rsidRPr="00097824">
              <w:t xml:space="preserve"> </w:t>
            </w:r>
            <w:r w:rsidRPr="00097824">
              <w:rPr>
                <w:lang w:val="en-US"/>
              </w:rPr>
              <w:t>Joint</w:t>
            </w:r>
            <w:r w:rsidR="000F5A6E" w:rsidRPr="00097824">
              <w:t xml:space="preserve"> </w:t>
            </w:r>
            <w:r w:rsidR="00FE1DF4" w:rsidRPr="00097824">
              <w:rPr>
                <w:lang w:val="en-US"/>
              </w:rPr>
              <w:t>Committee</w:t>
            </w:r>
            <w:r w:rsidR="00FE1DF4" w:rsidRPr="00097824">
              <w:t xml:space="preserve"> </w:t>
            </w:r>
            <w:r w:rsidR="00FE1DF4" w:rsidRPr="00097824">
              <w:rPr>
                <w:lang w:val="en-US"/>
              </w:rPr>
              <w:t>on</w:t>
            </w:r>
            <w:r w:rsidR="000F5A6E" w:rsidRPr="00097824">
              <w:t xml:space="preserve"> </w:t>
            </w:r>
            <w:r w:rsidRPr="00097824">
              <w:rPr>
                <w:lang w:val="en-US"/>
              </w:rPr>
              <w:t>Cancer</w:t>
            </w:r>
            <w:r w:rsidRPr="00097824">
              <w:t>)</w:t>
            </w:r>
          </w:p>
        </w:tc>
      </w:tr>
      <w:tr w:rsidR="005A526D" w:rsidRPr="00097824" w14:paraId="024BF37E" w14:textId="77777777" w:rsidTr="009F4C8A">
        <w:trPr>
          <w:divId w:val="194731767"/>
        </w:trPr>
        <w:tc>
          <w:tcPr>
            <w:tcW w:w="2830" w:type="dxa"/>
          </w:tcPr>
          <w:p w14:paraId="56CFAF31" w14:textId="77777777" w:rsidR="0034010A" w:rsidRPr="00097824" w:rsidRDefault="0034010A" w:rsidP="00AD4A9F">
            <w:pPr>
              <w:ind w:left="397" w:firstLine="357"/>
            </w:pPr>
            <w:r w:rsidRPr="00097824">
              <w:t>DCR</w:t>
            </w:r>
          </w:p>
        </w:tc>
        <w:tc>
          <w:tcPr>
            <w:tcW w:w="6515" w:type="dxa"/>
          </w:tcPr>
          <w:p w14:paraId="7880DA84" w14:textId="5C00AF21" w:rsidR="0034010A" w:rsidRPr="00097824" w:rsidRDefault="0034010A" w:rsidP="00AD4A9F">
            <w:pPr>
              <w:ind w:left="397" w:firstLine="357"/>
            </w:pPr>
            <w:r w:rsidRPr="00097824">
              <w:t>Контроль опухолевого процесса (</w:t>
            </w:r>
            <w:proofErr w:type="spellStart"/>
            <w:r w:rsidRPr="00097824">
              <w:t>disease</w:t>
            </w:r>
            <w:proofErr w:type="spellEnd"/>
            <w:r w:rsidR="000F5A6E" w:rsidRPr="00097824">
              <w:t xml:space="preserve"> </w:t>
            </w:r>
            <w:proofErr w:type="spellStart"/>
            <w:r w:rsidRPr="00097824">
              <w:t>control</w:t>
            </w:r>
            <w:proofErr w:type="spellEnd"/>
            <w:r w:rsidR="000F5A6E" w:rsidRPr="00097824">
              <w:t xml:space="preserve"> </w:t>
            </w:r>
            <w:proofErr w:type="spellStart"/>
            <w:r w:rsidRPr="00097824">
              <w:t>rate</w:t>
            </w:r>
            <w:proofErr w:type="spellEnd"/>
            <w:r w:rsidRPr="00097824">
              <w:t xml:space="preserve">) </w:t>
            </w:r>
          </w:p>
        </w:tc>
      </w:tr>
      <w:tr w:rsidR="005A526D" w:rsidRPr="00097824" w14:paraId="03156720" w14:textId="77777777" w:rsidTr="009F4C8A">
        <w:trPr>
          <w:divId w:val="194731767"/>
        </w:trPr>
        <w:tc>
          <w:tcPr>
            <w:tcW w:w="2830" w:type="dxa"/>
          </w:tcPr>
          <w:p w14:paraId="36C8CDDD" w14:textId="77777777" w:rsidR="0034010A" w:rsidRPr="00097824" w:rsidRDefault="0034010A" w:rsidP="00AD4A9F">
            <w:pPr>
              <w:ind w:left="397" w:firstLine="357"/>
            </w:pPr>
            <w:r w:rsidRPr="00097824">
              <w:rPr>
                <w:lang w:val="en-US"/>
              </w:rPr>
              <w:t>ECOG</w:t>
            </w:r>
          </w:p>
        </w:tc>
        <w:tc>
          <w:tcPr>
            <w:tcW w:w="6515" w:type="dxa"/>
          </w:tcPr>
          <w:p w14:paraId="508E6DC1" w14:textId="6311A1BB" w:rsidR="0034010A" w:rsidRPr="00097824" w:rsidRDefault="0034010A" w:rsidP="00AD4A9F">
            <w:pPr>
              <w:ind w:left="397" w:firstLine="357"/>
            </w:pPr>
            <w:r w:rsidRPr="00097824">
              <w:t>Восточная</w:t>
            </w:r>
            <w:r w:rsidR="000F5A6E" w:rsidRPr="00097824">
              <w:t xml:space="preserve"> </w:t>
            </w:r>
            <w:r w:rsidRPr="00097824">
              <w:t>Кооперативная</w:t>
            </w:r>
            <w:r w:rsidR="000F5A6E" w:rsidRPr="00097824">
              <w:t xml:space="preserve"> </w:t>
            </w:r>
            <w:r w:rsidRPr="00097824">
              <w:t>Онкологическая Группа</w:t>
            </w:r>
            <w:r w:rsidRPr="00097824">
              <w:rPr>
                <w:lang w:val="en-US"/>
              </w:rPr>
              <w:t xml:space="preserve"> (The Eastern Cooperative Oncology Group)</w:t>
            </w:r>
          </w:p>
        </w:tc>
      </w:tr>
      <w:tr w:rsidR="005A526D" w:rsidRPr="00097824" w14:paraId="3260F379" w14:textId="77777777" w:rsidTr="009F4C8A">
        <w:trPr>
          <w:divId w:val="194731767"/>
        </w:trPr>
        <w:tc>
          <w:tcPr>
            <w:tcW w:w="2830" w:type="dxa"/>
          </w:tcPr>
          <w:p w14:paraId="6721DA37" w14:textId="77777777" w:rsidR="0034010A" w:rsidRPr="00097824" w:rsidRDefault="0034010A" w:rsidP="00AD4A9F">
            <w:pPr>
              <w:ind w:left="397" w:firstLine="357"/>
            </w:pPr>
            <w:r w:rsidRPr="00097824">
              <w:t>EGFR</w:t>
            </w:r>
          </w:p>
        </w:tc>
        <w:tc>
          <w:tcPr>
            <w:tcW w:w="6515" w:type="dxa"/>
          </w:tcPr>
          <w:p w14:paraId="18BD548A" w14:textId="44033663" w:rsidR="0034010A" w:rsidRPr="00097824" w:rsidRDefault="0034010A" w:rsidP="00AD4A9F">
            <w:pPr>
              <w:ind w:left="397" w:firstLine="357"/>
            </w:pPr>
            <w:r w:rsidRPr="00097824">
              <w:t>Рецептор эпидермального фактора роста (</w:t>
            </w:r>
            <w:proofErr w:type="spellStart"/>
            <w:r w:rsidRPr="00097824">
              <w:t>epidermal</w:t>
            </w:r>
            <w:proofErr w:type="spellEnd"/>
            <w:r w:rsidR="000F5A6E" w:rsidRPr="00097824">
              <w:t xml:space="preserve"> </w:t>
            </w:r>
            <w:proofErr w:type="spellStart"/>
            <w:r w:rsidRPr="00097824">
              <w:t>growth</w:t>
            </w:r>
            <w:proofErr w:type="spellEnd"/>
            <w:r w:rsidR="000F5A6E" w:rsidRPr="00097824">
              <w:t xml:space="preserve"> </w:t>
            </w:r>
            <w:proofErr w:type="spellStart"/>
            <w:r w:rsidRPr="00097824">
              <w:t>factor</w:t>
            </w:r>
            <w:proofErr w:type="spellEnd"/>
            <w:r w:rsidR="000F5A6E" w:rsidRPr="00097824">
              <w:t xml:space="preserve"> </w:t>
            </w:r>
            <w:proofErr w:type="spellStart"/>
            <w:r w:rsidRPr="00097824">
              <w:t>receptor</w:t>
            </w:r>
            <w:proofErr w:type="spellEnd"/>
            <w:r w:rsidRPr="00097824">
              <w:t>)</w:t>
            </w:r>
          </w:p>
        </w:tc>
      </w:tr>
      <w:tr w:rsidR="005A526D" w:rsidRPr="00097824" w14:paraId="772D8D28" w14:textId="77777777" w:rsidTr="009F4C8A">
        <w:trPr>
          <w:divId w:val="194731767"/>
        </w:trPr>
        <w:tc>
          <w:tcPr>
            <w:tcW w:w="2830" w:type="dxa"/>
          </w:tcPr>
          <w:p w14:paraId="4C692B6B" w14:textId="77777777" w:rsidR="0034010A" w:rsidRPr="00097824" w:rsidRDefault="0034010A" w:rsidP="00AD4A9F">
            <w:pPr>
              <w:ind w:left="397" w:firstLine="357"/>
              <w:rPr>
                <w:lang w:val="en-GB"/>
              </w:rPr>
            </w:pPr>
            <w:r w:rsidRPr="00097824">
              <w:rPr>
                <w:lang w:val="en-GB"/>
              </w:rPr>
              <w:t>HR</w:t>
            </w:r>
          </w:p>
        </w:tc>
        <w:tc>
          <w:tcPr>
            <w:tcW w:w="6515" w:type="dxa"/>
          </w:tcPr>
          <w:p w14:paraId="79B38621" w14:textId="4A4A3DEB" w:rsidR="0034010A" w:rsidRPr="00097824" w:rsidRDefault="0034010A" w:rsidP="00AD4A9F">
            <w:pPr>
              <w:ind w:left="397" w:firstLine="357"/>
            </w:pPr>
            <w:r w:rsidRPr="00097824">
              <w:t>Отношение рисков (</w:t>
            </w:r>
            <w:proofErr w:type="spellStart"/>
            <w:r w:rsidRPr="00097824">
              <w:t>hazard</w:t>
            </w:r>
            <w:proofErr w:type="spellEnd"/>
            <w:r w:rsidR="000F5A6E" w:rsidRPr="00097824">
              <w:t xml:space="preserve"> </w:t>
            </w:r>
            <w:proofErr w:type="spellStart"/>
            <w:r w:rsidRPr="00097824">
              <w:t>ratio</w:t>
            </w:r>
            <w:proofErr w:type="spellEnd"/>
            <w:r w:rsidRPr="00097824">
              <w:t>)</w:t>
            </w:r>
          </w:p>
        </w:tc>
      </w:tr>
      <w:tr w:rsidR="005A526D" w:rsidRPr="00097824" w14:paraId="4C2C5AD1" w14:textId="77777777" w:rsidTr="009F4C8A">
        <w:trPr>
          <w:divId w:val="194731767"/>
        </w:trPr>
        <w:tc>
          <w:tcPr>
            <w:tcW w:w="2830" w:type="dxa"/>
          </w:tcPr>
          <w:p w14:paraId="298D2A66" w14:textId="77777777" w:rsidR="0034010A" w:rsidRPr="00097824" w:rsidRDefault="0034010A" w:rsidP="00AD4A9F">
            <w:pPr>
              <w:ind w:left="397" w:firstLine="357"/>
            </w:pPr>
            <w:r w:rsidRPr="00097824">
              <w:t>MSI-H</w:t>
            </w:r>
          </w:p>
        </w:tc>
        <w:tc>
          <w:tcPr>
            <w:tcW w:w="6515" w:type="dxa"/>
          </w:tcPr>
          <w:p w14:paraId="27A05011" w14:textId="1D3644ED" w:rsidR="0034010A" w:rsidRPr="00097824" w:rsidRDefault="0034010A" w:rsidP="00AD4A9F">
            <w:pPr>
              <w:ind w:left="397" w:firstLine="357"/>
            </w:pPr>
            <w:r w:rsidRPr="00097824">
              <w:t xml:space="preserve">Высокая </w:t>
            </w:r>
            <w:proofErr w:type="spellStart"/>
            <w:r w:rsidRPr="00097824">
              <w:t>микросателлитная</w:t>
            </w:r>
            <w:proofErr w:type="spellEnd"/>
            <w:r w:rsidRPr="00097824">
              <w:t xml:space="preserve"> нестабильность (</w:t>
            </w:r>
            <w:proofErr w:type="spellStart"/>
            <w:r w:rsidRPr="00097824">
              <w:t>microsatellitein</w:t>
            </w:r>
            <w:proofErr w:type="spellEnd"/>
            <w:r w:rsidR="000F5A6E" w:rsidRPr="00097824">
              <w:t xml:space="preserve"> </w:t>
            </w:r>
            <w:proofErr w:type="spellStart"/>
            <w:r w:rsidRPr="00097824">
              <w:t>stable</w:t>
            </w:r>
            <w:proofErr w:type="spellEnd"/>
            <w:r w:rsidRPr="00097824">
              <w:t xml:space="preserve"> – </w:t>
            </w:r>
            <w:proofErr w:type="spellStart"/>
            <w:r w:rsidRPr="00097824">
              <w:t>high</w:t>
            </w:r>
            <w:proofErr w:type="spellEnd"/>
            <w:r w:rsidRPr="00097824">
              <w:t>)</w:t>
            </w:r>
          </w:p>
        </w:tc>
      </w:tr>
      <w:tr w:rsidR="005A526D" w:rsidRPr="00097824" w14:paraId="5754F013" w14:textId="77777777" w:rsidTr="009F4C8A">
        <w:trPr>
          <w:divId w:val="194731767"/>
        </w:trPr>
        <w:tc>
          <w:tcPr>
            <w:tcW w:w="2830" w:type="dxa"/>
          </w:tcPr>
          <w:p w14:paraId="5CA4D812" w14:textId="77777777" w:rsidR="0034010A" w:rsidRPr="00097824" w:rsidRDefault="0034010A" w:rsidP="00AD4A9F">
            <w:pPr>
              <w:ind w:left="397" w:firstLine="357"/>
              <w:rPr>
                <w:lang w:val="en-GB"/>
              </w:rPr>
            </w:pPr>
            <w:r w:rsidRPr="00097824">
              <w:rPr>
                <w:lang w:val="en-GB"/>
              </w:rPr>
              <w:t>OR</w:t>
            </w:r>
          </w:p>
        </w:tc>
        <w:tc>
          <w:tcPr>
            <w:tcW w:w="6515" w:type="dxa"/>
          </w:tcPr>
          <w:p w14:paraId="3B0203B4" w14:textId="45FF08CC" w:rsidR="0034010A" w:rsidRPr="00097824" w:rsidRDefault="0034010A" w:rsidP="00AD4A9F">
            <w:pPr>
              <w:ind w:left="397" w:firstLine="357"/>
            </w:pPr>
            <w:r w:rsidRPr="00097824">
              <w:t>Отношение шансов (</w:t>
            </w:r>
            <w:proofErr w:type="spellStart"/>
            <w:r w:rsidRPr="00097824">
              <w:t>odds</w:t>
            </w:r>
            <w:proofErr w:type="spellEnd"/>
            <w:r w:rsidR="000F5A6E" w:rsidRPr="00097824">
              <w:t xml:space="preserve"> </w:t>
            </w:r>
            <w:proofErr w:type="spellStart"/>
            <w:r w:rsidRPr="00097824">
              <w:t>ratio</w:t>
            </w:r>
            <w:proofErr w:type="spellEnd"/>
            <w:r w:rsidRPr="00097824">
              <w:t>)</w:t>
            </w:r>
          </w:p>
        </w:tc>
      </w:tr>
      <w:tr w:rsidR="005A526D" w:rsidRPr="00097824" w14:paraId="35B556A5" w14:textId="77777777" w:rsidTr="009F4C8A">
        <w:trPr>
          <w:divId w:val="194731767"/>
        </w:trPr>
        <w:tc>
          <w:tcPr>
            <w:tcW w:w="2830" w:type="dxa"/>
          </w:tcPr>
          <w:p w14:paraId="708AE104" w14:textId="77777777" w:rsidR="0034010A" w:rsidRPr="00097824" w:rsidRDefault="0034010A" w:rsidP="00AD4A9F">
            <w:pPr>
              <w:ind w:left="397" w:firstLine="357"/>
            </w:pPr>
            <w:r w:rsidRPr="00097824">
              <w:t>PD-L1</w:t>
            </w:r>
          </w:p>
        </w:tc>
        <w:tc>
          <w:tcPr>
            <w:tcW w:w="6515" w:type="dxa"/>
          </w:tcPr>
          <w:p w14:paraId="1AE747AC" w14:textId="47AD06D5" w:rsidR="0034010A" w:rsidRPr="00097824" w:rsidRDefault="0034010A" w:rsidP="00AD4A9F">
            <w:pPr>
              <w:ind w:left="397" w:firstLine="357"/>
            </w:pPr>
            <w:proofErr w:type="spellStart"/>
            <w:r w:rsidRPr="00097824">
              <w:t>Лиганд</w:t>
            </w:r>
            <w:proofErr w:type="spellEnd"/>
            <w:r w:rsidRPr="00097824">
              <w:t xml:space="preserve"> программируемой клеточной </w:t>
            </w:r>
            <w:proofErr w:type="gramStart"/>
            <w:r w:rsidRPr="00097824">
              <w:t>гибели  1</w:t>
            </w:r>
            <w:proofErr w:type="gramEnd"/>
            <w:r w:rsidRPr="00097824">
              <w:t xml:space="preserve">  (</w:t>
            </w:r>
            <w:proofErr w:type="spellStart"/>
            <w:r w:rsidRPr="00097824">
              <w:t>programmed</w:t>
            </w:r>
            <w:proofErr w:type="spellEnd"/>
            <w:r w:rsidR="000F5A6E" w:rsidRPr="00097824">
              <w:t xml:space="preserve"> </w:t>
            </w:r>
            <w:proofErr w:type="spellStart"/>
            <w:r w:rsidRPr="00097824">
              <w:t>cell</w:t>
            </w:r>
            <w:proofErr w:type="spellEnd"/>
            <w:r w:rsidR="00E06867" w:rsidRPr="00097824">
              <w:t xml:space="preserve"> </w:t>
            </w:r>
            <w:proofErr w:type="spellStart"/>
            <w:r w:rsidRPr="00097824">
              <w:t>death</w:t>
            </w:r>
            <w:proofErr w:type="spellEnd"/>
            <w:r w:rsidRPr="00097824">
              <w:t xml:space="preserve"> 1-ligand 1)</w:t>
            </w:r>
          </w:p>
        </w:tc>
      </w:tr>
      <w:tr w:rsidR="005A526D" w:rsidRPr="00097824" w14:paraId="69B3B441" w14:textId="77777777" w:rsidTr="009F4C8A">
        <w:trPr>
          <w:divId w:val="194731767"/>
        </w:trPr>
        <w:tc>
          <w:tcPr>
            <w:tcW w:w="2830" w:type="dxa"/>
          </w:tcPr>
          <w:p w14:paraId="08C9C486" w14:textId="77777777" w:rsidR="0034010A" w:rsidRPr="00097824" w:rsidRDefault="0034010A" w:rsidP="00AD4A9F">
            <w:pPr>
              <w:ind w:left="397" w:firstLine="357"/>
            </w:pPr>
            <w:r w:rsidRPr="00097824">
              <w:t>RR</w:t>
            </w:r>
          </w:p>
        </w:tc>
        <w:tc>
          <w:tcPr>
            <w:tcW w:w="6515" w:type="dxa"/>
          </w:tcPr>
          <w:p w14:paraId="3F84EE38" w14:textId="709DDC8C" w:rsidR="0034010A" w:rsidRPr="00097824" w:rsidRDefault="0034010A" w:rsidP="00AD4A9F">
            <w:pPr>
              <w:ind w:left="397" w:firstLine="357"/>
            </w:pPr>
            <w:r w:rsidRPr="00097824">
              <w:t>Относительный риск (</w:t>
            </w:r>
            <w:proofErr w:type="spellStart"/>
            <w:r w:rsidRPr="00097824">
              <w:t>risk</w:t>
            </w:r>
            <w:proofErr w:type="spellEnd"/>
            <w:r w:rsidR="000F5A6E" w:rsidRPr="00097824">
              <w:t xml:space="preserve"> </w:t>
            </w:r>
            <w:proofErr w:type="spellStart"/>
            <w:r w:rsidRPr="00097824">
              <w:t>ratio</w:t>
            </w:r>
            <w:proofErr w:type="spellEnd"/>
            <w:r w:rsidRPr="00097824">
              <w:t>)</w:t>
            </w:r>
          </w:p>
        </w:tc>
      </w:tr>
      <w:tr w:rsidR="005A526D" w:rsidRPr="00097824" w:rsidDel="0034010A" w14:paraId="057DC8BA" w14:textId="77777777" w:rsidTr="009F4C8A">
        <w:trPr>
          <w:divId w:val="194731767"/>
        </w:trPr>
        <w:tc>
          <w:tcPr>
            <w:tcW w:w="2830" w:type="dxa"/>
          </w:tcPr>
          <w:p w14:paraId="2E17209E" w14:textId="77777777" w:rsidR="009F4C8A" w:rsidRPr="00097824" w:rsidDel="0034010A" w:rsidRDefault="009F4C8A" w:rsidP="00AD4A9F">
            <w:pPr>
              <w:ind w:left="397" w:firstLine="357"/>
            </w:pPr>
            <w:r w:rsidRPr="00097824" w:rsidDel="0034010A">
              <w:t>АФП</w:t>
            </w:r>
          </w:p>
        </w:tc>
        <w:tc>
          <w:tcPr>
            <w:tcW w:w="6515" w:type="dxa"/>
          </w:tcPr>
          <w:p w14:paraId="484B22AB" w14:textId="77777777" w:rsidR="009F4C8A" w:rsidRPr="00097824" w:rsidDel="0034010A" w:rsidRDefault="009F4C8A" w:rsidP="00AD4A9F">
            <w:pPr>
              <w:ind w:left="397" w:firstLine="357"/>
            </w:pPr>
            <w:r w:rsidRPr="00097824" w:rsidDel="0034010A">
              <w:t>Альфа-</w:t>
            </w:r>
            <w:proofErr w:type="spellStart"/>
            <w:r w:rsidRPr="00097824" w:rsidDel="0034010A">
              <w:t>фетопротеин</w:t>
            </w:r>
            <w:proofErr w:type="spellEnd"/>
          </w:p>
        </w:tc>
      </w:tr>
      <w:tr w:rsidR="005A526D" w:rsidRPr="00097824" w:rsidDel="0034010A" w14:paraId="0C4590FE" w14:textId="77777777" w:rsidTr="009F4C8A">
        <w:trPr>
          <w:divId w:val="194731767"/>
        </w:trPr>
        <w:tc>
          <w:tcPr>
            <w:tcW w:w="2830" w:type="dxa"/>
          </w:tcPr>
          <w:p w14:paraId="458A2970" w14:textId="77777777" w:rsidR="009F4C8A" w:rsidRPr="00097824" w:rsidDel="0034010A" w:rsidRDefault="009F4C8A" w:rsidP="00AD4A9F">
            <w:pPr>
              <w:ind w:left="397" w:firstLine="357"/>
            </w:pPr>
            <w:r w:rsidRPr="00097824" w:rsidDel="0034010A">
              <w:t>ВБП</w:t>
            </w:r>
          </w:p>
        </w:tc>
        <w:tc>
          <w:tcPr>
            <w:tcW w:w="6515" w:type="dxa"/>
          </w:tcPr>
          <w:p w14:paraId="60648B6C" w14:textId="77777777" w:rsidR="009F4C8A" w:rsidRPr="00097824" w:rsidDel="0034010A" w:rsidRDefault="009F4C8A" w:rsidP="00AD4A9F">
            <w:pPr>
              <w:ind w:left="397" w:firstLine="357"/>
            </w:pPr>
            <w:r w:rsidRPr="00097824" w:rsidDel="0034010A">
              <w:t>Выживаемость без прогрессирования</w:t>
            </w:r>
          </w:p>
        </w:tc>
      </w:tr>
      <w:tr w:rsidR="005A526D" w:rsidRPr="00097824" w:rsidDel="0034010A" w14:paraId="79FA0419" w14:textId="77777777" w:rsidTr="009F4C8A">
        <w:trPr>
          <w:divId w:val="194731767"/>
        </w:trPr>
        <w:tc>
          <w:tcPr>
            <w:tcW w:w="2830" w:type="dxa"/>
          </w:tcPr>
          <w:p w14:paraId="63D8232F" w14:textId="77777777" w:rsidR="009F4C8A" w:rsidRPr="00097824" w:rsidDel="0034010A" w:rsidRDefault="009F4C8A" w:rsidP="00AD4A9F">
            <w:pPr>
              <w:ind w:left="397" w:firstLine="357"/>
            </w:pPr>
            <w:r w:rsidRPr="00097824" w:rsidDel="0034010A">
              <w:t>ГЦР</w:t>
            </w:r>
          </w:p>
        </w:tc>
        <w:tc>
          <w:tcPr>
            <w:tcW w:w="6515" w:type="dxa"/>
          </w:tcPr>
          <w:p w14:paraId="75CAA3C7" w14:textId="77777777" w:rsidR="009F4C8A" w:rsidRPr="00097824" w:rsidDel="0034010A" w:rsidRDefault="009F4C8A" w:rsidP="00AD4A9F">
            <w:pPr>
              <w:ind w:left="397" w:firstLine="357"/>
            </w:pPr>
            <w:r w:rsidRPr="00097824" w:rsidDel="0034010A">
              <w:t>Гепатоцеллюлярный рак</w:t>
            </w:r>
          </w:p>
        </w:tc>
      </w:tr>
      <w:tr w:rsidR="005A526D" w:rsidRPr="00097824" w14:paraId="57FA5E3E" w14:textId="77777777" w:rsidTr="009F4C8A">
        <w:trPr>
          <w:divId w:val="194731767"/>
        </w:trPr>
        <w:tc>
          <w:tcPr>
            <w:tcW w:w="2830" w:type="dxa"/>
          </w:tcPr>
          <w:p w14:paraId="077C2833" w14:textId="77777777" w:rsidR="009F4C8A" w:rsidRPr="00097824" w:rsidRDefault="009F4C8A" w:rsidP="00AD4A9F">
            <w:pPr>
              <w:ind w:left="397" w:firstLine="357"/>
            </w:pPr>
            <w:r w:rsidRPr="00097824">
              <w:t>ДИ</w:t>
            </w:r>
          </w:p>
        </w:tc>
        <w:tc>
          <w:tcPr>
            <w:tcW w:w="6515" w:type="dxa"/>
          </w:tcPr>
          <w:p w14:paraId="411EDC68" w14:textId="77777777" w:rsidR="009F4C8A" w:rsidRPr="00097824" w:rsidRDefault="009F4C8A" w:rsidP="00AD4A9F">
            <w:pPr>
              <w:ind w:left="397" w:firstLine="357"/>
            </w:pPr>
            <w:r w:rsidRPr="00097824">
              <w:t>Доверительный интервал</w:t>
            </w:r>
          </w:p>
        </w:tc>
      </w:tr>
      <w:tr w:rsidR="005A526D" w:rsidRPr="00097824" w14:paraId="112134CE" w14:textId="77777777" w:rsidTr="009F4C8A">
        <w:trPr>
          <w:divId w:val="194731767"/>
        </w:trPr>
        <w:tc>
          <w:tcPr>
            <w:tcW w:w="2830" w:type="dxa"/>
          </w:tcPr>
          <w:p w14:paraId="3AFE4FE8" w14:textId="77777777" w:rsidR="009F4C8A" w:rsidRPr="00097824" w:rsidRDefault="009F4C8A" w:rsidP="00AD4A9F">
            <w:pPr>
              <w:ind w:left="397" w:firstLine="357"/>
            </w:pPr>
            <w:r w:rsidRPr="00097824">
              <w:t>КТ</w:t>
            </w:r>
          </w:p>
        </w:tc>
        <w:tc>
          <w:tcPr>
            <w:tcW w:w="6515" w:type="dxa"/>
          </w:tcPr>
          <w:p w14:paraId="494C59E3" w14:textId="77777777" w:rsidR="009F4C8A" w:rsidRPr="00097824" w:rsidRDefault="009F4C8A" w:rsidP="00AD4A9F">
            <w:pPr>
              <w:ind w:left="397" w:firstLine="357"/>
            </w:pPr>
            <w:r w:rsidRPr="00097824">
              <w:t>Компьютерная томография</w:t>
            </w:r>
          </w:p>
        </w:tc>
      </w:tr>
      <w:tr w:rsidR="005A526D" w:rsidRPr="00097824" w:rsidDel="0034010A" w14:paraId="4F28702E" w14:textId="77777777" w:rsidTr="009F4C8A">
        <w:trPr>
          <w:divId w:val="194731767"/>
        </w:trPr>
        <w:tc>
          <w:tcPr>
            <w:tcW w:w="2830" w:type="dxa"/>
          </w:tcPr>
          <w:p w14:paraId="41F3866C" w14:textId="77777777" w:rsidR="009F4C8A" w:rsidRPr="00097824" w:rsidDel="0034010A" w:rsidRDefault="009F4C8A" w:rsidP="00AD4A9F">
            <w:pPr>
              <w:ind w:left="397" w:firstLine="357"/>
            </w:pPr>
            <w:r w:rsidRPr="00097824" w:rsidDel="0034010A">
              <w:t>ЛТ</w:t>
            </w:r>
          </w:p>
        </w:tc>
        <w:tc>
          <w:tcPr>
            <w:tcW w:w="6515" w:type="dxa"/>
          </w:tcPr>
          <w:p w14:paraId="3678B0EE" w14:textId="77777777" w:rsidR="009F4C8A" w:rsidRPr="00097824" w:rsidDel="0034010A" w:rsidRDefault="009F4C8A" w:rsidP="00AD4A9F">
            <w:pPr>
              <w:ind w:left="397" w:firstLine="357"/>
            </w:pPr>
            <w:r w:rsidRPr="00097824" w:rsidDel="0034010A">
              <w:t>Лучевая терапия</w:t>
            </w:r>
          </w:p>
        </w:tc>
      </w:tr>
      <w:tr w:rsidR="005A526D" w:rsidRPr="00097824" w:rsidDel="0034010A" w14:paraId="3EE56DF4" w14:textId="77777777" w:rsidTr="009F4C8A">
        <w:trPr>
          <w:divId w:val="194731767"/>
        </w:trPr>
        <w:tc>
          <w:tcPr>
            <w:tcW w:w="2830" w:type="dxa"/>
          </w:tcPr>
          <w:p w14:paraId="70889AE9" w14:textId="77777777" w:rsidR="009F4C8A" w:rsidRPr="00097824" w:rsidRDefault="009F4C8A" w:rsidP="00AD4A9F">
            <w:pPr>
              <w:ind w:left="397" w:firstLine="357"/>
            </w:pPr>
            <w:r w:rsidRPr="00097824" w:rsidDel="0034010A">
              <w:t>МРТ</w:t>
            </w:r>
          </w:p>
          <w:p w14:paraId="5D6466C2" w14:textId="43ABBEBA" w:rsidR="00323A11" w:rsidRPr="00097824" w:rsidDel="0034010A" w:rsidRDefault="00323A11" w:rsidP="00AD4A9F">
            <w:pPr>
              <w:ind w:left="397" w:firstLine="357"/>
            </w:pPr>
            <w:r w:rsidRPr="00097824">
              <w:t>МРХПГ</w:t>
            </w:r>
          </w:p>
        </w:tc>
        <w:tc>
          <w:tcPr>
            <w:tcW w:w="6515" w:type="dxa"/>
          </w:tcPr>
          <w:p w14:paraId="1B81BE31" w14:textId="77777777" w:rsidR="009F4C8A" w:rsidRPr="00097824" w:rsidRDefault="009F4C8A" w:rsidP="00AD4A9F">
            <w:pPr>
              <w:ind w:left="397" w:firstLine="357"/>
            </w:pPr>
            <w:r w:rsidRPr="00097824" w:rsidDel="0034010A">
              <w:t>Магнитно-резонансная томография</w:t>
            </w:r>
          </w:p>
          <w:p w14:paraId="6FC6F657" w14:textId="71DC0682" w:rsidR="00323A11" w:rsidRPr="00097824" w:rsidDel="0034010A" w:rsidRDefault="00323A11" w:rsidP="00323A11">
            <w:pPr>
              <w:ind w:left="397" w:firstLine="357"/>
            </w:pPr>
            <w:r w:rsidRPr="00097824">
              <w:t xml:space="preserve">Магнитно-резонансная </w:t>
            </w:r>
            <w:proofErr w:type="spellStart"/>
            <w:r w:rsidRPr="00097824">
              <w:t>холангиопанкреатографи</w:t>
            </w:r>
            <w:r w:rsidR="001E4F8E" w:rsidRPr="00097824">
              <w:t>я</w:t>
            </w:r>
            <w:proofErr w:type="spellEnd"/>
            <w:r w:rsidRPr="00097824">
              <w:t xml:space="preserve"> </w:t>
            </w:r>
          </w:p>
        </w:tc>
      </w:tr>
      <w:tr w:rsidR="005A526D" w:rsidRPr="00097824" w:rsidDel="0034010A" w14:paraId="0A17152B" w14:textId="77777777" w:rsidTr="009F4C8A">
        <w:trPr>
          <w:divId w:val="194731767"/>
        </w:trPr>
        <w:tc>
          <w:tcPr>
            <w:tcW w:w="2830" w:type="dxa"/>
          </w:tcPr>
          <w:p w14:paraId="02B7F758" w14:textId="77777777" w:rsidR="009F4C8A" w:rsidRPr="00097824" w:rsidDel="0034010A" w:rsidRDefault="009F4C8A" w:rsidP="00AD4A9F">
            <w:pPr>
              <w:ind w:left="397" w:firstLine="357"/>
            </w:pPr>
            <w:r w:rsidRPr="00097824" w:rsidDel="0034010A">
              <w:t>ОВ</w:t>
            </w:r>
          </w:p>
        </w:tc>
        <w:tc>
          <w:tcPr>
            <w:tcW w:w="6515" w:type="dxa"/>
          </w:tcPr>
          <w:p w14:paraId="6698AC4E" w14:textId="77777777" w:rsidR="009F4C8A" w:rsidRPr="00097824" w:rsidDel="0034010A" w:rsidRDefault="009F4C8A" w:rsidP="00AD4A9F">
            <w:pPr>
              <w:ind w:left="397" w:firstLine="357"/>
            </w:pPr>
            <w:r w:rsidRPr="00097824" w:rsidDel="0034010A">
              <w:t>Общая выживаемость</w:t>
            </w:r>
          </w:p>
        </w:tc>
      </w:tr>
      <w:tr w:rsidR="005A526D" w:rsidRPr="00097824" w:rsidDel="0034010A" w14:paraId="0A9A2778" w14:textId="77777777" w:rsidTr="009F4C8A">
        <w:trPr>
          <w:divId w:val="194731767"/>
        </w:trPr>
        <w:tc>
          <w:tcPr>
            <w:tcW w:w="2830" w:type="dxa"/>
          </w:tcPr>
          <w:p w14:paraId="3293BB29" w14:textId="77777777" w:rsidR="009F4C8A" w:rsidRPr="00097824" w:rsidDel="0034010A" w:rsidRDefault="009F4C8A" w:rsidP="00AD4A9F">
            <w:pPr>
              <w:ind w:left="397" w:firstLine="357"/>
            </w:pPr>
            <w:r w:rsidRPr="00097824" w:rsidDel="0034010A">
              <w:t>ПЭТ-КТ</w:t>
            </w:r>
          </w:p>
        </w:tc>
        <w:tc>
          <w:tcPr>
            <w:tcW w:w="6515" w:type="dxa"/>
          </w:tcPr>
          <w:p w14:paraId="687FD1A2" w14:textId="77777777" w:rsidR="009F4C8A" w:rsidRPr="00097824" w:rsidDel="0034010A" w:rsidRDefault="009F4C8A" w:rsidP="00AD4A9F">
            <w:pPr>
              <w:ind w:left="397" w:firstLine="357"/>
            </w:pPr>
            <w:r w:rsidRPr="00097824" w:rsidDel="0034010A">
              <w:t>Позитронно-эмиссионная компьютерная томография</w:t>
            </w:r>
          </w:p>
        </w:tc>
      </w:tr>
      <w:tr w:rsidR="005A526D" w:rsidRPr="00097824" w14:paraId="69508DCE" w14:textId="77777777" w:rsidTr="009F4C8A">
        <w:trPr>
          <w:divId w:val="194731767"/>
        </w:trPr>
        <w:tc>
          <w:tcPr>
            <w:tcW w:w="2830" w:type="dxa"/>
          </w:tcPr>
          <w:p w14:paraId="56E8E47C" w14:textId="77777777" w:rsidR="009F4C8A" w:rsidRPr="00097824" w:rsidRDefault="009F4C8A" w:rsidP="00AD4A9F">
            <w:pPr>
              <w:ind w:left="397" w:firstLine="357"/>
            </w:pPr>
            <w:r w:rsidRPr="00097824">
              <w:t>РЖП</w:t>
            </w:r>
          </w:p>
        </w:tc>
        <w:tc>
          <w:tcPr>
            <w:tcW w:w="6515" w:type="dxa"/>
          </w:tcPr>
          <w:p w14:paraId="3F92443C" w14:textId="77777777" w:rsidR="009F4C8A" w:rsidRPr="00097824" w:rsidRDefault="009F4C8A" w:rsidP="00AD4A9F">
            <w:pPr>
              <w:ind w:left="397" w:firstLine="357"/>
            </w:pPr>
            <w:r w:rsidRPr="00097824">
              <w:t>Рак желчного пузыря</w:t>
            </w:r>
          </w:p>
        </w:tc>
      </w:tr>
      <w:tr w:rsidR="005A526D" w:rsidRPr="00097824" w14:paraId="6CD563A9" w14:textId="77777777" w:rsidTr="009F4C8A">
        <w:trPr>
          <w:divId w:val="194731767"/>
        </w:trPr>
        <w:tc>
          <w:tcPr>
            <w:tcW w:w="2830" w:type="dxa"/>
          </w:tcPr>
          <w:p w14:paraId="525D1A23" w14:textId="77777777" w:rsidR="009F4C8A" w:rsidRPr="00097824" w:rsidRDefault="009F4C8A" w:rsidP="00AD4A9F">
            <w:pPr>
              <w:ind w:left="397" w:firstLine="357"/>
            </w:pPr>
            <w:r w:rsidRPr="00097824">
              <w:t>РЧА</w:t>
            </w:r>
          </w:p>
        </w:tc>
        <w:tc>
          <w:tcPr>
            <w:tcW w:w="6515" w:type="dxa"/>
          </w:tcPr>
          <w:p w14:paraId="58C085AF" w14:textId="77777777" w:rsidR="009F4C8A" w:rsidRPr="00097824" w:rsidRDefault="009F4C8A" w:rsidP="00AD4A9F">
            <w:pPr>
              <w:ind w:left="397" w:firstLine="357"/>
            </w:pPr>
            <w:r w:rsidRPr="00097824">
              <w:t>Радиочастотная абляция</w:t>
            </w:r>
          </w:p>
        </w:tc>
      </w:tr>
      <w:tr w:rsidR="005A526D" w:rsidRPr="00097824" w14:paraId="472DDFA5" w14:textId="77777777" w:rsidTr="009F4C8A">
        <w:trPr>
          <w:divId w:val="194731767"/>
        </w:trPr>
        <w:tc>
          <w:tcPr>
            <w:tcW w:w="2830" w:type="dxa"/>
          </w:tcPr>
          <w:p w14:paraId="515D4979" w14:textId="77777777" w:rsidR="009F4C8A" w:rsidRPr="00097824" w:rsidRDefault="009F4C8A" w:rsidP="00AD4A9F">
            <w:pPr>
              <w:ind w:left="397" w:firstLine="357"/>
            </w:pPr>
            <w:r w:rsidRPr="00097824">
              <w:t>РЭА</w:t>
            </w:r>
          </w:p>
        </w:tc>
        <w:tc>
          <w:tcPr>
            <w:tcW w:w="6515" w:type="dxa"/>
          </w:tcPr>
          <w:p w14:paraId="02D88333" w14:textId="77777777" w:rsidR="009F4C8A" w:rsidRPr="00097824" w:rsidRDefault="009F4C8A" w:rsidP="00AD4A9F">
            <w:pPr>
              <w:ind w:left="397" w:firstLine="357"/>
            </w:pPr>
            <w:r w:rsidRPr="00097824">
              <w:t>Раковый эмбриональный антиген</w:t>
            </w:r>
          </w:p>
        </w:tc>
      </w:tr>
      <w:tr w:rsidR="005A526D" w:rsidRPr="00097824" w:rsidDel="0034010A" w14:paraId="05F4ED5A" w14:textId="77777777" w:rsidTr="009F4C8A">
        <w:trPr>
          <w:divId w:val="194731767"/>
        </w:trPr>
        <w:tc>
          <w:tcPr>
            <w:tcW w:w="2830" w:type="dxa"/>
          </w:tcPr>
          <w:p w14:paraId="45E9858D" w14:textId="77777777" w:rsidR="009F4C8A" w:rsidRPr="00097824" w:rsidDel="0034010A" w:rsidRDefault="009F4C8A" w:rsidP="00AD4A9F">
            <w:pPr>
              <w:ind w:left="397" w:firstLine="357"/>
            </w:pPr>
            <w:r w:rsidRPr="00097824" w:rsidDel="0034010A">
              <w:t>ТАХЭ</w:t>
            </w:r>
          </w:p>
        </w:tc>
        <w:tc>
          <w:tcPr>
            <w:tcW w:w="6515" w:type="dxa"/>
          </w:tcPr>
          <w:p w14:paraId="2AB53D14" w14:textId="53EBFAB6" w:rsidR="009F4C8A" w:rsidRPr="00097824" w:rsidDel="0034010A" w:rsidRDefault="009F4C8A" w:rsidP="00AD4A9F">
            <w:pPr>
              <w:ind w:left="397" w:firstLine="357"/>
            </w:pPr>
            <w:proofErr w:type="spellStart"/>
            <w:r w:rsidRPr="00097824" w:rsidDel="0034010A">
              <w:t>Трансартериальная</w:t>
            </w:r>
            <w:proofErr w:type="spellEnd"/>
            <w:r w:rsidR="00E06867" w:rsidRPr="00097824">
              <w:t xml:space="preserve"> </w:t>
            </w:r>
            <w:proofErr w:type="spellStart"/>
            <w:r w:rsidRPr="00097824" w:rsidDel="0034010A">
              <w:t>химиоэмболизация</w:t>
            </w:r>
            <w:proofErr w:type="spellEnd"/>
          </w:p>
        </w:tc>
      </w:tr>
      <w:tr w:rsidR="005A526D" w:rsidRPr="00097824" w:rsidDel="0034010A" w14:paraId="4C4995F6" w14:textId="77777777" w:rsidTr="009F4C8A">
        <w:trPr>
          <w:divId w:val="194731767"/>
        </w:trPr>
        <w:tc>
          <w:tcPr>
            <w:tcW w:w="2830" w:type="dxa"/>
          </w:tcPr>
          <w:p w14:paraId="79469786" w14:textId="77777777" w:rsidR="009F4C8A" w:rsidRPr="00097824" w:rsidRDefault="009F4C8A" w:rsidP="00AD4A9F">
            <w:pPr>
              <w:ind w:left="397" w:firstLine="357"/>
            </w:pPr>
            <w:r w:rsidRPr="00097824" w:rsidDel="0034010A">
              <w:t>УЗИ</w:t>
            </w:r>
          </w:p>
          <w:p w14:paraId="54AFCAC5" w14:textId="77777777" w:rsidR="00A4677A" w:rsidRPr="00097824" w:rsidRDefault="00A4677A" w:rsidP="00AD4A9F">
            <w:pPr>
              <w:ind w:left="397" w:firstLine="357"/>
              <w:rPr>
                <w:rFonts w:eastAsia="MS Mincho"/>
                <w:szCs w:val="24"/>
                <w:shd w:val="clear" w:color="auto" w:fill="FFFFFF"/>
              </w:rPr>
            </w:pPr>
            <w:r w:rsidRPr="00097824">
              <w:rPr>
                <w:rFonts w:eastAsia="MS Mincho"/>
                <w:szCs w:val="24"/>
                <w:shd w:val="clear" w:color="auto" w:fill="FFFFFF"/>
              </w:rPr>
              <w:t>УЗКТ</w:t>
            </w:r>
          </w:p>
          <w:p w14:paraId="20425B4E" w14:textId="174332BA" w:rsidR="00A4677A" w:rsidRPr="00097824" w:rsidDel="0034010A" w:rsidRDefault="00A4677A" w:rsidP="00AD4A9F">
            <w:pPr>
              <w:ind w:left="397" w:firstLine="357"/>
            </w:pPr>
            <w:r w:rsidRPr="00097824">
              <w:t>РКТ</w:t>
            </w:r>
          </w:p>
        </w:tc>
        <w:tc>
          <w:tcPr>
            <w:tcW w:w="6515" w:type="dxa"/>
          </w:tcPr>
          <w:p w14:paraId="125837C4" w14:textId="77777777" w:rsidR="009F4C8A" w:rsidRPr="00097824" w:rsidRDefault="009F4C8A" w:rsidP="00AD4A9F">
            <w:pPr>
              <w:ind w:left="397" w:firstLine="357"/>
            </w:pPr>
            <w:r w:rsidRPr="00097824" w:rsidDel="0034010A">
              <w:t>Ультразвуковое исследование</w:t>
            </w:r>
          </w:p>
          <w:p w14:paraId="26EA9B97" w14:textId="2E4DBE41" w:rsidR="00A4677A" w:rsidRPr="00097824" w:rsidRDefault="00A4677A" w:rsidP="00AD4A9F">
            <w:pPr>
              <w:ind w:left="397" w:firstLine="357"/>
            </w:pPr>
            <w:r w:rsidRPr="00097824">
              <w:t>Ультразвуковая компьютерная томография</w:t>
            </w:r>
          </w:p>
          <w:p w14:paraId="2CB58F5C" w14:textId="04B61D4D" w:rsidR="00A4677A" w:rsidRPr="00097824" w:rsidDel="0034010A" w:rsidRDefault="00A4677A" w:rsidP="00AD4A9F">
            <w:pPr>
              <w:ind w:left="397" w:firstLine="357"/>
            </w:pPr>
            <w:r w:rsidRPr="00097824">
              <w:t>Рентгеновская компьютерная томография</w:t>
            </w:r>
          </w:p>
        </w:tc>
      </w:tr>
      <w:tr w:rsidR="005A526D" w:rsidRPr="00097824" w14:paraId="41094219" w14:textId="77777777" w:rsidTr="009F4C8A">
        <w:trPr>
          <w:divId w:val="194731767"/>
        </w:trPr>
        <w:tc>
          <w:tcPr>
            <w:tcW w:w="2830" w:type="dxa"/>
          </w:tcPr>
          <w:p w14:paraId="3E0ADA88" w14:textId="77777777" w:rsidR="009F4C8A" w:rsidRPr="00097824" w:rsidRDefault="009F4C8A" w:rsidP="00AD4A9F">
            <w:pPr>
              <w:ind w:left="397" w:firstLine="357"/>
            </w:pPr>
            <w:r w:rsidRPr="00097824">
              <w:t>ФДТ</w:t>
            </w:r>
          </w:p>
        </w:tc>
        <w:tc>
          <w:tcPr>
            <w:tcW w:w="6515" w:type="dxa"/>
          </w:tcPr>
          <w:p w14:paraId="416E56EB" w14:textId="77777777" w:rsidR="009F4C8A" w:rsidRPr="00097824" w:rsidRDefault="009F4C8A" w:rsidP="00AD4A9F">
            <w:pPr>
              <w:ind w:left="397" w:firstLine="357"/>
            </w:pPr>
            <w:r w:rsidRPr="00097824">
              <w:t>Фотодинамическая терапия</w:t>
            </w:r>
          </w:p>
        </w:tc>
      </w:tr>
      <w:tr w:rsidR="005A526D" w:rsidRPr="00097824" w14:paraId="7195242B" w14:textId="77777777" w:rsidTr="009F4C8A">
        <w:trPr>
          <w:divId w:val="194731767"/>
        </w:trPr>
        <w:tc>
          <w:tcPr>
            <w:tcW w:w="2830" w:type="dxa"/>
          </w:tcPr>
          <w:p w14:paraId="1B3992EC" w14:textId="77777777" w:rsidR="009F4C8A" w:rsidRPr="00097824" w:rsidRDefault="009F4C8A" w:rsidP="00AD4A9F">
            <w:pPr>
              <w:ind w:left="397" w:firstLine="357"/>
            </w:pPr>
            <w:r w:rsidRPr="00097824">
              <w:lastRenderedPageBreak/>
              <w:t>ХЛТ</w:t>
            </w:r>
          </w:p>
        </w:tc>
        <w:tc>
          <w:tcPr>
            <w:tcW w:w="6515" w:type="dxa"/>
          </w:tcPr>
          <w:p w14:paraId="0AC63969" w14:textId="77777777" w:rsidR="009F4C8A" w:rsidRPr="00097824" w:rsidRDefault="009F4C8A" w:rsidP="00AD4A9F">
            <w:pPr>
              <w:ind w:left="397" w:firstLine="357"/>
            </w:pPr>
            <w:r w:rsidRPr="00097824">
              <w:t>Химиолучевая терапия</w:t>
            </w:r>
          </w:p>
        </w:tc>
      </w:tr>
    </w:tbl>
    <w:p w14:paraId="2655E891" w14:textId="77777777" w:rsidR="0031471A" w:rsidRPr="00097824" w:rsidRDefault="0031471A" w:rsidP="00AD4A9F">
      <w:pPr>
        <w:ind w:left="397" w:firstLine="357"/>
        <w:divId w:val="194731767"/>
        <w:rPr>
          <w:lang w:val="en-US"/>
        </w:rPr>
      </w:pPr>
    </w:p>
    <w:p w14:paraId="19F11011" w14:textId="77777777" w:rsidR="00873EBC" w:rsidRPr="00097824" w:rsidRDefault="00873EBC" w:rsidP="00AD4A9F">
      <w:pPr>
        <w:ind w:left="397" w:firstLine="357"/>
        <w:rPr>
          <w:lang w:val="en-US"/>
        </w:rPr>
      </w:pPr>
      <w:bookmarkStart w:id="9" w:name="__RefHeading___doc_terms"/>
      <w:bookmarkStart w:id="10" w:name="_Toc11747728"/>
      <w:bookmarkStart w:id="11" w:name="_Toc23142713"/>
    </w:p>
    <w:p w14:paraId="728C8C1F" w14:textId="77777777" w:rsidR="00FD7E73" w:rsidRPr="00097824" w:rsidRDefault="00FD7E73" w:rsidP="00AD4A9F">
      <w:pPr>
        <w:ind w:left="397" w:firstLine="357"/>
        <w:rPr>
          <w:lang w:val="en-US"/>
        </w:rPr>
      </w:pPr>
    </w:p>
    <w:p w14:paraId="1C2C7013" w14:textId="5124646D" w:rsidR="00D630AE" w:rsidRPr="00097824" w:rsidRDefault="007F5427" w:rsidP="00AD4A9F">
      <w:pPr>
        <w:ind w:left="397" w:firstLine="357"/>
        <w:jc w:val="center"/>
        <w:rPr>
          <w:bCs/>
        </w:rPr>
      </w:pPr>
      <w:r w:rsidRPr="00097824">
        <w:rPr>
          <w:b/>
          <w:bCs/>
        </w:rPr>
        <w:t>Термины и определения</w:t>
      </w:r>
      <w:bookmarkEnd w:id="9"/>
      <w:bookmarkEnd w:id="10"/>
      <w:bookmarkEnd w:id="11"/>
    </w:p>
    <w:p w14:paraId="6FD449DD" w14:textId="77777777" w:rsidR="0048656D" w:rsidRPr="00097824" w:rsidRDefault="0048656D" w:rsidP="00AD4A9F">
      <w:pPr>
        <w:ind w:left="397" w:firstLine="357"/>
        <w:rPr>
          <w:rFonts w:eastAsia="Times New Roman"/>
          <w:b/>
          <w:szCs w:val="24"/>
        </w:rPr>
      </w:pPr>
    </w:p>
    <w:p w14:paraId="3E228FA2" w14:textId="0EF038EA" w:rsidR="00D56C44" w:rsidRPr="00097824" w:rsidRDefault="00D56C44" w:rsidP="00AD4A9F">
      <w:pPr>
        <w:ind w:left="397" w:firstLine="357"/>
        <w:rPr>
          <w:rFonts w:eastAsia="Times New Roman"/>
          <w:szCs w:val="24"/>
        </w:rPr>
      </w:pPr>
      <w:r w:rsidRPr="00097824">
        <w:rPr>
          <w:rFonts w:eastAsia="Times New Roman"/>
          <w:b/>
          <w:szCs w:val="24"/>
        </w:rPr>
        <w:t>Рак желчевыводящей системы</w:t>
      </w:r>
      <w:r w:rsidRPr="00097824">
        <w:rPr>
          <w:rFonts w:eastAsia="Times New Roman"/>
          <w:szCs w:val="24"/>
        </w:rPr>
        <w:t xml:space="preserve"> (опухоли </w:t>
      </w:r>
      <w:proofErr w:type="spellStart"/>
      <w:r w:rsidRPr="00097824">
        <w:rPr>
          <w:rFonts w:eastAsia="Times New Roman"/>
          <w:szCs w:val="24"/>
        </w:rPr>
        <w:t>билиарного</w:t>
      </w:r>
      <w:proofErr w:type="spellEnd"/>
      <w:r w:rsidRPr="00097824">
        <w:rPr>
          <w:rFonts w:eastAsia="Times New Roman"/>
          <w:szCs w:val="24"/>
        </w:rPr>
        <w:t xml:space="preserve"> тракта) </w:t>
      </w:r>
      <w:r w:rsidR="00B76146" w:rsidRPr="00097824">
        <w:rPr>
          <w:rFonts w:eastAsia="Times New Roman"/>
          <w:szCs w:val="24"/>
        </w:rPr>
        <w:t>–</w:t>
      </w:r>
      <w:r w:rsidRPr="00097824">
        <w:rPr>
          <w:rFonts w:eastAsia="Times New Roman"/>
          <w:szCs w:val="24"/>
        </w:rPr>
        <w:t xml:space="preserve"> опухолевое поражение желчного пузыря и</w:t>
      </w:r>
      <w:r w:rsidR="001F2195" w:rsidRPr="00097824">
        <w:rPr>
          <w:rFonts w:eastAsia="Times New Roman"/>
          <w:szCs w:val="24"/>
        </w:rPr>
        <w:t xml:space="preserve"> желчных протоков</w:t>
      </w:r>
      <w:r w:rsidRPr="00097824">
        <w:rPr>
          <w:rFonts w:eastAsia="Times New Roman"/>
          <w:szCs w:val="24"/>
        </w:rPr>
        <w:t xml:space="preserve">. </w:t>
      </w:r>
    </w:p>
    <w:p w14:paraId="4EED0681" w14:textId="77777777" w:rsidR="006A6504" w:rsidRPr="00097824" w:rsidRDefault="006A6504" w:rsidP="00AD4A9F">
      <w:pPr>
        <w:ind w:left="397" w:firstLine="357"/>
        <w:rPr>
          <w:b/>
        </w:rPr>
      </w:pPr>
      <w:proofErr w:type="spellStart"/>
      <w:r w:rsidRPr="00097824">
        <w:rPr>
          <w:b/>
        </w:rPr>
        <w:t>Холангиокарцинома</w:t>
      </w:r>
      <w:proofErr w:type="spellEnd"/>
      <w:r w:rsidRPr="00097824">
        <w:t xml:space="preserve"> – злокачественная опухоль, происходящая из эпителия желчных протоков. </w:t>
      </w:r>
      <w:proofErr w:type="spellStart"/>
      <w:r w:rsidRPr="00097824">
        <w:t>Холангиокарциномы</w:t>
      </w:r>
      <w:proofErr w:type="spellEnd"/>
      <w:r w:rsidRPr="00097824">
        <w:t xml:space="preserve"> делятся по анатомическому расположению на внутри- и внепеченочные. </w:t>
      </w:r>
    </w:p>
    <w:p w14:paraId="761F55BB" w14:textId="77777777" w:rsidR="006A6504" w:rsidRPr="00097824" w:rsidRDefault="007F5427" w:rsidP="00AD4A9F">
      <w:pPr>
        <w:ind w:left="397" w:firstLine="357"/>
      </w:pPr>
      <w:r w:rsidRPr="00097824">
        <w:t>В зависимости от уровня поражения в клинической практике выделяют</w:t>
      </w:r>
      <w:r w:rsidR="00477E96" w:rsidRPr="00097824">
        <w:t xml:space="preserve"> </w:t>
      </w:r>
      <w:r w:rsidRPr="00097824">
        <w:t>внепеченочные</w:t>
      </w:r>
      <w:r w:rsidR="00477E96" w:rsidRPr="00097824">
        <w:t xml:space="preserve"> </w:t>
      </w:r>
      <w:proofErr w:type="spellStart"/>
      <w:r w:rsidRPr="00097824">
        <w:t>холангиокарциномы</w:t>
      </w:r>
      <w:proofErr w:type="spellEnd"/>
      <w:r w:rsidR="00477E96" w:rsidRPr="00097824">
        <w:t xml:space="preserve"> </w:t>
      </w:r>
      <w:r w:rsidRPr="00097824">
        <w:t xml:space="preserve">проксимального и дистального отдела желчных протоков. </w:t>
      </w:r>
    </w:p>
    <w:p w14:paraId="2B28E317" w14:textId="77777777" w:rsidR="006A6504" w:rsidRPr="00097824" w:rsidRDefault="006A6504" w:rsidP="00AD4A9F">
      <w:pPr>
        <w:ind w:left="397" w:firstLine="357"/>
      </w:pPr>
      <w:proofErr w:type="spellStart"/>
      <w:r w:rsidRPr="00097824">
        <w:rPr>
          <w:b/>
        </w:rPr>
        <w:t>Холангиокарцинома</w:t>
      </w:r>
      <w:proofErr w:type="spellEnd"/>
      <w:r w:rsidRPr="00097824">
        <w:rPr>
          <w:b/>
        </w:rPr>
        <w:t xml:space="preserve"> проксимального отдела внепеченочных желчных протоков (</w:t>
      </w:r>
      <w:r w:rsidR="007F5427" w:rsidRPr="00097824">
        <w:t xml:space="preserve">опухоль </w:t>
      </w:r>
      <w:proofErr w:type="spellStart"/>
      <w:r w:rsidR="007F5427" w:rsidRPr="00097824">
        <w:t>Клатскина</w:t>
      </w:r>
      <w:proofErr w:type="spellEnd"/>
      <w:r w:rsidR="007F5427" w:rsidRPr="00097824">
        <w:t xml:space="preserve">, </w:t>
      </w:r>
      <w:proofErr w:type="spellStart"/>
      <w:r w:rsidR="007F5427" w:rsidRPr="00097824">
        <w:t>перихилярная</w:t>
      </w:r>
      <w:proofErr w:type="spellEnd"/>
      <w:r w:rsidR="00477E96" w:rsidRPr="00097824">
        <w:t xml:space="preserve"> </w:t>
      </w:r>
      <w:proofErr w:type="spellStart"/>
      <w:r w:rsidR="007F5427" w:rsidRPr="00097824">
        <w:t>холангиокарцинома</w:t>
      </w:r>
      <w:proofErr w:type="spellEnd"/>
      <w:r w:rsidRPr="00097824">
        <w:rPr>
          <w:b/>
        </w:rPr>
        <w:t>)</w:t>
      </w:r>
      <w:r w:rsidRPr="00097824">
        <w:t xml:space="preserve"> –</w:t>
      </w:r>
      <w:r w:rsidR="00477E96" w:rsidRPr="00097824">
        <w:t xml:space="preserve"> </w:t>
      </w:r>
      <w:r w:rsidRPr="00097824">
        <w:t>опухолевое поражение</w:t>
      </w:r>
      <w:r w:rsidR="00477E96" w:rsidRPr="00097824">
        <w:t xml:space="preserve"> </w:t>
      </w:r>
      <w:r w:rsidRPr="00097824">
        <w:t>долевых и общего пе</w:t>
      </w:r>
      <w:r w:rsidR="009C7C8C" w:rsidRPr="00097824">
        <w:t>ченочного протоков, локализующее</w:t>
      </w:r>
      <w:r w:rsidRPr="00097824">
        <w:t xml:space="preserve">ся </w:t>
      </w:r>
      <w:proofErr w:type="spellStart"/>
      <w:r w:rsidRPr="00097824">
        <w:t>проксимальнее</w:t>
      </w:r>
      <w:proofErr w:type="spellEnd"/>
      <w:r w:rsidRPr="00097824">
        <w:t xml:space="preserve"> места слияния общего печеночного</w:t>
      </w:r>
      <w:r w:rsidR="00BC10D0" w:rsidRPr="00097824">
        <w:t xml:space="preserve"> </w:t>
      </w:r>
      <w:r w:rsidR="009C7C8C" w:rsidRPr="00097824">
        <w:t xml:space="preserve">и пузырного протоков </w:t>
      </w:r>
      <w:r w:rsidRPr="00097824">
        <w:t>до начала сегментарных пече</w:t>
      </w:r>
      <w:r w:rsidR="009C7C8C" w:rsidRPr="00097824">
        <w:t>ночных протоков второго порядка</w:t>
      </w:r>
      <w:r w:rsidRPr="00097824">
        <w:t>.</w:t>
      </w:r>
    </w:p>
    <w:p w14:paraId="5A9CC272" w14:textId="66F85EF8" w:rsidR="006A6504" w:rsidRPr="00097824" w:rsidRDefault="007F5427" w:rsidP="00AD4A9F">
      <w:pPr>
        <w:ind w:left="397" w:firstLine="357"/>
      </w:pPr>
      <w:proofErr w:type="spellStart"/>
      <w:r w:rsidRPr="00097824">
        <w:rPr>
          <w:b/>
        </w:rPr>
        <w:t>Холангиокарцинома</w:t>
      </w:r>
      <w:proofErr w:type="spellEnd"/>
      <w:r w:rsidRPr="00097824">
        <w:rPr>
          <w:b/>
        </w:rPr>
        <w:t xml:space="preserve"> дистальн</w:t>
      </w:r>
      <w:r w:rsidR="009C7C8C" w:rsidRPr="00097824">
        <w:rPr>
          <w:b/>
        </w:rPr>
        <w:t>о</w:t>
      </w:r>
      <w:r w:rsidRPr="00097824">
        <w:rPr>
          <w:b/>
        </w:rPr>
        <w:t xml:space="preserve">го отдела внепеченочных желчных протоков </w:t>
      </w:r>
      <w:r w:rsidR="009C7C8C" w:rsidRPr="00097824">
        <w:rPr>
          <w:b/>
        </w:rPr>
        <w:t>–</w:t>
      </w:r>
      <w:r w:rsidR="009C7C8C" w:rsidRPr="00097824">
        <w:t xml:space="preserve">опухолевое поражение общего желчного протока, локализующееся </w:t>
      </w:r>
      <w:proofErr w:type="spellStart"/>
      <w:r w:rsidR="009C7C8C" w:rsidRPr="00097824">
        <w:t>проксимальнее</w:t>
      </w:r>
      <w:proofErr w:type="spellEnd"/>
      <w:r w:rsidR="009C7C8C" w:rsidRPr="00097824">
        <w:t xml:space="preserve"> ампулы большого дуоденального сосочка до места слияния общего печеночного</w:t>
      </w:r>
      <w:r w:rsidR="007E19DA" w:rsidRPr="00097824">
        <w:t xml:space="preserve"> </w:t>
      </w:r>
      <w:r w:rsidR="009C7C8C" w:rsidRPr="00097824">
        <w:t>и пузырного протоков.</w:t>
      </w:r>
    </w:p>
    <w:p w14:paraId="0493963B" w14:textId="50BBB319" w:rsidR="009C7C8C" w:rsidRPr="00097824" w:rsidRDefault="00D56C44" w:rsidP="00AD4A9F">
      <w:pPr>
        <w:ind w:left="397" w:firstLine="357"/>
        <w:rPr>
          <w:rFonts w:eastAsia="Times New Roman"/>
          <w:szCs w:val="24"/>
        </w:rPr>
      </w:pPr>
      <w:r w:rsidRPr="00097824">
        <w:rPr>
          <w:rFonts w:eastAsia="Times New Roman"/>
          <w:b/>
          <w:szCs w:val="24"/>
        </w:rPr>
        <w:t>Рак желчного пузыря</w:t>
      </w:r>
      <w:r w:rsidR="00F233C6" w:rsidRPr="00097824">
        <w:rPr>
          <w:rFonts w:eastAsia="Times New Roman"/>
          <w:b/>
          <w:szCs w:val="24"/>
        </w:rPr>
        <w:t xml:space="preserve"> (РЖП)</w:t>
      </w:r>
      <w:r w:rsidRPr="00097824">
        <w:rPr>
          <w:rFonts w:eastAsia="Times New Roman"/>
          <w:szCs w:val="24"/>
        </w:rPr>
        <w:t xml:space="preserve"> – злокачественная опухоль, исходящая из эпителия желчного пузыря; является наиболее распространенным из всех видов рака желчных путей. </w:t>
      </w:r>
    </w:p>
    <w:p w14:paraId="049F5757" w14:textId="77777777" w:rsidR="00CD17D7" w:rsidRPr="00097824" w:rsidRDefault="00CD17D7" w:rsidP="00AD4A9F">
      <w:pPr>
        <w:ind w:left="397" w:firstLine="357"/>
        <w:rPr>
          <w:szCs w:val="24"/>
        </w:rPr>
      </w:pPr>
    </w:p>
    <w:p w14:paraId="6FE65648" w14:textId="77777777" w:rsidR="00CD17D7" w:rsidRPr="00097824" w:rsidRDefault="007F5427" w:rsidP="00AD4A9F">
      <w:pPr>
        <w:pStyle w:val="afd"/>
        <w:spacing w:beforeAutospacing="0" w:afterAutospacing="0" w:line="360" w:lineRule="auto"/>
        <w:ind w:left="397" w:firstLine="357"/>
        <w:divId w:val="194731752"/>
      </w:pPr>
      <w:r w:rsidRPr="00097824">
        <w:rPr>
          <w:lang w:val="en-US"/>
        </w:rPr>
        <w:t>                                   </w:t>
      </w:r>
    </w:p>
    <w:p w14:paraId="7288F267" w14:textId="77777777" w:rsidR="00CD17D7" w:rsidRPr="00097824" w:rsidRDefault="007F5427" w:rsidP="00AD4A9F">
      <w:pPr>
        <w:pStyle w:val="a1"/>
        <w:spacing w:before="0"/>
        <w:ind w:left="397" w:firstLine="357"/>
      </w:pPr>
      <w:r w:rsidRPr="00097824">
        <w:br w:type="page"/>
      </w:r>
      <w:bookmarkStart w:id="12" w:name="__RefHeading___doc_1"/>
    </w:p>
    <w:p w14:paraId="0AC84924" w14:textId="77777777" w:rsidR="00CD17D7" w:rsidRPr="00097824" w:rsidRDefault="00CD17D7" w:rsidP="00AD4A9F">
      <w:pPr>
        <w:pStyle w:val="10"/>
        <w:spacing w:before="0"/>
        <w:ind w:left="397" w:firstLine="357"/>
      </w:pPr>
      <w:bookmarkStart w:id="13" w:name="_Toc11747729"/>
      <w:bookmarkStart w:id="14" w:name="_Toc23142714"/>
      <w:bookmarkStart w:id="15" w:name="_Toc113198755"/>
      <w:bookmarkStart w:id="16" w:name="_Toc113205045"/>
      <w:r w:rsidRPr="00097824">
        <w:lastRenderedPageBreak/>
        <w:t xml:space="preserve">1. </w:t>
      </w:r>
      <w:bookmarkEnd w:id="12"/>
      <w:bookmarkEnd w:id="13"/>
      <w:bookmarkEnd w:id="14"/>
      <w:r w:rsidR="001B0BC9" w:rsidRPr="00097824">
        <w:t>Краткая информация по заболеванию или состоянию (группе заболеваний или состояний)</w:t>
      </w:r>
      <w:bookmarkEnd w:id="15"/>
      <w:bookmarkEnd w:id="16"/>
    </w:p>
    <w:p w14:paraId="40AA96F6" w14:textId="072EBE3D" w:rsidR="00CD17D7" w:rsidRPr="00097824" w:rsidRDefault="00CD17D7" w:rsidP="00CC2BE1">
      <w:pPr>
        <w:pStyle w:val="2"/>
        <w:numPr>
          <w:ilvl w:val="1"/>
          <w:numId w:val="16"/>
        </w:numPr>
        <w:spacing w:before="0"/>
        <w:ind w:left="397" w:firstLine="357"/>
      </w:pPr>
      <w:bookmarkStart w:id="17" w:name="_Toc469402330"/>
      <w:bookmarkStart w:id="18" w:name="_Toc468273527"/>
      <w:bookmarkStart w:id="19" w:name="_Toc468273445"/>
      <w:bookmarkStart w:id="20" w:name="_Toc11747730"/>
      <w:bookmarkStart w:id="21" w:name="_Toc23142715"/>
      <w:bookmarkStart w:id="22" w:name="_Toc113198756"/>
      <w:bookmarkStart w:id="23" w:name="_Toc113205046"/>
      <w:bookmarkStart w:id="24" w:name="__RefHeading___doc_2"/>
      <w:bookmarkEnd w:id="17"/>
      <w:bookmarkEnd w:id="18"/>
      <w:bookmarkEnd w:id="19"/>
      <w:r w:rsidRPr="00097824">
        <w:t>Определение</w:t>
      </w:r>
      <w:bookmarkEnd w:id="20"/>
      <w:bookmarkEnd w:id="21"/>
      <w:r w:rsidR="00693181" w:rsidRPr="00097824">
        <w:t xml:space="preserve"> </w:t>
      </w:r>
      <w:r w:rsidR="007F5427" w:rsidRPr="00097824">
        <w:rPr>
          <w:shd w:val="clear" w:color="auto" w:fill="FFFFFF"/>
        </w:rPr>
        <w:t>заболевания или состояния (группы заболеваний или состояний)</w:t>
      </w:r>
      <w:bookmarkEnd w:id="22"/>
      <w:bookmarkEnd w:id="23"/>
    </w:p>
    <w:p w14:paraId="6B6E2DA3" w14:textId="35769E56" w:rsidR="00D56C44" w:rsidRPr="00097824" w:rsidRDefault="007F5427" w:rsidP="00AD4A9F">
      <w:pPr>
        <w:ind w:left="397" w:firstLine="357"/>
        <w:contextualSpacing/>
        <w:rPr>
          <w:noProof/>
        </w:rPr>
      </w:pPr>
      <w:r w:rsidRPr="00097824">
        <w:rPr>
          <w:b/>
          <w:noProof/>
        </w:rPr>
        <w:t>Рак билиарного тракта</w:t>
      </w:r>
      <w:r w:rsidRPr="00097824">
        <w:rPr>
          <w:noProof/>
        </w:rPr>
        <w:t xml:space="preserve"> – </w:t>
      </w:r>
      <w:r w:rsidR="002A01E7" w:rsidRPr="00097824">
        <w:rPr>
          <w:noProof/>
        </w:rPr>
        <w:t xml:space="preserve">включает </w:t>
      </w:r>
      <w:r w:rsidRPr="00097824">
        <w:rPr>
          <w:noProof/>
        </w:rPr>
        <w:t>групп</w:t>
      </w:r>
      <w:r w:rsidR="002A01E7" w:rsidRPr="00097824">
        <w:rPr>
          <w:noProof/>
        </w:rPr>
        <w:t>у</w:t>
      </w:r>
      <w:r w:rsidRPr="00097824">
        <w:rPr>
          <w:noProof/>
        </w:rPr>
        <w:t xml:space="preserve"> опухолей, развивающихся из эпителия желчного пузыря и желчных протоков. </w:t>
      </w:r>
      <w:r w:rsidR="00876A3C" w:rsidRPr="00097824">
        <w:rPr>
          <w:noProof/>
        </w:rPr>
        <w:t>Менее т</w:t>
      </w:r>
      <w:r w:rsidRPr="00097824">
        <w:rPr>
          <w:noProof/>
        </w:rPr>
        <w:t>рет</w:t>
      </w:r>
      <w:r w:rsidR="00876A3C" w:rsidRPr="00097824">
        <w:rPr>
          <w:noProof/>
        </w:rPr>
        <w:t>и</w:t>
      </w:r>
      <w:r w:rsidRPr="00097824">
        <w:rPr>
          <w:noProof/>
        </w:rPr>
        <w:t xml:space="preserve"> случаев билиарного рака составляют </w:t>
      </w:r>
      <w:r w:rsidR="00876A3C" w:rsidRPr="00097824">
        <w:rPr>
          <w:b/>
          <w:noProof/>
        </w:rPr>
        <w:t xml:space="preserve">опухоли желчного пузыря, </w:t>
      </w:r>
      <w:r w:rsidR="00876A3C" w:rsidRPr="00097824">
        <w:rPr>
          <w:bCs/>
          <w:noProof/>
        </w:rPr>
        <w:t>остальные</w:t>
      </w:r>
      <w:r w:rsidR="00876A3C" w:rsidRPr="00097824">
        <w:rPr>
          <w:b/>
          <w:noProof/>
        </w:rPr>
        <w:t xml:space="preserve"> - внутрипеченочные и внепеченочные холангиокарциномы. </w:t>
      </w:r>
      <w:r w:rsidR="00876A3C" w:rsidRPr="00097824">
        <w:rPr>
          <w:bCs/>
          <w:noProof/>
        </w:rPr>
        <w:t>Исключены из опухолей желчевыводящей системы опухоли Фатерова сосочка</w:t>
      </w:r>
      <w:r w:rsidRPr="00097824">
        <w:rPr>
          <w:bCs/>
          <w:noProof/>
        </w:rPr>
        <w:t xml:space="preserve">. </w:t>
      </w:r>
    </w:p>
    <w:p w14:paraId="127BE91B" w14:textId="2744EF8C" w:rsidR="00CD17D7" w:rsidRPr="00097824" w:rsidRDefault="00CD17D7" w:rsidP="00CC2BE1">
      <w:pPr>
        <w:pStyle w:val="2"/>
        <w:numPr>
          <w:ilvl w:val="1"/>
          <w:numId w:val="17"/>
        </w:numPr>
        <w:spacing w:before="0"/>
        <w:ind w:left="397" w:firstLine="357"/>
      </w:pPr>
      <w:bookmarkStart w:id="25" w:name="_Toc11747731"/>
      <w:bookmarkStart w:id="26" w:name="_Toc23142716"/>
      <w:bookmarkStart w:id="27" w:name="_Toc113198757"/>
      <w:bookmarkStart w:id="28" w:name="_Toc113205047"/>
      <w:r w:rsidRPr="00097824">
        <w:t>Этиология и патогенез</w:t>
      </w:r>
      <w:bookmarkEnd w:id="25"/>
      <w:bookmarkEnd w:id="26"/>
      <w:r w:rsidR="00693181" w:rsidRPr="00097824">
        <w:t xml:space="preserve"> </w:t>
      </w:r>
      <w:r w:rsidR="007F5427" w:rsidRPr="00097824">
        <w:rPr>
          <w:shd w:val="clear" w:color="auto" w:fill="FFFFFF"/>
        </w:rPr>
        <w:t>заболевания или состояния (группы заболеваний или состояний)</w:t>
      </w:r>
      <w:bookmarkEnd w:id="27"/>
      <w:bookmarkEnd w:id="28"/>
    </w:p>
    <w:p w14:paraId="36AA6376" w14:textId="77777777" w:rsidR="002F6891" w:rsidRPr="00097824" w:rsidRDefault="002F6891" w:rsidP="00AD4A9F">
      <w:pPr>
        <w:pStyle w:val="1f"/>
        <w:ind w:left="397" w:firstLine="357"/>
      </w:pPr>
    </w:p>
    <w:p w14:paraId="41B6779D" w14:textId="328C1083" w:rsidR="002F6891" w:rsidRPr="00097824" w:rsidRDefault="002F6891" w:rsidP="00AD4A9F">
      <w:pPr>
        <w:pStyle w:val="1f"/>
        <w:ind w:left="397" w:firstLine="357"/>
      </w:pPr>
      <w:r w:rsidRPr="00097824">
        <w:t xml:space="preserve">Потенциальными факторами риска для развития </w:t>
      </w:r>
      <w:r w:rsidR="007F5427" w:rsidRPr="00097824">
        <w:rPr>
          <w:b/>
        </w:rPr>
        <w:t xml:space="preserve">внутрипеченочных </w:t>
      </w:r>
      <w:proofErr w:type="spellStart"/>
      <w:r w:rsidR="007F5427" w:rsidRPr="00097824">
        <w:rPr>
          <w:b/>
        </w:rPr>
        <w:t>холангиокарцином</w:t>
      </w:r>
      <w:proofErr w:type="spellEnd"/>
      <w:r w:rsidRPr="00097824">
        <w:t xml:space="preserve"> являются воспалительные заболевания кишечника, а т</w:t>
      </w:r>
      <w:r w:rsidR="00980E88" w:rsidRPr="00097824">
        <w:t>акже хронический вирусный гепатит В</w:t>
      </w:r>
      <w:r w:rsidRPr="00097824">
        <w:t xml:space="preserve"> или С, цирроз печени, сахарный диабет, ожирение, алкоголь, неалкогольная жировая болезнь печени и курение </w:t>
      </w:r>
      <w:r w:rsidR="007F5427" w:rsidRPr="00097824">
        <w:fldChar w:fldCharType="begin"/>
      </w:r>
      <w:r w:rsidRPr="00097824">
        <w:instrText xml:space="preserve"> ADDIN ZOTERO_ITEM CSL_CITATION {"citationID":"SH9zAN4w","properties":{"formattedCitation":"[4\\uc0\\u8211{}6]","plainCitation":"[4–6]","noteIndex":0},"citationItems":[{"id":167071,"uris":["http://zotero.org/groups/4764298/items/U3MQXIM8"],"itemData":{"id":167071,"type":"article-journal","abstract":"Cholangiocarcinomas are often difficult to diagnose, their pathogenesis is poorly understood, and their dismal prognosis has resulted in a nihilistic approach to their management. This Review outlines some of the current challenges, discusses the types of cholangiocarcinoma and offers recommendations for the management of patients with cholangiocarcinomas.","container-title":"Nature Reviews Gastroenterology &amp; Hepatology","DOI":"10.1038/nrgastro.2011.20","ISSN":"1759-5053","issue":"4","journalAbbreviation":"Nat Rev Gastroenterol Hepatol","language":"en","license":"2011 Nature Publishing Group, a division of Macmillan Publishers Limited. All Rights Reserved.","note":"number: 4\npublisher: Nature Publishing Group","page":"189-200","source":"www.nature.com","title":"Cholangiocarcinoma—controversies and challenges","volume":"8","author":[{"family":"Patel","given":"Tushar"}],"issued":{"date-parts":[["2011",4]]}},"label":"page"},{"id":167072,"uris":["http://zotero.org/groups/4764298/items/CCHBIB98"],"itemData":{"id":167072,"type":"article-journal","abstract":"Although hepatitis C virus (HCV)-related cirrhosis has been suggested as a risk factor for intrahepatic cholangiocarcinoma (ICC), few sizeable studies have tested this hypothesis. We investigated ICC risk factors, with special reference to HCV infection. We conducted a hospital-based case-control study including 50 ICC patients and 205 other surgical patients without primary liver cancer. HCV seropositivity was detected in 36% of ICC patients and 3% of controls. By univariate analysis, the odds ratio (OR) for association of anti-HCV antibodies with development was 16.87 (95% confidence interval (CI), 5.69 to 50.00). History of blood transfusion or diabetes mellitus, elevated serum total bilirubin, elevated aspartate aminotransferase and alanine aminotrans-ferase, decreased serum albumin and decreased platelet count were identified as other possible ICC risk factors. By multivariate analysis, anti-HCV antibodies (adjusted OR, 6.02; 95% Cl, 1.51 to 24.1), elevated alanine aminotransferase, decreased serum albumin, and decreased platelet count were found to be independent risk factors for ICC development. As liver status worsened, the adjusted OR for ICC tended to increase. HCV infection is a likely etiology of ICC in Japan.","container-title":"Cancer Science","DOI":"10.1111/j.1349-7006.2004.tb02492.x","ISSN":"1349-7006","issue":"7","language":"en","note":"_eprint: https://onlinelibrary.wiley.com/doi/pdf/10.1111/j.1349-7006.2004.tb02492.x","page":"592-595","source":"Wiley Online Library","title":"Hepatitis C virus infection as a likely etiology of intrahepatic cholangiocarcinoma","volume":"95","author":[{"family":"Yamamoto","given":"Satoshi"},{"family":"Kubo","given":"Shoji"},{"family":"Hai","given":"Seikan"},{"family":"Uenishi","given":"Takahiro"},{"family":"Yamamoto","given":"Takatsugu"},{"family":"Shuto","given":"Taichi"},{"family":"Takemura","given":"Shigekazu"},{"family":"Tanaka","given":"Hiromu"},{"family":"Yamazaki","given":"Osamu"},{"family":"Hirohashi","given":"Kazuhiro"},{"family":"Tanaka","given":"Takashi"}],"issued":{"date-parts":[["2004"]]}},"label":"page"},{"id":167073,"uris":["http://zotero.org/groups/4764298/items/S2CINY4Y"],"itemData":{"id":167073,"type":"article-journal","abstract":"Background &amp; Aims: Intrahepatic and extrahepatic cholangiocarcinomas are rare and highly malignant cancers of the bile duct. Although the incidence of extrahepatic cholangiocarcinoma (ECC) has remained constant, the incidence of intrahepatic cholangiocarcinoma (ICC) has increased in the United States. Because the etiology of both tumors is poorly understood, a population-based case-control study was conducted to examine the association of ECC and ICC with preexisting medical conditions. Methods: Medical conditions among 535 ICC patients, 549 ECC patients (diagnosed 1993–1999), and 102,782 cancer-free controls were identified by using the Surveillance, Epidemiology and End Results–Medicare databases. Logistic regression analysis was used to calculate adjusted odds ratios. Results: In addition to established risk factors (choledochal cysts, cholangitis, inflammatory bowel disease), several other conditions were significantly associated with ECC and ICC: biliary cirrhosis (ECC, ICC: P &lt; .001), cholelithiasis (ECC, ICC: P &lt; .001), alcoholic liver disease (ECC, P &lt; .001; ICC, P = .01), nonspecific cirrhosis (ECC, ICC: P &lt; .001), diabetes (ECC, ICC: P &lt; .001), thyrotoxicosis (ECC, P = .006; ICC, P = .04), and chronic pancreatitis (ECC, ICC: P &lt; .001). Conditions only associated with ICC were obesity (ECC, P = .71; ICC, P = .01), chronic nonalcoholic liver disease (ECC, P = .08; ICC, P = .02), HCV infection (ECC, P = .67; ICC, P = .01), and smoking (ECC, P = .07; ICC, P = .04). Conclusions: Several novel associations with ECC and ICC were identified. HCV infection, chronic nonalcoholic liver disease, and obesity, all of which are increasing in incidence, and smoking were associated only with ICC, suggesting that these conditions might explain the divergent incidence trends of the tumors.","container-title":"Clinical Gastroenterology and Hepatology","DOI":"10.1016/j.cgh.2007.05.020","ISSN":"1542-3565","issue":"10","journalAbbreviation":"Clinical Gastroenterology and Hepatology","language":"en","page":"1221-1228","source":"ScienceDirect","title":"Risk factors for intrahepatic and extrahepatic cholangiocarcinoma in the United States: a population-based case-control study","title-short":"Risk Factors for Intrahepatic and Extrahepatic Cholangiocarcinoma in the United States","volume":"5","author":[{"family":"Welzel","given":"Tania M."},{"family":"Graubard","given":"Barry I."},{"family":"El–Serag","given":"Hashem B."},{"family":"Shaib","given":"Yasser H."},{"family":"Hsing","given":"Ann W."},{"family":"Davila","given":"Jessica A."},{"family":"McGlynn","given":"Katherine A."}],"issued":{"date-parts":[["2007",10,1]]}},"label":"page"}],"schema":"https://github.com/citation-style-language/schema/raw/master/csl-citation.json"} </w:instrText>
      </w:r>
      <w:r w:rsidR="007F5427" w:rsidRPr="00097824">
        <w:fldChar w:fldCharType="separate"/>
      </w:r>
      <w:r w:rsidRPr="00097824">
        <w:t>[4–6]</w:t>
      </w:r>
      <w:r w:rsidR="007F5427" w:rsidRPr="00097824">
        <w:fldChar w:fldCharType="end"/>
      </w:r>
      <w:r w:rsidRPr="00097824">
        <w:t>.</w:t>
      </w:r>
    </w:p>
    <w:p w14:paraId="1017A265" w14:textId="77777777" w:rsidR="002F6891" w:rsidRPr="00097824" w:rsidRDefault="002F6891" w:rsidP="00AD4A9F">
      <w:pPr>
        <w:pStyle w:val="1f"/>
        <w:ind w:left="397" w:firstLine="357"/>
      </w:pPr>
      <w:r w:rsidRPr="00097824">
        <w:t xml:space="preserve">Заболевания, предшествующие развитию </w:t>
      </w:r>
      <w:r w:rsidR="007F5427" w:rsidRPr="00097824">
        <w:rPr>
          <w:b/>
        </w:rPr>
        <w:t xml:space="preserve">внепеченочных </w:t>
      </w:r>
      <w:proofErr w:type="spellStart"/>
      <w:r w:rsidR="007F5427" w:rsidRPr="00097824">
        <w:rPr>
          <w:b/>
        </w:rPr>
        <w:t>холангиокарцином</w:t>
      </w:r>
      <w:proofErr w:type="spellEnd"/>
      <w:r w:rsidRPr="00097824">
        <w:t>: склерозирующий аутоиммунный холангит, хронический холангит инфекционной природы, болезнь Кароли (</w:t>
      </w:r>
      <w:proofErr w:type="spellStart"/>
      <w:r w:rsidRPr="00097824">
        <w:t>Caroli</w:t>
      </w:r>
      <w:proofErr w:type="spellEnd"/>
      <w:r w:rsidRPr="00097824">
        <w:t xml:space="preserve">), хроническая </w:t>
      </w:r>
      <w:proofErr w:type="spellStart"/>
      <w:r w:rsidRPr="00097824">
        <w:t>гельминтная</w:t>
      </w:r>
      <w:proofErr w:type="spellEnd"/>
      <w:r w:rsidRPr="00097824">
        <w:t xml:space="preserve"> инвазия (</w:t>
      </w:r>
      <w:proofErr w:type="spellStart"/>
      <w:r w:rsidRPr="00097824">
        <w:rPr>
          <w:i/>
          <w:iCs/>
        </w:rPr>
        <w:t>Оpisthorchisviverrini</w:t>
      </w:r>
      <w:proofErr w:type="spellEnd"/>
      <w:r w:rsidRPr="00097824">
        <w:rPr>
          <w:i/>
          <w:iCs/>
        </w:rPr>
        <w:t xml:space="preserve">, </w:t>
      </w:r>
      <w:proofErr w:type="spellStart"/>
      <w:r w:rsidRPr="00097824">
        <w:rPr>
          <w:i/>
          <w:iCs/>
        </w:rPr>
        <w:t>Сlonorchissinensis</w:t>
      </w:r>
      <w:proofErr w:type="spellEnd"/>
      <w:r w:rsidRPr="00097824">
        <w:t xml:space="preserve"> и </w:t>
      </w:r>
      <w:proofErr w:type="spellStart"/>
      <w:r w:rsidRPr="00097824">
        <w:rPr>
          <w:i/>
          <w:iCs/>
        </w:rPr>
        <w:t>Оpisthorchisfelineu</w:t>
      </w:r>
      <w:r w:rsidRPr="00097824">
        <w:t>s</w:t>
      </w:r>
      <w:proofErr w:type="spellEnd"/>
      <w:r w:rsidRPr="00097824">
        <w:t xml:space="preserve">). Желчнокаменная болезнь не связана с этиологией </w:t>
      </w:r>
      <w:proofErr w:type="spellStart"/>
      <w:r w:rsidRPr="00097824">
        <w:t>холангиокарциномы</w:t>
      </w:r>
      <w:proofErr w:type="spellEnd"/>
      <w:r w:rsidRPr="00097824">
        <w:t xml:space="preserve">. </w:t>
      </w:r>
    </w:p>
    <w:p w14:paraId="75BDC6CB" w14:textId="118F15D6" w:rsidR="00EE038D" w:rsidRPr="00097824" w:rsidRDefault="00EE038D" w:rsidP="00AD4A9F">
      <w:pPr>
        <w:pStyle w:val="1f"/>
        <w:ind w:left="397" w:firstLine="357"/>
      </w:pPr>
      <w:r w:rsidRPr="00097824">
        <w:t xml:space="preserve">Факторами риска развития </w:t>
      </w:r>
      <w:r w:rsidR="007F5427" w:rsidRPr="00097824">
        <w:rPr>
          <w:b/>
        </w:rPr>
        <w:t>рака желчного пузыря</w:t>
      </w:r>
      <w:r w:rsidRPr="00097824">
        <w:t xml:space="preserve"> являются заболевания, связанные с наличием хронического воспаления, в том числе желчекаменная болезнь. К другим факторам риска относятся полипы желчного пузыря более 1 см в диаметре, хронические инфекции, склерозирующий холангит, </w:t>
      </w:r>
      <w:proofErr w:type="spellStart"/>
      <w:r w:rsidRPr="00097824">
        <w:t>аденоматоз</w:t>
      </w:r>
      <w:proofErr w:type="spellEnd"/>
      <w:r w:rsidRPr="00097824">
        <w:t xml:space="preserve"> желчного пузыря. Воспалительные заболевания кишечника (неспецифический язвенный колит) также ассоциируются с повышенным риском рака </w:t>
      </w:r>
      <w:proofErr w:type="spellStart"/>
      <w:r w:rsidRPr="00097824">
        <w:t>билиарного</w:t>
      </w:r>
      <w:proofErr w:type="spellEnd"/>
      <w:r w:rsidRPr="00097824">
        <w:t xml:space="preserve"> тракта</w:t>
      </w:r>
      <w:r w:rsidR="00693181" w:rsidRPr="00097824">
        <w:t xml:space="preserve"> </w:t>
      </w:r>
      <w:r w:rsidR="007F5427" w:rsidRPr="00097824">
        <w:fldChar w:fldCharType="begin"/>
      </w:r>
      <w:r w:rsidR="004D7E98" w:rsidRPr="00097824">
        <w:instrText xml:space="preserve"> ADDIN ZOTERO_ITEM CSL_CITATION {"citationID":"0jfbrXoC","properties":{"formattedCitation":"[1\\uc0\\u8211{}3]","plainCitation":"[1–3]","noteIndex":0},"citationItems":[{"id":167067,"uris":["http://zotero.org/groups/4764298/items/YUXV4T7X"],"itemData":{"id":167067,"type":"article-journal","abstract":"The objective of this article is to review the available literature on the epidemiology, predisposing factors, and conditions associated with primary gallbladder cancer, and to discuss the role of prophylactic cholecystectomy in high-risk patient populations. Gallbladder cancer is a highly malignant tumor with a poor 5-yr-survival rate. It is a tumor of the elderly and has striking genetic, racial, and geographic characteristics, with an extremely high prevalence in Native Americans and Chileans. Cholelithiasis is a well-established risk factor for gallbladder cancer and the risk seems to correlate with stone size. Polyps that are &gt;l cm, single, sessile, and echopenic are associated with a higher risk of malignancy. Anomalous junction of pancreatico-biliary ducts (AJPBD), especially without choledochal cyst, and porcelain gallbladder are additional factors that predispose to gallbladder cancer. Lesser associations include chronic bacterial infections of the gallbladder, typhoid carrier state, certain occupational and environmental carcinogens, hormonal changes in women, and certain social, dietary, and familial factors. It is important to identify high-risk groups for gallbladder cancer because of the dismal nature of this tumor. In patients with porcelain gallbladder and anomalous junction of the pancreatic and biliary ducts, cholecystectomy is recommended provided that the patient is a good operative candidate. Patients with large solitary polyps or gallstones require close ultrasonic follow-up. With the advent of endoscopic ultrasound it is expected that early changes of malignancy in polyps will be reliably detected, and more patients will potentially be cured with a simple cholecystectomy. Through a MEDLINE/PAPERCHASE search we identified and reviewed articles regarding gallbladder cancer published in English-language journals between 1966 and 1999, using the key words biliary tract and gallbladder diseases, cancer, neoplasms, surgery, cholelithiasis, gallstones, cholecystitis, gallbladder polyps, risk factors, chemical industry, occupational diseases, typhoid, porcelain gallbladder, bacteremia, and precancerous conditions. We also used the bibliography of relevant articles to increase our search. A total of 122 publications were selected using the mentioned data source.","container-title":"The American Journal of Gastroenterology","DOI":"10.1016/S0002-9270(00)00862-5","ISSN":"0002-9270","issue":"6","journalAbbreviation":"The American Journal of Gastroenterology","language":"en","page":"1402-1410","source":"ScienceDirect","title":"Primary gallbladder cancer: recognition of risk factors and the role of prophylactic cholecystectomy","title-short":"Primary gallbladder cancer","volume":"95","author":[{"family":"Sheth","given":"Sunil"},{"family":"Bedford","given":"Andrew"},{"family":"Chopra","given":"Sanjiv"}],"issued":{"date-parts":[["2000",6,1]]}},"label":"page"},{"id":167068,"uris":["http://zotero.org/groups/4764298/items/LLTLVBZN"],"itemData":{"id":167068,"type":"article-journal","abstract":"Gallbladder cancer is an uncommon cancer that has traditionally been associated with a poor prognosis. In the era of laparoscopic cholecystectomy, incidental gallbladder cancer has dramatically increased and now constitutes the major way patients present with gallbladder cancer. While patients with incidental gallbladder cancer have a better survival than patients with nonincidental gallbladder cancer, incidental gallbladder cancer can be associated with a varied prognosis. Imaging with computed tomography (CT), magnetic resonance imaging (MRI), and [18]F-fluorodeoxyglucose (FDG) positron emission tomography (PET), as well as diagnostic laparoscopy, all have varying roles in the workup of patients with incidental gallbladder cancer. For patients with T1b, T2, and T3 incidental gallbladder cancer re-resection is generally recommended. At re-exploration, many patients with incidental gallbladder cancer will have residual disease. Definitive oncologic management requires re-resection of the liver, portal lymphadenectomy, and attention to the common bile duct. The extent of the hepatic resection should be dictated by the ability to achieve a microscopically negative (R0) margin. Routine resection of the common bile duct is unnecessary but should be undertaken in the setting of a positive cystic duct margin. If an incidental gallbladder cancer is discovered at the time of surgery, whether the surgeon should directly proceed with a more definitive oncologic operation should depend on the surgeon’s skill-set and experience. Gallbladder cancer has a propensity to recur. Although data for adjuvant therapy following resection are limited, some data do suggest a survival benefit for adjuvant chemoradiation therapy. Management of patients with gallbladder cancer requires a multidisciplinary approach with input from a surgeon skilled in hepatobiliary surgery.","container-title":"Annals of Surgical Oncology","DOI":"10.1245/s10434-009-0538-x","ISSN":"1534-4681","issue":"8","journalAbbreviation":"Ann Surg Oncol","language":"en","page":"2101-2115","source":"Springer Link","title":"Evolving Treatment Strategies for Gallbladder Cancer","volume":"16","author":[{"family":"Hueman","given":"Matthew T."},{"family":"Vollmer","given":"Charles M."},{"family":"Pawlik","given":"Timothy M."}],"issued":{"date-parts":[["2009",8,1]]}},"label":"page"},{"id":167069,"uris":["http://zotero.org/groups/4764298/items/AG7F2FV7"],"itemData":{"id":167069,"type":"article-journal","abstract":"Gallbladder cancer, though generally considered rare, is the most common malignancy of the biliary tract, accounting for 80%–95% of biliary tract cancers. An early diagnosis is essential as this malignancy progresses silently with a late diagnosis, often proving fatal. Its carcinogenesis follows a progression through a metaplasia–dysplasia–carcinoma sequence. This comprehensive review focuses on and explores the risks, management, and outcomes for primary gallbladder carcinoma. Epidemiological studies have identified striking geographic and ethnic disparities – inordinately high occurrence in American Indians, elevated in Southeast Asia, yet quite low elsewhere in the Americas and the world. Age, female sex, congenital biliary tract anomalies, and a genetic predisposition represent important risk factors that are immutable. Environmental triggers play a critical role in eliciting cancer developing in the gallbladder, best exemplified by cholelithiasis and chronic inflammation from biliary tract and parasitic infections. Mortality rates closely follow incidence; those countries with the highest prevalence of gallstones experience the greatest mortality from gallbladder cancer. Vague symptoms often delay the diagnosis of gallbladder cancer, contributing to its overall progression and poor outcome. Surgery represents the only potential for cure. Some individuals are fortunate to be incidentally found to have gallbladder cancer at the time of cholecystectomy being performed for cholelithiasis. Such an early diagnosis is imperative as a late presentation connotes advanced staging, nodal involvement, and possible recurrence following attempted resection. Overall mean survival is a mere 6 months, while 5-year survival rate is only 5%. The dismal prognosis, in part, relates to the gallbladder lacking a serosal layer adjacent to the liver, enabling hepatic invasion and metastatic progression. Improved imaging modalities are helping to diagnose patients at an earlier stage. The last decade has witnessed improved outcomes as aggressive surgical management and preoperative adjuvant therapy has helped prolong survival in patients with gallbladder cancer. In the future, the development of potential diagnostic markers for disease will yield screening opportunities for those at risk either with ethnic susceptibility or known anatomic anomalies of the biliary tract. Meanwhile, clarification of the value of prophylactic cholecystectomy should provide an opportunity for secondary prevention. Primary prevention will arrive once the predictive biomarkers and environmental risk factors are more clearly identified.","container-title":"Clinical Epidemiology","DOI":"10.2147/CLEP.S37357","ISSN":"1179-1349","journalAbbreviation":"Clin Epidemiol","note":"PMID: 24634588\nPMCID: PMC3952897","page":"99-109","source":"PubMed Central","title":"Gallbladder cancer: epidemiology and outcome","title-short":"Gallbladder cancer","volume":"6","author":[{"family":"Hundal","given":"Rajveer"},{"family":"Shaffer","given":"Eldon A"}],"issued":{"date-parts":[["2014",3,7]]}},"label":"page"}],"schema":"https://github.com/citation-style-language/schema/raw/master/csl-citation.json"} </w:instrText>
      </w:r>
      <w:r w:rsidR="007F5427" w:rsidRPr="00097824">
        <w:fldChar w:fldCharType="separate"/>
      </w:r>
      <w:r w:rsidR="004D7E98" w:rsidRPr="00097824">
        <w:t>[1–3]</w:t>
      </w:r>
      <w:r w:rsidR="007F5427" w:rsidRPr="00097824">
        <w:fldChar w:fldCharType="end"/>
      </w:r>
      <w:r w:rsidRPr="00097824">
        <w:t xml:space="preserve">. </w:t>
      </w:r>
    </w:p>
    <w:p w14:paraId="65AC207B" w14:textId="77777777" w:rsidR="003A733F" w:rsidRPr="00097824" w:rsidRDefault="003A733F" w:rsidP="00AD4A9F">
      <w:pPr>
        <w:pStyle w:val="1f"/>
        <w:ind w:left="397" w:firstLine="357"/>
      </w:pPr>
    </w:p>
    <w:p w14:paraId="30F9889E" w14:textId="77777777" w:rsidR="00CD17D7" w:rsidRPr="00097824" w:rsidRDefault="00CD17D7" w:rsidP="00CC2BE1">
      <w:pPr>
        <w:pStyle w:val="2"/>
        <w:numPr>
          <w:ilvl w:val="1"/>
          <w:numId w:val="18"/>
        </w:numPr>
        <w:spacing w:before="0"/>
        <w:ind w:left="397" w:firstLine="357"/>
      </w:pPr>
      <w:bookmarkStart w:id="29" w:name="_Toc11747732"/>
      <w:bookmarkStart w:id="30" w:name="_Toc23142717"/>
      <w:bookmarkStart w:id="31" w:name="_Toc113198758"/>
      <w:bookmarkStart w:id="32" w:name="_Toc113205048"/>
      <w:r w:rsidRPr="00097824">
        <w:t>Эпидемиология</w:t>
      </w:r>
      <w:bookmarkEnd w:id="29"/>
      <w:bookmarkEnd w:id="30"/>
      <w:r w:rsidR="00E739C2" w:rsidRPr="00097824">
        <w:t xml:space="preserve"> </w:t>
      </w:r>
      <w:r w:rsidR="007F5427" w:rsidRPr="00097824">
        <w:rPr>
          <w:shd w:val="clear" w:color="auto" w:fill="FFFFFF"/>
        </w:rPr>
        <w:t>заболевания или состояния (группы заболеваний или состояний)</w:t>
      </w:r>
      <w:bookmarkEnd w:id="31"/>
      <w:bookmarkEnd w:id="32"/>
    </w:p>
    <w:p w14:paraId="6FFAE1AC" w14:textId="3145F093" w:rsidR="00CD17D7" w:rsidRPr="00097824" w:rsidRDefault="00AA7676" w:rsidP="00AD4A9F">
      <w:pPr>
        <w:pStyle w:val="afd"/>
        <w:spacing w:beforeAutospacing="0" w:afterAutospacing="0" w:line="360" w:lineRule="auto"/>
        <w:ind w:left="397" w:firstLine="357"/>
      </w:pPr>
      <w:r w:rsidRPr="00097824">
        <w:rPr>
          <w:szCs w:val="32"/>
        </w:rPr>
        <w:t xml:space="preserve">Рак </w:t>
      </w:r>
      <w:proofErr w:type="spellStart"/>
      <w:r w:rsidRPr="00097824">
        <w:rPr>
          <w:szCs w:val="32"/>
        </w:rPr>
        <w:t>билиарного</w:t>
      </w:r>
      <w:proofErr w:type="spellEnd"/>
      <w:r w:rsidRPr="00097824">
        <w:rPr>
          <w:szCs w:val="32"/>
        </w:rPr>
        <w:t xml:space="preserve"> тракта</w:t>
      </w:r>
      <w:r w:rsidRPr="00097824">
        <w:rPr>
          <w:b/>
          <w:szCs w:val="32"/>
        </w:rPr>
        <w:t xml:space="preserve"> – </w:t>
      </w:r>
      <w:r w:rsidRPr="00097824">
        <w:t>редк</w:t>
      </w:r>
      <w:r w:rsidR="00F865D3" w:rsidRPr="00097824">
        <w:t xml:space="preserve">ий </w:t>
      </w:r>
      <w:proofErr w:type="gramStart"/>
      <w:r w:rsidR="00F865D3" w:rsidRPr="00097824">
        <w:t xml:space="preserve">вид </w:t>
      </w:r>
      <w:r w:rsidRPr="00097824">
        <w:t xml:space="preserve"> злокачественн</w:t>
      </w:r>
      <w:r w:rsidR="00F865D3" w:rsidRPr="00097824">
        <w:t>ого</w:t>
      </w:r>
      <w:proofErr w:type="gramEnd"/>
      <w:r w:rsidR="00F865D3" w:rsidRPr="00097824">
        <w:t xml:space="preserve"> </w:t>
      </w:r>
      <w:r w:rsidRPr="00097824">
        <w:t xml:space="preserve"> опухол</w:t>
      </w:r>
      <w:r w:rsidR="00F865D3" w:rsidRPr="00097824">
        <w:t>евого поражения</w:t>
      </w:r>
      <w:r w:rsidRPr="00097824">
        <w:t>. В</w:t>
      </w:r>
      <w:r w:rsidR="002A01E7" w:rsidRPr="00097824">
        <w:t xml:space="preserve"> отчетах по оценке</w:t>
      </w:r>
      <w:r w:rsidR="00693181" w:rsidRPr="00097824">
        <w:t xml:space="preserve"> </w:t>
      </w:r>
      <w:r w:rsidRPr="00097824">
        <w:t>заболеваемости и смертности</w:t>
      </w:r>
      <w:r w:rsidR="00CB36CF" w:rsidRPr="00097824">
        <w:t xml:space="preserve"> в большинстве случаев</w:t>
      </w:r>
      <w:r w:rsidR="000F5A6E" w:rsidRPr="00097824">
        <w:t xml:space="preserve"> </w:t>
      </w:r>
      <w:r w:rsidR="002A01E7" w:rsidRPr="00097824">
        <w:t>нет разделения по локализации поражения тех или иных желчных протоков</w:t>
      </w:r>
      <w:r w:rsidR="001C5F54" w:rsidRPr="00097824">
        <w:t xml:space="preserve"> </w:t>
      </w:r>
      <w:r w:rsidR="008275FE" w:rsidRPr="00097824">
        <w:t xml:space="preserve">эти </w:t>
      </w:r>
      <w:r w:rsidRPr="00097824">
        <w:t xml:space="preserve">опухоли </w:t>
      </w:r>
      <w:r w:rsidR="002A01E7" w:rsidRPr="00097824">
        <w:t>рассматриваются в единой группе</w:t>
      </w:r>
      <w:r w:rsidRPr="00097824">
        <w:t xml:space="preserve">. В Российской Федерации в </w:t>
      </w:r>
      <w:r w:rsidR="00C75114" w:rsidRPr="00097824">
        <w:t xml:space="preserve">2020 </w:t>
      </w:r>
      <w:r w:rsidRPr="00097824">
        <w:t xml:space="preserve">году </w:t>
      </w:r>
      <w:r w:rsidR="008275FE" w:rsidRPr="00097824">
        <w:t xml:space="preserve">раком печени </w:t>
      </w:r>
      <w:r w:rsidR="008275FE" w:rsidRPr="00097824">
        <w:lastRenderedPageBreak/>
        <w:t xml:space="preserve">заболело </w:t>
      </w:r>
      <w:r w:rsidR="00956002" w:rsidRPr="00097824">
        <w:t>8957</w:t>
      </w:r>
      <w:r w:rsidR="008275FE" w:rsidRPr="00097824">
        <w:t xml:space="preserve"> пациентов. По грубым подсчетам рак внутрипеченочных желчных протоков составляет около 10% от этого числа, т.е. в 20</w:t>
      </w:r>
      <w:r w:rsidR="002C5D35" w:rsidRPr="00097824">
        <w:t>20</w:t>
      </w:r>
      <w:r w:rsidR="008275FE" w:rsidRPr="00097824">
        <w:t xml:space="preserve"> году в России было зарегистрировано около 8</w:t>
      </w:r>
      <w:r w:rsidR="002C5D35" w:rsidRPr="00097824">
        <w:t>96</w:t>
      </w:r>
      <w:r w:rsidR="008275FE" w:rsidRPr="00097824">
        <w:t xml:space="preserve"> пациентов, заболевших раком внутрипеченочных желчных протоков. Внепеченочные </w:t>
      </w:r>
      <w:proofErr w:type="spellStart"/>
      <w:r w:rsidR="008275FE" w:rsidRPr="00097824">
        <w:t>холангиокарциномы</w:t>
      </w:r>
      <w:proofErr w:type="spellEnd"/>
      <w:r w:rsidR="00E06867" w:rsidRPr="00097824">
        <w:t xml:space="preserve"> </w:t>
      </w:r>
      <w:r w:rsidR="00BB1D35" w:rsidRPr="00097824">
        <w:t xml:space="preserve">и рак желчного пузыря </w:t>
      </w:r>
      <w:r w:rsidR="00BA7A06" w:rsidRPr="00097824">
        <w:t xml:space="preserve">зарегистрированы </w:t>
      </w:r>
      <w:r w:rsidR="00BB1D35" w:rsidRPr="00097824">
        <w:t xml:space="preserve">у </w:t>
      </w:r>
      <w:r w:rsidR="00E536EC" w:rsidRPr="00097824">
        <w:t xml:space="preserve">3539 </w:t>
      </w:r>
      <w:r w:rsidR="00BB1D35" w:rsidRPr="00097824">
        <w:t xml:space="preserve">первичных </w:t>
      </w:r>
      <w:r w:rsidR="00A02407" w:rsidRPr="00097824">
        <w:t xml:space="preserve">пациентов </w:t>
      </w:r>
      <w:r w:rsidR="00BB1D35" w:rsidRPr="00097824">
        <w:t>(</w:t>
      </w:r>
      <w:r w:rsidR="00DB3A17" w:rsidRPr="00097824">
        <w:t xml:space="preserve">1295 </w:t>
      </w:r>
      <w:r w:rsidR="00BB1D35" w:rsidRPr="00097824">
        <w:t xml:space="preserve">– мужчины и </w:t>
      </w:r>
      <w:r w:rsidR="00D90503" w:rsidRPr="00097824">
        <w:t>22</w:t>
      </w:r>
      <w:r w:rsidR="00E536EC" w:rsidRPr="00097824">
        <w:t>4</w:t>
      </w:r>
      <w:r w:rsidR="00D90503" w:rsidRPr="00097824">
        <w:t>4</w:t>
      </w:r>
      <w:r w:rsidR="00FC2B53" w:rsidRPr="00097824">
        <w:t xml:space="preserve"> </w:t>
      </w:r>
      <w:r w:rsidR="00BB1D35" w:rsidRPr="00097824">
        <w:t xml:space="preserve">– женщины). Точная статистика смертности от </w:t>
      </w:r>
      <w:proofErr w:type="spellStart"/>
      <w:r w:rsidR="00BB1D35" w:rsidRPr="00097824">
        <w:t>билиарного</w:t>
      </w:r>
      <w:proofErr w:type="spellEnd"/>
      <w:r w:rsidR="00BB1D35" w:rsidRPr="00097824">
        <w:t xml:space="preserve"> рака в России отсутствует</w:t>
      </w:r>
      <w:r w:rsidR="00970400" w:rsidRPr="00097824">
        <w:t xml:space="preserve">. Тем не менее </w:t>
      </w:r>
      <w:r w:rsidR="003F7CAE" w:rsidRPr="00097824">
        <w:t>о</w:t>
      </w:r>
      <w:r w:rsidR="00970400" w:rsidRPr="00097824">
        <w:t xml:space="preserve">т рака печени (гепато- и </w:t>
      </w:r>
      <w:proofErr w:type="spellStart"/>
      <w:r w:rsidR="00970400" w:rsidRPr="00097824">
        <w:t>холангиоцеллюлярный</w:t>
      </w:r>
      <w:proofErr w:type="spellEnd"/>
      <w:r w:rsidR="00970400" w:rsidRPr="00097824">
        <w:t xml:space="preserve"> раки) умерло </w:t>
      </w:r>
      <w:r w:rsidR="001F4ECA" w:rsidRPr="00097824">
        <w:t xml:space="preserve">10625 </w:t>
      </w:r>
      <w:r w:rsidR="00970400" w:rsidRPr="00097824">
        <w:t>пациентов, а от рака желчного пузыря, внепеченочных желчных протоков и других неуточненных органов пищеварения погибл</w:t>
      </w:r>
      <w:r w:rsidR="00876A3C" w:rsidRPr="00097824">
        <w:t>и</w:t>
      </w:r>
      <w:r w:rsidR="00970400" w:rsidRPr="00097824">
        <w:t xml:space="preserve"> </w:t>
      </w:r>
      <w:r w:rsidR="00DB438B" w:rsidRPr="00097824">
        <w:t xml:space="preserve">3783 </w:t>
      </w:r>
      <w:r w:rsidR="00A02407" w:rsidRPr="00097824">
        <w:t>пациентов.</w:t>
      </w:r>
      <w:r w:rsidR="00A26E5A" w:rsidRPr="00097824">
        <w:t xml:space="preserve"> </w:t>
      </w:r>
      <w:r w:rsidRPr="00097824">
        <w:t xml:space="preserve">Заболеваемость </w:t>
      </w:r>
      <w:r w:rsidR="00445F84" w:rsidRPr="00097824">
        <w:t xml:space="preserve">повышается </w:t>
      </w:r>
      <w:r w:rsidRPr="00097824">
        <w:t>с возрастом</w:t>
      </w:r>
      <w:r w:rsidR="00445F84" w:rsidRPr="00097824">
        <w:t>;</w:t>
      </w:r>
      <w:r w:rsidR="00A26E5A" w:rsidRPr="00097824">
        <w:t xml:space="preserve"> </w:t>
      </w:r>
      <w:r w:rsidR="006A0DA4" w:rsidRPr="00097824">
        <w:t xml:space="preserve">внутрипеченочная </w:t>
      </w:r>
      <w:proofErr w:type="spellStart"/>
      <w:r w:rsidR="006A0DA4" w:rsidRPr="00097824">
        <w:t>холангиокарцинома</w:t>
      </w:r>
      <w:proofErr w:type="spellEnd"/>
      <w:r w:rsidR="006A0DA4" w:rsidRPr="00097824">
        <w:t> </w:t>
      </w:r>
      <w:r w:rsidR="002A01E7" w:rsidRPr="00097824">
        <w:t xml:space="preserve">у </w:t>
      </w:r>
      <w:r w:rsidRPr="00097824">
        <w:t>женщин</w:t>
      </w:r>
      <w:r w:rsidR="00A26E5A" w:rsidRPr="00097824">
        <w:t xml:space="preserve"> </w:t>
      </w:r>
      <w:r w:rsidR="006A0DA4" w:rsidRPr="00097824">
        <w:t>выявляется</w:t>
      </w:r>
      <w:r w:rsidR="00A26E5A" w:rsidRPr="00097824">
        <w:t xml:space="preserve"> </w:t>
      </w:r>
      <w:r w:rsidRPr="00097824">
        <w:t>чаще</w:t>
      </w:r>
      <w:r w:rsidR="00FC2B53" w:rsidRPr="00097824">
        <w:t>,</w:t>
      </w:r>
      <w:r w:rsidR="00A26E5A" w:rsidRPr="00097824">
        <w:t xml:space="preserve"> </w:t>
      </w:r>
      <w:r w:rsidR="006A0DA4" w:rsidRPr="00097824">
        <w:t xml:space="preserve">чем </w:t>
      </w:r>
      <w:r w:rsidRPr="00097824">
        <w:t>мужчин</w:t>
      </w:r>
      <w:r w:rsidR="00FC2B53" w:rsidRPr="00097824">
        <w:t xml:space="preserve"> </w:t>
      </w:r>
      <w:r w:rsidR="007F5427" w:rsidRPr="00097824">
        <w:fldChar w:fldCharType="begin"/>
      </w:r>
      <w:r w:rsidR="00C24FEB" w:rsidRPr="00097824">
        <w:instrText xml:space="preserve"> ADDIN ZOTERO_ITEM CSL_CITATION {"citationID":"ER3Q5xzy","properties":{"formattedCitation":"[7,8]","plainCitation":"[7,8]","noteIndex":0},"citationItems":[{"id":167077,"uris":["http://zotero.org/groups/4764298/items/34DCEXTS"],"itemData":{"id":167077,"type":"book","event-place":"Москва","number-of-pages":"252","publisher":"МНИОИ им. П.А. Герцена − филиал ФГБУ «НМИЦ радиологии» Минздрава России,","publisher-place":"Москва","title":"Злокачественные новообразования в России в 2020 году (заболеваемость и смертность).","author":[{"family":"Каприн","given":"А Д"},{"family":"Старинский","given":"В В"},{"family":"Шахзадова","given":"А О"}],"issued":{"date-parts":[["2021"]]}},"label":"page"},{"id":167078,"uris":["http://zotero.org/groups/4764298/items/SQ4WQUES"],"itemData":{"id":167078,"type":"article-journal","container-title":"The oncologist","issue":"2","note":"publisher: Oxford University Press","page":"168–181","source":"Google Scholar","title":"Current management of gallbladder carcinoma","volume":"15","author":[{"family":"Zhu","given":"Andrew X."},{"family":"Hong","given":"Theodore S."},{"family":"Hezel","given":"Aram F."},{"family":"Kooby","given":"David A."}],"issued":{"date-parts":[["2010"]]}},"label":"page"}],"schema":"https://github.com/citation-style-language/schema/raw/master/csl-citation.json"} </w:instrText>
      </w:r>
      <w:r w:rsidR="007F5427" w:rsidRPr="00097824">
        <w:fldChar w:fldCharType="separate"/>
      </w:r>
      <w:r w:rsidR="00C24FEB" w:rsidRPr="00097824">
        <w:t>[7,8]</w:t>
      </w:r>
      <w:r w:rsidR="007F5427" w:rsidRPr="00097824">
        <w:fldChar w:fldCharType="end"/>
      </w:r>
      <w:r w:rsidR="00977FCB" w:rsidRPr="00097824">
        <w:t>.</w:t>
      </w:r>
    </w:p>
    <w:p w14:paraId="48D1F235" w14:textId="3AD9E5CD" w:rsidR="00F35217" w:rsidRPr="00097824" w:rsidRDefault="00F35217" w:rsidP="00AD4A9F">
      <w:pPr>
        <w:pStyle w:val="afd"/>
        <w:spacing w:beforeAutospacing="0" w:afterAutospacing="0" w:line="360" w:lineRule="auto"/>
        <w:ind w:left="397" w:firstLine="357"/>
      </w:pPr>
      <w:r w:rsidRPr="00097824">
        <w:t xml:space="preserve">Диагностика и лечение детей с указанными ЗНО проводится </w:t>
      </w:r>
      <w:proofErr w:type="gramStart"/>
      <w:r w:rsidRPr="00097824">
        <w:t>согласно рекомендаций</w:t>
      </w:r>
      <w:proofErr w:type="gramEnd"/>
      <w:r w:rsidRPr="00097824">
        <w:t xml:space="preserve"> для пациентов старше 18 лет (в связи с малочисленностью заболевших детей) в условиях национальных (федеральных) центров.</w:t>
      </w:r>
    </w:p>
    <w:p w14:paraId="4E435BE8" w14:textId="77777777" w:rsidR="002C3FB3" w:rsidRPr="00097824" w:rsidRDefault="002C3FB3" w:rsidP="002C3FB3">
      <w:pPr>
        <w:pStyle w:val="2"/>
        <w:numPr>
          <w:ilvl w:val="1"/>
          <w:numId w:val="19"/>
        </w:numPr>
        <w:spacing w:before="0"/>
      </w:pPr>
      <w:bookmarkStart w:id="33" w:name="_Toc113198759"/>
      <w:bookmarkStart w:id="34" w:name="_Toc113205049"/>
      <w:bookmarkStart w:id="35" w:name="_Toc11747733"/>
      <w:bookmarkStart w:id="36" w:name="_Toc23142718"/>
      <w:r w:rsidRPr="00097824">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p>
    <w:bookmarkEnd w:id="33"/>
    <w:bookmarkEnd w:id="34"/>
    <w:bookmarkEnd w:id="35"/>
    <w:bookmarkEnd w:id="36"/>
    <w:p w14:paraId="4750BAF6" w14:textId="77777777" w:rsidR="00D630AE" w:rsidRPr="00097824" w:rsidRDefault="007F5427" w:rsidP="00AD4A9F">
      <w:pPr>
        <w:widowControl w:val="0"/>
        <w:autoSpaceDE w:val="0"/>
        <w:autoSpaceDN w:val="0"/>
        <w:adjustRightInd w:val="0"/>
        <w:ind w:left="397" w:firstLine="357"/>
        <w:contextualSpacing/>
        <w:rPr>
          <w:b/>
          <w:szCs w:val="24"/>
        </w:rPr>
      </w:pPr>
      <w:r w:rsidRPr="00097824">
        <w:rPr>
          <w:b/>
          <w:szCs w:val="24"/>
        </w:rPr>
        <w:t>С22.1</w:t>
      </w:r>
      <w:r w:rsidRPr="00097824">
        <w:rPr>
          <w:b/>
          <w:szCs w:val="24"/>
        </w:rPr>
        <w:tab/>
        <w:t>Рак внутрипеченочных желчных протоков</w:t>
      </w:r>
    </w:p>
    <w:p w14:paraId="3BD13E9D" w14:textId="77777777" w:rsidR="006C4F7B" w:rsidRPr="00097824" w:rsidRDefault="007F5427" w:rsidP="00AD4A9F">
      <w:pPr>
        <w:widowControl w:val="0"/>
        <w:autoSpaceDE w:val="0"/>
        <w:autoSpaceDN w:val="0"/>
        <w:adjustRightInd w:val="0"/>
        <w:ind w:left="397" w:firstLine="357"/>
        <w:rPr>
          <w:szCs w:val="24"/>
        </w:rPr>
      </w:pPr>
      <w:r w:rsidRPr="00097824">
        <w:rPr>
          <w:b/>
          <w:szCs w:val="24"/>
        </w:rPr>
        <w:t>С23</w:t>
      </w:r>
      <w:r w:rsidRPr="00097824">
        <w:rPr>
          <w:b/>
          <w:szCs w:val="24"/>
        </w:rPr>
        <w:tab/>
      </w:r>
      <w:r w:rsidRPr="00097824">
        <w:rPr>
          <w:b/>
          <w:bCs/>
          <w:color w:val="000000"/>
          <w:szCs w:val="24"/>
        </w:rPr>
        <w:t>Злокачественное новообразование желчного пузыря</w:t>
      </w:r>
    </w:p>
    <w:p w14:paraId="13305FFB" w14:textId="01CCCA60" w:rsidR="00D630AE" w:rsidRPr="00097824" w:rsidRDefault="007F5427" w:rsidP="00AD4A9F">
      <w:pPr>
        <w:widowControl w:val="0"/>
        <w:autoSpaceDE w:val="0"/>
        <w:autoSpaceDN w:val="0"/>
        <w:adjustRightInd w:val="0"/>
        <w:ind w:left="397" w:firstLine="357"/>
        <w:contextualSpacing/>
        <w:rPr>
          <w:b/>
          <w:szCs w:val="24"/>
        </w:rPr>
      </w:pPr>
      <w:r w:rsidRPr="00097824">
        <w:rPr>
          <w:b/>
          <w:szCs w:val="24"/>
        </w:rPr>
        <w:t>С24.0</w:t>
      </w:r>
      <w:r w:rsidRPr="00097824">
        <w:rPr>
          <w:b/>
          <w:szCs w:val="24"/>
        </w:rPr>
        <w:tab/>
        <w:t>Внепеченочного желчного протока</w:t>
      </w:r>
    </w:p>
    <w:p w14:paraId="41DECC51" w14:textId="77777777" w:rsidR="00D630AE" w:rsidRPr="00097824" w:rsidRDefault="007F5427" w:rsidP="00AD4A9F">
      <w:pPr>
        <w:widowControl w:val="0"/>
        <w:autoSpaceDE w:val="0"/>
        <w:autoSpaceDN w:val="0"/>
        <w:adjustRightInd w:val="0"/>
        <w:ind w:left="397" w:firstLine="357"/>
        <w:contextualSpacing/>
        <w:rPr>
          <w:szCs w:val="24"/>
        </w:rPr>
      </w:pPr>
      <w:r w:rsidRPr="00097824">
        <w:rPr>
          <w:rFonts w:eastAsia="Times New Roman"/>
          <w:color w:val="000000"/>
          <w:szCs w:val="24"/>
          <w:lang w:eastAsia="ru-RU"/>
        </w:rPr>
        <w:t>Желчного протока или прохода БДУ</w:t>
      </w:r>
    </w:p>
    <w:p w14:paraId="1B5118BE" w14:textId="77777777" w:rsidR="00D630AE" w:rsidRPr="00097824" w:rsidRDefault="007F5427" w:rsidP="00AD4A9F">
      <w:pPr>
        <w:widowControl w:val="0"/>
        <w:autoSpaceDE w:val="0"/>
        <w:autoSpaceDN w:val="0"/>
        <w:adjustRightInd w:val="0"/>
        <w:ind w:left="397" w:firstLine="357"/>
        <w:contextualSpacing/>
        <w:rPr>
          <w:szCs w:val="24"/>
        </w:rPr>
      </w:pPr>
      <w:r w:rsidRPr="00097824">
        <w:rPr>
          <w:rFonts w:eastAsia="Times New Roman"/>
          <w:color w:val="000000"/>
          <w:szCs w:val="24"/>
          <w:lang w:eastAsia="ru-RU"/>
        </w:rPr>
        <w:t>Общего желчного протока</w:t>
      </w:r>
    </w:p>
    <w:p w14:paraId="112EF849" w14:textId="77777777" w:rsidR="00D630AE" w:rsidRPr="00097824" w:rsidRDefault="00E84ED8" w:rsidP="00AD4A9F">
      <w:pPr>
        <w:widowControl w:val="0"/>
        <w:autoSpaceDE w:val="0"/>
        <w:autoSpaceDN w:val="0"/>
        <w:adjustRightInd w:val="0"/>
        <w:ind w:left="397" w:firstLine="357"/>
        <w:contextualSpacing/>
        <w:rPr>
          <w:szCs w:val="24"/>
        </w:rPr>
      </w:pPr>
      <w:r w:rsidRPr="00097824">
        <w:rPr>
          <w:szCs w:val="24"/>
        </w:rPr>
        <w:t>П</w:t>
      </w:r>
      <w:r w:rsidR="007F5427" w:rsidRPr="00097824">
        <w:rPr>
          <w:rFonts w:eastAsia="Times New Roman"/>
          <w:color w:val="000000"/>
          <w:szCs w:val="24"/>
          <w:lang w:eastAsia="ru-RU"/>
        </w:rPr>
        <w:t>узырного протока</w:t>
      </w:r>
    </w:p>
    <w:p w14:paraId="51F7B207" w14:textId="77777777" w:rsidR="00D630AE" w:rsidRPr="00097824" w:rsidRDefault="007F5427" w:rsidP="00AD4A9F">
      <w:pPr>
        <w:widowControl w:val="0"/>
        <w:autoSpaceDE w:val="0"/>
        <w:autoSpaceDN w:val="0"/>
        <w:adjustRightInd w:val="0"/>
        <w:ind w:left="397" w:firstLine="357"/>
        <w:contextualSpacing/>
        <w:rPr>
          <w:rFonts w:eastAsia="Times New Roman"/>
          <w:color w:val="000000"/>
          <w:szCs w:val="24"/>
          <w:lang w:eastAsia="ru-RU"/>
        </w:rPr>
      </w:pPr>
      <w:r w:rsidRPr="00097824">
        <w:rPr>
          <w:rFonts w:eastAsia="Times New Roman"/>
          <w:color w:val="000000"/>
          <w:szCs w:val="24"/>
          <w:lang w:eastAsia="ru-RU"/>
        </w:rPr>
        <w:t>Печеночного протока</w:t>
      </w:r>
    </w:p>
    <w:p w14:paraId="2675A883" w14:textId="2AC9714B" w:rsidR="00D630AE" w:rsidRPr="00097824" w:rsidRDefault="00E84ED8" w:rsidP="00AD4A9F">
      <w:pPr>
        <w:widowControl w:val="0"/>
        <w:autoSpaceDE w:val="0"/>
        <w:autoSpaceDN w:val="0"/>
        <w:adjustRightInd w:val="0"/>
        <w:ind w:left="397" w:firstLine="357"/>
        <w:contextualSpacing/>
        <w:rPr>
          <w:b/>
          <w:bCs/>
          <w:color w:val="000000"/>
          <w:szCs w:val="24"/>
        </w:rPr>
      </w:pPr>
      <w:r w:rsidRPr="00097824">
        <w:rPr>
          <w:rFonts w:eastAsia="Times New Roman"/>
          <w:b/>
          <w:color w:val="000000"/>
          <w:szCs w:val="24"/>
          <w:lang w:eastAsia="ru-RU"/>
        </w:rPr>
        <w:t>С</w:t>
      </w:r>
      <w:r w:rsidR="007F5427" w:rsidRPr="00097824">
        <w:rPr>
          <w:rFonts w:eastAsia="Times New Roman"/>
          <w:b/>
          <w:color w:val="000000"/>
          <w:szCs w:val="24"/>
          <w:lang w:eastAsia="ru-RU"/>
        </w:rPr>
        <w:t xml:space="preserve">24.8 </w:t>
      </w:r>
      <w:r w:rsidR="007F5427" w:rsidRPr="00097824">
        <w:rPr>
          <w:b/>
          <w:bCs/>
          <w:color w:val="000000"/>
          <w:szCs w:val="24"/>
        </w:rPr>
        <w:t>Поражение желчных путей, выходящее за пределы одной и более вышеуказанных локализаций</w:t>
      </w:r>
    </w:p>
    <w:p w14:paraId="676E7A18" w14:textId="77777777" w:rsidR="00932ED0" w:rsidRPr="00097824" w:rsidRDefault="003B53E4" w:rsidP="003B53E4">
      <w:pPr>
        <w:pStyle w:val="afd"/>
        <w:spacing w:beforeAutospacing="0" w:afterAutospacing="0" w:line="360" w:lineRule="auto"/>
        <w:ind w:left="397" w:firstLine="357"/>
        <w:rPr>
          <w:color w:val="000000"/>
        </w:rPr>
      </w:pPr>
      <w:r w:rsidRPr="00097824">
        <w:rPr>
          <w:color w:val="000000"/>
        </w:rPr>
        <w:t xml:space="preserve">Злокачественное новообразование желчных путей, выходящее за пределы одной и более вышеуказанных локализаций, злокачественное новообразование, </w:t>
      </w:r>
      <w:r w:rsidR="00932ED0" w:rsidRPr="00097824">
        <w:rPr>
          <w:color w:val="000000"/>
        </w:rPr>
        <w:t>захватывающее внутрипеченочные и внепеченочные желчные протоки, злокачественное новообразование желчных путей, которое по месту возникновения не может быть отнесено ни к одной из рубрик С22.1-С24.8</w:t>
      </w:r>
    </w:p>
    <w:p w14:paraId="5D02CFD0" w14:textId="144ECE00" w:rsidR="003B53E4" w:rsidRPr="00097824" w:rsidRDefault="007F5427" w:rsidP="003B53E4">
      <w:pPr>
        <w:pStyle w:val="afd"/>
        <w:spacing w:beforeAutospacing="0" w:afterAutospacing="0" w:line="360" w:lineRule="auto"/>
        <w:ind w:left="397" w:firstLine="357"/>
        <w:rPr>
          <w:color w:val="000000"/>
        </w:rPr>
      </w:pPr>
      <w:r w:rsidRPr="00097824">
        <w:rPr>
          <w:b/>
          <w:bCs/>
          <w:color w:val="000000"/>
        </w:rPr>
        <w:t xml:space="preserve">С24.9 </w:t>
      </w:r>
      <w:r w:rsidR="006C4F7B" w:rsidRPr="00097824">
        <w:rPr>
          <w:b/>
          <w:bCs/>
          <w:color w:val="000000"/>
        </w:rPr>
        <w:t>Поражение ж</w:t>
      </w:r>
      <w:r w:rsidRPr="00097824">
        <w:rPr>
          <w:b/>
          <w:bCs/>
          <w:color w:val="000000"/>
        </w:rPr>
        <w:t>елчных путей неуточненное</w:t>
      </w:r>
    </w:p>
    <w:p w14:paraId="2E087ECE" w14:textId="77777777" w:rsidR="00D630AE" w:rsidRPr="00097824" w:rsidRDefault="00D630AE" w:rsidP="00AD4A9F">
      <w:pPr>
        <w:pStyle w:val="afd"/>
        <w:spacing w:beforeAutospacing="0" w:afterAutospacing="0" w:line="360" w:lineRule="auto"/>
        <w:ind w:left="397" w:firstLine="357"/>
        <w:rPr>
          <w:color w:val="000000"/>
        </w:rPr>
      </w:pPr>
    </w:p>
    <w:p w14:paraId="3022090A" w14:textId="0BE07590" w:rsidR="00536F95" w:rsidRPr="00097824" w:rsidRDefault="00536F95" w:rsidP="00AD4A9F">
      <w:pPr>
        <w:pStyle w:val="afd"/>
        <w:spacing w:beforeAutospacing="0" w:afterAutospacing="0" w:line="360" w:lineRule="auto"/>
        <w:ind w:left="397" w:firstLine="357"/>
        <w:rPr>
          <w:color w:val="000000"/>
        </w:rPr>
      </w:pPr>
      <w:r w:rsidRPr="00097824">
        <w:rPr>
          <w:color w:val="000000"/>
        </w:rPr>
        <w:lastRenderedPageBreak/>
        <w:t>1.5</w:t>
      </w:r>
      <w:r w:rsidRPr="00097824">
        <w:rPr>
          <w:color w:val="000000"/>
        </w:rPr>
        <w:tab/>
        <w:t>Классификация заболевания или состояния (группы заболеваний или состояний)</w:t>
      </w:r>
    </w:p>
    <w:p w14:paraId="16F58186" w14:textId="783C7258" w:rsidR="00D630AE" w:rsidRPr="00097824" w:rsidRDefault="00536F95" w:rsidP="00AD4A9F">
      <w:pPr>
        <w:pStyle w:val="afd"/>
        <w:spacing w:beforeAutospacing="0" w:afterAutospacing="0" w:line="360" w:lineRule="auto"/>
        <w:ind w:left="397" w:firstLine="357"/>
        <w:rPr>
          <w:color w:val="000000"/>
        </w:rPr>
      </w:pPr>
      <w:r w:rsidRPr="00097824">
        <w:rPr>
          <w:color w:val="000000"/>
        </w:rPr>
        <w:t>Всемирная организация здравоохранения, 2019 г.</w:t>
      </w:r>
    </w:p>
    <w:p w14:paraId="16E86B01" w14:textId="1B04F96C" w:rsidR="006C4F7B" w:rsidRPr="00097824" w:rsidRDefault="00424F14" w:rsidP="00AD4A9F">
      <w:pPr>
        <w:ind w:left="397" w:firstLine="357"/>
        <w:rPr>
          <w:szCs w:val="24"/>
        </w:rPr>
      </w:pPr>
      <w:r w:rsidRPr="00097824">
        <w:rPr>
          <w:b/>
          <w:bCs/>
        </w:rPr>
        <w:t>Опухоли печени и внутрипеченочных желчных протоков</w:t>
      </w:r>
    </w:p>
    <w:p w14:paraId="6D5DBF95" w14:textId="77777777" w:rsidR="00424F14" w:rsidRPr="00097824" w:rsidRDefault="00424F14" w:rsidP="00AD4A9F">
      <w:pPr>
        <w:ind w:left="397" w:firstLine="357"/>
        <w:rPr>
          <w:b/>
          <w:bCs/>
        </w:rPr>
      </w:pPr>
      <w:r w:rsidRPr="00097824">
        <w:rPr>
          <w:b/>
          <w:bCs/>
        </w:rPr>
        <w:t xml:space="preserve">Доброкачественные </w:t>
      </w:r>
      <w:proofErr w:type="spellStart"/>
      <w:r w:rsidRPr="00097824">
        <w:rPr>
          <w:b/>
          <w:bCs/>
        </w:rPr>
        <w:t>билиарные</w:t>
      </w:r>
      <w:proofErr w:type="spellEnd"/>
      <w:r w:rsidRPr="00097824">
        <w:rPr>
          <w:b/>
          <w:bCs/>
        </w:rPr>
        <w:t xml:space="preserve"> опухоли и предопухолевые процессы</w:t>
      </w:r>
    </w:p>
    <w:p w14:paraId="408B9623" w14:textId="28E173BC" w:rsidR="00424F14" w:rsidRPr="00097824" w:rsidRDefault="00424F14" w:rsidP="00AD4A9F">
      <w:pPr>
        <w:ind w:left="397" w:firstLine="357"/>
        <w:rPr>
          <w:szCs w:val="24"/>
        </w:rPr>
      </w:pPr>
      <w:r w:rsidRPr="00097824">
        <w:rPr>
          <w:szCs w:val="24"/>
        </w:rPr>
        <w:t>8160/0</w:t>
      </w:r>
      <w:r w:rsidR="007F5427" w:rsidRPr="00097824">
        <w:rPr>
          <w:szCs w:val="24"/>
        </w:rPr>
        <w:t xml:space="preserve"> –</w:t>
      </w:r>
      <w:r w:rsidRPr="00097824">
        <w:rPr>
          <w:szCs w:val="24"/>
        </w:rPr>
        <w:t xml:space="preserve"> Аденома желчных протоков (</w:t>
      </w:r>
      <w:proofErr w:type="spellStart"/>
      <w:r w:rsidRPr="00097824">
        <w:rPr>
          <w:szCs w:val="24"/>
        </w:rPr>
        <w:t>билиарная</w:t>
      </w:r>
      <w:proofErr w:type="spellEnd"/>
      <w:r w:rsidRPr="00097824">
        <w:rPr>
          <w:szCs w:val="24"/>
        </w:rPr>
        <w:t xml:space="preserve"> аденома)</w:t>
      </w:r>
    </w:p>
    <w:p w14:paraId="460BA2D8" w14:textId="6C21C26B" w:rsidR="00424F14" w:rsidRPr="00097824" w:rsidRDefault="00424F14" w:rsidP="00AD4A9F">
      <w:pPr>
        <w:ind w:left="397" w:firstLine="357"/>
        <w:rPr>
          <w:szCs w:val="24"/>
        </w:rPr>
      </w:pPr>
      <w:r w:rsidRPr="00097824">
        <w:rPr>
          <w:szCs w:val="24"/>
        </w:rPr>
        <w:t>9013/0</w:t>
      </w:r>
      <w:r w:rsidR="007F5427" w:rsidRPr="00097824">
        <w:rPr>
          <w:szCs w:val="24"/>
        </w:rPr>
        <w:t xml:space="preserve"> –</w:t>
      </w:r>
      <w:proofErr w:type="spellStart"/>
      <w:r w:rsidRPr="00097824">
        <w:rPr>
          <w:szCs w:val="24"/>
        </w:rPr>
        <w:t>Аденофиброма</w:t>
      </w:r>
      <w:proofErr w:type="spellEnd"/>
      <w:r w:rsidRPr="00097824">
        <w:rPr>
          <w:szCs w:val="24"/>
        </w:rPr>
        <w:t>, БДУ</w:t>
      </w:r>
    </w:p>
    <w:p w14:paraId="4773020C" w14:textId="7AD19AF4" w:rsidR="00424F14" w:rsidRPr="00097824" w:rsidRDefault="00424F14" w:rsidP="00AD4A9F">
      <w:pPr>
        <w:ind w:left="397" w:firstLine="357"/>
        <w:rPr>
          <w:szCs w:val="24"/>
        </w:rPr>
      </w:pPr>
      <w:r w:rsidRPr="00097824">
        <w:rPr>
          <w:szCs w:val="24"/>
        </w:rPr>
        <w:t>8148/0</w:t>
      </w:r>
      <w:r w:rsidR="007F5427" w:rsidRPr="00097824">
        <w:rPr>
          <w:szCs w:val="24"/>
        </w:rPr>
        <w:t xml:space="preserve"> –</w:t>
      </w:r>
      <w:proofErr w:type="spellStart"/>
      <w:r w:rsidRPr="00097824">
        <w:rPr>
          <w:szCs w:val="24"/>
        </w:rPr>
        <w:t>Билиарная</w:t>
      </w:r>
      <w:proofErr w:type="spellEnd"/>
      <w:r w:rsidR="000F5A6E" w:rsidRPr="00097824">
        <w:rPr>
          <w:szCs w:val="24"/>
        </w:rPr>
        <w:t xml:space="preserve"> </w:t>
      </w:r>
      <w:proofErr w:type="spellStart"/>
      <w:r w:rsidRPr="00097824">
        <w:rPr>
          <w:szCs w:val="24"/>
        </w:rPr>
        <w:t>интраэпителиальная</w:t>
      </w:r>
      <w:proofErr w:type="spellEnd"/>
      <w:r w:rsidRPr="00097824">
        <w:rPr>
          <w:szCs w:val="24"/>
        </w:rPr>
        <w:t xml:space="preserve"> неоплазия, </w:t>
      </w:r>
      <w:proofErr w:type="spellStart"/>
      <w:r w:rsidRPr="00097824">
        <w:rPr>
          <w:szCs w:val="24"/>
        </w:rPr>
        <w:t>low</w:t>
      </w:r>
      <w:proofErr w:type="spellEnd"/>
      <w:r w:rsidR="000F5A6E" w:rsidRPr="00097824">
        <w:rPr>
          <w:szCs w:val="24"/>
        </w:rPr>
        <w:t xml:space="preserve"> </w:t>
      </w:r>
      <w:proofErr w:type="spellStart"/>
      <w:r w:rsidRPr="00097824">
        <w:rPr>
          <w:szCs w:val="24"/>
        </w:rPr>
        <w:t>grade</w:t>
      </w:r>
      <w:proofErr w:type="spellEnd"/>
    </w:p>
    <w:p w14:paraId="22226E70" w14:textId="32AEE69B" w:rsidR="00424F14" w:rsidRPr="00097824" w:rsidRDefault="00424F14" w:rsidP="00AD4A9F">
      <w:pPr>
        <w:ind w:left="397" w:firstLine="357"/>
        <w:rPr>
          <w:szCs w:val="24"/>
        </w:rPr>
      </w:pPr>
      <w:r w:rsidRPr="00097824">
        <w:rPr>
          <w:szCs w:val="24"/>
        </w:rPr>
        <w:t>8148/2</w:t>
      </w:r>
      <w:r w:rsidR="007F5427" w:rsidRPr="00097824">
        <w:rPr>
          <w:szCs w:val="24"/>
        </w:rPr>
        <w:t>–</w:t>
      </w:r>
      <w:proofErr w:type="spellStart"/>
      <w:r w:rsidRPr="00097824">
        <w:rPr>
          <w:szCs w:val="24"/>
        </w:rPr>
        <w:t>Билиарная</w:t>
      </w:r>
      <w:proofErr w:type="spellEnd"/>
      <w:r w:rsidR="000F5A6E" w:rsidRPr="00097824">
        <w:rPr>
          <w:szCs w:val="24"/>
        </w:rPr>
        <w:t xml:space="preserve"> </w:t>
      </w:r>
      <w:proofErr w:type="spellStart"/>
      <w:r w:rsidRPr="00097824">
        <w:rPr>
          <w:szCs w:val="24"/>
        </w:rPr>
        <w:t>интраэпителиальная</w:t>
      </w:r>
      <w:proofErr w:type="spellEnd"/>
      <w:r w:rsidRPr="00097824">
        <w:rPr>
          <w:szCs w:val="24"/>
        </w:rPr>
        <w:t xml:space="preserve"> неоплазия, </w:t>
      </w:r>
      <w:proofErr w:type="spellStart"/>
      <w:r w:rsidRPr="00097824">
        <w:rPr>
          <w:szCs w:val="24"/>
        </w:rPr>
        <w:t>high</w:t>
      </w:r>
      <w:proofErr w:type="spellEnd"/>
      <w:r w:rsidR="000F5A6E" w:rsidRPr="00097824">
        <w:rPr>
          <w:szCs w:val="24"/>
        </w:rPr>
        <w:t xml:space="preserve"> </w:t>
      </w:r>
      <w:proofErr w:type="spellStart"/>
      <w:r w:rsidRPr="00097824">
        <w:rPr>
          <w:szCs w:val="24"/>
        </w:rPr>
        <w:t>grade</w:t>
      </w:r>
      <w:proofErr w:type="spellEnd"/>
    </w:p>
    <w:p w14:paraId="1DF37DA1" w14:textId="3B54A829" w:rsidR="00D630AE" w:rsidRPr="00097824" w:rsidRDefault="00424F14" w:rsidP="00AD4A9F">
      <w:pPr>
        <w:ind w:left="397" w:firstLine="357"/>
        <w:rPr>
          <w:szCs w:val="24"/>
        </w:rPr>
      </w:pPr>
      <w:r w:rsidRPr="00097824">
        <w:rPr>
          <w:szCs w:val="24"/>
        </w:rPr>
        <w:t>8503/0</w:t>
      </w:r>
      <w:r w:rsidR="007F5427" w:rsidRPr="00097824">
        <w:rPr>
          <w:szCs w:val="24"/>
        </w:rPr>
        <w:t xml:space="preserve"> –</w:t>
      </w:r>
      <w:r w:rsidR="00E739C2" w:rsidRPr="00097824">
        <w:rPr>
          <w:szCs w:val="24"/>
        </w:rPr>
        <w:t xml:space="preserve"> </w:t>
      </w:r>
      <w:proofErr w:type="spellStart"/>
      <w:r w:rsidRPr="00097824">
        <w:rPr>
          <w:szCs w:val="24"/>
        </w:rPr>
        <w:t>Внутрипротоковая</w:t>
      </w:r>
      <w:proofErr w:type="spellEnd"/>
      <w:r w:rsidRPr="00097824">
        <w:rPr>
          <w:szCs w:val="24"/>
        </w:rPr>
        <w:t xml:space="preserve"> папиллярная опухоль с </w:t>
      </w:r>
      <w:proofErr w:type="spellStart"/>
      <w:r w:rsidRPr="00097824">
        <w:rPr>
          <w:szCs w:val="24"/>
        </w:rPr>
        <w:t>интраэпителиальной</w:t>
      </w:r>
      <w:proofErr w:type="spellEnd"/>
      <w:r w:rsidRPr="00097824">
        <w:rPr>
          <w:szCs w:val="24"/>
        </w:rPr>
        <w:t xml:space="preserve"> неоплазией</w:t>
      </w:r>
      <w:r w:rsidR="007F5427" w:rsidRPr="00097824">
        <w:rPr>
          <w:szCs w:val="24"/>
        </w:rPr>
        <w:t>,</w:t>
      </w:r>
      <w:r w:rsidR="00E739C2" w:rsidRPr="00097824">
        <w:rPr>
          <w:szCs w:val="24"/>
        </w:rPr>
        <w:t xml:space="preserve"> </w:t>
      </w:r>
      <w:proofErr w:type="spellStart"/>
      <w:r w:rsidRPr="00097824">
        <w:rPr>
          <w:szCs w:val="24"/>
        </w:rPr>
        <w:t>low</w:t>
      </w:r>
      <w:proofErr w:type="spellEnd"/>
      <w:r w:rsidR="00E739C2" w:rsidRPr="00097824">
        <w:rPr>
          <w:szCs w:val="24"/>
        </w:rPr>
        <w:t xml:space="preserve"> </w:t>
      </w:r>
      <w:proofErr w:type="spellStart"/>
      <w:r w:rsidRPr="00097824">
        <w:rPr>
          <w:szCs w:val="24"/>
        </w:rPr>
        <w:t>grade</w:t>
      </w:r>
      <w:proofErr w:type="spellEnd"/>
    </w:p>
    <w:p w14:paraId="21275325" w14:textId="33FA9EE9" w:rsidR="00D630AE" w:rsidRPr="00097824" w:rsidRDefault="00424F14" w:rsidP="00AD4A9F">
      <w:pPr>
        <w:ind w:left="397" w:firstLine="357"/>
        <w:rPr>
          <w:szCs w:val="24"/>
        </w:rPr>
      </w:pPr>
      <w:r w:rsidRPr="00097824">
        <w:rPr>
          <w:szCs w:val="24"/>
        </w:rPr>
        <w:t>8503/2</w:t>
      </w:r>
      <w:r w:rsidR="00E739C2" w:rsidRPr="00097824">
        <w:rPr>
          <w:szCs w:val="24"/>
        </w:rPr>
        <w:t xml:space="preserve"> </w:t>
      </w:r>
      <w:r w:rsidR="007F5427" w:rsidRPr="00097824">
        <w:rPr>
          <w:szCs w:val="24"/>
        </w:rPr>
        <w:t>–</w:t>
      </w:r>
      <w:r w:rsidR="00E739C2" w:rsidRPr="00097824">
        <w:rPr>
          <w:szCs w:val="24"/>
        </w:rPr>
        <w:t xml:space="preserve"> </w:t>
      </w:r>
      <w:proofErr w:type="spellStart"/>
      <w:r w:rsidRPr="00097824">
        <w:rPr>
          <w:szCs w:val="24"/>
        </w:rPr>
        <w:t>Внутрипротоковая</w:t>
      </w:r>
      <w:proofErr w:type="spellEnd"/>
      <w:r w:rsidRPr="00097824">
        <w:rPr>
          <w:szCs w:val="24"/>
        </w:rPr>
        <w:t xml:space="preserve"> папиллярная опухоль с </w:t>
      </w:r>
      <w:proofErr w:type="spellStart"/>
      <w:r w:rsidRPr="00097824">
        <w:rPr>
          <w:szCs w:val="24"/>
        </w:rPr>
        <w:t>интраэпителиальной</w:t>
      </w:r>
      <w:proofErr w:type="spellEnd"/>
      <w:r w:rsidRPr="00097824">
        <w:rPr>
          <w:szCs w:val="24"/>
        </w:rPr>
        <w:t xml:space="preserve"> неоплазией</w:t>
      </w:r>
      <w:r w:rsidR="007F5427" w:rsidRPr="00097824">
        <w:rPr>
          <w:szCs w:val="24"/>
        </w:rPr>
        <w:t>,</w:t>
      </w:r>
      <w:r w:rsidR="004A1307" w:rsidRPr="00097824">
        <w:rPr>
          <w:szCs w:val="24"/>
        </w:rPr>
        <w:t xml:space="preserve"> </w:t>
      </w:r>
      <w:proofErr w:type="spellStart"/>
      <w:r w:rsidRPr="00097824">
        <w:rPr>
          <w:szCs w:val="24"/>
        </w:rPr>
        <w:t>high</w:t>
      </w:r>
      <w:proofErr w:type="spellEnd"/>
      <w:r w:rsidR="004A1307" w:rsidRPr="00097824">
        <w:rPr>
          <w:szCs w:val="24"/>
        </w:rPr>
        <w:t xml:space="preserve"> </w:t>
      </w:r>
      <w:proofErr w:type="spellStart"/>
      <w:r w:rsidRPr="00097824">
        <w:rPr>
          <w:szCs w:val="24"/>
        </w:rPr>
        <w:t>grade</w:t>
      </w:r>
      <w:proofErr w:type="spellEnd"/>
    </w:p>
    <w:p w14:paraId="7CAD7B1E" w14:textId="2E4382FD" w:rsidR="00D630AE" w:rsidRPr="00097824" w:rsidRDefault="00424F14" w:rsidP="00AD4A9F">
      <w:pPr>
        <w:ind w:left="397" w:firstLine="357"/>
        <w:rPr>
          <w:szCs w:val="24"/>
        </w:rPr>
      </w:pPr>
      <w:r w:rsidRPr="00097824">
        <w:rPr>
          <w:szCs w:val="24"/>
        </w:rPr>
        <w:t xml:space="preserve">8503/3 </w:t>
      </w:r>
      <w:r w:rsidR="007F5427" w:rsidRPr="00097824">
        <w:rPr>
          <w:szCs w:val="24"/>
        </w:rPr>
        <w:t xml:space="preserve">– </w:t>
      </w:r>
      <w:proofErr w:type="spellStart"/>
      <w:r w:rsidRPr="00097824">
        <w:rPr>
          <w:szCs w:val="24"/>
        </w:rPr>
        <w:t>Внутрипротоковая</w:t>
      </w:r>
      <w:proofErr w:type="spellEnd"/>
      <w:r w:rsidRPr="00097824">
        <w:rPr>
          <w:szCs w:val="24"/>
        </w:rPr>
        <w:t xml:space="preserve"> папиллярная опухоль в сочетании с инвазивной карциномой</w:t>
      </w:r>
    </w:p>
    <w:p w14:paraId="26593572" w14:textId="6F0501F1" w:rsidR="00D630AE" w:rsidRPr="00097824" w:rsidRDefault="00424F14" w:rsidP="00AD4A9F">
      <w:pPr>
        <w:ind w:left="397" w:firstLine="357"/>
        <w:rPr>
          <w:szCs w:val="24"/>
        </w:rPr>
      </w:pPr>
      <w:r w:rsidRPr="00097824">
        <w:rPr>
          <w:szCs w:val="24"/>
        </w:rPr>
        <w:t>8470/0</w:t>
      </w:r>
      <w:r w:rsidR="007F5427" w:rsidRPr="00097824">
        <w:rPr>
          <w:szCs w:val="24"/>
        </w:rPr>
        <w:t xml:space="preserve"> –</w:t>
      </w:r>
      <w:r w:rsidR="00E739C2" w:rsidRPr="00097824">
        <w:rPr>
          <w:szCs w:val="24"/>
        </w:rPr>
        <w:t xml:space="preserve"> </w:t>
      </w:r>
      <w:proofErr w:type="spellStart"/>
      <w:r w:rsidRPr="00097824">
        <w:rPr>
          <w:szCs w:val="24"/>
        </w:rPr>
        <w:t>Муцинозная</w:t>
      </w:r>
      <w:proofErr w:type="spellEnd"/>
      <w:r w:rsidRPr="00097824">
        <w:rPr>
          <w:szCs w:val="24"/>
        </w:rPr>
        <w:t xml:space="preserve"> кистозная опухоль с </w:t>
      </w:r>
      <w:proofErr w:type="spellStart"/>
      <w:r w:rsidRPr="00097824">
        <w:rPr>
          <w:szCs w:val="24"/>
        </w:rPr>
        <w:t>интраэпителиальной</w:t>
      </w:r>
      <w:proofErr w:type="spellEnd"/>
      <w:r w:rsidRPr="00097824">
        <w:rPr>
          <w:szCs w:val="24"/>
        </w:rPr>
        <w:t xml:space="preserve"> неоплазией</w:t>
      </w:r>
      <w:r w:rsidR="007F5427" w:rsidRPr="00097824">
        <w:rPr>
          <w:szCs w:val="24"/>
        </w:rPr>
        <w:t>,</w:t>
      </w:r>
      <w:r w:rsidR="00E739C2" w:rsidRPr="00097824">
        <w:rPr>
          <w:szCs w:val="24"/>
        </w:rPr>
        <w:t xml:space="preserve"> </w:t>
      </w:r>
      <w:proofErr w:type="spellStart"/>
      <w:r w:rsidRPr="00097824">
        <w:rPr>
          <w:szCs w:val="24"/>
        </w:rPr>
        <w:t>low</w:t>
      </w:r>
      <w:proofErr w:type="spellEnd"/>
      <w:r w:rsidR="00E739C2" w:rsidRPr="00097824">
        <w:rPr>
          <w:szCs w:val="24"/>
        </w:rPr>
        <w:t xml:space="preserve"> </w:t>
      </w:r>
      <w:proofErr w:type="spellStart"/>
      <w:r w:rsidRPr="00097824">
        <w:rPr>
          <w:szCs w:val="24"/>
        </w:rPr>
        <w:t>grade</w:t>
      </w:r>
      <w:proofErr w:type="spellEnd"/>
    </w:p>
    <w:p w14:paraId="47642085" w14:textId="65A96447" w:rsidR="00D630AE" w:rsidRPr="00097824" w:rsidRDefault="00424F14" w:rsidP="00AD4A9F">
      <w:pPr>
        <w:ind w:left="397" w:firstLine="357"/>
        <w:rPr>
          <w:szCs w:val="24"/>
        </w:rPr>
      </w:pPr>
      <w:r w:rsidRPr="00097824">
        <w:rPr>
          <w:szCs w:val="24"/>
        </w:rPr>
        <w:t>8470/2</w:t>
      </w:r>
      <w:r w:rsidR="007F5427" w:rsidRPr="00097824">
        <w:rPr>
          <w:szCs w:val="24"/>
        </w:rPr>
        <w:t xml:space="preserve"> –</w:t>
      </w:r>
      <w:r w:rsidR="00E739C2" w:rsidRPr="00097824">
        <w:rPr>
          <w:szCs w:val="24"/>
        </w:rPr>
        <w:t xml:space="preserve"> </w:t>
      </w:r>
      <w:proofErr w:type="spellStart"/>
      <w:r w:rsidRPr="00097824">
        <w:rPr>
          <w:szCs w:val="24"/>
        </w:rPr>
        <w:t>Муцинозная</w:t>
      </w:r>
      <w:proofErr w:type="spellEnd"/>
      <w:r w:rsidRPr="00097824">
        <w:rPr>
          <w:szCs w:val="24"/>
        </w:rPr>
        <w:t xml:space="preserve"> кистозная опухоль с </w:t>
      </w:r>
      <w:proofErr w:type="spellStart"/>
      <w:r w:rsidRPr="00097824">
        <w:rPr>
          <w:szCs w:val="24"/>
        </w:rPr>
        <w:t>интраэпителиальной</w:t>
      </w:r>
      <w:proofErr w:type="spellEnd"/>
      <w:r w:rsidRPr="00097824">
        <w:rPr>
          <w:szCs w:val="24"/>
        </w:rPr>
        <w:t xml:space="preserve"> неоплазией</w:t>
      </w:r>
      <w:r w:rsidR="007F5427" w:rsidRPr="00097824">
        <w:rPr>
          <w:szCs w:val="24"/>
        </w:rPr>
        <w:t>,</w:t>
      </w:r>
      <w:r w:rsidR="000F5A6E" w:rsidRPr="00097824">
        <w:rPr>
          <w:szCs w:val="24"/>
        </w:rPr>
        <w:t xml:space="preserve"> </w:t>
      </w:r>
      <w:proofErr w:type="spellStart"/>
      <w:r w:rsidRPr="00097824">
        <w:rPr>
          <w:szCs w:val="24"/>
        </w:rPr>
        <w:t>high</w:t>
      </w:r>
      <w:proofErr w:type="spellEnd"/>
      <w:r w:rsidR="000F5A6E" w:rsidRPr="00097824">
        <w:rPr>
          <w:szCs w:val="24"/>
        </w:rPr>
        <w:t xml:space="preserve"> </w:t>
      </w:r>
      <w:proofErr w:type="spellStart"/>
      <w:r w:rsidRPr="00097824">
        <w:rPr>
          <w:szCs w:val="24"/>
        </w:rPr>
        <w:t>grade</w:t>
      </w:r>
      <w:proofErr w:type="spellEnd"/>
    </w:p>
    <w:p w14:paraId="2ADA8FDF" w14:textId="35EC67B8" w:rsidR="00424F14" w:rsidRPr="00097824" w:rsidRDefault="00424F14" w:rsidP="00AD4A9F">
      <w:pPr>
        <w:ind w:left="397" w:firstLine="357"/>
        <w:rPr>
          <w:b/>
          <w:szCs w:val="24"/>
        </w:rPr>
      </w:pPr>
      <w:r w:rsidRPr="00097824">
        <w:rPr>
          <w:szCs w:val="24"/>
        </w:rPr>
        <w:t xml:space="preserve">8470/3 </w:t>
      </w:r>
      <w:r w:rsidR="007F5427" w:rsidRPr="00097824">
        <w:rPr>
          <w:szCs w:val="24"/>
        </w:rPr>
        <w:t xml:space="preserve">– </w:t>
      </w:r>
      <w:proofErr w:type="spellStart"/>
      <w:r w:rsidRPr="00097824">
        <w:rPr>
          <w:szCs w:val="24"/>
        </w:rPr>
        <w:t>Муцинозная</w:t>
      </w:r>
      <w:proofErr w:type="spellEnd"/>
      <w:r w:rsidRPr="00097824">
        <w:rPr>
          <w:szCs w:val="24"/>
        </w:rPr>
        <w:t xml:space="preserve"> кистозная опухоль в сочетании с инвазивной карциномой</w:t>
      </w:r>
    </w:p>
    <w:p w14:paraId="1DCE2A4B" w14:textId="77777777" w:rsidR="00424F14" w:rsidRPr="00097824" w:rsidRDefault="00424F14" w:rsidP="00AD4A9F">
      <w:pPr>
        <w:ind w:left="397" w:firstLine="357"/>
        <w:rPr>
          <w:b/>
          <w:bCs/>
        </w:rPr>
      </w:pPr>
      <w:r w:rsidRPr="00097824">
        <w:rPr>
          <w:b/>
          <w:bCs/>
        </w:rPr>
        <w:t xml:space="preserve">Злокачественные </w:t>
      </w:r>
      <w:proofErr w:type="spellStart"/>
      <w:r w:rsidRPr="00097824">
        <w:rPr>
          <w:b/>
          <w:bCs/>
        </w:rPr>
        <w:t>билиарные</w:t>
      </w:r>
      <w:proofErr w:type="spellEnd"/>
      <w:r w:rsidRPr="00097824">
        <w:rPr>
          <w:b/>
          <w:bCs/>
        </w:rPr>
        <w:t xml:space="preserve"> опухоли</w:t>
      </w:r>
    </w:p>
    <w:p w14:paraId="09392F47" w14:textId="457B7B72" w:rsidR="00424F14" w:rsidRPr="00097824" w:rsidRDefault="00424F14" w:rsidP="00AD4A9F">
      <w:pPr>
        <w:ind w:left="397" w:firstLine="357"/>
        <w:rPr>
          <w:szCs w:val="24"/>
        </w:rPr>
      </w:pPr>
      <w:r w:rsidRPr="00097824">
        <w:rPr>
          <w:szCs w:val="24"/>
        </w:rPr>
        <w:t xml:space="preserve">8160/3 </w:t>
      </w:r>
      <w:r w:rsidR="007F5427" w:rsidRPr="00097824">
        <w:rPr>
          <w:szCs w:val="24"/>
        </w:rPr>
        <w:t xml:space="preserve">– </w:t>
      </w:r>
      <w:proofErr w:type="spellStart"/>
      <w:r w:rsidRPr="00097824">
        <w:rPr>
          <w:szCs w:val="24"/>
        </w:rPr>
        <w:t>Холангиокарцинома</w:t>
      </w:r>
      <w:proofErr w:type="spellEnd"/>
    </w:p>
    <w:p w14:paraId="71D77AD3" w14:textId="77777777" w:rsidR="00424F14" w:rsidRPr="00097824" w:rsidRDefault="00424F14" w:rsidP="00AD4A9F">
      <w:pPr>
        <w:ind w:left="397" w:firstLine="357"/>
        <w:rPr>
          <w:szCs w:val="24"/>
        </w:rPr>
      </w:pPr>
      <w:proofErr w:type="spellStart"/>
      <w:r w:rsidRPr="00097824">
        <w:rPr>
          <w:szCs w:val="24"/>
        </w:rPr>
        <w:t>Крупнопротоковая</w:t>
      </w:r>
      <w:proofErr w:type="spellEnd"/>
      <w:r w:rsidRPr="00097824">
        <w:rPr>
          <w:szCs w:val="24"/>
        </w:rPr>
        <w:t xml:space="preserve"> внутрипеченочная </w:t>
      </w:r>
      <w:proofErr w:type="spellStart"/>
      <w:r w:rsidRPr="00097824">
        <w:rPr>
          <w:szCs w:val="24"/>
        </w:rPr>
        <w:t>холангиокарцинома</w:t>
      </w:r>
      <w:proofErr w:type="spellEnd"/>
    </w:p>
    <w:p w14:paraId="728FEE28" w14:textId="77777777" w:rsidR="00424F14" w:rsidRPr="00097824" w:rsidRDefault="00424F14" w:rsidP="00AD4A9F">
      <w:pPr>
        <w:ind w:left="397" w:firstLine="357"/>
        <w:rPr>
          <w:szCs w:val="24"/>
        </w:rPr>
      </w:pPr>
      <w:proofErr w:type="spellStart"/>
      <w:r w:rsidRPr="00097824">
        <w:rPr>
          <w:szCs w:val="24"/>
        </w:rPr>
        <w:t>Мелкопротоковая</w:t>
      </w:r>
      <w:proofErr w:type="spellEnd"/>
      <w:r w:rsidRPr="00097824">
        <w:rPr>
          <w:szCs w:val="24"/>
        </w:rPr>
        <w:t xml:space="preserve"> внутрипеченочная </w:t>
      </w:r>
      <w:proofErr w:type="spellStart"/>
      <w:r w:rsidRPr="00097824">
        <w:rPr>
          <w:szCs w:val="24"/>
        </w:rPr>
        <w:t>холангиокарцинома</w:t>
      </w:r>
      <w:proofErr w:type="spellEnd"/>
    </w:p>
    <w:p w14:paraId="16B057F7" w14:textId="77777777" w:rsidR="00424F14" w:rsidRPr="00097824" w:rsidRDefault="00424F14" w:rsidP="00AD4A9F">
      <w:pPr>
        <w:ind w:left="397" w:firstLine="357"/>
        <w:rPr>
          <w:szCs w:val="24"/>
        </w:rPr>
      </w:pPr>
      <w:r w:rsidRPr="00097824">
        <w:rPr>
          <w:szCs w:val="24"/>
        </w:rPr>
        <w:t>8020/3 –Рак, недифференцированный, БДУ</w:t>
      </w:r>
    </w:p>
    <w:p w14:paraId="062B53B5" w14:textId="2D3BA8E5" w:rsidR="00424F14" w:rsidRPr="00097824" w:rsidRDefault="00424F14" w:rsidP="00AD4A9F">
      <w:pPr>
        <w:ind w:left="397" w:firstLine="357"/>
        <w:rPr>
          <w:szCs w:val="24"/>
        </w:rPr>
      </w:pPr>
      <w:r w:rsidRPr="00097824">
        <w:rPr>
          <w:szCs w:val="24"/>
        </w:rPr>
        <w:t xml:space="preserve">8180/3 </w:t>
      </w:r>
      <w:r w:rsidR="007F5427" w:rsidRPr="00097824">
        <w:rPr>
          <w:szCs w:val="24"/>
        </w:rPr>
        <w:t xml:space="preserve">– </w:t>
      </w:r>
      <w:r w:rsidRPr="00097824">
        <w:rPr>
          <w:szCs w:val="24"/>
        </w:rPr>
        <w:t xml:space="preserve">Комбинированный гепатоцеллюлярный рак и </w:t>
      </w:r>
      <w:proofErr w:type="spellStart"/>
      <w:r w:rsidRPr="00097824">
        <w:rPr>
          <w:szCs w:val="24"/>
        </w:rPr>
        <w:t>холангиокарцинома</w:t>
      </w:r>
      <w:proofErr w:type="spellEnd"/>
    </w:p>
    <w:p w14:paraId="47370A57" w14:textId="64CB22EB" w:rsidR="00424F14" w:rsidRPr="00097824" w:rsidRDefault="00424F14" w:rsidP="00AD4A9F">
      <w:pPr>
        <w:ind w:left="397" w:firstLine="357"/>
        <w:rPr>
          <w:szCs w:val="24"/>
        </w:rPr>
      </w:pPr>
      <w:r w:rsidRPr="00097824">
        <w:rPr>
          <w:szCs w:val="24"/>
        </w:rPr>
        <w:t xml:space="preserve">8240/3 </w:t>
      </w:r>
      <w:r w:rsidR="007F5427" w:rsidRPr="00097824">
        <w:rPr>
          <w:szCs w:val="24"/>
        </w:rPr>
        <w:t>–</w:t>
      </w:r>
      <w:r w:rsidRPr="00097824">
        <w:rPr>
          <w:szCs w:val="24"/>
        </w:rPr>
        <w:t>Нейроэндокринная опухоль, БДУ</w:t>
      </w:r>
    </w:p>
    <w:p w14:paraId="25947F4D" w14:textId="60078762" w:rsidR="00424F14" w:rsidRPr="00097824" w:rsidRDefault="00424F14" w:rsidP="00AD4A9F">
      <w:pPr>
        <w:ind w:left="397" w:firstLine="357"/>
        <w:rPr>
          <w:szCs w:val="24"/>
        </w:rPr>
      </w:pPr>
      <w:r w:rsidRPr="00097824">
        <w:rPr>
          <w:szCs w:val="24"/>
        </w:rPr>
        <w:t>8240/3</w:t>
      </w:r>
      <w:r w:rsidR="007F5427" w:rsidRPr="00097824">
        <w:rPr>
          <w:szCs w:val="24"/>
        </w:rPr>
        <w:t xml:space="preserve"> –</w:t>
      </w:r>
      <w:r w:rsidRPr="00097824">
        <w:rPr>
          <w:szCs w:val="24"/>
        </w:rPr>
        <w:t xml:space="preserve"> Нейроэндокринная опухоль, </w:t>
      </w:r>
      <w:proofErr w:type="spellStart"/>
      <w:r w:rsidRPr="00097824">
        <w:rPr>
          <w:szCs w:val="24"/>
        </w:rPr>
        <w:t>grade</w:t>
      </w:r>
      <w:proofErr w:type="spellEnd"/>
      <w:r w:rsidRPr="00097824">
        <w:rPr>
          <w:szCs w:val="24"/>
        </w:rPr>
        <w:t xml:space="preserve"> 1</w:t>
      </w:r>
    </w:p>
    <w:p w14:paraId="4CE482B1" w14:textId="1BE197AA" w:rsidR="00424F14" w:rsidRPr="00097824" w:rsidRDefault="00424F14" w:rsidP="00AD4A9F">
      <w:pPr>
        <w:ind w:left="397" w:firstLine="357"/>
        <w:rPr>
          <w:szCs w:val="24"/>
        </w:rPr>
      </w:pPr>
      <w:r w:rsidRPr="00097824">
        <w:rPr>
          <w:szCs w:val="24"/>
        </w:rPr>
        <w:t>8249/3</w:t>
      </w:r>
      <w:r w:rsidR="007F5427" w:rsidRPr="00097824">
        <w:rPr>
          <w:szCs w:val="24"/>
        </w:rPr>
        <w:t xml:space="preserve"> –</w:t>
      </w:r>
      <w:r w:rsidRPr="00097824">
        <w:rPr>
          <w:szCs w:val="24"/>
        </w:rPr>
        <w:t xml:space="preserve"> Нейроэндокринная опухоль, </w:t>
      </w:r>
      <w:proofErr w:type="spellStart"/>
      <w:r w:rsidRPr="00097824">
        <w:rPr>
          <w:szCs w:val="24"/>
        </w:rPr>
        <w:t>grade</w:t>
      </w:r>
      <w:proofErr w:type="spellEnd"/>
      <w:r w:rsidRPr="00097824">
        <w:rPr>
          <w:szCs w:val="24"/>
        </w:rPr>
        <w:t xml:space="preserve"> 2</w:t>
      </w:r>
    </w:p>
    <w:p w14:paraId="75769258" w14:textId="7A2ACA56" w:rsidR="00424F14" w:rsidRPr="00097824" w:rsidRDefault="00424F14" w:rsidP="00AD4A9F">
      <w:pPr>
        <w:ind w:left="397" w:firstLine="357"/>
        <w:rPr>
          <w:szCs w:val="24"/>
        </w:rPr>
      </w:pPr>
      <w:r w:rsidRPr="00097824">
        <w:rPr>
          <w:szCs w:val="24"/>
        </w:rPr>
        <w:t>8249/3</w:t>
      </w:r>
      <w:r w:rsidR="007F5427" w:rsidRPr="00097824">
        <w:rPr>
          <w:szCs w:val="24"/>
        </w:rPr>
        <w:t>–</w:t>
      </w:r>
      <w:r w:rsidRPr="00097824">
        <w:rPr>
          <w:szCs w:val="24"/>
        </w:rPr>
        <w:t xml:space="preserve"> Нейроэндокринная опухоль</w:t>
      </w:r>
      <w:r w:rsidR="00C350DB" w:rsidRPr="00097824">
        <w:rPr>
          <w:szCs w:val="24"/>
        </w:rPr>
        <w:t>,</w:t>
      </w:r>
      <w:r w:rsidR="00AD4A9F" w:rsidRPr="00097824">
        <w:rPr>
          <w:szCs w:val="24"/>
        </w:rPr>
        <w:t xml:space="preserve"> </w:t>
      </w:r>
      <w:proofErr w:type="spellStart"/>
      <w:r w:rsidRPr="00097824">
        <w:rPr>
          <w:szCs w:val="24"/>
        </w:rPr>
        <w:t>grade</w:t>
      </w:r>
      <w:proofErr w:type="spellEnd"/>
      <w:r w:rsidRPr="00097824">
        <w:rPr>
          <w:szCs w:val="24"/>
        </w:rPr>
        <w:t xml:space="preserve"> 3</w:t>
      </w:r>
    </w:p>
    <w:p w14:paraId="60D93633" w14:textId="3FAC4FE5" w:rsidR="00424F14" w:rsidRPr="00097824" w:rsidRDefault="00424F14" w:rsidP="00AD4A9F">
      <w:pPr>
        <w:ind w:left="397" w:firstLine="357"/>
        <w:rPr>
          <w:szCs w:val="24"/>
        </w:rPr>
      </w:pPr>
      <w:r w:rsidRPr="00097824">
        <w:rPr>
          <w:szCs w:val="24"/>
        </w:rPr>
        <w:t xml:space="preserve">8246/3 </w:t>
      </w:r>
      <w:r w:rsidR="00C350DB" w:rsidRPr="00097824">
        <w:rPr>
          <w:szCs w:val="24"/>
        </w:rPr>
        <w:t xml:space="preserve">– </w:t>
      </w:r>
      <w:r w:rsidRPr="00097824">
        <w:rPr>
          <w:szCs w:val="24"/>
        </w:rPr>
        <w:t>Нейроэндокринный рак, БДУ</w:t>
      </w:r>
    </w:p>
    <w:p w14:paraId="080122AA" w14:textId="5081E287" w:rsidR="00424F14" w:rsidRPr="00097824" w:rsidRDefault="00424F14" w:rsidP="00AD4A9F">
      <w:pPr>
        <w:ind w:left="397" w:firstLine="357"/>
        <w:rPr>
          <w:szCs w:val="24"/>
        </w:rPr>
      </w:pPr>
      <w:r w:rsidRPr="00097824">
        <w:rPr>
          <w:szCs w:val="24"/>
        </w:rPr>
        <w:t>8013/3</w:t>
      </w:r>
      <w:r w:rsidR="00C350DB" w:rsidRPr="00097824">
        <w:rPr>
          <w:szCs w:val="24"/>
        </w:rPr>
        <w:t>–</w:t>
      </w:r>
      <w:r w:rsidRPr="00097824">
        <w:rPr>
          <w:szCs w:val="24"/>
        </w:rPr>
        <w:t xml:space="preserve"> Крупноклеточный нейроэндокринный рак</w:t>
      </w:r>
    </w:p>
    <w:p w14:paraId="2E9B88F5" w14:textId="21DC22D2" w:rsidR="00424F14" w:rsidRPr="00097824" w:rsidRDefault="00424F14" w:rsidP="00AD4A9F">
      <w:pPr>
        <w:ind w:left="397" w:firstLine="357"/>
        <w:rPr>
          <w:szCs w:val="24"/>
        </w:rPr>
      </w:pPr>
      <w:r w:rsidRPr="00097824">
        <w:rPr>
          <w:szCs w:val="24"/>
        </w:rPr>
        <w:t>8041/3</w:t>
      </w:r>
      <w:r w:rsidR="00C350DB" w:rsidRPr="00097824">
        <w:rPr>
          <w:szCs w:val="24"/>
        </w:rPr>
        <w:t>–</w:t>
      </w:r>
      <w:r w:rsidRPr="00097824">
        <w:rPr>
          <w:szCs w:val="24"/>
        </w:rPr>
        <w:t xml:space="preserve"> Мелкоклеточный нейроэндокринный рак</w:t>
      </w:r>
    </w:p>
    <w:p w14:paraId="1FE1F77F" w14:textId="15309A99" w:rsidR="00424F14" w:rsidRPr="00097824" w:rsidRDefault="00424F14" w:rsidP="00AD4A9F">
      <w:pPr>
        <w:ind w:left="397" w:firstLine="357"/>
        <w:rPr>
          <w:szCs w:val="24"/>
        </w:rPr>
      </w:pPr>
      <w:r w:rsidRPr="00097824">
        <w:rPr>
          <w:szCs w:val="24"/>
        </w:rPr>
        <w:t>8154/3</w:t>
      </w:r>
      <w:r w:rsidR="00C350DB" w:rsidRPr="00097824">
        <w:rPr>
          <w:szCs w:val="24"/>
        </w:rPr>
        <w:t>–</w:t>
      </w:r>
      <w:r w:rsidRPr="00097824">
        <w:rPr>
          <w:szCs w:val="24"/>
        </w:rPr>
        <w:t xml:space="preserve"> Смешанная нейроэндокринная/не нейроэндокринная опухоль (</w:t>
      </w:r>
      <w:proofErr w:type="spellStart"/>
      <w:r w:rsidRPr="00097824">
        <w:rPr>
          <w:szCs w:val="24"/>
        </w:rPr>
        <w:t>MiNEN</w:t>
      </w:r>
      <w:proofErr w:type="spellEnd"/>
      <w:r w:rsidRPr="00097824">
        <w:rPr>
          <w:szCs w:val="24"/>
        </w:rPr>
        <w:t>)</w:t>
      </w:r>
    </w:p>
    <w:p w14:paraId="3AE08A78" w14:textId="77777777" w:rsidR="00424F14" w:rsidRPr="00097824" w:rsidRDefault="00424F14" w:rsidP="00AD4A9F">
      <w:pPr>
        <w:ind w:left="397" w:firstLine="357"/>
        <w:rPr>
          <w:szCs w:val="24"/>
        </w:rPr>
      </w:pPr>
    </w:p>
    <w:p w14:paraId="532CF46F" w14:textId="77777777" w:rsidR="00424F14" w:rsidRPr="00097824" w:rsidRDefault="00424F14" w:rsidP="00AD4A9F">
      <w:pPr>
        <w:ind w:left="397" w:firstLine="357"/>
        <w:rPr>
          <w:b/>
          <w:bCs/>
        </w:rPr>
      </w:pPr>
      <w:r w:rsidRPr="00097824">
        <w:rPr>
          <w:b/>
          <w:bCs/>
        </w:rPr>
        <w:t>Опухоли внепеченочных желчных протоков</w:t>
      </w:r>
    </w:p>
    <w:p w14:paraId="7EAA342A" w14:textId="04A79DED" w:rsidR="00424F14" w:rsidRPr="00097824" w:rsidRDefault="00424F14" w:rsidP="00AD4A9F">
      <w:pPr>
        <w:ind w:left="397" w:firstLine="357"/>
        <w:rPr>
          <w:szCs w:val="24"/>
        </w:rPr>
      </w:pPr>
      <w:r w:rsidRPr="00097824">
        <w:rPr>
          <w:szCs w:val="24"/>
        </w:rPr>
        <w:t>8160/3</w:t>
      </w:r>
      <w:r w:rsidR="00C350DB" w:rsidRPr="00097824">
        <w:rPr>
          <w:szCs w:val="24"/>
        </w:rPr>
        <w:t xml:space="preserve"> –</w:t>
      </w:r>
      <w:proofErr w:type="spellStart"/>
      <w:r w:rsidRPr="00097824">
        <w:rPr>
          <w:szCs w:val="24"/>
        </w:rPr>
        <w:t>Холангиокарцинома</w:t>
      </w:r>
      <w:proofErr w:type="spellEnd"/>
    </w:p>
    <w:p w14:paraId="62A03A66" w14:textId="2D62455F" w:rsidR="00424F14" w:rsidRPr="00097824" w:rsidRDefault="00424F14" w:rsidP="00AD4A9F">
      <w:pPr>
        <w:ind w:left="397" w:firstLine="357"/>
        <w:rPr>
          <w:szCs w:val="24"/>
        </w:rPr>
      </w:pPr>
      <w:r w:rsidRPr="00097824">
        <w:rPr>
          <w:szCs w:val="24"/>
        </w:rPr>
        <w:t>8070/3</w:t>
      </w:r>
      <w:r w:rsidR="00C350DB" w:rsidRPr="00097824">
        <w:rPr>
          <w:szCs w:val="24"/>
        </w:rPr>
        <w:t>–</w:t>
      </w:r>
      <w:r w:rsidRPr="00097824">
        <w:rPr>
          <w:szCs w:val="24"/>
        </w:rPr>
        <w:t xml:space="preserve"> Плоскоклеточный рак БДУ</w:t>
      </w:r>
    </w:p>
    <w:p w14:paraId="37ED40BC" w14:textId="2E0C10CC" w:rsidR="00424F14" w:rsidRPr="00097824" w:rsidRDefault="00424F14" w:rsidP="00AD4A9F">
      <w:pPr>
        <w:ind w:left="397" w:firstLine="357"/>
        <w:rPr>
          <w:szCs w:val="24"/>
        </w:rPr>
      </w:pPr>
      <w:r w:rsidRPr="00097824">
        <w:rPr>
          <w:szCs w:val="24"/>
        </w:rPr>
        <w:t>8560/3</w:t>
      </w:r>
      <w:r w:rsidR="00C350DB" w:rsidRPr="00097824">
        <w:rPr>
          <w:szCs w:val="24"/>
        </w:rPr>
        <w:t>–</w:t>
      </w:r>
      <w:r w:rsidRPr="00097824">
        <w:rPr>
          <w:szCs w:val="24"/>
        </w:rPr>
        <w:t xml:space="preserve"> Железисто-плоскоклеточный рак</w:t>
      </w:r>
    </w:p>
    <w:p w14:paraId="5E708066" w14:textId="4953C4E0" w:rsidR="00424F14" w:rsidRPr="00097824" w:rsidRDefault="00424F14" w:rsidP="00AD4A9F">
      <w:pPr>
        <w:ind w:left="397" w:firstLine="357"/>
        <w:rPr>
          <w:szCs w:val="24"/>
        </w:rPr>
      </w:pPr>
      <w:r w:rsidRPr="00097824">
        <w:rPr>
          <w:szCs w:val="24"/>
        </w:rPr>
        <w:t>8020/3</w:t>
      </w:r>
      <w:r w:rsidR="00C350DB" w:rsidRPr="00097824">
        <w:rPr>
          <w:szCs w:val="24"/>
        </w:rPr>
        <w:t>–</w:t>
      </w:r>
      <w:r w:rsidRPr="00097824">
        <w:rPr>
          <w:szCs w:val="24"/>
        </w:rPr>
        <w:t xml:space="preserve"> Недифференцированный рак БДУ</w:t>
      </w:r>
    </w:p>
    <w:p w14:paraId="1CFAAC1D" w14:textId="77777777" w:rsidR="00424F14" w:rsidRPr="00097824" w:rsidRDefault="00424F14" w:rsidP="00AD4A9F">
      <w:pPr>
        <w:ind w:left="397" w:firstLine="357"/>
        <w:rPr>
          <w:b/>
          <w:bCs/>
        </w:rPr>
      </w:pPr>
      <w:r w:rsidRPr="00097824">
        <w:rPr>
          <w:b/>
          <w:bCs/>
        </w:rPr>
        <w:t>Опухоли желчного пузыря</w:t>
      </w:r>
    </w:p>
    <w:p w14:paraId="57A98CF4" w14:textId="6BC86372" w:rsidR="00424F14" w:rsidRPr="00097824" w:rsidRDefault="00424F14" w:rsidP="00AD4A9F">
      <w:pPr>
        <w:ind w:left="397" w:firstLine="357"/>
        <w:rPr>
          <w:szCs w:val="24"/>
        </w:rPr>
      </w:pPr>
      <w:r w:rsidRPr="00097824">
        <w:rPr>
          <w:szCs w:val="24"/>
        </w:rPr>
        <w:t>8140/3</w:t>
      </w:r>
      <w:r w:rsidR="00C350DB" w:rsidRPr="00097824">
        <w:rPr>
          <w:szCs w:val="24"/>
        </w:rPr>
        <w:t xml:space="preserve">– </w:t>
      </w:r>
      <w:r w:rsidRPr="00097824">
        <w:rPr>
          <w:szCs w:val="24"/>
        </w:rPr>
        <w:t>Аденокарцинома БДУ</w:t>
      </w:r>
    </w:p>
    <w:p w14:paraId="1E91643B" w14:textId="019C0354" w:rsidR="00424F14" w:rsidRPr="00097824" w:rsidRDefault="00424F14" w:rsidP="00AD4A9F">
      <w:pPr>
        <w:ind w:left="397" w:firstLine="357"/>
        <w:rPr>
          <w:szCs w:val="24"/>
        </w:rPr>
      </w:pPr>
      <w:r w:rsidRPr="00097824">
        <w:rPr>
          <w:szCs w:val="24"/>
        </w:rPr>
        <w:t>8070/3</w:t>
      </w:r>
      <w:r w:rsidR="00C350DB" w:rsidRPr="00097824">
        <w:rPr>
          <w:szCs w:val="24"/>
        </w:rPr>
        <w:t>–</w:t>
      </w:r>
      <w:r w:rsidRPr="00097824">
        <w:rPr>
          <w:szCs w:val="24"/>
        </w:rPr>
        <w:t xml:space="preserve"> Плоскоклеточный рак БДУ</w:t>
      </w:r>
    </w:p>
    <w:p w14:paraId="21ECE7A0" w14:textId="3A6EFAE5" w:rsidR="00D630AE" w:rsidRPr="00097824" w:rsidRDefault="00424F14" w:rsidP="00AD4A9F">
      <w:pPr>
        <w:ind w:left="397" w:firstLine="357"/>
      </w:pPr>
      <w:r w:rsidRPr="00097824">
        <w:rPr>
          <w:szCs w:val="24"/>
        </w:rPr>
        <w:t xml:space="preserve">8020/3 </w:t>
      </w:r>
      <w:r w:rsidR="00C350DB" w:rsidRPr="00097824">
        <w:rPr>
          <w:szCs w:val="24"/>
        </w:rPr>
        <w:t xml:space="preserve">– </w:t>
      </w:r>
      <w:r w:rsidRPr="00097824">
        <w:rPr>
          <w:szCs w:val="24"/>
        </w:rPr>
        <w:t>Карцинома недифференцированная БДУ</w:t>
      </w:r>
    </w:p>
    <w:p w14:paraId="4C15B917" w14:textId="77777777" w:rsidR="00972338" w:rsidRPr="00097824" w:rsidRDefault="00972338" w:rsidP="00AD4A9F">
      <w:pPr>
        <w:ind w:left="397" w:firstLine="357"/>
        <w:contextualSpacing/>
        <w:rPr>
          <w:rFonts w:eastAsia="Times New Roman"/>
          <w:noProof/>
          <w:szCs w:val="24"/>
          <w:lang w:eastAsia="ru-RU"/>
        </w:rPr>
      </w:pPr>
    </w:p>
    <w:p w14:paraId="2A3B7DB5" w14:textId="719DBB6D" w:rsidR="00D630AE" w:rsidRPr="00097824" w:rsidRDefault="007F5427" w:rsidP="00AD4A9F">
      <w:pPr>
        <w:ind w:left="397" w:firstLine="357"/>
        <w:rPr>
          <w:rFonts w:eastAsia="Times New Roman"/>
          <w:szCs w:val="24"/>
        </w:rPr>
      </w:pPr>
      <w:r w:rsidRPr="00097824">
        <w:rPr>
          <w:rFonts w:eastAsia="Times New Roman"/>
          <w:noProof/>
          <w:szCs w:val="24"/>
          <w:lang w:eastAsia="ru-RU"/>
        </w:rPr>
        <w:t>Рак внепеченочных желчных протоков встречается значительно чаще</w:t>
      </w:r>
      <w:r w:rsidR="00972338" w:rsidRPr="00097824">
        <w:rPr>
          <w:rFonts w:eastAsia="Times New Roman"/>
          <w:noProof/>
          <w:szCs w:val="24"/>
          <w:lang w:eastAsia="ru-RU"/>
        </w:rPr>
        <w:t xml:space="preserve"> внутрипеченочной холангиокарциномы</w:t>
      </w:r>
      <w:r w:rsidR="00D5586A" w:rsidRPr="00097824">
        <w:rPr>
          <w:rFonts w:eastAsia="Times New Roman"/>
          <w:noProof/>
          <w:szCs w:val="24"/>
          <w:lang w:eastAsia="ru-RU"/>
        </w:rPr>
        <w:t>: на опухол</w:t>
      </w:r>
      <w:r w:rsidR="00972338" w:rsidRPr="00097824">
        <w:rPr>
          <w:rFonts w:eastAsia="Times New Roman"/>
          <w:noProof/>
          <w:szCs w:val="24"/>
          <w:lang w:eastAsia="ru-RU"/>
        </w:rPr>
        <w:t>евое</w:t>
      </w:r>
      <w:r w:rsidR="00E739C2" w:rsidRPr="00097824">
        <w:rPr>
          <w:rFonts w:eastAsia="Times New Roman"/>
          <w:noProof/>
          <w:szCs w:val="24"/>
          <w:lang w:eastAsia="ru-RU"/>
        </w:rPr>
        <w:t xml:space="preserve"> </w:t>
      </w:r>
      <w:r w:rsidR="00972338" w:rsidRPr="00097824">
        <w:rPr>
          <w:rFonts w:eastAsia="Times New Roman"/>
          <w:noProof/>
          <w:szCs w:val="24"/>
          <w:lang w:eastAsia="ru-RU"/>
        </w:rPr>
        <w:t>поражение проксимального отдела внепеченочных желчных протоков</w:t>
      </w:r>
      <w:r w:rsidR="00D5586A" w:rsidRPr="00097824">
        <w:rPr>
          <w:rFonts w:eastAsia="Times New Roman"/>
          <w:noProof/>
          <w:szCs w:val="24"/>
          <w:lang w:eastAsia="ru-RU"/>
        </w:rPr>
        <w:t xml:space="preserve"> приходится 50% от числа холангиокарцином, на опухоли дистальной локализации – 42%, внутрипеченочное поражение встречается в 8% случаев </w:t>
      </w:r>
      <w:r w:rsidRPr="00097824">
        <w:rPr>
          <w:rFonts w:eastAsia="Times New Roman"/>
          <w:noProof/>
          <w:szCs w:val="24"/>
          <w:lang w:eastAsia="ru-RU"/>
        </w:rPr>
        <w:fldChar w:fldCharType="begin"/>
      </w:r>
      <w:r w:rsidR="00D54356" w:rsidRPr="00097824">
        <w:rPr>
          <w:rFonts w:eastAsia="Times New Roman"/>
          <w:noProof/>
          <w:szCs w:val="24"/>
          <w:lang w:eastAsia="ru-RU"/>
        </w:rPr>
        <w:instrText xml:space="preserve"> ADDIN ZOTERO_ITEM CSL_CITATION {"citationID":"QwtGSyqE","properties":{"formattedCitation":"[9]","plainCitation":"[9]","noteIndex":0},"citationItems":[{"id":167079,"uris":["http://zotero.org/groups/4764298/items/F9W6RMJY"],"itemData":{"id":167079,"type":"article-journal","abstract":"Review of 564 consecutive patients with bile duct cancer operated upon between 1973 and 2004 revealed that R0 surgical resection remains the best chance for long-term survival, and lymph node status is the most important prognostic factor following R0 resection.","container-title":"Annals of Surgery","DOI":"10.1097/01.sla.0000251366.62632.d3","ISSN":"0003-4932","issue":"5","journalAbbreviation":"Ann Surg","note":"PMID: 17457168\nPMCID: PMC1877058","page":"755-762","source":"PubMed Central","title":"Cholangiocarcinoma: thirty-one-year experience with 564 patients at a single institution.","volume":"245","author":[{"family":"DeOliveira","given":"Michelle L."},{"family":"Cunningham","given":"Steven C."},{"family":"Cameron","given":"John L."},{"family":"Kamangar","given":"Farin"},{"family":"Winter","given":"Jordan M."},{"family":"Lillemoe","given":"Keith D."},{"family":"Choti","given":"Michael A."},{"family":"Yeo","given":"Charles J."},{"family":"Schulick","given":"Richard D."}],"issued":{"date-parts":[["2007",5]]}}}],"schema":"https://github.com/citation-style-language/schema/raw/master/csl-citation.json"} </w:instrText>
      </w:r>
      <w:r w:rsidRPr="00097824">
        <w:rPr>
          <w:rFonts w:eastAsia="Times New Roman"/>
          <w:noProof/>
          <w:szCs w:val="24"/>
          <w:lang w:eastAsia="ru-RU"/>
        </w:rPr>
        <w:fldChar w:fldCharType="separate"/>
      </w:r>
      <w:r w:rsidR="00D54356" w:rsidRPr="00097824">
        <w:t>[9]</w:t>
      </w:r>
      <w:r w:rsidRPr="00097824">
        <w:rPr>
          <w:rFonts w:eastAsia="Times New Roman"/>
          <w:noProof/>
          <w:szCs w:val="24"/>
          <w:lang w:eastAsia="ru-RU"/>
        </w:rPr>
        <w:fldChar w:fldCharType="end"/>
      </w:r>
      <w:r w:rsidR="00D5586A" w:rsidRPr="00097824">
        <w:rPr>
          <w:rFonts w:eastAsia="Times New Roman"/>
          <w:noProof/>
          <w:szCs w:val="24"/>
          <w:lang w:eastAsia="ru-RU"/>
        </w:rPr>
        <w:t>.</w:t>
      </w:r>
      <w:r w:rsidRPr="00097824">
        <w:rPr>
          <w:rFonts w:eastAsia="Times New Roman"/>
          <w:noProof/>
          <w:szCs w:val="24"/>
          <w:lang w:eastAsia="ru-RU"/>
        </w:rPr>
        <w:t xml:space="preserve"> Среди опухолей желчного пузыря чаще всего (80%) встречаются аденокарциномы, возможны и другие варианты: плоскоклеточный, анапластический, мелкоклеточный рак, лимфомы, саркомы</w:t>
      </w:r>
      <w:r w:rsidRPr="00097824">
        <w:rPr>
          <w:rFonts w:eastAsia="Times New Roman"/>
          <w:noProof/>
          <w:szCs w:val="24"/>
          <w:lang w:eastAsia="ru-RU"/>
        </w:rPr>
        <w:fldChar w:fldCharType="begin"/>
      </w:r>
      <w:r w:rsidRPr="00097824">
        <w:rPr>
          <w:rFonts w:eastAsia="Times New Roman"/>
          <w:noProof/>
          <w:szCs w:val="24"/>
          <w:lang w:eastAsia="ru-RU"/>
        </w:rPr>
        <w:instrText xml:space="preserve"> ADDIN ZOTERO_ITEM CSL_CITATION {"citationID":"wLGehHhX","properties":{"formattedCitation":"[1]","plainCitation":"[1]","noteIndex":0},"citationItems":[{"id":167067,"uris":["http://zotero.org/groups/4764298/items/YUXV4T7X"],"itemData":{"id":167067,"type":"article-journal","abstract":"The objective of this article is to review the available literature on the epidemiology, predisposing factors, and conditions associated with primary gallbladder cancer, and to discuss the role of prophylactic cholecystectomy in high-risk patient populations. Gallbladder cancer is a highly malignant tumor with a poor 5-yr-survival rate. It is a tumor of the elderly and has striking genetic, racial, and geographic characteristics, with an extremely high prevalence in Native Americans and Chileans. Cholelithiasis is a well-established risk factor for gallbladder cancer and the risk seems to correlate with stone size. Polyps that are &gt;l cm, single, sessile, and echopenic are associated with a higher risk of malignancy. Anomalous junction of pancreatico-biliary ducts (AJPBD), especially without choledochal cyst, and porcelain gallbladder are additional factors that predispose to gallbladder cancer. Lesser associations include chronic bacterial infections of the gallbladder, typhoid carrier state, certain occupational and environmental carcinogens, hormonal changes in women, and certain social, dietary, and familial factors. It is important to identify high-risk groups for gallbladder cancer because of the dismal nature of this tumor. In patients with porcelain gallbladder and anomalous junction of the pancreatic and biliary ducts, cholecystectomy is recommended provided that the patient is a good operative candidate. Patients with large solitary polyps or gallstones require close ultrasonic follow-up. With the advent of endoscopic ultrasound it is expected that early changes of malignancy in polyps will be reliably detected, and more patients will potentially be cured with a simple cholecystectomy. Through a MEDLINE/PAPERCHASE search we identified and reviewed articles regarding gallbladder cancer published in English-language journals between 1966 and 1999, using the key words biliary tract and gallbladder diseases, cancer, neoplasms, surgery, cholelithiasis, gallstones, cholecystitis, gallbladder polyps, risk factors, chemical industry, occupational diseases, typhoid, porcelain gallbladder, bacteremia, and precancerous conditions. We also used the bibliography of relevant articles to increase our search. A total of 122 publications were selected using the mentioned data source.","container-title":"The American Journal of Gastroenterology","DOI":"10.1016/S0002-9270(00)00862-5","ISSN":"0002-9270","issue":"6","journalAbbreviation":"The American Journal of Gastroenterology","language":"en","page":"1402-1410","source":"ScienceDirect","title":"Primary gallbladder cancer: recognition of risk factors and the role of prophylactic cholecystectomy","title-short":"Primary gallbladder cancer","volume":"95","author":[{"family":"Sheth","given":"Sunil"},{"family":"Bedford","given":"Andrew"},{"family":"Chopra","given":"Sanjiv"}],"issued":{"date-parts":[["2000",6,1]]}}}],"schema":"https://github.com/citation-style-language/schema/raw/master/csl-citation.json"} </w:instrText>
      </w:r>
      <w:r w:rsidRPr="00097824">
        <w:rPr>
          <w:rFonts w:eastAsia="Times New Roman"/>
          <w:noProof/>
          <w:szCs w:val="24"/>
          <w:lang w:eastAsia="ru-RU"/>
        </w:rPr>
        <w:fldChar w:fldCharType="separate"/>
      </w:r>
      <w:r w:rsidRPr="00097824">
        <w:t>[1]</w:t>
      </w:r>
      <w:r w:rsidRPr="00097824">
        <w:rPr>
          <w:rFonts w:eastAsia="Times New Roman"/>
          <w:noProof/>
          <w:szCs w:val="24"/>
          <w:lang w:eastAsia="ru-RU"/>
        </w:rPr>
        <w:fldChar w:fldCharType="end"/>
      </w:r>
      <w:r w:rsidRPr="00097824">
        <w:rPr>
          <w:rFonts w:eastAsia="Times New Roman"/>
          <w:noProof/>
          <w:szCs w:val="24"/>
          <w:lang w:eastAsia="ru-RU"/>
        </w:rPr>
        <w:t>.</w:t>
      </w:r>
      <w:r w:rsidRPr="00097824">
        <w:rPr>
          <w:rFonts w:eastAsia="Times New Roman"/>
          <w:szCs w:val="24"/>
        </w:rPr>
        <w:t xml:space="preserve"> Рак желчного характеризуется местной и сосудистой инвазией, обширным регионарным </w:t>
      </w:r>
      <w:proofErr w:type="spellStart"/>
      <w:r w:rsidRPr="00097824">
        <w:rPr>
          <w:rFonts w:eastAsia="Times New Roman"/>
          <w:szCs w:val="24"/>
        </w:rPr>
        <w:t>лимфогенным</w:t>
      </w:r>
      <w:proofErr w:type="spellEnd"/>
      <w:r w:rsidRPr="00097824">
        <w:rPr>
          <w:rFonts w:eastAsia="Times New Roman"/>
          <w:szCs w:val="24"/>
        </w:rPr>
        <w:t xml:space="preserve"> и гематогенным метастазированием.</w:t>
      </w:r>
      <w:r w:rsidR="00BC10D0" w:rsidRPr="00097824">
        <w:rPr>
          <w:rFonts w:eastAsia="Times New Roman"/>
          <w:szCs w:val="24"/>
        </w:rPr>
        <w:t xml:space="preserve"> </w:t>
      </w:r>
      <w:r w:rsidRPr="00097824">
        <w:rPr>
          <w:rFonts w:eastAsia="Times New Roman"/>
          <w:noProof/>
          <w:szCs w:val="24"/>
          <w:lang w:eastAsia="ru-RU"/>
        </w:rPr>
        <w:t xml:space="preserve">Более 90% случаев холангиокарцином составляют аденокарциномы, часто (&gt;80%) муцинозные. </w:t>
      </w:r>
      <w:r w:rsidR="00D5586A" w:rsidRPr="00097824">
        <w:rPr>
          <w:rFonts w:eastAsia="Times New Roman"/>
          <w:szCs w:val="24"/>
          <w:lang w:eastAsia="ru-RU"/>
        </w:rPr>
        <w:t xml:space="preserve"> </w:t>
      </w:r>
      <w:r w:rsidR="00FE1DF4" w:rsidRPr="00097824">
        <w:rPr>
          <w:rFonts w:eastAsia="Times New Roman"/>
          <w:szCs w:val="24"/>
          <w:lang w:eastAsia="ru-RU"/>
        </w:rPr>
        <w:t>Р</w:t>
      </w:r>
      <w:r w:rsidR="00FE1DF4" w:rsidRPr="00097824">
        <w:rPr>
          <w:color w:val="000000"/>
          <w:szCs w:val="24"/>
          <w:lang w:eastAsia="ru-RU"/>
        </w:rPr>
        <w:t>анее опухоли макроскопически подразделялись</w:t>
      </w:r>
      <w:r w:rsidR="00FE1DF4" w:rsidRPr="00097824">
        <w:rPr>
          <w:rFonts w:eastAsia="Times New Roman"/>
          <w:szCs w:val="24"/>
          <w:lang w:eastAsia="ru-RU"/>
        </w:rPr>
        <w:t xml:space="preserve"> п</w:t>
      </w:r>
      <w:r w:rsidR="00D5586A" w:rsidRPr="00097824">
        <w:rPr>
          <w:rFonts w:eastAsia="Times New Roman"/>
          <w:szCs w:val="24"/>
          <w:lang w:eastAsia="ru-RU"/>
        </w:rPr>
        <w:t xml:space="preserve">о характеру роста </w:t>
      </w:r>
      <w:r w:rsidR="009C4D14" w:rsidRPr="00097824">
        <w:rPr>
          <w:rFonts w:eastAsia="Times New Roman"/>
          <w:szCs w:val="24"/>
          <w:lang w:eastAsia="ru-RU"/>
        </w:rPr>
        <w:t>на 4</w:t>
      </w:r>
      <w:r w:rsidR="00D5586A" w:rsidRPr="00097824">
        <w:rPr>
          <w:rFonts w:eastAsia="Times New Roman"/>
          <w:szCs w:val="24"/>
          <w:lang w:eastAsia="ru-RU"/>
        </w:rPr>
        <w:t xml:space="preserve"> </w:t>
      </w:r>
      <w:proofErr w:type="gramStart"/>
      <w:r w:rsidR="00D5586A" w:rsidRPr="00097824">
        <w:rPr>
          <w:rFonts w:eastAsia="Times New Roman"/>
          <w:szCs w:val="24"/>
          <w:lang w:eastAsia="ru-RU"/>
        </w:rPr>
        <w:t>типа</w:t>
      </w:r>
      <w:r w:rsidR="009C4D14" w:rsidRPr="00097824">
        <w:rPr>
          <w:rFonts w:eastAsia="Times New Roman"/>
          <w:szCs w:val="24"/>
          <w:lang w:eastAsia="ru-RU"/>
        </w:rPr>
        <w:t>[</w:t>
      </w:r>
      <w:proofErr w:type="gramEnd"/>
      <w:r w:rsidR="009C4D14" w:rsidRPr="00097824">
        <w:rPr>
          <w:rFonts w:eastAsia="Times New Roman"/>
          <w:szCs w:val="24"/>
          <w:lang w:eastAsia="ru-RU"/>
        </w:rPr>
        <w:t>167]</w:t>
      </w:r>
      <w:r w:rsidR="00D5586A" w:rsidRPr="00097824">
        <w:rPr>
          <w:rFonts w:eastAsia="Times New Roman"/>
          <w:szCs w:val="24"/>
          <w:lang w:eastAsia="ru-RU"/>
        </w:rPr>
        <w:t xml:space="preserve">: </w:t>
      </w:r>
    </w:p>
    <w:p w14:paraId="47524C6A" w14:textId="0B48FE2C" w:rsidR="00D5586A" w:rsidRPr="00097824" w:rsidRDefault="009C4D14" w:rsidP="00AD4A9F">
      <w:pPr>
        <w:numPr>
          <w:ilvl w:val="0"/>
          <w:numId w:val="4"/>
        </w:numPr>
        <w:ind w:left="397" w:firstLine="357"/>
        <w:contextualSpacing/>
        <w:rPr>
          <w:rFonts w:eastAsia="Times New Roman"/>
          <w:szCs w:val="24"/>
          <w:lang w:eastAsia="ru-RU"/>
        </w:rPr>
      </w:pPr>
      <w:r w:rsidRPr="00097824">
        <w:rPr>
          <w:rFonts w:eastAsia="Times New Roman"/>
          <w:szCs w:val="24"/>
          <w:lang w:eastAsia="ru-RU"/>
        </w:rPr>
        <w:t>Инфильтративный</w:t>
      </w:r>
      <w:r w:rsidR="00D5586A" w:rsidRPr="00097824">
        <w:rPr>
          <w:rFonts w:eastAsia="Times New Roman"/>
          <w:szCs w:val="24"/>
          <w:lang w:eastAsia="ru-RU"/>
        </w:rPr>
        <w:t xml:space="preserve"> </w:t>
      </w:r>
    </w:p>
    <w:p w14:paraId="3B4A592C" w14:textId="269354F2" w:rsidR="00D5586A" w:rsidRPr="00097824" w:rsidRDefault="009C4D14" w:rsidP="00AD4A9F">
      <w:pPr>
        <w:numPr>
          <w:ilvl w:val="0"/>
          <w:numId w:val="4"/>
        </w:numPr>
        <w:ind w:left="397" w:firstLine="357"/>
        <w:contextualSpacing/>
        <w:rPr>
          <w:rFonts w:eastAsia="Times New Roman"/>
          <w:szCs w:val="24"/>
          <w:lang w:eastAsia="ru-RU"/>
        </w:rPr>
      </w:pPr>
      <w:proofErr w:type="spellStart"/>
      <w:r w:rsidRPr="00097824">
        <w:rPr>
          <w:rFonts w:eastAsia="Times New Roman"/>
          <w:szCs w:val="24"/>
          <w:lang w:eastAsia="ru-RU"/>
        </w:rPr>
        <w:t>Нодулярный</w:t>
      </w:r>
      <w:proofErr w:type="spellEnd"/>
    </w:p>
    <w:p w14:paraId="7D2E819B" w14:textId="34DC9764" w:rsidR="009C4D14" w:rsidRPr="00097824" w:rsidRDefault="009C4D14" w:rsidP="00AD4A9F">
      <w:pPr>
        <w:numPr>
          <w:ilvl w:val="0"/>
          <w:numId w:val="4"/>
        </w:numPr>
        <w:ind w:left="397" w:firstLine="357"/>
        <w:contextualSpacing/>
        <w:rPr>
          <w:rFonts w:eastAsia="Times New Roman"/>
          <w:szCs w:val="24"/>
          <w:lang w:eastAsia="ru-RU"/>
        </w:rPr>
      </w:pPr>
      <w:proofErr w:type="spellStart"/>
      <w:r w:rsidRPr="00097824">
        <w:rPr>
          <w:rFonts w:eastAsia="Times New Roman"/>
          <w:szCs w:val="24"/>
          <w:lang w:eastAsia="ru-RU"/>
        </w:rPr>
        <w:t>Нодулярно</w:t>
      </w:r>
      <w:proofErr w:type="spellEnd"/>
      <w:r w:rsidRPr="00097824">
        <w:rPr>
          <w:rFonts w:eastAsia="Times New Roman"/>
          <w:szCs w:val="24"/>
          <w:lang w:eastAsia="ru-RU"/>
        </w:rPr>
        <w:t>-инфильтративный</w:t>
      </w:r>
    </w:p>
    <w:p w14:paraId="2E4BBE95" w14:textId="1EE4BCC5" w:rsidR="00D5586A" w:rsidRPr="00097824" w:rsidRDefault="009C4D14" w:rsidP="00AD4A9F">
      <w:pPr>
        <w:numPr>
          <w:ilvl w:val="0"/>
          <w:numId w:val="4"/>
        </w:numPr>
        <w:ind w:left="397" w:firstLine="357"/>
        <w:contextualSpacing/>
        <w:rPr>
          <w:rFonts w:eastAsia="Times New Roman"/>
          <w:b/>
          <w:szCs w:val="24"/>
          <w:u w:val="single"/>
          <w:lang w:eastAsia="ru-RU"/>
        </w:rPr>
      </w:pPr>
      <w:r w:rsidRPr="00097824">
        <w:rPr>
          <w:rFonts w:eastAsia="Times New Roman"/>
          <w:szCs w:val="24"/>
          <w:lang w:eastAsia="ru-RU"/>
        </w:rPr>
        <w:t>П</w:t>
      </w:r>
      <w:r w:rsidR="00D5586A" w:rsidRPr="00097824">
        <w:rPr>
          <w:rFonts w:eastAsia="Times New Roman"/>
          <w:szCs w:val="24"/>
          <w:lang w:eastAsia="ru-RU"/>
        </w:rPr>
        <w:t>апиллярный</w:t>
      </w:r>
    </w:p>
    <w:p w14:paraId="2ADB2C8D" w14:textId="77777777" w:rsidR="00D630AE" w:rsidRPr="00097824" w:rsidRDefault="00D630AE" w:rsidP="00AD4A9F">
      <w:pPr>
        <w:ind w:left="397" w:firstLine="357"/>
        <w:contextualSpacing/>
        <w:rPr>
          <w:rFonts w:eastAsia="Times New Roman"/>
          <w:b/>
          <w:szCs w:val="24"/>
          <w:u w:val="single"/>
          <w:lang w:eastAsia="ru-RU"/>
        </w:rPr>
      </w:pPr>
    </w:p>
    <w:p w14:paraId="3548EF92" w14:textId="77777777" w:rsidR="00BB0486" w:rsidRPr="00097824" w:rsidRDefault="00BB0486" w:rsidP="00AD4A9F">
      <w:pPr>
        <w:pStyle w:val="2"/>
        <w:spacing w:before="0"/>
        <w:ind w:left="397" w:firstLine="357"/>
        <w:rPr>
          <w:rFonts w:eastAsia="Times New Roman"/>
          <w:lang w:eastAsia="ru-RU"/>
        </w:rPr>
      </w:pPr>
      <w:bookmarkStart w:id="37" w:name="_Toc113198761"/>
      <w:bookmarkStart w:id="38" w:name="_Toc113205051"/>
      <w:r w:rsidRPr="00097824">
        <w:rPr>
          <w:rFonts w:eastAsia="Times New Roman"/>
          <w:lang w:eastAsia="ru-RU"/>
        </w:rPr>
        <w:t>1.6 Клиническая</w:t>
      </w:r>
      <w:r w:rsidR="00E739C2" w:rsidRPr="00097824">
        <w:rPr>
          <w:rFonts w:eastAsia="Times New Roman"/>
          <w:lang w:eastAsia="ru-RU"/>
        </w:rPr>
        <w:t xml:space="preserve"> </w:t>
      </w:r>
      <w:r w:rsidRPr="00097824">
        <w:rPr>
          <w:rFonts w:eastAsia="Times New Roman"/>
          <w:lang w:eastAsia="ru-RU"/>
        </w:rPr>
        <w:t>картина</w:t>
      </w:r>
      <w:r w:rsidR="00BC10D0" w:rsidRPr="00097824">
        <w:rPr>
          <w:rFonts w:eastAsia="Times New Roman"/>
          <w:lang w:eastAsia="ru-RU"/>
        </w:rPr>
        <w:t xml:space="preserve"> </w:t>
      </w:r>
      <w:r w:rsidR="00DC7E37" w:rsidRPr="00097824">
        <w:rPr>
          <w:shd w:val="clear" w:color="auto" w:fill="FFFFFF"/>
        </w:rPr>
        <w:t>заболевания или состояния (группы заболеваний или состояний)</w:t>
      </w:r>
      <w:bookmarkEnd w:id="37"/>
      <w:bookmarkEnd w:id="38"/>
    </w:p>
    <w:p w14:paraId="4A1B7F6B" w14:textId="77777777" w:rsidR="009F38AD" w:rsidRPr="00097824" w:rsidRDefault="009F38AD" w:rsidP="00AD4A9F">
      <w:pPr>
        <w:ind w:left="397" w:firstLine="357"/>
      </w:pPr>
    </w:p>
    <w:p w14:paraId="1BF3FB5F" w14:textId="443E68EC" w:rsidR="00BB0486" w:rsidRPr="00097824" w:rsidRDefault="00BB0486" w:rsidP="00AD4A9F">
      <w:pPr>
        <w:ind w:left="397" w:firstLine="357"/>
      </w:pPr>
      <w:r w:rsidRPr="00097824">
        <w:t xml:space="preserve">Ранние симптомы рака внутрипеченочного желчного протока и рака желчного пузыря крайне неспецифичны: дискомфорт, тяжесть в правом подреберье или </w:t>
      </w:r>
      <w:proofErr w:type="spellStart"/>
      <w:r w:rsidRPr="00097824">
        <w:t>эпигастрии</w:t>
      </w:r>
      <w:proofErr w:type="spellEnd"/>
      <w:r w:rsidRPr="00097824">
        <w:t xml:space="preserve">, снижение аппетита. Иногда </w:t>
      </w:r>
      <w:r w:rsidR="00555C6D" w:rsidRPr="00097824">
        <w:t xml:space="preserve">наличие опухолевого поражения </w:t>
      </w:r>
      <w:r w:rsidRPr="00097824">
        <w:t xml:space="preserve">можно выявить </w:t>
      </w:r>
      <w:r w:rsidR="00CB39BF" w:rsidRPr="00097824">
        <w:t xml:space="preserve">по </w:t>
      </w:r>
      <w:r w:rsidRPr="00097824">
        <w:t>изменени</w:t>
      </w:r>
      <w:r w:rsidR="00CB39BF" w:rsidRPr="00097824">
        <w:t>ям</w:t>
      </w:r>
      <w:r w:rsidR="000F5A6E" w:rsidRPr="00097824">
        <w:t xml:space="preserve"> </w:t>
      </w:r>
      <w:r w:rsidR="00CB39BF" w:rsidRPr="00097824">
        <w:t xml:space="preserve">результатов </w:t>
      </w:r>
      <w:r w:rsidRPr="00097824">
        <w:t xml:space="preserve">биохимических анализов крови (повышение </w:t>
      </w:r>
      <w:r w:rsidRPr="00097824">
        <w:lastRenderedPageBreak/>
        <w:t xml:space="preserve">активности трансаминаз или показателей холестаза), а также </w:t>
      </w:r>
      <w:r w:rsidR="00CB39BF" w:rsidRPr="00097824">
        <w:t xml:space="preserve">по </w:t>
      </w:r>
      <w:r w:rsidRPr="00097824">
        <w:t>увеличени</w:t>
      </w:r>
      <w:r w:rsidR="00CB39BF" w:rsidRPr="00097824">
        <w:t>ю</w:t>
      </w:r>
      <w:r w:rsidRPr="00097824">
        <w:t xml:space="preserve"> уровн</w:t>
      </w:r>
      <w:r w:rsidR="00CB39BF" w:rsidRPr="00097824">
        <w:t>ей</w:t>
      </w:r>
      <w:r w:rsidRPr="00097824">
        <w:t xml:space="preserve"> опухолевых маркеров </w:t>
      </w:r>
      <w:r w:rsidR="00CB39BF" w:rsidRPr="00097824">
        <w:t>у пациентов из</w:t>
      </w:r>
      <w:r w:rsidRPr="00097824">
        <w:t xml:space="preserve"> групп</w:t>
      </w:r>
      <w:r w:rsidR="00CB39BF" w:rsidRPr="00097824">
        <w:t>ы</w:t>
      </w:r>
      <w:r w:rsidRPr="00097824">
        <w:t xml:space="preserve"> повышенного риска (желчекаменная болезнь, полипы желчного пузыря, первичный склерозирующий холангит, паразитарная инвазия</w:t>
      </w:r>
      <w:r w:rsidR="009F38AD" w:rsidRPr="00097824">
        <w:t xml:space="preserve"> и т.д.</w:t>
      </w:r>
      <w:r w:rsidRPr="00097824">
        <w:t>), что, впрочем, также не является специфичным.</w:t>
      </w:r>
    </w:p>
    <w:p w14:paraId="79FF3AA2" w14:textId="77777777" w:rsidR="00BB0486" w:rsidRPr="00097824" w:rsidRDefault="00BB0486" w:rsidP="00AD4A9F">
      <w:pPr>
        <w:ind w:left="397" w:firstLine="357"/>
      </w:pPr>
      <w:r w:rsidRPr="00097824">
        <w:t xml:space="preserve">Более значимые симптомы (боли в верхнем отделе живота, тошнота, рвота, потеря аппетита или даже отвращение к пище, снижение веса, желтуха, зуд, лихорадка, увеличение размеров печени и желчного пузыря, </w:t>
      </w:r>
      <w:r w:rsidR="00E7389F" w:rsidRPr="00097824">
        <w:t>появление</w:t>
      </w:r>
      <w:r w:rsidRPr="00097824">
        <w:t xml:space="preserve"> асцита) являются признаками поздних стадий заболевания. Симптомы </w:t>
      </w:r>
      <w:proofErr w:type="spellStart"/>
      <w:r w:rsidRPr="00097824">
        <w:t>билиарного</w:t>
      </w:r>
      <w:proofErr w:type="spellEnd"/>
      <w:r w:rsidRPr="00097824">
        <w:t xml:space="preserve"> рака могут маскироваться симптомами фоновых заболеваний (желчекаменной болезни, первичного склерозирующего холангита, язвенного колита). </w:t>
      </w:r>
    </w:p>
    <w:p w14:paraId="4F7951DC" w14:textId="4A9B0E8A" w:rsidR="00BB0486" w:rsidRPr="00097824" w:rsidRDefault="00BB0486" w:rsidP="00AD4A9F">
      <w:pPr>
        <w:ind w:left="397" w:firstLine="357"/>
      </w:pPr>
      <w:r w:rsidRPr="00097824">
        <w:t>Рак внепеченочных желчных протоков, напротив, часто манифестирует механической желтухой при обструкции общего печеночного/желчного протоков или в связи с двухсторонним блоком правого и левого долев</w:t>
      </w:r>
      <w:r w:rsidR="00555C6D" w:rsidRPr="00097824">
        <w:t>ых</w:t>
      </w:r>
      <w:r w:rsidRPr="00097824">
        <w:t xml:space="preserve"> протоков. До полной обструкции с развернутой картиной механической желтухи могут быть неспецифические жалобы на тяжесть в подреберье, </w:t>
      </w:r>
      <w:r w:rsidR="008870F6" w:rsidRPr="00097824">
        <w:t>лихорадку</w:t>
      </w:r>
      <w:r w:rsidRPr="00097824">
        <w:t>, озноб, в</w:t>
      </w:r>
      <w:r w:rsidR="00BC10D0" w:rsidRPr="00097824">
        <w:t xml:space="preserve"> </w:t>
      </w:r>
      <w:r w:rsidRPr="00097824">
        <w:t>последующ</w:t>
      </w:r>
      <w:r w:rsidR="00BC10D0" w:rsidRPr="00097824">
        <w:t>е</w:t>
      </w:r>
      <w:r w:rsidRPr="00097824">
        <w:t>м</w:t>
      </w:r>
      <w:r w:rsidR="00BC10D0" w:rsidRPr="00097824">
        <w:t xml:space="preserve"> </w:t>
      </w:r>
      <w:r w:rsidR="008870F6" w:rsidRPr="00097824">
        <w:t>–</w:t>
      </w:r>
      <w:r w:rsidRPr="00097824">
        <w:t xml:space="preserve"> кожный зуд, </w:t>
      </w:r>
      <w:proofErr w:type="spellStart"/>
      <w:r w:rsidRPr="00097824">
        <w:t>посветление</w:t>
      </w:r>
      <w:proofErr w:type="spellEnd"/>
      <w:r w:rsidRPr="00097824">
        <w:t xml:space="preserve"> кала, потемнение мочи. На доклиническом или </w:t>
      </w:r>
      <w:r w:rsidR="00E7389F" w:rsidRPr="00097824">
        <w:t xml:space="preserve">субклиническом </w:t>
      </w:r>
      <w:r w:rsidRPr="00097824">
        <w:t>уровне возможны отклонения в биохимическом анализе крови (маркеры цитолиза, холестаза).</w:t>
      </w:r>
    </w:p>
    <w:p w14:paraId="2FE7F93C" w14:textId="77777777" w:rsidR="00CD17D7" w:rsidRPr="00097824" w:rsidRDefault="00CD17D7" w:rsidP="00AD4A9F">
      <w:pPr>
        <w:pStyle w:val="1f"/>
        <w:ind w:left="397" w:firstLine="357"/>
      </w:pPr>
    </w:p>
    <w:p w14:paraId="71513F72" w14:textId="40B209C2" w:rsidR="00CD17D7" w:rsidRPr="00097824" w:rsidRDefault="00352DF5" w:rsidP="00AD4A9F">
      <w:pPr>
        <w:ind w:left="397" w:firstLine="357"/>
        <w:rPr>
          <w:b/>
        </w:rPr>
      </w:pPr>
      <w:bookmarkStart w:id="39" w:name="_Toc23142720"/>
      <w:proofErr w:type="spellStart"/>
      <w:r w:rsidRPr="00097824">
        <w:rPr>
          <w:b/>
        </w:rPr>
        <w:t>Стадирование</w:t>
      </w:r>
      <w:proofErr w:type="spellEnd"/>
      <w:r w:rsidRPr="00097824">
        <w:rPr>
          <w:b/>
        </w:rPr>
        <w:t xml:space="preserve"> TNM </w:t>
      </w:r>
      <w:bookmarkEnd w:id="39"/>
      <w:r w:rsidR="00555C6D" w:rsidRPr="00097824">
        <w:rPr>
          <w:b/>
        </w:rPr>
        <w:t>(8-я редакция)</w:t>
      </w:r>
    </w:p>
    <w:p w14:paraId="145BC144" w14:textId="77777777" w:rsidR="000A4C83" w:rsidRPr="00097824" w:rsidRDefault="000A4C83" w:rsidP="00AD4A9F">
      <w:pPr>
        <w:pStyle w:val="32"/>
        <w:ind w:left="397" w:firstLine="357"/>
        <w:rPr>
          <w:color w:val="auto"/>
        </w:rPr>
      </w:pPr>
    </w:p>
    <w:p w14:paraId="1F120082" w14:textId="4B2C2EFF" w:rsidR="000A4C83" w:rsidRPr="00097824" w:rsidRDefault="007F5427" w:rsidP="00AD4A9F">
      <w:pPr>
        <w:ind w:left="397" w:firstLine="357"/>
        <w:rPr>
          <w:b/>
          <w:bCs/>
        </w:rPr>
      </w:pPr>
      <w:proofErr w:type="spellStart"/>
      <w:r w:rsidRPr="00097824">
        <w:rPr>
          <w:b/>
          <w:bCs/>
        </w:rPr>
        <w:t>Стадирование</w:t>
      </w:r>
      <w:proofErr w:type="spellEnd"/>
      <w:r w:rsidRPr="00097824">
        <w:rPr>
          <w:b/>
          <w:bCs/>
        </w:rPr>
        <w:t xml:space="preserve"> </w:t>
      </w:r>
      <w:r w:rsidR="00FE1DF4" w:rsidRPr="00097824">
        <w:rPr>
          <w:b/>
          <w:bCs/>
        </w:rPr>
        <w:t xml:space="preserve">опухолей </w:t>
      </w:r>
      <w:r w:rsidRPr="00097824">
        <w:rPr>
          <w:b/>
          <w:bCs/>
        </w:rPr>
        <w:t>внутрипеченочных желчных протоков</w:t>
      </w:r>
    </w:p>
    <w:p w14:paraId="10AA348D" w14:textId="77777777" w:rsidR="00D679CC" w:rsidRPr="00097824" w:rsidRDefault="00D679CC" w:rsidP="00AD4A9F">
      <w:pPr>
        <w:pStyle w:val="SDText"/>
        <w:spacing w:after="0" w:line="360" w:lineRule="auto"/>
        <w:ind w:left="397" w:firstLine="357"/>
        <w:rPr>
          <w:i/>
          <w:iCs/>
        </w:rPr>
      </w:pPr>
      <w:r w:rsidRPr="00097824">
        <w:rPr>
          <w:i/>
          <w:iCs/>
        </w:rPr>
        <w:t>Т – первичная опухоль:</w:t>
      </w:r>
    </w:p>
    <w:p w14:paraId="6CAEB6F9" w14:textId="77777777" w:rsidR="00D630AE" w:rsidRPr="00097824" w:rsidRDefault="00D679CC" w:rsidP="00AD4A9F">
      <w:pPr>
        <w:pStyle w:val="SDText"/>
        <w:spacing w:after="0" w:line="360" w:lineRule="auto"/>
        <w:ind w:left="397" w:firstLine="357"/>
      </w:pPr>
      <w:proofErr w:type="spellStart"/>
      <w:r w:rsidRPr="00097824">
        <w:t>Т</w:t>
      </w:r>
      <w:r w:rsidRPr="00097824">
        <w:rPr>
          <w:vertAlign w:val="subscript"/>
        </w:rPr>
        <w:t>х</w:t>
      </w:r>
      <w:proofErr w:type="spellEnd"/>
      <w:r w:rsidRPr="00097824">
        <w:t xml:space="preserve"> – недостаточно данных для оценки первичной опухоли;</w:t>
      </w:r>
    </w:p>
    <w:p w14:paraId="05AE5FAD" w14:textId="77777777" w:rsidR="00D630AE" w:rsidRPr="00097824" w:rsidRDefault="00D679CC" w:rsidP="00AD4A9F">
      <w:pPr>
        <w:pStyle w:val="SDText"/>
        <w:spacing w:after="0" w:line="360" w:lineRule="auto"/>
        <w:ind w:left="397" w:firstLine="357"/>
      </w:pPr>
      <w:r w:rsidRPr="00097824">
        <w:t>Т</w:t>
      </w:r>
      <w:r w:rsidRPr="00097824">
        <w:rPr>
          <w:vertAlign w:val="subscript"/>
        </w:rPr>
        <w:t>0</w:t>
      </w:r>
      <w:r w:rsidRPr="00097824">
        <w:t xml:space="preserve"> – первичная опухоль не определяется;</w:t>
      </w:r>
    </w:p>
    <w:p w14:paraId="0D993503" w14:textId="007BC442" w:rsidR="00D630AE" w:rsidRPr="00097824" w:rsidRDefault="00D679CC" w:rsidP="00AD4A9F">
      <w:pPr>
        <w:pStyle w:val="SDText"/>
        <w:spacing w:after="0" w:line="360" w:lineRule="auto"/>
        <w:ind w:left="397" w:firstLine="357"/>
      </w:pPr>
      <w:r w:rsidRPr="00097824">
        <w:t>Т</w:t>
      </w:r>
      <w:r w:rsidRPr="00097824">
        <w:rPr>
          <w:vertAlign w:val="subscript"/>
          <w:lang w:val="en-US"/>
        </w:rPr>
        <w:t>is</w:t>
      </w:r>
      <w:r w:rsidR="00F952AD" w:rsidRPr="00097824">
        <w:t>–</w:t>
      </w:r>
      <w:r w:rsidRPr="00097824">
        <w:t xml:space="preserve"> рак </w:t>
      </w:r>
      <w:proofErr w:type="spellStart"/>
      <w:r w:rsidRPr="00097824">
        <w:rPr>
          <w:i/>
          <w:iCs/>
        </w:rPr>
        <w:t>in</w:t>
      </w:r>
      <w:proofErr w:type="spellEnd"/>
      <w:r w:rsidR="005B4054" w:rsidRPr="00097824">
        <w:rPr>
          <w:i/>
          <w:iCs/>
        </w:rPr>
        <w:t xml:space="preserve"> </w:t>
      </w:r>
      <w:proofErr w:type="spellStart"/>
      <w:r w:rsidRPr="00097824">
        <w:rPr>
          <w:i/>
          <w:iCs/>
        </w:rPr>
        <w:t>situ</w:t>
      </w:r>
      <w:proofErr w:type="spellEnd"/>
      <w:r w:rsidRPr="00097824">
        <w:t xml:space="preserve"> (</w:t>
      </w:r>
      <w:proofErr w:type="spellStart"/>
      <w:r w:rsidRPr="00097824">
        <w:t>внутрипротоковая</w:t>
      </w:r>
      <w:proofErr w:type="spellEnd"/>
      <w:r w:rsidRPr="00097824">
        <w:t xml:space="preserve"> опухоль);</w:t>
      </w:r>
    </w:p>
    <w:p w14:paraId="49935A4E" w14:textId="77777777" w:rsidR="00D630AE" w:rsidRPr="00097824" w:rsidRDefault="00D679CC" w:rsidP="00AD4A9F">
      <w:pPr>
        <w:pStyle w:val="SDText"/>
        <w:spacing w:after="0" w:line="360" w:lineRule="auto"/>
        <w:ind w:left="397" w:firstLine="357"/>
      </w:pPr>
      <w:r w:rsidRPr="00097824">
        <w:t>Т</w:t>
      </w:r>
      <w:r w:rsidRPr="00097824">
        <w:rPr>
          <w:vertAlign w:val="subscript"/>
        </w:rPr>
        <w:t>1</w:t>
      </w:r>
      <w:r w:rsidRPr="00097824">
        <w:t xml:space="preserve"> – </w:t>
      </w:r>
      <w:proofErr w:type="spellStart"/>
      <w:r w:rsidRPr="00097824">
        <w:t>солитарная</w:t>
      </w:r>
      <w:proofErr w:type="spellEnd"/>
      <w:r w:rsidRPr="00097824">
        <w:t xml:space="preserve"> опухоль без инвазии сосудов, </w:t>
      </w:r>
      <w:r w:rsidRPr="00097824">
        <w:rPr>
          <w:u w:val="single"/>
        </w:rPr>
        <w:t>&lt;</w:t>
      </w:r>
      <w:r w:rsidRPr="00097824">
        <w:t>5 см или &gt;5 см;</w:t>
      </w:r>
    </w:p>
    <w:p w14:paraId="34FC2E3D" w14:textId="77777777" w:rsidR="00D630AE" w:rsidRPr="00097824" w:rsidRDefault="00D679CC" w:rsidP="00AD4A9F">
      <w:pPr>
        <w:pStyle w:val="SDText"/>
        <w:spacing w:after="0" w:line="360" w:lineRule="auto"/>
        <w:ind w:left="397" w:firstLine="357"/>
      </w:pPr>
      <w:r w:rsidRPr="00097824">
        <w:rPr>
          <w:lang w:val="en-US"/>
        </w:rPr>
        <w:t>T</w:t>
      </w:r>
      <w:r w:rsidRPr="00097824">
        <w:rPr>
          <w:vertAlign w:val="subscript"/>
        </w:rPr>
        <w:t>1</w:t>
      </w:r>
      <w:r w:rsidRPr="00097824">
        <w:rPr>
          <w:vertAlign w:val="subscript"/>
          <w:lang w:val="en-US"/>
        </w:rPr>
        <w:t>a</w:t>
      </w:r>
      <w:r w:rsidRPr="00097824">
        <w:t xml:space="preserve"> – </w:t>
      </w:r>
      <w:proofErr w:type="spellStart"/>
      <w:r w:rsidRPr="00097824">
        <w:t>солитарная</w:t>
      </w:r>
      <w:proofErr w:type="spellEnd"/>
      <w:r w:rsidRPr="00097824">
        <w:t xml:space="preserve"> опухоль </w:t>
      </w:r>
      <w:r w:rsidRPr="00097824">
        <w:rPr>
          <w:u w:val="single"/>
        </w:rPr>
        <w:t>&lt;</w:t>
      </w:r>
      <w:r w:rsidRPr="00097824">
        <w:t>5 см без инвазии сосудов;</w:t>
      </w:r>
    </w:p>
    <w:p w14:paraId="4986B413" w14:textId="77777777" w:rsidR="00D630AE" w:rsidRPr="00097824" w:rsidRDefault="00D679CC" w:rsidP="00AD4A9F">
      <w:pPr>
        <w:pStyle w:val="SDText"/>
        <w:spacing w:after="0" w:line="360" w:lineRule="auto"/>
        <w:ind w:left="397" w:firstLine="357"/>
      </w:pPr>
      <w:r w:rsidRPr="00097824">
        <w:rPr>
          <w:lang w:val="en-US"/>
        </w:rPr>
        <w:t>T</w:t>
      </w:r>
      <w:r w:rsidRPr="00097824">
        <w:rPr>
          <w:vertAlign w:val="subscript"/>
        </w:rPr>
        <w:t>1</w:t>
      </w:r>
      <w:r w:rsidRPr="00097824">
        <w:rPr>
          <w:vertAlign w:val="subscript"/>
          <w:lang w:val="en-US"/>
        </w:rPr>
        <w:t>b</w:t>
      </w:r>
      <w:r w:rsidRPr="00097824">
        <w:t xml:space="preserve"> – </w:t>
      </w:r>
      <w:proofErr w:type="spellStart"/>
      <w:r w:rsidRPr="00097824">
        <w:t>солитарная</w:t>
      </w:r>
      <w:proofErr w:type="spellEnd"/>
      <w:r w:rsidRPr="00097824">
        <w:t xml:space="preserve"> опухоль &gt;5 см без инвазии сосудов;</w:t>
      </w:r>
    </w:p>
    <w:p w14:paraId="4FB7158B" w14:textId="77777777" w:rsidR="00D630AE" w:rsidRPr="00097824" w:rsidRDefault="00D679CC" w:rsidP="00AD4A9F">
      <w:pPr>
        <w:pStyle w:val="SDText"/>
        <w:spacing w:after="0" w:line="360" w:lineRule="auto"/>
        <w:ind w:left="397" w:firstLine="357"/>
      </w:pPr>
      <w:r w:rsidRPr="00097824">
        <w:t>Т</w:t>
      </w:r>
      <w:r w:rsidRPr="00097824">
        <w:rPr>
          <w:vertAlign w:val="subscript"/>
        </w:rPr>
        <w:t>2</w:t>
      </w:r>
      <w:r w:rsidRPr="00097824">
        <w:t xml:space="preserve"> – </w:t>
      </w:r>
      <w:proofErr w:type="spellStart"/>
      <w:r w:rsidRPr="00097824">
        <w:t>солитарная</w:t>
      </w:r>
      <w:proofErr w:type="spellEnd"/>
      <w:r w:rsidRPr="00097824">
        <w:t xml:space="preserve"> опухоль </w:t>
      </w:r>
      <w:r w:rsidRPr="00097824">
        <w:rPr>
          <w:lang w:val="en-US"/>
        </w:rPr>
        <w:t>c</w:t>
      </w:r>
      <w:r w:rsidRPr="00097824">
        <w:t xml:space="preserve"> внутрипеченочной инвазии сосудов</w:t>
      </w:r>
      <w:r w:rsidR="008E1D77" w:rsidRPr="00097824">
        <w:t xml:space="preserve"> </w:t>
      </w:r>
      <w:r w:rsidRPr="00097824">
        <w:t>или множественные опухолевые узлы, с или без инвазии сосудов;</w:t>
      </w:r>
    </w:p>
    <w:p w14:paraId="3DC24AC4" w14:textId="77777777" w:rsidR="00D630AE" w:rsidRPr="00097824" w:rsidRDefault="00D679CC" w:rsidP="00AD4A9F">
      <w:pPr>
        <w:pStyle w:val="SDText"/>
        <w:spacing w:after="0" w:line="360" w:lineRule="auto"/>
        <w:ind w:left="397" w:firstLine="357"/>
      </w:pPr>
      <w:r w:rsidRPr="00097824">
        <w:t>Т</w:t>
      </w:r>
      <w:r w:rsidRPr="00097824">
        <w:rPr>
          <w:vertAlign w:val="subscript"/>
        </w:rPr>
        <w:t>3</w:t>
      </w:r>
      <w:r w:rsidRPr="00097824">
        <w:t xml:space="preserve"> – опухоль, прорастающая висцеральную брюшину;</w:t>
      </w:r>
    </w:p>
    <w:p w14:paraId="61BB0FCD" w14:textId="66FBEB33" w:rsidR="00D630AE" w:rsidRPr="00097824" w:rsidRDefault="00D679CC" w:rsidP="00AD4A9F">
      <w:pPr>
        <w:pStyle w:val="SDText"/>
        <w:spacing w:after="0" w:line="360" w:lineRule="auto"/>
        <w:ind w:left="397" w:firstLine="357"/>
      </w:pPr>
      <w:r w:rsidRPr="00097824">
        <w:t>Т</w:t>
      </w:r>
      <w:r w:rsidRPr="00097824">
        <w:rPr>
          <w:vertAlign w:val="subscript"/>
        </w:rPr>
        <w:t>4</w:t>
      </w:r>
      <w:r w:rsidRPr="00097824">
        <w:t xml:space="preserve"> – опухоль, вовлекающая </w:t>
      </w:r>
      <w:r w:rsidR="00FE1DF4" w:rsidRPr="00097824">
        <w:t xml:space="preserve">внепеченочные </w:t>
      </w:r>
      <w:r w:rsidRPr="00097824">
        <w:t>местные структуры путем прямой инвазии.</w:t>
      </w:r>
    </w:p>
    <w:p w14:paraId="7BA6DBE8" w14:textId="77777777" w:rsidR="00D679CC" w:rsidRPr="00097824" w:rsidRDefault="00D679CC" w:rsidP="00AD4A9F">
      <w:pPr>
        <w:pStyle w:val="SDText"/>
        <w:spacing w:after="0" w:line="360" w:lineRule="auto"/>
        <w:ind w:left="397" w:firstLine="357"/>
        <w:rPr>
          <w:i/>
          <w:iCs/>
        </w:rPr>
      </w:pPr>
      <w:r w:rsidRPr="00097824">
        <w:rPr>
          <w:i/>
          <w:iCs/>
        </w:rPr>
        <w:lastRenderedPageBreak/>
        <w:t xml:space="preserve">N – регионарные лимфатические узлы </w:t>
      </w:r>
    </w:p>
    <w:p w14:paraId="4B4F5C66" w14:textId="77777777" w:rsidR="00D630AE" w:rsidRPr="00097824" w:rsidRDefault="00D679CC" w:rsidP="00AD4A9F">
      <w:pPr>
        <w:pStyle w:val="SDText"/>
        <w:spacing w:after="0" w:line="360" w:lineRule="auto"/>
        <w:ind w:left="397" w:firstLine="357"/>
      </w:pPr>
      <w:proofErr w:type="spellStart"/>
      <w:r w:rsidRPr="00097824">
        <w:t>N</w:t>
      </w:r>
      <w:r w:rsidRPr="00097824">
        <w:rPr>
          <w:vertAlign w:val="subscript"/>
        </w:rPr>
        <w:t>x</w:t>
      </w:r>
      <w:proofErr w:type="spellEnd"/>
      <w:r w:rsidRPr="00097824">
        <w:t xml:space="preserve"> – недостаточно данных для оценки состояния регионарных лимфатических узлов;</w:t>
      </w:r>
    </w:p>
    <w:p w14:paraId="3E989E7B" w14:textId="77777777" w:rsidR="00D630AE" w:rsidRPr="00097824" w:rsidRDefault="00D679CC" w:rsidP="00AD4A9F">
      <w:pPr>
        <w:pStyle w:val="SDText"/>
        <w:spacing w:after="0" w:line="360" w:lineRule="auto"/>
        <w:ind w:left="397" w:firstLine="357"/>
      </w:pPr>
      <w:r w:rsidRPr="00097824">
        <w:t>N</w:t>
      </w:r>
      <w:r w:rsidRPr="00097824">
        <w:rPr>
          <w:vertAlign w:val="subscript"/>
        </w:rPr>
        <w:t>0</w:t>
      </w:r>
      <w:r w:rsidRPr="00097824">
        <w:t xml:space="preserve"> – нет признаков метастатического поражения регионарных лимфатических узлов;</w:t>
      </w:r>
    </w:p>
    <w:p w14:paraId="00049DF8" w14:textId="77777777" w:rsidR="00D630AE" w:rsidRPr="00097824" w:rsidRDefault="00D679CC" w:rsidP="00AD4A9F">
      <w:pPr>
        <w:pStyle w:val="SDText"/>
        <w:spacing w:after="0" w:line="360" w:lineRule="auto"/>
        <w:ind w:left="397" w:firstLine="357"/>
      </w:pPr>
      <w:r w:rsidRPr="00097824">
        <w:t>N</w:t>
      </w:r>
      <w:r w:rsidRPr="00097824">
        <w:rPr>
          <w:vertAlign w:val="subscript"/>
        </w:rPr>
        <w:t>1</w:t>
      </w:r>
      <w:r w:rsidRPr="00097824">
        <w:t xml:space="preserve"> – имеется поражение регионарных лимфатических узлов метастазами.</w:t>
      </w:r>
    </w:p>
    <w:p w14:paraId="6F8B183F" w14:textId="77777777" w:rsidR="00D679CC" w:rsidRPr="00097824" w:rsidRDefault="007F5427" w:rsidP="00AD4A9F">
      <w:pPr>
        <w:pStyle w:val="SDText"/>
        <w:spacing w:after="0" w:line="360" w:lineRule="auto"/>
        <w:ind w:left="397" w:firstLine="357"/>
        <w:rPr>
          <w:i/>
          <w:iCs/>
        </w:rPr>
      </w:pPr>
      <w:r w:rsidRPr="00097824">
        <w:rPr>
          <w:i/>
          <w:iCs/>
        </w:rPr>
        <w:t>М – отдаленные метастазы:</w:t>
      </w:r>
    </w:p>
    <w:p w14:paraId="462E2545" w14:textId="77777777" w:rsidR="00D630AE" w:rsidRPr="00097824" w:rsidRDefault="00D679CC" w:rsidP="00AD4A9F">
      <w:pPr>
        <w:pStyle w:val="SDText"/>
        <w:spacing w:after="0" w:line="360" w:lineRule="auto"/>
        <w:ind w:left="397" w:firstLine="357"/>
      </w:pPr>
      <w:r w:rsidRPr="00097824">
        <w:t>М</w:t>
      </w:r>
      <w:r w:rsidRPr="00097824">
        <w:rPr>
          <w:vertAlign w:val="subscript"/>
        </w:rPr>
        <w:t>0</w:t>
      </w:r>
      <w:r w:rsidRPr="00097824">
        <w:t xml:space="preserve"> – нет признаков отдаленных метастазов;</w:t>
      </w:r>
    </w:p>
    <w:p w14:paraId="73588F9F" w14:textId="77777777" w:rsidR="00D630AE" w:rsidRPr="00097824" w:rsidRDefault="00D679CC" w:rsidP="00AD4A9F">
      <w:pPr>
        <w:pStyle w:val="SDText"/>
        <w:spacing w:after="0" w:line="360" w:lineRule="auto"/>
        <w:ind w:left="397" w:firstLine="357"/>
      </w:pPr>
      <w:r w:rsidRPr="00097824">
        <w:t>M</w:t>
      </w:r>
      <w:r w:rsidRPr="00097824">
        <w:rPr>
          <w:vertAlign w:val="subscript"/>
        </w:rPr>
        <w:t>1</w:t>
      </w:r>
      <w:r w:rsidRPr="00097824">
        <w:t xml:space="preserve"> – имеются отдаленные метастазы.</w:t>
      </w:r>
    </w:p>
    <w:p w14:paraId="278AB283" w14:textId="77777777" w:rsidR="00D679CC" w:rsidRPr="00097824" w:rsidRDefault="00D679CC" w:rsidP="00AD4A9F">
      <w:pPr>
        <w:pStyle w:val="SDText"/>
        <w:spacing w:after="0" w:line="360" w:lineRule="auto"/>
        <w:ind w:left="397" w:firstLine="357"/>
      </w:pPr>
      <w:r w:rsidRPr="00097824">
        <w:t xml:space="preserve">К регионарным лимфатическим узлам при внутрипеченочной </w:t>
      </w:r>
      <w:proofErr w:type="spellStart"/>
      <w:r w:rsidRPr="00097824">
        <w:t>холангиокарциноме</w:t>
      </w:r>
      <w:proofErr w:type="spellEnd"/>
      <w:r w:rsidRPr="00097824">
        <w:t xml:space="preserve"> левой доли печени относятся лимфоузлы вдоль </w:t>
      </w:r>
      <w:proofErr w:type="spellStart"/>
      <w:r w:rsidRPr="00097824">
        <w:t>гепатодуоденальной</w:t>
      </w:r>
      <w:proofErr w:type="spellEnd"/>
      <w:r w:rsidRPr="00097824">
        <w:t xml:space="preserve"> связки (узлы вдоль общего желчного протока, печеночной артерии, воротной вены и пузырного протока), лимфатические узлы вдоль печеночно-желудочной связки, а также нижние диафрагмальные узлы (как частный вариант метастазирования).</w:t>
      </w:r>
    </w:p>
    <w:p w14:paraId="0EEF06DD" w14:textId="77777777" w:rsidR="00D679CC" w:rsidRPr="00097824" w:rsidRDefault="00D679CC" w:rsidP="00AD4A9F">
      <w:pPr>
        <w:pStyle w:val="SDText"/>
        <w:spacing w:after="0" w:line="360" w:lineRule="auto"/>
        <w:ind w:left="397" w:firstLine="357"/>
      </w:pPr>
      <w:r w:rsidRPr="00097824">
        <w:t xml:space="preserve">При опухолях правой доли печени к регионарным относятся лимфатические узлы вдоль </w:t>
      </w:r>
      <w:proofErr w:type="spellStart"/>
      <w:r w:rsidRPr="00097824">
        <w:t>гепатодуоденальной</w:t>
      </w:r>
      <w:proofErr w:type="spellEnd"/>
      <w:r w:rsidRPr="00097824">
        <w:t xml:space="preserve"> связки, а также </w:t>
      </w:r>
      <w:proofErr w:type="spellStart"/>
      <w:r w:rsidRPr="00097824">
        <w:t>околодвенадцатиперстные</w:t>
      </w:r>
      <w:proofErr w:type="spellEnd"/>
      <w:r w:rsidRPr="00097824">
        <w:t xml:space="preserve"> и </w:t>
      </w:r>
      <w:proofErr w:type="spellStart"/>
      <w:r w:rsidRPr="00097824">
        <w:t>перипанкреатические</w:t>
      </w:r>
      <w:proofErr w:type="spellEnd"/>
      <w:r w:rsidRPr="00097824">
        <w:t xml:space="preserve"> лимфатические узлы. </w:t>
      </w:r>
    </w:p>
    <w:p w14:paraId="02E6F367" w14:textId="752AFB2A" w:rsidR="00FF0721" w:rsidRPr="00097824" w:rsidRDefault="00D679CC" w:rsidP="00AD4A9F">
      <w:pPr>
        <w:pStyle w:val="SDTable"/>
        <w:spacing w:before="0" w:after="0"/>
        <w:ind w:left="397" w:firstLine="357"/>
        <w:rPr>
          <w:noProof/>
        </w:rPr>
      </w:pPr>
      <w:bookmarkStart w:id="40" w:name="_Toc112669737"/>
      <w:r w:rsidRPr="00097824">
        <w:t xml:space="preserve">Таблица </w:t>
      </w:r>
      <w:r w:rsidR="007F5427" w:rsidRPr="00097824">
        <w:fldChar w:fldCharType="begin"/>
      </w:r>
      <w:r w:rsidRPr="00097824">
        <w:instrText xml:space="preserve"> SEQ Таблица \* ARABIC </w:instrText>
      </w:r>
      <w:r w:rsidR="007F5427" w:rsidRPr="00097824">
        <w:fldChar w:fldCharType="separate"/>
      </w:r>
      <w:r w:rsidR="006752A2" w:rsidRPr="00097824">
        <w:rPr>
          <w:noProof/>
        </w:rPr>
        <w:t>1</w:t>
      </w:r>
      <w:r w:rsidR="007F5427" w:rsidRPr="00097824">
        <w:rPr>
          <w:noProof/>
        </w:rPr>
        <w:fldChar w:fldCharType="end"/>
      </w:r>
      <w:r w:rsidR="00FF0721" w:rsidRPr="00097824">
        <w:rPr>
          <w:noProof/>
        </w:rPr>
        <w:t>.</w:t>
      </w:r>
    </w:p>
    <w:p w14:paraId="711462D9" w14:textId="77777777" w:rsidR="00D679CC" w:rsidRPr="00097824" w:rsidRDefault="00D679CC" w:rsidP="00AD4A9F">
      <w:pPr>
        <w:pStyle w:val="SDTable"/>
        <w:spacing w:before="0" w:after="0"/>
        <w:ind w:left="397" w:firstLine="357"/>
      </w:pPr>
      <w:r w:rsidRPr="00097824">
        <w:t xml:space="preserve"> Группировка по стадиям рака внутрипеченочных желчных протоков (AJCC)</w:t>
      </w:r>
      <w:bookmarkEnd w:id="40"/>
    </w:p>
    <w:tbl>
      <w:tblPr>
        <w:tblW w:w="481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6"/>
        <w:gridCol w:w="2242"/>
        <w:gridCol w:w="2353"/>
        <w:gridCol w:w="2074"/>
      </w:tblGrid>
      <w:tr w:rsidR="005A526D" w:rsidRPr="00097824" w14:paraId="0BF01742" w14:textId="77777777" w:rsidTr="00E54A74">
        <w:tc>
          <w:tcPr>
            <w:tcW w:w="1293" w:type="pct"/>
          </w:tcPr>
          <w:p w14:paraId="36211406" w14:textId="77777777" w:rsidR="00D630AE" w:rsidRPr="00097824" w:rsidRDefault="00D679CC" w:rsidP="00AD4A9F">
            <w:pPr>
              <w:ind w:left="397" w:firstLine="357"/>
              <w:contextualSpacing/>
              <w:jc w:val="center"/>
              <w:rPr>
                <w:b/>
                <w:bCs/>
                <w:szCs w:val="24"/>
              </w:rPr>
            </w:pPr>
            <w:r w:rsidRPr="00097824">
              <w:rPr>
                <w:b/>
                <w:bCs/>
                <w:szCs w:val="24"/>
              </w:rPr>
              <w:t>Стадия</w:t>
            </w:r>
          </w:p>
        </w:tc>
        <w:tc>
          <w:tcPr>
            <w:tcW w:w="1246" w:type="pct"/>
          </w:tcPr>
          <w:p w14:paraId="2E09F808" w14:textId="77777777" w:rsidR="00D630AE" w:rsidRPr="00097824" w:rsidRDefault="00D679CC" w:rsidP="00AD4A9F">
            <w:pPr>
              <w:ind w:left="397" w:firstLine="357"/>
              <w:contextualSpacing/>
              <w:jc w:val="center"/>
              <w:rPr>
                <w:b/>
                <w:bCs/>
                <w:szCs w:val="24"/>
              </w:rPr>
            </w:pPr>
            <w:r w:rsidRPr="00097824">
              <w:rPr>
                <w:b/>
                <w:bCs/>
                <w:szCs w:val="24"/>
                <w:lang w:val="en-US"/>
              </w:rPr>
              <w:t>T</w:t>
            </w:r>
          </w:p>
        </w:tc>
        <w:tc>
          <w:tcPr>
            <w:tcW w:w="1308" w:type="pct"/>
          </w:tcPr>
          <w:p w14:paraId="4F7D1A2E" w14:textId="77777777" w:rsidR="00D630AE" w:rsidRPr="00097824" w:rsidRDefault="00D679CC" w:rsidP="00AD4A9F">
            <w:pPr>
              <w:ind w:left="397" w:firstLine="357"/>
              <w:contextualSpacing/>
              <w:jc w:val="center"/>
              <w:rPr>
                <w:b/>
                <w:bCs/>
                <w:szCs w:val="24"/>
              </w:rPr>
            </w:pPr>
            <w:r w:rsidRPr="00097824">
              <w:rPr>
                <w:b/>
                <w:bCs/>
                <w:szCs w:val="24"/>
              </w:rPr>
              <w:t>N</w:t>
            </w:r>
          </w:p>
        </w:tc>
        <w:tc>
          <w:tcPr>
            <w:tcW w:w="1153" w:type="pct"/>
          </w:tcPr>
          <w:p w14:paraId="0D62374C" w14:textId="77777777" w:rsidR="00D630AE" w:rsidRPr="00097824" w:rsidRDefault="00D679CC" w:rsidP="00AD4A9F">
            <w:pPr>
              <w:ind w:left="397" w:firstLine="357"/>
              <w:contextualSpacing/>
              <w:jc w:val="center"/>
              <w:rPr>
                <w:b/>
                <w:bCs/>
                <w:szCs w:val="24"/>
              </w:rPr>
            </w:pPr>
            <w:r w:rsidRPr="00097824">
              <w:rPr>
                <w:b/>
                <w:bCs/>
                <w:szCs w:val="24"/>
              </w:rPr>
              <w:t>M</w:t>
            </w:r>
          </w:p>
        </w:tc>
      </w:tr>
      <w:tr w:rsidR="005A526D" w:rsidRPr="00097824" w14:paraId="1C68E3EB" w14:textId="77777777" w:rsidTr="00E54A74">
        <w:tc>
          <w:tcPr>
            <w:tcW w:w="1293" w:type="pct"/>
          </w:tcPr>
          <w:p w14:paraId="14B8FEBE" w14:textId="0A5C2DD8" w:rsidR="00D630AE" w:rsidRPr="00097824" w:rsidRDefault="00FE1DF4" w:rsidP="00AD4A9F">
            <w:pPr>
              <w:ind w:left="397" w:firstLine="357"/>
              <w:contextualSpacing/>
              <w:rPr>
                <w:szCs w:val="24"/>
              </w:rPr>
            </w:pPr>
            <w:r w:rsidRPr="00097824">
              <w:rPr>
                <w:szCs w:val="24"/>
              </w:rPr>
              <w:t xml:space="preserve">Стадия </w:t>
            </w:r>
            <w:r w:rsidR="00D679CC" w:rsidRPr="00097824">
              <w:rPr>
                <w:szCs w:val="24"/>
              </w:rPr>
              <w:t>0</w:t>
            </w:r>
          </w:p>
        </w:tc>
        <w:tc>
          <w:tcPr>
            <w:tcW w:w="1246" w:type="pct"/>
          </w:tcPr>
          <w:p w14:paraId="1811889B" w14:textId="77777777" w:rsidR="00D630AE" w:rsidRPr="00097824" w:rsidRDefault="00D679CC" w:rsidP="00AD4A9F">
            <w:pPr>
              <w:ind w:left="397" w:firstLine="357"/>
              <w:contextualSpacing/>
              <w:rPr>
                <w:szCs w:val="24"/>
              </w:rPr>
            </w:pPr>
            <w:r w:rsidRPr="00097824">
              <w:rPr>
                <w:szCs w:val="24"/>
              </w:rPr>
              <w:t>Т</w:t>
            </w:r>
            <w:r w:rsidRPr="00097824">
              <w:rPr>
                <w:szCs w:val="24"/>
                <w:vertAlign w:val="subscript"/>
                <w:lang w:val="en-US"/>
              </w:rPr>
              <w:t>is</w:t>
            </w:r>
          </w:p>
        </w:tc>
        <w:tc>
          <w:tcPr>
            <w:tcW w:w="1308" w:type="pct"/>
          </w:tcPr>
          <w:p w14:paraId="73B26405" w14:textId="77777777" w:rsidR="00D630AE" w:rsidRPr="00097824" w:rsidRDefault="00C65D85" w:rsidP="00AD4A9F">
            <w:pPr>
              <w:ind w:left="397" w:firstLine="357"/>
              <w:contextualSpacing/>
              <w:rPr>
                <w:szCs w:val="24"/>
              </w:rPr>
            </w:pPr>
            <w:r w:rsidRPr="00097824">
              <w:rPr>
                <w:szCs w:val="24"/>
                <w:lang w:val="en-GB"/>
              </w:rPr>
              <w:t>N</w:t>
            </w:r>
            <w:r w:rsidR="007F5427" w:rsidRPr="00097824">
              <w:rPr>
                <w:szCs w:val="24"/>
                <w:vertAlign w:val="subscript"/>
              </w:rPr>
              <w:t>0</w:t>
            </w:r>
          </w:p>
        </w:tc>
        <w:tc>
          <w:tcPr>
            <w:tcW w:w="1153" w:type="pct"/>
          </w:tcPr>
          <w:p w14:paraId="1DB3F91F" w14:textId="77777777" w:rsidR="00D630AE" w:rsidRPr="00097824" w:rsidRDefault="00C65D85" w:rsidP="00AD4A9F">
            <w:pPr>
              <w:ind w:left="397" w:firstLine="357"/>
              <w:contextualSpacing/>
              <w:rPr>
                <w:szCs w:val="24"/>
              </w:rPr>
            </w:pPr>
            <w:r w:rsidRPr="00097824">
              <w:rPr>
                <w:szCs w:val="24"/>
                <w:lang w:val="en-GB"/>
              </w:rPr>
              <w:t>M</w:t>
            </w:r>
            <w:r w:rsidR="007F5427" w:rsidRPr="00097824">
              <w:rPr>
                <w:szCs w:val="24"/>
                <w:vertAlign w:val="subscript"/>
              </w:rPr>
              <w:t>0</w:t>
            </w:r>
          </w:p>
        </w:tc>
      </w:tr>
      <w:tr w:rsidR="005A526D" w:rsidRPr="00097824" w14:paraId="1972FF2D" w14:textId="77777777" w:rsidTr="00E54A74">
        <w:tc>
          <w:tcPr>
            <w:tcW w:w="1293" w:type="pct"/>
          </w:tcPr>
          <w:p w14:paraId="7EFC770C" w14:textId="2CB5E0C2" w:rsidR="00D630AE" w:rsidRPr="00097824" w:rsidRDefault="00FE1DF4" w:rsidP="00AD4A9F">
            <w:pPr>
              <w:ind w:left="397" w:firstLine="357"/>
              <w:contextualSpacing/>
              <w:rPr>
                <w:szCs w:val="24"/>
              </w:rPr>
            </w:pPr>
            <w:r w:rsidRPr="00097824">
              <w:rPr>
                <w:szCs w:val="24"/>
              </w:rPr>
              <w:t>Стадия</w:t>
            </w:r>
            <w:r w:rsidRPr="00097824">
              <w:rPr>
                <w:szCs w:val="24"/>
                <w:lang w:val="en-US"/>
              </w:rPr>
              <w:t xml:space="preserve"> </w:t>
            </w:r>
            <w:r w:rsidR="00D679CC" w:rsidRPr="00097824">
              <w:rPr>
                <w:szCs w:val="24"/>
                <w:lang w:val="en-US"/>
              </w:rPr>
              <w:t>I</w:t>
            </w:r>
            <w:r w:rsidR="00D679CC" w:rsidRPr="00097824">
              <w:rPr>
                <w:szCs w:val="24"/>
              </w:rPr>
              <w:t>А</w:t>
            </w:r>
          </w:p>
        </w:tc>
        <w:tc>
          <w:tcPr>
            <w:tcW w:w="1246" w:type="pct"/>
          </w:tcPr>
          <w:p w14:paraId="36700EE8" w14:textId="77777777" w:rsidR="00D630AE" w:rsidRPr="00097824" w:rsidRDefault="00C65D85" w:rsidP="00AD4A9F">
            <w:pPr>
              <w:ind w:left="397" w:firstLine="357"/>
              <w:contextualSpacing/>
              <w:rPr>
                <w:szCs w:val="24"/>
              </w:rPr>
            </w:pPr>
            <w:r w:rsidRPr="00097824">
              <w:rPr>
                <w:szCs w:val="24"/>
                <w:lang w:val="en-GB"/>
              </w:rPr>
              <w:t>T</w:t>
            </w:r>
            <w:r w:rsidR="007F5427" w:rsidRPr="00097824">
              <w:rPr>
                <w:szCs w:val="24"/>
                <w:vertAlign w:val="subscript"/>
              </w:rPr>
              <w:t>1</w:t>
            </w:r>
            <w:r w:rsidR="00D679CC" w:rsidRPr="00097824">
              <w:rPr>
                <w:szCs w:val="24"/>
                <w:vertAlign w:val="subscript"/>
              </w:rPr>
              <w:t>а</w:t>
            </w:r>
          </w:p>
        </w:tc>
        <w:tc>
          <w:tcPr>
            <w:tcW w:w="1308" w:type="pct"/>
          </w:tcPr>
          <w:p w14:paraId="03F8A464" w14:textId="77777777" w:rsidR="00D630AE" w:rsidRPr="00097824" w:rsidRDefault="00C65D85" w:rsidP="00AD4A9F">
            <w:pPr>
              <w:ind w:left="397" w:firstLine="357"/>
              <w:contextualSpacing/>
              <w:rPr>
                <w:szCs w:val="24"/>
              </w:rPr>
            </w:pPr>
            <w:r w:rsidRPr="00097824">
              <w:rPr>
                <w:szCs w:val="24"/>
                <w:lang w:val="en-GB"/>
              </w:rPr>
              <w:t>N</w:t>
            </w:r>
            <w:r w:rsidRPr="00097824">
              <w:rPr>
                <w:szCs w:val="24"/>
                <w:vertAlign w:val="subscript"/>
              </w:rPr>
              <w:t>0</w:t>
            </w:r>
          </w:p>
        </w:tc>
        <w:tc>
          <w:tcPr>
            <w:tcW w:w="1153" w:type="pct"/>
          </w:tcPr>
          <w:p w14:paraId="74C73617" w14:textId="77777777" w:rsidR="00D630AE" w:rsidRPr="00097824" w:rsidRDefault="00C65D85" w:rsidP="00AD4A9F">
            <w:pPr>
              <w:ind w:left="397" w:firstLine="357"/>
              <w:contextualSpacing/>
              <w:rPr>
                <w:szCs w:val="24"/>
              </w:rPr>
            </w:pPr>
            <w:r w:rsidRPr="00097824">
              <w:rPr>
                <w:szCs w:val="24"/>
                <w:lang w:val="en-GB"/>
              </w:rPr>
              <w:t>M</w:t>
            </w:r>
            <w:r w:rsidRPr="00097824">
              <w:rPr>
                <w:szCs w:val="24"/>
                <w:vertAlign w:val="subscript"/>
              </w:rPr>
              <w:t>0</w:t>
            </w:r>
          </w:p>
        </w:tc>
      </w:tr>
      <w:tr w:rsidR="005A526D" w:rsidRPr="00097824" w14:paraId="43C1361E" w14:textId="77777777" w:rsidTr="00E54A74">
        <w:tc>
          <w:tcPr>
            <w:tcW w:w="1293" w:type="pct"/>
          </w:tcPr>
          <w:p w14:paraId="6BB42DB2" w14:textId="10586873" w:rsidR="00D630AE" w:rsidRPr="00097824" w:rsidRDefault="00FE1DF4" w:rsidP="00AD4A9F">
            <w:pPr>
              <w:ind w:left="397" w:firstLine="357"/>
              <w:contextualSpacing/>
              <w:rPr>
                <w:szCs w:val="24"/>
              </w:rPr>
            </w:pPr>
            <w:r w:rsidRPr="00097824">
              <w:rPr>
                <w:szCs w:val="24"/>
              </w:rPr>
              <w:t>Стадия</w:t>
            </w:r>
            <w:r w:rsidRPr="00097824">
              <w:rPr>
                <w:szCs w:val="24"/>
                <w:lang w:val="en-US"/>
              </w:rPr>
              <w:t xml:space="preserve"> </w:t>
            </w:r>
            <w:r w:rsidR="00D679CC" w:rsidRPr="00097824">
              <w:rPr>
                <w:szCs w:val="24"/>
                <w:lang w:val="en-US"/>
              </w:rPr>
              <w:t>I</w:t>
            </w:r>
            <w:r w:rsidR="00D679CC" w:rsidRPr="00097824">
              <w:rPr>
                <w:szCs w:val="24"/>
              </w:rPr>
              <w:t>В</w:t>
            </w:r>
          </w:p>
        </w:tc>
        <w:tc>
          <w:tcPr>
            <w:tcW w:w="1246" w:type="pct"/>
          </w:tcPr>
          <w:p w14:paraId="7A4A0963" w14:textId="77777777" w:rsidR="00D630AE" w:rsidRPr="00097824" w:rsidRDefault="00C65D85" w:rsidP="00AD4A9F">
            <w:pPr>
              <w:ind w:left="397" w:firstLine="357"/>
              <w:contextualSpacing/>
              <w:rPr>
                <w:szCs w:val="24"/>
              </w:rPr>
            </w:pPr>
            <w:r w:rsidRPr="00097824">
              <w:rPr>
                <w:szCs w:val="24"/>
                <w:lang w:val="en-GB"/>
              </w:rPr>
              <w:t>T</w:t>
            </w:r>
            <w:r w:rsidR="007F5427" w:rsidRPr="00097824">
              <w:rPr>
                <w:szCs w:val="24"/>
                <w:vertAlign w:val="subscript"/>
              </w:rPr>
              <w:t>1</w:t>
            </w:r>
            <w:r w:rsidR="00D679CC" w:rsidRPr="00097824">
              <w:rPr>
                <w:szCs w:val="24"/>
                <w:vertAlign w:val="subscript"/>
              </w:rPr>
              <w:t>в</w:t>
            </w:r>
          </w:p>
        </w:tc>
        <w:tc>
          <w:tcPr>
            <w:tcW w:w="1308" w:type="pct"/>
          </w:tcPr>
          <w:p w14:paraId="05570165" w14:textId="77777777" w:rsidR="00D630AE" w:rsidRPr="00097824" w:rsidRDefault="00C65D85" w:rsidP="00AD4A9F">
            <w:pPr>
              <w:ind w:left="397" w:firstLine="357"/>
              <w:contextualSpacing/>
              <w:rPr>
                <w:szCs w:val="24"/>
              </w:rPr>
            </w:pPr>
            <w:r w:rsidRPr="00097824">
              <w:rPr>
                <w:szCs w:val="24"/>
                <w:lang w:val="en-GB"/>
              </w:rPr>
              <w:t>N</w:t>
            </w:r>
            <w:r w:rsidRPr="00097824">
              <w:rPr>
                <w:szCs w:val="24"/>
                <w:vertAlign w:val="subscript"/>
              </w:rPr>
              <w:t>0</w:t>
            </w:r>
          </w:p>
        </w:tc>
        <w:tc>
          <w:tcPr>
            <w:tcW w:w="1153" w:type="pct"/>
          </w:tcPr>
          <w:p w14:paraId="75DD3EDA" w14:textId="77777777" w:rsidR="00D630AE" w:rsidRPr="00097824" w:rsidRDefault="00C65D85" w:rsidP="00AD4A9F">
            <w:pPr>
              <w:ind w:left="397" w:firstLine="357"/>
              <w:contextualSpacing/>
              <w:rPr>
                <w:szCs w:val="24"/>
              </w:rPr>
            </w:pPr>
            <w:r w:rsidRPr="00097824">
              <w:rPr>
                <w:szCs w:val="24"/>
                <w:lang w:val="en-GB"/>
              </w:rPr>
              <w:t>M</w:t>
            </w:r>
            <w:r w:rsidRPr="00097824">
              <w:rPr>
                <w:szCs w:val="24"/>
                <w:vertAlign w:val="subscript"/>
              </w:rPr>
              <w:t>0</w:t>
            </w:r>
          </w:p>
        </w:tc>
      </w:tr>
      <w:tr w:rsidR="005A526D" w:rsidRPr="00097824" w14:paraId="4F3DBE47" w14:textId="77777777" w:rsidTr="00E54A74">
        <w:tc>
          <w:tcPr>
            <w:tcW w:w="1293" w:type="pct"/>
          </w:tcPr>
          <w:p w14:paraId="6645FFBA" w14:textId="3089F6E7" w:rsidR="00D630AE" w:rsidRPr="00097824" w:rsidRDefault="00FE1DF4" w:rsidP="00AD4A9F">
            <w:pPr>
              <w:ind w:left="397" w:firstLine="357"/>
              <w:contextualSpacing/>
              <w:rPr>
                <w:szCs w:val="24"/>
              </w:rPr>
            </w:pPr>
            <w:r w:rsidRPr="00097824">
              <w:rPr>
                <w:szCs w:val="24"/>
              </w:rPr>
              <w:t>Стадия</w:t>
            </w:r>
            <w:r w:rsidRPr="00097824">
              <w:rPr>
                <w:szCs w:val="24"/>
                <w:lang w:val="en-US"/>
              </w:rPr>
              <w:t xml:space="preserve"> </w:t>
            </w:r>
            <w:r w:rsidR="00D679CC" w:rsidRPr="00097824">
              <w:rPr>
                <w:szCs w:val="24"/>
                <w:lang w:val="en-US"/>
              </w:rPr>
              <w:t>II</w:t>
            </w:r>
          </w:p>
        </w:tc>
        <w:tc>
          <w:tcPr>
            <w:tcW w:w="1246" w:type="pct"/>
          </w:tcPr>
          <w:p w14:paraId="267072D1" w14:textId="77777777" w:rsidR="00D630AE" w:rsidRPr="00097824" w:rsidRDefault="00C65D85" w:rsidP="00AD4A9F">
            <w:pPr>
              <w:ind w:left="397" w:firstLine="357"/>
              <w:contextualSpacing/>
              <w:rPr>
                <w:szCs w:val="24"/>
              </w:rPr>
            </w:pPr>
            <w:r w:rsidRPr="00097824">
              <w:rPr>
                <w:szCs w:val="24"/>
                <w:lang w:val="en-GB"/>
              </w:rPr>
              <w:t>T</w:t>
            </w:r>
            <w:r w:rsidR="007F5427" w:rsidRPr="00097824">
              <w:rPr>
                <w:szCs w:val="24"/>
                <w:vertAlign w:val="subscript"/>
              </w:rPr>
              <w:t>2</w:t>
            </w:r>
          </w:p>
        </w:tc>
        <w:tc>
          <w:tcPr>
            <w:tcW w:w="1308" w:type="pct"/>
          </w:tcPr>
          <w:p w14:paraId="42F17326" w14:textId="77777777" w:rsidR="00D630AE" w:rsidRPr="00097824" w:rsidRDefault="00C65D85" w:rsidP="00AD4A9F">
            <w:pPr>
              <w:ind w:left="397" w:firstLine="357"/>
              <w:contextualSpacing/>
              <w:rPr>
                <w:szCs w:val="24"/>
              </w:rPr>
            </w:pPr>
            <w:r w:rsidRPr="00097824">
              <w:rPr>
                <w:szCs w:val="24"/>
                <w:lang w:val="en-GB"/>
              </w:rPr>
              <w:t>N</w:t>
            </w:r>
            <w:r w:rsidRPr="00097824">
              <w:rPr>
                <w:szCs w:val="24"/>
                <w:vertAlign w:val="subscript"/>
              </w:rPr>
              <w:t>0</w:t>
            </w:r>
          </w:p>
        </w:tc>
        <w:tc>
          <w:tcPr>
            <w:tcW w:w="1153" w:type="pct"/>
          </w:tcPr>
          <w:p w14:paraId="43DB4DA0" w14:textId="77777777" w:rsidR="00D630AE" w:rsidRPr="00097824" w:rsidRDefault="00C65D85" w:rsidP="00AD4A9F">
            <w:pPr>
              <w:ind w:left="397" w:firstLine="357"/>
              <w:contextualSpacing/>
              <w:rPr>
                <w:szCs w:val="24"/>
              </w:rPr>
            </w:pPr>
            <w:r w:rsidRPr="00097824">
              <w:rPr>
                <w:szCs w:val="24"/>
                <w:lang w:val="en-GB"/>
              </w:rPr>
              <w:t>M</w:t>
            </w:r>
            <w:r w:rsidRPr="00097824">
              <w:rPr>
                <w:szCs w:val="24"/>
                <w:vertAlign w:val="subscript"/>
              </w:rPr>
              <w:t>0</w:t>
            </w:r>
          </w:p>
        </w:tc>
      </w:tr>
      <w:tr w:rsidR="005A526D" w:rsidRPr="00097824" w14:paraId="34AEE003" w14:textId="77777777" w:rsidTr="00E54A74">
        <w:tc>
          <w:tcPr>
            <w:tcW w:w="1293" w:type="pct"/>
          </w:tcPr>
          <w:p w14:paraId="0EB98AC1" w14:textId="7505F8C1" w:rsidR="00D630AE" w:rsidRPr="00097824" w:rsidRDefault="00FE1DF4" w:rsidP="00AD4A9F">
            <w:pPr>
              <w:ind w:left="397" w:firstLine="357"/>
              <w:contextualSpacing/>
              <w:rPr>
                <w:szCs w:val="24"/>
              </w:rPr>
            </w:pPr>
            <w:r w:rsidRPr="00097824">
              <w:rPr>
                <w:szCs w:val="24"/>
              </w:rPr>
              <w:t>Стадия</w:t>
            </w:r>
            <w:r w:rsidRPr="00097824">
              <w:rPr>
                <w:szCs w:val="24"/>
                <w:lang w:val="en-US"/>
              </w:rPr>
              <w:t xml:space="preserve"> </w:t>
            </w:r>
            <w:r w:rsidR="00D679CC" w:rsidRPr="00097824">
              <w:rPr>
                <w:szCs w:val="24"/>
                <w:lang w:val="en-US"/>
              </w:rPr>
              <w:t>IIIA</w:t>
            </w:r>
          </w:p>
        </w:tc>
        <w:tc>
          <w:tcPr>
            <w:tcW w:w="1246" w:type="pct"/>
          </w:tcPr>
          <w:p w14:paraId="7F0CC33C" w14:textId="77777777" w:rsidR="00D630AE" w:rsidRPr="00097824" w:rsidRDefault="00C65D85" w:rsidP="00AD4A9F">
            <w:pPr>
              <w:ind w:left="397" w:firstLine="357"/>
              <w:contextualSpacing/>
              <w:rPr>
                <w:szCs w:val="24"/>
              </w:rPr>
            </w:pPr>
            <w:r w:rsidRPr="00097824">
              <w:rPr>
                <w:szCs w:val="24"/>
                <w:lang w:val="en-US"/>
              </w:rPr>
              <w:t>T</w:t>
            </w:r>
            <w:r w:rsidR="007F5427" w:rsidRPr="00097824">
              <w:rPr>
                <w:szCs w:val="24"/>
                <w:vertAlign w:val="subscript"/>
              </w:rPr>
              <w:t>3</w:t>
            </w:r>
          </w:p>
        </w:tc>
        <w:tc>
          <w:tcPr>
            <w:tcW w:w="1308" w:type="pct"/>
          </w:tcPr>
          <w:p w14:paraId="27AACCAF" w14:textId="77777777" w:rsidR="00D630AE" w:rsidRPr="00097824" w:rsidRDefault="00C65D85" w:rsidP="00AD4A9F">
            <w:pPr>
              <w:ind w:left="397" w:firstLine="357"/>
              <w:contextualSpacing/>
              <w:rPr>
                <w:szCs w:val="24"/>
              </w:rPr>
            </w:pPr>
            <w:r w:rsidRPr="00097824">
              <w:rPr>
                <w:szCs w:val="24"/>
                <w:lang w:val="en-GB"/>
              </w:rPr>
              <w:t>N</w:t>
            </w:r>
            <w:r w:rsidRPr="00097824">
              <w:rPr>
                <w:szCs w:val="24"/>
                <w:vertAlign w:val="subscript"/>
              </w:rPr>
              <w:t>0</w:t>
            </w:r>
          </w:p>
        </w:tc>
        <w:tc>
          <w:tcPr>
            <w:tcW w:w="1153" w:type="pct"/>
          </w:tcPr>
          <w:p w14:paraId="5E7B2107" w14:textId="77777777" w:rsidR="00D630AE" w:rsidRPr="00097824" w:rsidRDefault="00C65D85" w:rsidP="00AD4A9F">
            <w:pPr>
              <w:ind w:left="397" w:firstLine="357"/>
              <w:contextualSpacing/>
              <w:rPr>
                <w:szCs w:val="24"/>
              </w:rPr>
            </w:pPr>
            <w:r w:rsidRPr="00097824">
              <w:rPr>
                <w:szCs w:val="24"/>
                <w:lang w:val="en-GB"/>
              </w:rPr>
              <w:t>M</w:t>
            </w:r>
            <w:r w:rsidRPr="00097824">
              <w:rPr>
                <w:szCs w:val="24"/>
                <w:vertAlign w:val="subscript"/>
              </w:rPr>
              <w:t>0</w:t>
            </w:r>
          </w:p>
        </w:tc>
      </w:tr>
      <w:tr w:rsidR="00E23132" w:rsidRPr="00097824" w14:paraId="57292417" w14:textId="77777777" w:rsidTr="00B62BA4">
        <w:trPr>
          <w:trHeight w:val="266"/>
        </w:trPr>
        <w:tc>
          <w:tcPr>
            <w:tcW w:w="1293" w:type="pct"/>
            <w:vMerge w:val="restart"/>
            <w:vAlign w:val="center"/>
          </w:tcPr>
          <w:p w14:paraId="51DDEC58" w14:textId="758E9255" w:rsidR="00E23132" w:rsidRPr="00097824" w:rsidRDefault="00E23132" w:rsidP="00B62BA4">
            <w:pPr>
              <w:ind w:left="397" w:firstLine="357"/>
              <w:contextualSpacing/>
              <w:jc w:val="center"/>
              <w:rPr>
                <w:szCs w:val="24"/>
                <w:lang w:val="en-US"/>
              </w:rPr>
            </w:pPr>
            <w:r w:rsidRPr="00097824">
              <w:rPr>
                <w:szCs w:val="24"/>
              </w:rPr>
              <w:t>Стадия</w:t>
            </w:r>
            <w:r w:rsidRPr="00097824">
              <w:t xml:space="preserve"> IIIB</w:t>
            </w:r>
          </w:p>
        </w:tc>
        <w:tc>
          <w:tcPr>
            <w:tcW w:w="1246" w:type="pct"/>
          </w:tcPr>
          <w:p w14:paraId="49C0C715" w14:textId="4BAAB925" w:rsidR="00E23132" w:rsidRPr="00097824" w:rsidRDefault="00E23132" w:rsidP="00CB4B45">
            <w:pPr>
              <w:ind w:left="397" w:firstLine="357"/>
              <w:contextualSpacing/>
              <w:rPr>
                <w:szCs w:val="24"/>
                <w:lang w:val="en-GB"/>
              </w:rPr>
            </w:pPr>
            <w:r w:rsidRPr="00097824">
              <w:rPr>
                <w:szCs w:val="24"/>
                <w:lang w:val="en-GB"/>
              </w:rPr>
              <w:t>T</w:t>
            </w:r>
            <w:r w:rsidRPr="00097824">
              <w:rPr>
                <w:szCs w:val="24"/>
                <w:vertAlign w:val="subscript"/>
              </w:rPr>
              <w:t>4</w:t>
            </w:r>
          </w:p>
        </w:tc>
        <w:tc>
          <w:tcPr>
            <w:tcW w:w="1308" w:type="pct"/>
          </w:tcPr>
          <w:p w14:paraId="03A245AD" w14:textId="7990CBA6" w:rsidR="00E23132" w:rsidRPr="00097824" w:rsidRDefault="005714C8" w:rsidP="00C3232A">
            <w:pPr>
              <w:ind w:left="397" w:firstLine="357"/>
              <w:contextualSpacing/>
              <w:rPr>
                <w:szCs w:val="24"/>
                <w:lang w:val="en-GB"/>
              </w:rPr>
            </w:pPr>
            <w:r w:rsidRPr="00097824">
              <w:t xml:space="preserve">Любая </w:t>
            </w:r>
            <w:r w:rsidR="00E23132" w:rsidRPr="00097824">
              <w:t>N</w:t>
            </w:r>
          </w:p>
        </w:tc>
        <w:tc>
          <w:tcPr>
            <w:tcW w:w="1153" w:type="pct"/>
          </w:tcPr>
          <w:p w14:paraId="0357B78C" w14:textId="7AF7F4B4" w:rsidR="00E23132" w:rsidRPr="00097824" w:rsidRDefault="00E23132" w:rsidP="00AD4A9F">
            <w:pPr>
              <w:ind w:left="397" w:firstLine="357"/>
              <w:contextualSpacing/>
              <w:rPr>
                <w:szCs w:val="24"/>
                <w:lang w:val="en-GB"/>
              </w:rPr>
            </w:pPr>
            <w:r w:rsidRPr="00097824">
              <w:t>M</w:t>
            </w:r>
            <w:r w:rsidRPr="00097824">
              <w:rPr>
                <w:vertAlign w:val="subscript"/>
              </w:rPr>
              <w:t>0</w:t>
            </w:r>
          </w:p>
        </w:tc>
      </w:tr>
      <w:tr w:rsidR="00E23132" w:rsidRPr="00097824" w14:paraId="46E58BE3" w14:textId="77777777" w:rsidTr="00E54A74">
        <w:trPr>
          <w:trHeight w:val="266"/>
        </w:trPr>
        <w:tc>
          <w:tcPr>
            <w:tcW w:w="1293" w:type="pct"/>
            <w:vMerge/>
          </w:tcPr>
          <w:p w14:paraId="33D49E18" w14:textId="7CADAF77" w:rsidR="00E23132" w:rsidRPr="00097824" w:rsidRDefault="00E23132" w:rsidP="00AD4A9F">
            <w:pPr>
              <w:ind w:left="397" w:firstLine="357"/>
              <w:contextualSpacing/>
              <w:rPr>
                <w:szCs w:val="24"/>
              </w:rPr>
            </w:pPr>
          </w:p>
        </w:tc>
        <w:tc>
          <w:tcPr>
            <w:tcW w:w="1246" w:type="pct"/>
          </w:tcPr>
          <w:p w14:paraId="7EC1D1BC" w14:textId="5D57F5F8" w:rsidR="00E23132" w:rsidRPr="00097824" w:rsidRDefault="00E23132" w:rsidP="00AD4A9F">
            <w:pPr>
              <w:ind w:left="397" w:firstLine="357"/>
              <w:contextualSpacing/>
              <w:rPr>
                <w:szCs w:val="24"/>
              </w:rPr>
            </w:pPr>
            <w:r w:rsidRPr="00097824">
              <w:t>Любая Т</w:t>
            </w:r>
          </w:p>
        </w:tc>
        <w:tc>
          <w:tcPr>
            <w:tcW w:w="1308" w:type="pct"/>
          </w:tcPr>
          <w:p w14:paraId="6C982363" w14:textId="12840AEE" w:rsidR="00E23132" w:rsidRPr="00097824" w:rsidRDefault="00E23132" w:rsidP="00AD4A9F">
            <w:pPr>
              <w:ind w:left="397" w:firstLine="357"/>
              <w:contextualSpacing/>
              <w:rPr>
                <w:szCs w:val="24"/>
                <w:lang w:val="en-US"/>
              </w:rPr>
            </w:pPr>
            <w:r w:rsidRPr="00097824">
              <w:rPr>
                <w:szCs w:val="24"/>
                <w:lang w:val="en-GB"/>
              </w:rPr>
              <w:t>N</w:t>
            </w:r>
            <w:r w:rsidRPr="00097824">
              <w:rPr>
                <w:szCs w:val="24"/>
                <w:vertAlign w:val="subscript"/>
              </w:rPr>
              <w:t xml:space="preserve"> 1</w:t>
            </w:r>
          </w:p>
        </w:tc>
        <w:tc>
          <w:tcPr>
            <w:tcW w:w="1153" w:type="pct"/>
          </w:tcPr>
          <w:p w14:paraId="2392842E" w14:textId="77777777" w:rsidR="00E23132" w:rsidRPr="00097824" w:rsidRDefault="00E23132" w:rsidP="00AD4A9F">
            <w:pPr>
              <w:ind w:left="397" w:firstLine="357"/>
              <w:contextualSpacing/>
              <w:rPr>
                <w:szCs w:val="24"/>
              </w:rPr>
            </w:pPr>
            <w:r w:rsidRPr="00097824">
              <w:rPr>
                <w:szCs w:val="24"/>
                <w:lang w:val="en-GB"/>
              </w:rPr>
              <w:t>M</w:t>
            </w:r>
            <w:r w:rsidRPr="00097824">
              <w:rPr>
                <w:szCs w:val="24"/>
                <w:vertAlign w:val="subscript"/>
              </w:rPr>
              <w:t>0</w:t>
            </w:r>
          </w:p>
        </w:tc>
      </w:tr>
      <w:tr w:rsidR="00E95200" w:rsidRPr="00097824" w14:paraId="6FB9D3CE" w14:textId="77777777" w:rsidTr="00E54A74">
        <w:tc>
          <w:tcPr>
            <w:tcW w:w="1293" w:type="pct"/>
          </w:tcPr>
          <w:p w14:paraId="3A2D9D02" w14:textId="62FD4378" w:rsidR="00E95200" w:rsidRPr="00097824" w:rsidRDefault="00FE1DF4" w:rsidP="00AD4A9F">
            <w:pPr>
              <w:ind w:left="397" w:firstLine="357"/>
              <w:contextualSpacing/>
              <w:rPr>
                <w:szCs w:val="24"/>
              </w:rPr>
            </w:pPr>
            <w:r w:rsidRPr="00097824">
              <w:rPr>
                <w:szCs w:val="24"/>
              </w:rPr>
              <w:t>Стадия</w:t>
            </w:r>
            <w:r w:rsidRPr="00097824">
              <w:t xml:space="preserve"> </w:t>
            </w:r>
            <w:r w:rsidR="00E95200" w:rsidRPr="00097824">
              <w:t>IV</w:t>
            </w:r>
          </w:p>
        </w:tc>
        <w:tc>
          <w:tcPr>
            <w:tcW w:w="1246" w:type="pct"/>
          </w:tcPr>
          <w:p w14:paraId="02ED39AF" w14:textId="02736CF8" w:rsidR="00E95200" w:rsidRPr="00097824" w:rsidRDefault="00E95200" w:rsidP="00AD4A9F">
            <w:pPr>
              <w:ind w:left="397" w:firstLine="357"/>
              <w:contextualSpacing/>
              <w:rPr>
                <w:szCs w:val="24"/>
              </w:rPr>
            </w:pPr>
            <w:r w:rsidRPr="00097824">
              <w:t>Любая</w:t>
            </w:r>
            <w:r w:rsidR="00FE1DF4" w:rsidRPr="00097824">
              <w:t xml:space="preserve"> Т</w:t>
            </w:r>
          </w:p>
        </w:tc>
        <w:tc>
          <w:tcPr>
            <w:tcW w:w="1308" w:type="pct"/>
          </w:tcPr>
          <w:p w14:paraId="61CAADE3" w14:textId="20F37389" w:rsidR="00E95200" w:rsidRPr="00097824" w:rsidRDefault="00E95200" w:rsidP="00AD4A9F">
            <w:pPr>
              <w:ind w:left="397" w:firstLine="357"/>
              <w:contextualSpacing/>
              <w:rPr>
                <w:szCs w:val="24"/>
              </w:rPr>
            </w:pPr>
            <w:r w:rsidRPr="00097824">
              <w:t>Любая</w:t>
            </w:r>
            <w:r w:rsidR="00FE1DF4" w:rsidRPr="00097824">
              <w:t xml:space="preserve"> </w:t>
            </w:r>
            <w:r w:rsidR="00FE1DF4" w:rsidRPr="00097824">
              <w:rPr>
                <w:szCs w:val="24"/>
                <w:lang w:val="en-GB"/>
              </w:rPr>
              <w:t>N</w:t>
            </w:r>
          </w:p>
        </w:tc>
        <w:tc>
          <w:tcPr>
            <w:tcW w:w="1153" w:type="pct"/>
          </w:tcPr>
          <w:p w14:paraId="377DC9F7" w14:textId="2FF4C860" w:rsidR="00E95200" w:rsidRPr="00097824" w:rsidRDefault="00E95200" w:rsidP="00AD4A9F">
            <w:pPr>
              <w:ind w:left="397" w:firstLine="357"/>
              <w:contextualSpacing/>
              <w:rPr>
                <w:szCs w:val="24"/>
              </w:rPr>
            </w:pPr>
            <w:r w:rsidRPr="00097824">
              <w:t>M1</w:t>
            </w:r>
          </w:p>
        </w:tc>
      </w:tr>
    </w:tbl>
    <w:p w14:paraId="460E0885" w14:textId="77777777" w:rsidR="00D679CC" w:rsidRPr="00097824" w:rsidRDefault="00D679CC" w:rsidP="00AD4A9F">
      <w:pPr>
        <w:pStyle w:val="SDText"/>
        <w:spacing w:after="0" w:line="360" w:lineRule="auto"/>
        <w:ind w:left="397" w:firstLine="357"/>
      </w:pPr>
    </w:p>
    <w:p w14:paraId="2369A106" w14:textId="6EA40C26" w:rsidR="00D679CC" w:rsidRPr="00097824" w:rsidRDefault="00D679CC" w:rsidP="00AD4A9F">
      <w:pPr>
        <w:pStyle w:val="SDText"/>
        <w:spacing w:after="0" w:line="360" w:lineRule="auto"/>
        <w:ind w:left="397" w:firstLine="357"/>
      </w:pPr>
      <w:r w:rsidRPr="00097824">
        <w:t xml:space="preserve">Для всех внутрипеченочных </w:t>
      </w:r>
      <w:proofErr w:type="spellStart"/>
      <w:r w:rsidRPr="00097824">
        <w:t>холангиокарцином</w:t>
      </w:r>
      <w:proofErr w:type="spellEnd"/>
      <w:r w:rsidRPr="00097824">
        <w:t xml:space="preserve"> отдаленным считается метастазирование в чревные, </w:t>
      </w:r>
      <w:proofErr w:type="spellStart"/>
      <w:r w:rsidRPr="00097824">
        <w:t>парааортальные</w:t>
      </w:r>
      <w:proofErr w:type="spellEnd"/>
      <w:r w:rsidRPr="00097824">
        <w:t xml:space="preserve"> или </w:t>
      </w:r>
      <w:proofErr w:type="spellStart"/>
      <w:r w:rsidRPr="00097824">
        <w:t>паракавальные</w:t>
      </w:r>
      <w:proofErr w:type="spellEnd"/>
      <w:r w:rsidRPr="00097824">
        <w:t xml:space="preserve"> лимфатические узлы. Типичными участками отдаленного распространения являются внутрипеченочные очаги, а также поражение брюшины и далее в порядке убывания по частоте встречаемости кости, легкие и плевра.</w:t>
      </w:r>
    </w:p>
    <w:p w14:paraId="3D8AE578" w14:textId="77777777" w:rsidR="00D630AE" w:rsidRPr="00097824" w:rsidRDefault="007F5427" w:rsidP="00AD4A9F">
      <w:pPr>
        <w:ind w:left="397" w:firstLine="357"/>
        <w:contextualSpacing/>
        <w:rPr>
          <w:i/>
          <w:iCs/>
        </w:rPr>
      </w:pPr>
      <w:r w:rsidRPr="00097824">
        <w:rPr>
          <w:i/>
          <w:iCs/>
        </w:rPr>
        <w:lastRenderedPageBreak/>
        <w:t>Гистологическая градация:</w:t>
      </w:r>
    </w:p>
    <w:p w14:paraId="14920037" w14:textId="77777777" w:rsidR="000A4C83" w:rsidRPr="00097824" w:rsidRDefault="000A4C83" w:rsidP="00AD4A9F">
      <w:pPr>
        <w:ind w:left="397" w:firstLine="357"/>
        <w:contextualSpacing/>
      </w:pPr>
      <w:r w:rsidRPr="00097824">
        <w:rPr>
          <w:lang w:val="en-US"/>
        </w:rPr>
        <w:t>G</w:t>
      </w:r>
      <w:r w:rsidRPr="00097824">
        <w:rPr>
          <w:vertAlign w:val="subscript"/>
          <w:lang w:val="en-US"/>
        </w:rPr>
        <w:t>x</w:t>
      </w:r>
      <w:r w:rsidR="00523FDA" w:rsidRPr="00097824">
        <w:t>–</w:t>
      </w:r>
      <w:r w:rsidRPr="00097824">
        <w:t xml:space="preserve"> недостаточно данных для оценки</w:t>
      </w:r>
      <w:r w:rsidR="00523FDA" w:rsidRPr="00097824">
        <w:t>;</w:t>
      </w:r>
    </w:p>
    <w:p w14:paraId="401F0CBB" w14:textId="77777777" w:rsidR="000A4C83" w:rsidRPr="00097824" w:rsidRDefault="000A4C83" w:rsidP="00AD4A9F">
      <w:pPr>
        <w:ind w:left="397" w:firstLine="357"/>
        <w:contextualSpacing/>
      </w:pPr>
      <w:r w:rsidRPr="00097824">
        <w:rPr>
          <w:lang w:val="en-US"/>
        </w:rPr>
        <w:t>G</w:t>
      </w:r>
      <w:r w:rsidRPr="00097824">
        <w:rPr>
          <w:vertAlign w:val="subscript"/>
        </w:rPr>
        <w:t xml:space="preserve">1 </w:t>
      </w:r>
      <w:r w:rsidRPr="00097824">
        <w:t>– хорошо дифференцированная</w:t>
      </w:r>
      <w:r w:rsidR="00523FDA" w:rsidRPr="00097824">
        <w:t>;</w:t>
      </w:r>
    </w:p>
    <w:p w14:paraId="0238381B" w14:textId="77777777" w:rsidR="000A4C83" w:rsidRPr="00097824" w:rsidRDefault="000A4C83" w:rsidP="00AD4A9F">
      <w:pPr>
        <w:ind w:left="397" w:firstLine="357"/>
        <w:contextualSpacing/>
      </w:pPr>
      <w:r w:rsidRPr="00097824">
        <w:rPr>
          <w:lang w:val="en-US"/>
        </w:rPr>
        <w:t>G</w:t>
      </w:r>
      <w:r w:rsidRPr="00097824">
        <w:rPr>
          <w:vertAlign w:val="subscript"/>
        </w:rPr>
        <w:t>2</w:t>
      </w:r>
      <w:r w:rsidRPr="00097824">
        <w:t xml:space="preserve"> – умеренно дифференцированная</w:t>
      </w:r>
      <w:r w:rsidR="00523FDA" w:rsidRPr="00097824">
        <w:t>;</w:t>
      </w:r>
    </w:p>
    <w:p w14:paraId="41CD12F0" w14:textId="77777777" w:rsidR="000A4C83" w:rsidRPr="00097824" w:rsidRDefault="000A4C83" w:rsidP="00AD4A9F">
      <w:pPr>
        <w:ind w:left="397" w:firstLine="357"/>
        <w:contextualSpacing/>
      </w:pPr>
      <w:r w:rsidRPr="00097824">
        <w:rPr>
          <w:lang w:val="en-US"/>
        </w:rPr>
        <w:t>G</w:t>
      </w:r>
      <w:r w:rsidRPr="00097824">
        <w:rPr>
          <w:vertAlign w:val="subscript"/>
        </w:rPr>
        <w:t>3</w:t>
      </w:r>
      <w:r w:rsidRPr="00097824">
        <w:t xml:space="preserve"> – низкодифференцированная</w:t>
      </w:r>
      <w:r w:rsidR="00523FDA" w:rsidRPr="00097824">
        <w:t>.</w:t>
      </w:r>
    </w:p>
    <w:p w14:paraId="735C64B1" w14:textId="77777777" w:rsidR="001B0BC9" w:rsidRPr="00097824" w:rsidRDefault="001B0BC9" w:rsidP="00AD4A9F">
      <w:pPr>
        <w:ind w:left="397" w:firstLine="357"/>
        <w:rPr>
          <w:b/>
        </w:rPr>
      </w:pPr>
    </w:p>
    <w:p w14:paraId="3A8FD389" w14:textId="2A367E69" w:rsidR="000A4C83" w:rsidRPr="00097824" w:rsidRDefault="000A4C83" w:rsidP="00AD4A9F">
      <w:pPr>
        <w:ind w:left="397" w:firstLine="357"/>
        <w:rPr>
          <w:b/>
        </w:rPr>
      </w:pPr>
      <w:proofErr w:type="spellStart"/>
      <w:r w:rsidRPr="00097824">
        <w:rPr>
          <w:b/>
        </w:rPr>
        <w:t>Стадирование</w:t>
      </w:r>
      <w:proofErr w:type="spellEnd"/>
      <w:r w:rsidRPr="00097824">
        <w:rPr>
          <w:b/>
        </w:rPr>
        <w:t xml:space="preserve"> рака </w:t>
      </w:r>
      <w:r w:rsidR="00756B2B" w:rsidRPr="00097824">
        <w:rPr>
          <w:b/>
        </w:rPr>
        <w:t xml:space="preserve">проксимального отдела </w:t>
      </w:r>
      <w:r w:rsidRPr="00097824">
        <w:rPr>
          <w:b/>
        </w:rPr>
        <w:t>внепеченочных желчных пр</w:t>
      </w:r>
      <w:r w:rsidR="00D76CD1" w:rsidRPr="00097824">
        <w:rPr>
          <w:b/>
        </w:rPr>
        <w:t xml:space="preserve">отоков </w:t>
      </w:r>
    </w:p>
    <w:p w14:paraId="3AB304B7" w14:textId="77777777" w:rsidR="00FF0721" w:rsidRPr="00097824" w:rsidRDefault="00FF0721" w:rsidP="00AD4A9F">
      <w:pPr>
        <w:ind w:left="397" w:firstLine="357"/>
        <w:rPr>
          <w:b/>
        </w:rPr>
      </w:pPr>
    </w:p>
    <w:p w14:paraId="00C8A113" w14:textId="77777777" w:rsidR="00447CEC" w:rsidRPr="00097824" w:rsidRDefault="00447CEC" w:rsidP="00AD4A9F">
      <w:pPr>
        <w:pStyle w:val="SDText"/>
        <w:spacing w:after="0" w:line="360" w:lineRule="auto"/>
        <w:ind w:left="397" w:firstLine="357"/>
        <w:rPr>
          <w:i/>
          <w:iCs/>
        </w:rPr>
      </w:pPr>
      <w:r w:rsidRPr="00097824">
        <w:rPr>
          <w:i/>
          <w:iCs/>
        </w:rPr>
        <w:t>Т – первичная опухоль:</w:t>
      </w:r>
    </w:p>
    <w:p w14:paraId="2BD7F90C" w14:textId="77777777" w:rsidR="00D630AE" w:rsidRPr="00097824" w:rsidRDefault="00447CEC" w:rsidP="00AD4A9F">
      <w:pPr>
        <w:pStyle w:val="SDText"/>
        <w:spacing w:after="0" w:line="360" w:lineRule="auto"/>
        <w:ind w:left="397" w:firstLine="357"/>
      </w:pPr>
      <w:r w:rsidRPr="00097824">
        <w:t>T</w:t>
      </w:r>
      <w:r w:rsidRPr="00097824">
        <w:rPr>
          <w:vertAlign w:val="subscript"/>
        </w:rPr>
        <w:t>Х</w:t>
      </w:r>
      <w:r w:rsidRPr="00097824">
        <w:t xml:space="preserve"> – недостаточно данных для оценки первичной опухоли;</w:t>
      </w:r>
    </w:p>
    <w:p w14:paraId="1779FC1B" w14:textId="77777777" w:rsidR="00D630AE" w:rsidRPr="00097824" w:rsidRDefault="00447CEC" w:rsidP="00AD4A9F">
      <w:pPr>
        <w:pStyle w:val="SDText"/>
        <w:spacing w:after="0" w:line="360" w:lineRule="auto"/>
        <w:ind w:left="397" w:firstLine="357"/>
      </w:pPr>
      <w:r w:rsidRPr="00097824">
        <w:t>T</w:t>
      </w:r>
      <w:r w:rsidRPr="00097824">
        <w:rPr>
          <w:vertAlign w:val="subscript"/>
        </w:rPr>
        <w:t xml:space="preserve">0 </w:t>
      </w:r>
      <w:r w:rsidRPr="00097824">
        <w:t>– первичная опухоль не определяется;</w:t>
      </w:r>
    </w:p>
    <w:p w14:paraId="3DC9665F" w14:textId="77777777" w:rsidR="00D630AE" w:rsidRPr="00097824" w:rsidRDefault="00447CEC" w:rsidP="00AD4A9F">
      <w:pPr>
        <w:pStyle w:val="SDText"/>
        <w:spacing w:after="0" w:line="360" w:lineRule="auto"/>
        <w:ind w:left="397" w:firstLine="357"/>
      </w:pPr>
      <w:proofErr w:type="spellStart"/>
      <w:r w:rsidRPr="00097824">
        <w:t>Т</w:t>
      </w:r>
      <w:r w:rsidRPr="00097824">
        <w:rPr>
          <w:vertAlign w:val="subscript"/>
        </w:rPr>
        <w:t>is</w:t>
      </w:r>
      <w:proofErr w:type="spellEnd"/>
      <w:r w:rsidRPr="00097824">
        <w:t xml:space="preserve">– рак </w:t>
      </w:r>
      <w:proofErr w:type="spellStart"/>
      <w:r w:rsidRPr="00097824">
        <w:rPr>
          <w:i/>
          <w:iCs/>
        </w:rPr>
        <w:t>in</w:t>
      </w:r>
      <w:proofErr w:type="spellEnd"/>
      <w:r w:rsidR="00A26E5A" w:rsidRPr="00097824">
        <w:rPr>
          <w:i/>
          <w:iCs/>
        </w:rPr>
        <w:t xml:space="preserve"> </w:t>
      </w:r>
      <w:proofErr w:type="spellStart"/>
      <w:r w:rsidRPr="00097824">
        <w:rPr>
          <w:i/>
          <w:iCs/>
        </w:rPr>
        <w:t>situ</w:t>
      </w:r>
      <w:proofErr w:type="spellEnd"/>
      <w:r w:rsidRPr="00097824">
        <w:t xml:space="preserve"> (высокая степень дисплазии);</w:t>
      </w:r>
    </w:p>
    <w:p w14:paraId="72692270" w14:textId="079C4642" w:rsidR="00D630AE" w:rsidRPr="00097824" w:rsidRDefault="00447CEC" w:rsidP="00AD4A9F">
      <w:pPr>
        <w:pStyle w:val="SDText"/>
        <w:spacing w:after="0" w:line="360" w:lineRule="auto"/>
        <w:ind w:left="397" w:firstLine="357"/>
      </w:pPr>
      <w:r w:rsidRPr="00097824">
        <w:t>T</w:t>
      </w:r>
      <w:r w:rsidRPr="00097824">
        <w:rPr>
          <w:vertAlign w:val="subscript"/>
        </w:rPr>
        <w:t>1</w:t>
      </w:r>
      <w:r w:rsidRPr="00097824">
        <w:t xml:space="preserve"> – </w:t>
      </w:r>
      <w:r w:rsidR="003519D1" w:rsidRPr="00097824">
        <w:t>о</w:t>
      </w:r>
      <w:r w:rsidRPr="00097824">
        <w:t>пухоль, ограниченная желчным протоком, с расширением до мышечного слоя или волокнистой (фиброзной) ткани;</w:t>
      </w:r>
    </w:p>
    <w:p w14:paraId="465B15A1" w14:textId="114009BA" w:rsidR="00D630AE" w:rsidRPr="00097824" w:rsidRDefault="00447CEC" w:rsidP="00AD4A9F">
      <w:pPr>
        <w:pStyle w:val="SDText"/>
        <w:spacing w:after="0" w:line="360" w:lineRule="auto"/>
        <w:ind w:left="397" w:firstLine="357"/>
      </w:pPr>
      <w:r w:rsidRPr="00097824">
        <w:t>Т</w:t>
      </w:r>
      <w:r w:rsidRPr="00097824">
        <w:rPr>
          <w:vertAlign w:val="subscript"/>
        </w:rPr>
        <w:t>2</w:t>
      </w:r>
      <w:r w:rsidRPr="00097824">
        <w:t xml:space="preserve"> – </w:t>
      </w:r>
      <w:r w:rsidR="003519D1" w:rsidRPr="00097824">
        <w:t>о</w:t>
      </w:r>
      <w:r w:rsidRPr="00097824">
        <w:t xml:space="preserve">пухоль проникает за стенку желчного протока в окружающую жировую ткань, или опухоль проникает в соседнюю печеночную паренхиму: </w:t>
      </w:r>
    </w:p>
    <w:p w14:paraId="2F598D8B" w14:textId="77777777" w:rsidR="00D630AE" w:rsidRPr="00097824" w:rsidRDefault="00447CEC" w:rsidP="00AD4A9F">
      <w:pPr>
        <w:pStyle w:val="SDText"/>
        <w:spacing w:after="0" w:line="360" w:lineRule="auto"/>
        <w:ind w:left="397" w:firstLine="357"/>
      </w:pPr>
      <w:r w:rsidRPr="00097824">
        <w:t>T</w:t>
      </w:r>
      <w:r w:rsidRPr="00097824">
        <w:rPr>
          <w:vertAlign w:val="subscript"/>
        </w:rPr>
        <w:t>2a</w:t>
      </w:r>
      <w:r w:rsidRPr="00097824">
        <w:t xml:space="preserve"> – опухоль прорастает за пределы стенки протока с инвазией в окружающую жировую ткань;</w:t>
      </w:r>
    </w:p>
    <w:p w14:paraId="1997CEFC" w14:textId="77777777" w:rsidR="00D630AE" w:rsidRPr="00097824" w:rsidRDefault="00447CEC" w:rsidP="00AD4A9F">
      <w:pPr>
        <w:pStyle w:val="SDText"/>
        <w:spacing w:after="0" w:line="360" w:lineRule="auto"/>
        <w:ind w:left="397" w:firstLine="357"/>
      </w:pPr>
      <w:r w:rsidRPr="00097824">
        <w:t>T</w:t>
      </w:r>
      <w:r w:rsidRPr="00097824">
        <w:rPr>
          <w:vertAlign w:val="subscript"/>
        </w:rPr>
        <w:t>2b</w:t>
      </w:r>
      <w:r w:rsidRPr="00097824">
        <w:t xml:space="preserve"> – опухоль прорастает в прилежащую паренхиму печени;</w:t>
      </w:r>
    </w:p>
    <w:p w14:paraId="6FEC69F1" w14:textId="77777777" w:rsidR="00D630AE" w:rsidRPr="00097824" w:rsidRDefault="00447CEC" w:rsidP="00AD4A9F">
      <w:pPr>
        <w:pStyle w:val="SDText"/>
        <w:spacing w:after="0" w:line="360" w:lineRule="auto"/>
        <w:ind w:left="397" w:firstLine="357"/>
      </w:pPr>
      <w:r w:rsidRPr="00097824">
        <w:t>T</w:t>
      </w:r>
      <w:r w:rsidRPr="00097824">
        <w:rPr>
          <w:vertAlign w:val="subscript"/>
        </w:rPr>
        <w:t>3</w:t>
      </w:r>
      <w:r w:rsidRPr="00097824">
        <w:t xml:space="preserve"> – опухоль прорастает в ветви воротной вены или печеночной артерии с одной стороны;</w:t>
      </w:r>
    </w:p>
    <w:p w14:paraId="5BA93EEE" w14:textId="77777777" w:rsidR="00D630AE" w:rsidRPr="00097824" w:rsidRDefault="00447CEC" w:rsidP="00AD4A9F">
      <w:pPr>
        <w:pStyle w:val="SDText"/>
        <w:spacing w:after="0" w:line="360" w:lineRule="auto"/>
        <w:ind w:left="397" w:firstLine="357"/>
      </w:pPr>
      <w:r w:rsidRPr="00097824">
        <w:t>T</w:t>
      </w:r>
      <w:r w:rsidRPr="00097824">
        <w:rPr>
          <w:vertAlign w:val="subscript"/>
        </w:rPr>
        <w:t>4</w:t>
      </w:r>
      <w:r w:rsidRPr="00097824">
        <w:t xml:space="preserve"> – опухоль прорастает в главный ствол воротной вены или ее ветви с обеих сторон; или инвазия общей печеночной артерии; или распространение опухоли на протоки 2 порядка с обеих сторон; или поражение протоков 2 порядка с одной стороны с инвазией контралатеральной ветви воротной вены или вовлечением печеночной артерии. </w:t>
      </w:r>
    </w:p>
    <w:p w14:paraId="5EFA5AFC" w14:textId="60C1DD70" w:rsidR="00447CEC" w:rsidRPr="00097824" w:rsidRDefault="00447CEC" w:rsidP="00AD4A9F">
      <w:pPr>
        <w:pStyle w:val="SDText"/>
        <w:spacing w:after="0" w:line="360" w:lineRule="auto"/>
        <w:ind w:left="397" w:firstLine="357"/>
        <w:rPr>
          <w:i/>
          <w:iCs/>
        </w:rPr>
      </w:pPr>
      <w:r w:rsidRPr="00097824">
        <w:rPr>
          <w:i/>
          <w:iCs/>
        </w:rPr>
        <w:t xml:space="preserve">N – регионарные лимфатические узлы </w:t>
      </w:r>
      <w:r w:rsidR="003519D1" w:rsidRPr="00097824">
        <w:rPr>
          <w:i/>
          <w:iCs/>
        </w:rPr>
        <w:t>–</w:t>
      </w:r>
      <w:r w:rsidRPr="00097824">
        <w:rPr>
          <w:i/>
          <w:iCs/>
        </w:rPr>
        <w:t xml:space="preserve"> ворот печени, вдоль пузырного и общего желчного протоков, воротной вены, печеночной артерии, а также задние </w:t>
      </w:r>
      <w:proofErr w:type="spellStart"/>
      <w:r w:rsidRPr="00097824">
        <w:rPr>
          <w:i/>
          <w:iCs/>
        </w:rPr>
        <w:t>панкреатодуоденальные</w:t>
      </w:r>
      <w:proofErr w:type="spellEnd"/>
      <w:r w:rsidRPr="00097824">
        <w:rPr>
          <w:i/>
          <w:iCs/>
        </w:rPr>
        <w:t xml:space="preserve"> лимфоузлы. </w:t>
      </w:r>
    </w:p>
    <w:p w14:paraId="45815707" w14:textId="77777777" w:rsidR="00D630AE" w:rsidRPr="00097824" w:rsidRDefault="00447CEC" w:rsidP="00AD4A9F">
      <w:pPr>
        <w:pStyle w:val="SDText"/>
        <w:spacing w:after="0" w:line="360" w:lineRule="auto"/>
        <w:ind w:left="397" w:firstLine="357"/>
      </w:pPr>
      <w:r w:rsidRPr="00097824">
        <w:t>N</w:t>
      </w:r>
      <w:r w:rsidRPr="00097824">
        <w:rPr>
          <w:vertAlign w:val="subscript"/>
        </w:rPr>
        <w:t>X</w:t>
      </w:r>
      <w:r w:rsidRPr="00097824">
        <w:t xml:space="preserve"> – недостаточно данных для оценки поражения лимфоузлов;</w:t>
      </w:r>
    </w:p>
    <w:p w14:paraId="0DF48D73" w14:textId="77777777" w:rsidR="00D630AE" w:rsidRPr="00097824" w:rsidRDefault="00447CEC" w:rsidP="00AD4A9F">
      <w:pPr>
        <w:pStyle w:val="SDText"/>
        <w:spacing w:after="0" w:line="360" w:lineRule="auto"/>
        <w:ind w:left="397" w:firstLine="357"/>
      </w:pPr>
      <w:r w:rsidRPr="00097824">
        <w:t>N</w:t>
      </w:r>
      <w:r w:rsidRPr="00097824">
        <w:rPr>
          <w:vertAlign w:val="subscript"/>
        </w:rPr>
        <w:t>0</w:t>
      </w:r>
      <w:r w:rsidRPr="00097824">
        <w:t xml:space="preserve"> – нет признаков метастатического поражения регионарных лимфатических узлов;</w:t>
      </w:r>
    </w:p>
    <w:p w14:paraId="79E32973" w14:textId="77777777" w:rsidR="00D630AE" w:rsidRPr="00097824" w:rsidRDefault="00447CEC" w:rsidP="00AD4A9F">
      <w:pPr>
        <w:pStyle w:val="SDText"/>
        <w:spacing w:after="0" w:line="360" w:lineRule="auto"/>
        <w:ind w:left="397" w:firstLine="357"/>
      </w:pPr>
      <w:r w:rsidRPr="00097824">
        <w:lastRenderedPageBreak/>
        <w:t>N</w:t>
      </w:r>
      <w:r w:rsidRPr="00097824">
        <w:rPr>
          <w:vertAlign w:val="subscript"/>
        </w:rPr>
        <w:t>1</w:t>
      </w:r>
      <w:r w:rsidRPr="00097824">
        <w:t xml:space="preserve"> – от одного до трех положительных лимфатических узлов, поражение лимфоузлов вдоль пузырного протока, общего желчного протока, печеночной артерии, задние </w:t>
      </w:r>
      <w:proofErr w:type="spellStart"/>
      <w:r w:rsidRPr="00097824">
        <w:t>панкреатодуоденальной</w:t>
      </w:r>
      <w:proofErr w:type="spellEnd"/>
      <w:r w:rsidRPr="00097824">
        <w:t xml:space="preserve"> и/или воротной вены;</w:t>
      </w:r>
    </w:p>
    <w:p w14:paraId="1ABA1538" w14:textId="08590CB9" w:rsidR="00D630AE" w:rsidRPr="00097824" w:rsidRDefault="00447CEC" w:rsidP="00AD4A9F">
      <w:pPr>
        <w:pStyle w:val="SDText"/>
        <w:spacing w:after="0" w:line="360" w:lineRule="auto"/>
        <w:ind w:left="397" w:firstLine="357"/>
      </w:pPr>
      <w:r w:rsidRPr="00097824">
        <w:t>N</w:t>
      </w:r>
      <w:r w:rsidRPr="00097824">
        <w:rPr>
          <w:vertAlign w:val="subscript"/>
        </w:rPr>
        <w:t>2</w:t>
      </w:r>
      <w:r w:rsidRPr="00097824">
        <w:t xml:space="preserve"> – </w:t>
      </w:r>
      <w:r w:rsidR="003519D1" w:rsidRPr="00097824">
        <w:t>ч</w:t>
      </w:r>
      <w:r w:rsidRPr="00097824">
        <w:t>етыре или более положительных лимфатических узла из участков, описанных для N</w:t>
      </w:r>
      <w:r w:rsidRPr="00097824">
        <w:rPr>
          <w:vertAlign w:val="subscript"/>
        </w:rPr>
        <w:t>1</w:t>
      </w:r>
      <w:r w:rsidRPr="00097824">
        <w:t>.</w:t>
      </w:r>
    </w:p>
    <w:p w14:paraId="1D6D8FDC" w14:textId="77777777" w:rsidR="00447CEC" w:rsidRPr="00097824" w:rsidRDefault="007F5427" w:rsidP="00AD4A9F">
      <w:pPr>
        <w:pStyle w:val="SDText"/>
        <w:spacing w:after="0" w:line="360" w:lineRule="auto"/>
        <w:ind w:left="397" w:firstLine="357"/>
        <w:rPr>
          <w:i/>
          <w:iCs/>
        </w:rPr>
      </w:pPr>
      <w:r w:rsidRPr="00097824">
        <w:rPr>
          <w:i/>
          <w:iCs/>
        </w:rPr>
        <w:t xml:space="preserve">М – отдаленные метастазы: </w:t>
      </w:r>
    </w:p>
    <w:p w14:paraId="0F349C9A" w14:textId="77777777" w:rsidR="00D630AE" w:rsidRPr="00097824" w:rsidRDefault="00447CEC" w:rsidP="00AD4A9F">
      <w:pPr>
        <w:pStyle w:val="SDText"/>
        <w:spacing w:after="0" w:line="360" w:lineRule="auto"/>
        <w:ind w:left="397" w:firstLine="357"/>
      </w:pPr>
      <w:r w:rsidRPr="00097824">
        <w:t>М</w:t>
      </w:r>
      <w:r w:rsidRPr="00097824">
        <w:rPr>
          <w:vertAlign w:val="subscript"/>
        </w:rPr>
        <w:t>0</w:t>
      </w:r>
      <w:r w:rsidRPr="00097824">
        <w:t xml:space="preserve"> – нет отдаленных метастазов;</w:t>
      </w:r>
    </w:p>
    <w:p w14:paraId="706883D4" w14:textId="77777777" w:rsidR="00D630AE" w:rsidRPr="00097824" w:rsidRDefault="00447CEC" w:rsidP="00AD4A9F">
      <w:pPr>
        <w:pStyle w:val="SDText"/>
        <w:spacing w:after="0" w:line="360" w:lineRule="auto"/>
        <w:ind w:left="397" w:firstLine="357"/>
      </w:pPr>
      <w:r w:rsidRPr="00097824">
        <w:t>М</w:t>
      </w:r>
      <w:r w:rsidRPr="00097824">
        <w:rPr>
          <w:vertAlign w:val="subscript"/>
        </w:rPr>
        <w:t>1</w:t>
      </w:r>
      <w:r w:rsidRPr="00097824">
        <w:t xml:space="preserve"> – есть отдаленные метастазы.</w:t>
      </w:r>
    </w:p>
    <w:p w14:paraId="74964B95" w14:textId="7D319D47" w:rsidR="00447CEC" w:rsidRPr="00097824" w:rsidRDefault="00447CEC" w:rsidP="00AD4A9F">
      <w:pPr>
        <w:pStyle w:val="SDText"/>
        <w:spacing w:after="0" w:line="360" w:lineRule="auto"/>
        <w:ind w:left="397" w:firstLine="357"/>
      </w:pPr>
      <w:r w:rsidRPr="00097824">
        <w:t xml:space="preserve">Метастазы в лимфатические узлы, расположенные </w:t>
      </w:r>
      <w:proofErr w:type="spellStart"/>
      <w:r w:rsidRPr="00097824">
        <w:t>дистальнее</w:t>
      </w:r>
      <w:proofErr w:type="spellEnd"/>
      <w:r w:rsidR="008B7E60" w:rsidRPr="00097824">
        <w:t xml:space="preserve"> </w:t>
      </w:r>
      <w:proofErr w:type="spellStart"/>
      <w:r w:rsidRPr="00097824">
        <w:t>гепатодуоденальной</w:t>
      </w:r>
      <w:proofErr w:type="spellEnd"/>
      <w:r w:rsidRPr="00097824">
        <w:t xml:space="preserve"> связки, классифицируются как отдаленные метастазы.</w:t>
      </w:r>
    </w:p>
    <w:p w14:paraId="44DE7ECD" w14:textId="3B9C2FFD" w:rsidR="00FF0721" w:rsidRPr="00097824" w:rsidRDefault="00447CEC" w:rsidP="00AD4A9F">
      <w:pPr>
        <w:pStyle w:val="SDTable"/>
        <w:spacing w:before="0" w:after="0"/>
        <w:ind w:left="397" w:firstLine="357"/>
      </w:pPr>
      <w:bookmarkStart w:id="41" w:name="_Toc112669738"/>
      <w:r w:rsidRPr="00097824">
        <w:t xml:space="preserve">Таблица </w:t>
      </w:r>
      <w:r w:rsidR="007F5427" w:rsidRPr="00097824">
        <w:fldChar w:fldCharType="begin"/>
      </w:r>
      <w:r w:rsidRPr="00097824">
        <w:instrText xml:space="preserve"> SEQ Таблица \* ARABIC </w:instrText>
      </w:r>
      <w:r w:rsidR="007F5427" w:rsidRPr="00097824">
        <w:fldChar w:fldCharType="separate"/>
      </w:r>
      <w:r w:rsidR="006752A2" w:rsidRPr="00097824">
        <w:rPr>
          <w:noProof/>
        </w:rPr>
        <w:t>2</w:t>
      </w:r>
      <w:r w:rsidR="007F5427" w:rsidRPr="00097824">
        <w:rPr>
          <w:noProof/>
        </w:rPr>
        <w:fldChar w:fldCharType="end"/>
      </w:r>
      <w:r w:rsidR="00FF0721" w:rsidRPr="00097824">
        <w:rPr>
          <w:noProof/>
        </w:rPr>
        <w:t>.</w:t>
      </w:r>
    </w:p>
    <w:p w14:paraId="26B35910" w14:textId="77777777" w:rsidR="00447CEC" w:rsidRPr="00097824" w:rsidRDefault="00447CEC" w:rsidP="00AD4A9F">
      <w:pPr>
        <w:pStyle w:val="SDTable"/>
        <w:spacing w:before="0" w:after="0"/>
        <w:ind w:left="397" w:firstLine="357"/>
        <w:rPr>
          <w:rFonts w:cs="Times New Roman"/>
          <w:bCs/>
          <w:szCs w:val="24"/>
        </w:rPr>
      </w:pPr>
      <w:r w:rsidRPr="00097824">
        <w:t xml:space="preserve">Группировка </w:t>
      </w:r>
      <w:r w:rsidRPr="00097824">
        <w:rPr>
          <w:bCs/>
        </w:rPr>
        <w:t xml:space="preserve">по стадиям рака внепеченочных желчных протоков </w:t>
      </w:r>
      <w:r w:rsidRPr="00097824">
        <w:t>(в области ворот печени)</w:t>
      </w:r>
      <w:bookmarkEnd w:id="4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166"/>
        <w:gridCol w:w="2552"/>
        <w:gridCol w:w="2268"/>
      </w:tblGrid>
      <w:tr w:rsidR="005A526D" w:rsidRPr="00097824" w14:paraId="109E1422" w14:textId="77777777" w:rsidTr="003519D1">
        <w:trPr>
          <w:trHeight w:val="309"/>
          <w:tblHeader/>
        </w:trPr>
        <w:tc>
          <w:tcPr>
            <w:tcW w:w="2478" w:type="dxa"/>
            <w:shd w:val="clear" w:color="auto" w:fill="auto"/>
          </w:tcPr>
          <w:p w14:paraId="496C8571" w14:textId="77777777" w:rsidR="00D630AE" w:rsidRPr="00097824" w:rsidRDefault="00447CEC" w:rsidP="00AD4A9F">
            <w:pPr>
              <w:ind w:left="397" w:firstLine="357"/>
              <w:contextualSpacing/>
              <w:jc w:val="center"/>
              <w:rPr>
                <w:szCs w:val="24"/>
              </w:rPr>
            </w:pPr>
            <w:r w:rsidRPr="00097824">
              <w:rPr>
                <w:b/>
                <w:bCs/>
                <w:szCs w:val="24"/>
              </w:rPr>
              <w:t>Стадия</w:t>
            </w:r>
          </w:p>
        </w:tc>
        <w:tc>
          <w:tcPr>
            <w:tcW w:w="2166" w:type="dxa"/>
            <w:shd w:val="clear" w:color="auto" w:fill="auto"/>
          </w:tcPr>
          <w:p w14:paraId="63481697" w14:textId="77777777" w:rsidR="00D630AE" w:rsidRPr="00097824" w:rsidRDefault="00447CEC" w:rsidP="00AD4A9F">
            <w:pPr>
              <w:ind w:left="397" w:firstLine="357"/>
              <w:contextualSpacing/>
              <w:jc w:val="center"/>
              <w:rPr>
                <w:szCs w:val="24"/>
              </w:rPr>
            </w:pPr>
            <w:r w:rsidRPr="00097824">
              <w:rPr>
                <w:b/>
                <w:bCs/>
                <w:szCs w:val="24"/>
              </w:rPr>
              <w:t>Т</w:t>
            </w:r>
          </w:p>
        </w:tc>
        <w:tc>
          <w:tcPr>
            <w:tcW w:w="2552" w:type="dxa"/>
            <w:shd w:val="clear" w:color="auto" w:fill="auto"/>
          </w:tcPr>
          <w:p w14:paraId="5F979730" w14:textId="77777777" w:rsidR="00D630AE" w:rsidRPr="00097824" w:rsidRDefault="00447CEC" w:rsidP="00AD4A9F">
            <w:pPr>
              <w:ind w:left="397" w:firstLine="357"/>
              <w:contextualSpacing/>
              <w:jc w:val="center"/>
              <w:rPr>
                <w:szCs w:val="24"/>
              </w:rPr>
            </w:pPr>
            <w:r w:rsidRPr="00097824">
              <w:rPr>
                <w:b/>
                <w:bCs/>
                <w:szCs w:val="24"/>
                <w:lang w:val="en-US"/>
              </w:rPr>
              <w:t>N</w:t>
            </w:r>
          </w:p>
        </w:tc>
        <w:tc>
          <w:tcPr>
            <w:tcW w:w="2268" w:type="dxa"/>
            <w:shd w:val="clear" w:color="auto" w:fill="auto"/>
          </w:tcPr>
          <w:p w14:paraId="559001B3" w14:textId="77777777" w:rsidR="00D630AE" w:rsidRPr="00097824" w:rsidRDefault="00447CEC" w:rsidP="00AD4A9F">
            <w:pPr>
              <w:ind w:left="397" w:firstLine="357"/>
              <w:contextualSpacing/>
              <w:jc w:val="center"/>
              <w:rPr>
                <w:szCs w:val="24"/>
              </w:rPr>
            </w:pPr>
            <w:r w:rsidRPr="00097824">
              <w:rPr>
                <w:b/>
                <w:bCs/>
                <w:szCs w:val="24"/>
                <w:lang w:val="en-US"/>
              </w:rPr>
              <w:t>M</w:t>
            </w:r>
          </w:p>
        </w:tc>
      </w:tr>
      <w:tr w:rsidR="005A526D" w:rsidRPr="00097824" w14:paraId="2087EDB6" w14:textId="77777777" w:rsidTr="00E54A74">
        <w:trPr>
          <w:trHeight w:val="309"/>
        </w:trPr>
        <w:tc>
          <w:tcPr>
            <w:tcW w:w="2478" w:type="dxa"/>
            <w:shd w:val="clear" w:color="auto" w:fill="auto"/>
          </w:tcPr>
          <w:p w14:paraId="1B77299B" w14:textId="77777777" w:rsidR="00D630AE" w:rsidRPr="00097824" w:rsidRDefault="00447CEC" w:rsidP="00AD4A9F">
            <w:pPr>
              <w:ind w:left="397" w:firstLine="357"/>
              <w:contextualSpacing/>
              <w:rPr>
                <w:szCs w:val="24"/>
              </w:rPr>
            </w:pPr>
            <w:r w:rsidRPr="00097824">
              <w:rPr>
                <w:szCs w:val="24"/>
              </w:rPr>
              <w:t xml:space="preserve">Стадия 0 </w:t>
            </w:r>
          </w:p>
        </w:tc>
        <w:tc>
          <w:tcPr>
            <w:tcW w:w="2166" w:type="dxa"/>
            <w:shd w:val="clear" w:color="auto" w:fill="auto"/>
          </w:tcPr>
          <w:p w14:paraId="4583DD33" w14:textId="77777777" w:rsidR="00D630AE" w:rsidRPr="00097824" w:rsidRDefault="00447CEC" w:rsidP="00AD4A9F">
            <w:pPr>
              <w:ind w:left="397" w:firstLine="357"/>
              <w:contextualSpacing/>
              <w:rPr>
                <w:szCs w:val="24"/>
              </w:rPr>
            </w:pPr>
            <w:proofErr w:type="spellStart"/>
            <w:r w:rsidRPr="00097824">
              <w:rPr>
                <w:szCs w:val="24"/>
              </w:rPr>
              <w:t>T</w:t>
            </w:r>
            <w:r w:rsidRPr="00097824">
              <w:rPr>
                <w:szCs w:val="24"/>
                <w:vertAlign w:val="subscript"/>
              </w:rPr>
              <w:t>is</w:t>
            </w:r>
            <w:proofErr w:type="spellEnd"/>
          </w:p>
        </w:tc>
        <w:tc>
          <w:tcPr>
            <w:tcW w:w="2552" w:type="dxa"/>
            <w:shd w:val="clear" w:color="auto" w:fill="auto"/>
          </w:tcPr>
          <w:p w14:paraId="6EC9C8B6" w14:textId="77777777" w:rsidR="00D630AE" w:rsidRPr="00097824" w:rsidRDefault="00447CEC" w:rsidP="00AD4A9F">
            <w:pPr>
              <w:ind w:left="397" w:firstLine="357"/>
              <w:contextualSpacing/>
              <w:rPr>
                <w:szCs w:val="24"/>
              </w:rPr>
            </w:pPr>
            <w:r w:rsidRPr="00097824">
              <w:rPr>
                <w:szCs w:val="24"/>
              </w:rPr>
              <w:t>N</w:t>
            </w:r>
            <w:r w:rsidRPr="00097824">
              <w:rPr>
                <w:szCs w:val="24"/>
                <w:vertAlign w:val="subscript"/>
              </w:rPr>
              <w:t>0</w:t>
            </w:r>
          </w:p>
        </w:tc>
        <w:tc>
          <w:tcPr>
            <w:tcW w:w="2268" w:type="dxa"/>
            <w:shd w:val="clear" w:color="auto" w:fill="auto"/>
          </w:tcPr>
          <w:p w14:paraId="4E25F07E" w14:textId="77777777" w:rsidR="00D630AE" w:rsidRPr="00097824" w:rsidRDefault="00447CEC" w:rsidP="00AD4A9F">
            <w:pPr>
              <w:ind w:left="397" w:firstLine="357"/>
              <w:contextualSpacing/>
              <w:rPr>
                <w:szCs w:val="24"/>
              </w:rPr>
            </w:pPr>
            <w:r w:rsidRPr="00097824">
              <w:rPr>
                <w:szCs w:val="24"/>
              </w:rPr>
              <w:t>M</w:t>
            </w:r>
            <w:r w:rsidRPr="00097824">
              <w:rPr>
                <w:szCs w:val="24"/>
                <w:vertAlign w:val="subscript"/>
              </w:rPr>
              <w:t>0</w:t>
            </w:r>
          </w:p>
        </w:tc>
      </w:tr>
      <w:tr w:rsidR="005A526D" w:rsidRPr="00097824" w14:paraId="391DB2BC" w14:textId="77777777" w:rsidTr="00E54A74">
        <w:tc>
          <w:tcPr>
            <w:tcW w:w="2478" w:type="dxa"/>
            <w:shd w:val="clear" w:color="auto" w:fill="auto"/>
          </w:tcPr>
          <w:p w14:paraId="19B73417" w14:textId="77777777" w:rsidR="00D630AE" w:rsidRPr="00097824" w:rsidRDefault="00447CEC" w:rsidP="00AD4A9F">
            <w:pPr>
              <w:ind w:left="397" w:firstLine="357"/>
              <w:contextualSpacing/>
              <w:rPr>
                <w:szCs w:val="24"/>
              </w:rPr>
            </w:pPr>
            <w:r w:rsidRPr="00097824">
              <w:rPr>
                <w:szCs w:val="24"/>
              </w:rPr>
              <w:t>Стадия I</w:t>
            </w:r>
          </w:p>
        </w:tc>
        <w:tc>
          <w:tcPr>
            <w:tcW w:w="2166" w:type="dxa"/>
            <w:shd w:val="clear" w:color="auto" w:fill="auto"/>
          </w:tcPr>
          <w:p w14:paraId="24560915" w14:textId="77777777" w:rsidR="00D630AE" w:rsidRPr="00097824" w:rsidRDefault="00447CEC" w:rsidP="00AD4A9F">
            <w:pPr>
              <w:ind w:left="397" w:firstLine="357"/>
              <w:contextualSpacing/>
              <w:rPr>
                <w:szCs w:val="24"/>
              </w:rPr>
            </w:pPr>
            <w:r w:rsidRPr="00097824">
              <w:rPr>
                <w:szCs w:val="24"/>
              </w:rPr>
              <w:t>T</w:t>
            </w:r>
            <w:r w:rsidRPr="00097824">
              <w:rPr>
                <w:szCs w:val="24"/>
                <w:vertAlign w:val="subscript"/>
              </w:rPr>
              <w:t>1</w:t>
            </w:r>
          </w:p>
        </w:tc>
        <w:tc>
          <w:tcPr>
            <w:tcW w:w="2552" w:type="dxa"/>
            <w:shd w:val="clear" w:color="auto" w:fill="auto"/>
          </w:tcPr>
          <w:p w14:paraId="13A74359" w14:textId="77777777" w:rsidR="00D630AE" w:rsidRPr="00097824" w:rsidRDefault="00447CEC" w:rsidP="00AD4A9F">
            <w:pPr>
              <w:ind w:left="397" w:firstLine="357"/>
              <w:contextualSpacing/>
              <w:rPr>
                <w:szCs w:val="24"/>
              </w:rPr>
            </w:pPr>
            <w:r w:rsidRPr="00097824">
              <w:rPr>
                <w:szCs w:val="24"/>
              </w:rPr>
              <w:t>N</w:t>
            </w:r>
            <w:r w:rsidRPr="00097824">
              <w:rPr>
                <w:szCs w:val="24"/>
                <w:vertAlign w:val="subscript"/>
              </w:rPr>
              <w:t>0</w:t>
            </w:r>
          </w:p>
        </w:tc>
        <w:tc>
          <w:tcPr>
            <w:tcW w:w="2268" w:type="dxa"/>
            <w:shd w:val="clear" w:color="auto" w:fill="auto"/>
          </w:tcPr>
          <w:p w14:paraId="12CF6335" w14:textId="77777777" w:rsidR="00D630AE" w:rsidRPr="00097824" w:rsidRDefault="00447CEC" w:rsidP="00AD4A9F">
            <w:pPr>
              <w:ind w:left="397" w:firstLine="357"/>
              <w:contextualSpacing/>
              <w:rPr>
                <w:szCs w:val="24"/>
              </w:rPr>
            </w:pPr>
            <w:r w:rsidRPr="00097824">
              <w:rPr>
                <w:szCs w:val="24"/>
              </w:rPr>
              <w:t>M</w:t>
            </w:r>
            <w:r w:rsidRPr="00097824">
              <w:rPr>
                <w:szCs w:val="24"/>
                <w:vertAlign w:val="subscript"/>
              </w:rPr>
              <w:t>0</w:t>
            </w:r>
          </w:p>
        </w:tc>
      </w:tr>
      <w:tr w:rsidR="005A526D" w:rsidRPr="00097824" w14:paraId="22DEB168" w14:textId="77777777" w:rsidTr="00E54A74">
        <w:tc>
          <w:tcPr>
            <w:tcW w:w="2478" w:type="dxa"/>
            <w:shd w:val="clear" w:color="auto" w:fill="auto"/>
          </w:tcPr>
          <w:p w14:paraId="435E9EE7" w14:textId="51F9451C" w:rsidR="00D630AE" w:rsidRPr="00097824" w:rsidRDefault="00447CEC" w:rsidP="00AD4A9F">
            <w:pPr>
              <w:ind w:left="397" w:firstLine="357"/>
              <w:contextualSpacing/>
              <w:rPr>
                <w:szCs w:val="24"/>
              </w:rPr>
            </w:pPr>
            <w:r w:rsidRPr="00097824">
              <w:rPr>
                <w:szCs w:val="24"/>
              </w:rPr>
              <w:t>Стадия</w:t>
            </w:r>
            <w:r w:rsidR="00FE1DF4" w:rsidRPr="00097824">
              <w:rPr>
                <w:szCs w:val="24"/>
              </w:rPr>
              <w:t xml:space="preserve"> </w:t>
            </w:r>
            <w:r w:rsidRPr="00097824">
              <w:rPr>
                <w:szCs w:val="24"/>
                <w:lang w:val="en-US"/>
              </w:rPr>
              <w:t>II</w:t>
            </w:r>
          </w:p>
        </w:tc>
        <w:tc>
          <w:tcPr>
            <w:tcW w:w="2166" w:type="dxa"/>
            <w:shd w:val="clear" w:color="auto" w:fill="auto"/>
          </w:tcPr>
          <w:p w14:paraId="2002DE22" w14:textId="77777777" w:rsidR="00D630AE" w:rsidRPr="00097824" w:rsidRDefault="00447CEC" w:rsidP="00AD4A9F">
            <w:pPr>
              <w:ind w:left="397" w:firstLine="357"/>
              <w:contextualSpacing/>
              <w:rPr>
                <w:szCs w:val="24"/>
              </w:rPr>
            </w:pPr>
            <w:r w:rsidRPr="00097824">
              <w:rPr>
                <w:szCs w:val="24"/>
                <w:lang w:val="en-US"/>
              </w:rPr>
              <w:t>T</w:t>
            </w:r>
            <w:r w:rsidR="007F5427" w:rsidRPr="00097824">
              <w:rPr>
                <w:szCs w:val="24"/>
                <w:vertAlign w:val="subscript"/>
              </w:rPr>
              <w:t>2</w:t>
            </w:r>
            <w:r w:rsidRPr="00097824">
              <w:rPr>
                <w:szCs w:val="24"/>
                <w:vertAlign w:val="subscript"/>
                <w:lang w:val="en-US"/>
              </w:rPr>
              <w:t>a</w:t>
            </w:r>
            <w:r w:rsidR="007F5427" w:rsidRPr="00097824">
              <w:rPr>
                <w:szCs w:val="24"/>
                <w:vertAlign w:val="subscript"/>
              </w:rPr>
              <w:t>–</w:t>
            </w:r>
            <w:r w:rsidRPr="00097824">
              <w:rPr>
                <w:szCs w:val="24"/>
                <w:vertAlign w:val="subscript"/>
                <w:lang w:val="en-US"/>
              </w:rPr>
              <w:t>b</w:t>
            </w:r>
          </w:p>
        </w:tc>
        <w:tc>
          <w:tcPr>
            <w:tcW w:w="2552" w:type="dxa"/>
            <w:shd w:val="clear" w:color="auto" w:fill="auto"/>
          </w:tcPr>
          <w:p w14:paraId="29108C81" w14:textId="77777777" w:rsidR="00D630AE" w:rsidRPr="00097824" w:rsidRDefault="00447CEC" w:rsidP="00AD4A9F">
            <w:pPr>
              <w:ind w:left="397" w:firstLine="357"/>
              <w:contextualSpacing/>
              <w:rPr>
                <w:szCs w:val="24"/>
              </w:rPr>
            </w:pPr>
            <w:r w:rsidRPr="00097824">
              <w:rPr>
                <w:szCs w:val="24"/>
                <w:lang w:val="en-US"/>
              </w:rPr>
              <w:t>N</w:t>
            </w:r>
            <w:r w:rsidR="007F5427" w:rsidRPr="00097824">
              <w:rPr>
                <w:szCs w:val="24"/>
                <w:vertAlign w:val="subscript"/>
              </w:rPr>
              <w:t>0</w:t>
            </w:r>
          </w:p>
        </w:tc>
        <w:tc>
          <w:tcPr>
            <w:tcW w:w="2268" w:type="dxa"/>
            <w:shd w:val="clear" w:color="auto" w:fill="auto"/>
          </w:tcPr>
          <w:p w14:paraId="7AEAF5A5" w14:textId="77777777" w:rsidR="00D630AE" w:rsidRPr="00097824" w:rsidRDefault="00447CEC" w:rsidP="00AD4A9F">
            <w:pPr>
              <w:ind w:left="397" w:firstLine="357"/>
              <w:contextualSpacing/>
              <w:rPr>
                <w:szCs w:val="24"/>
              </w:rPr>
            </w:pPr>
            <w:r w:rsidRPr="00097824">
              <w:rPr>
                <w:szCs w:val="24"/>
                <w:lang w:val="en-US"/>
              </w:rPr>
              <w:t>M</w:t>
            </w:r>
            <w:r w:rsidR="007F5427" w:rsidRPr="00097824">
              <w:rPr>
                <w:szCs w:val="24"/>
                <w:vertAlign w:val="subscript"/>
              </w:rPr>
              <w:t>0</w:t>
            </w:r>
          </w:p>
        </w:tc>
      </w:tr>
      <w:tr w:rsidR="005A526D" w:rsidRPr="00097824" w14:paraId="11D74B42" w14:textId="77777777" w:rsidTr="00E54A74">
        <w:tc>
          <w:tcPr>
            <w:tcW w:w="2478" w:type="dxa"/>
            <w:shd w:val="clear" w:color="auto" w:fill="auto"/>
          </w:tcPr>
          <w:p w14:paraId="54489D00" w14:textId="29A256AB" w:rsidR="00D630AE" w:rsidRPr="00097824" w:rsidRDefault="00447CEC" w:rsidP="00AD4A9F">
            <w:pPr>
              <w:ind w:left="397" w:firstLine="357"/>
              <w:contextualSpacing/>
              <w:rPr>
                <w:szCs w:val="24"/>
              </w:rPr>
            </w:pPr>
            <w:r w:rsidRPr="00097824">
              <w:rPr>
                <w:szCs w:val="24"/>
              </w:rPr>
              <w:t>Стадия</w:t>
            </w:r>
            <w:r w:rsidR="00784873" w:rsidRPr="00097824">
              <w:rPr>
                <w:szCs w:val="24"/>
              </w:rPr>
              <w:t xml:space="preserve"> </w:t>
            </w:r>
            <w:r w:rsidRPr="00097824">
              <w:rPr>
                <w:szCs w:val="24"/>
                <w:lang w:val="en-US"/>
              </w:rPr>
              <w:t>IIIA</w:t>
            </w:r>
          </w:p>
        </w:tc>
        <w:tc>
          <w:tcPr>
            <w:tcW w:w="2166" w:type="dxa"/>
            <w:shd w:val="clear" w:color="auto" w:fill="auto"/>
          </w:tcPr>
          <w:p w14:paraId="00BBE803" w14:textId="77777777" w:rsidR="00D630AE" w:rsidRPr="00097824" w:rsidRDefault="00447CEC" w:rsidP="00AD4A9F">
            <w:pPr>
              <w:ind w:left="397" w:firstLine="357"/>
              <w:contextualSpacing/>
              <w:rPr>
                <w:szCs w:val="24"/>
              </w:rPr>
            </w:pPr>
            <w:r w:rsidRPr="00097824">
              <w:rPr>
                <w:szCs w:val="24"/>
                <w:lang w:val="en-US"/>
              </w:rPr>
              <w:t>T</w:t>
            </w:r>
            <w:r w:rsidR="007F5427" w:rsidRPr="00097824">
              <w:rPr>
                <w:szCs w:val="24"/>
                <w:vertAlign w:val="subscript"/>
              </w:rPr>
              <w:t>3</w:t>
            </w:r>
          </w:p>
        </w:tc>
        <w:tc>
          <w:tcPr>
            <w:tcW w:w="2552" w:type="dxa"/>
            <w:shd w:val="clear" w:color="auto" w:fill="auto"/>
          </w:tcPr>
          <w:p w14:paraId="43C07ADB" w14:textId="77777777" w:rsidR="00D630AE" w:rsidRPr="00097824" w:rsidRDefault="00447CEC" w:rsidP="00AD4A9F">
            <w:pPr>
              <w:ind w:left="397" w:firstLine="357"/>
              <w:contextualSpacing/>
              <w:rPr>
                <w:szCs w:val="24"/>
              </w:rPr>
            </w:pPr>
            <w:r w:rsidRPr="00097824">
              <w:rPr>
                <w:szCs w:val="24"/>
                <w:lang w:val="en-US"/>
              </w:rPr>
              <w:t>N</w:t>
            </w:r>
            <w:r w:rsidR="007F5427" w:rsidRPr="00097824">
              <w:rPr>
                <w:szCs w:val="24"/>
                <w:vertAlign w:val="subscript"/>
              </w:rPr>
              <w:t>0</w:t>
            </w:r>
          </w:p>
        </w:tc>
        <w:tc>
          <w:tcPr>
            <w:tcW w:w="2268" w:type="dxa"/>
            <w:shd w:val="clear" w:color="auto" w:fill="auto"/>
          </w:tcPr>
          <w:p w14:paraId="4A35ED24" w14:textId="77777777" w:rsidR="00D630AE" w:rsidRPr="00097824" w:rsidRDefault="00447CEC" w:rsidP="00AD4A9F">
            <w:pPr>
              <w:ind w:left="397" w:firstLine="357"/>
              <w:contextualSpacing/>
              <w:rPr>
                <w:szCs w:val="24"/>
              </w:rPr>
            </w:pPr>
            <w:r w:rsidRPr="00097824">
              <w:rPr>
                <w:szCs w:val="24"/>
                <w:lang w:val="en-US"/>
              </w:rPr>
              <w:t>M</w:t>
            </w:r>
            <w:r w:rsidR="007F5427" w:rsidRPr="00097824">
              <w:rPr>
                <w:szCs w:val="24"/>
                <w:vertAlign w:val="subscript"/>
              </w:rPr>
              <w:t>0</w:t>
            </w:r>
          </w:p>
        </w:tc>
      </w:tr>
      <w:tr w:rsidR="005A526D" w:rsidRPr="00097824" w14:paraId="2780C260" w14:textId="77777777" w:rsidTr="00E54A74">
        <w:tc>
          <w:tcPr>
            <w:tcW w:w="2478" w:type="dxa"/>
            <w:shd w:val="clear" w:color="auto" w:fill="auto"/>
          </w:tcPr>
          <w:p w14:paraId="0B6ED9E7" w14:textId="53E39617" w:rsidR="00D630AE" w:rsidRPr="00097824" w:rsidRDefault="00447CEC" w:rsidP="00AD4A9F">
            <w:pPr>
              <w:ind w:left="397" w:firstLine="357"/>
              <w:contextualSpacing/>
              <w:rPr>
                <w:szCs w:val="24"/>
              </w:rPr>
            </w:pPr>
            <w:r w:rsidRPr="00097824">
              <w:rPr>
                <w:szCs w:val="24"/>
              </w:rPr>
              <w:t>Стадия</w:t>
            </w:r>
            <w:r w:rsidR="00784873" w:rsidRPr="00097824">
              <w:rPr>
                <w:szCs w:val="24"/>
              </w:rPr>
              <w:t xml:space="preserve"> </w:t>
            </w:r>
            <w:r w:rsidRPr="00097824">
              <w:rPr>
                <w:szCs w:val="24"/>
                <w:lang w:val="en-US"/>
              </w:rPr>
              <w:t>IIIB</w:t>
            </w:r>
          </w:p>
        </w:tc>
        <w:tc>
          <w:tcPr>
            <w:tcW w:w="2166" w:type="dxa"/>
            <w:shd w:val="clear" w:color="auto" w:fill="auto"/>
          </w:tcPr>
          <w:p w14:paraId="36AA2BDD" w14:textId="77777777" w:rsidR="00D630AE" w:rsidRPr="00097824" w:rsidRDefault="00447CEC" w:rsidP="00AD4A9F">
            <w:pPr>
              <w:ind w:left="397" w:firstLine="357"/>
              <w:contextualSpacing/>
              <w:rPr>
                <w:szCs w:val="24"/>
              </w:rPr>
            </w:pPr>
            <w:r w:rsidRPr="00097824">
              <w:rPr>
                <w:szCs w:val="24"/>
                <w:lang w:val="en-US"/>
              </w:rPr>
              <w:t>T</w:t>
            </w:r>
            <w:r w:rsidRPr="00097824">
              <w:rPr>
                <w:szCs w:val="24"/>
                <w:vertAlign w:val="subscript"/>
              </w:rPr>
              <w:t xml:space="preserve">4 </w:t>
            </w:r>
          </w:p>
        </w:tc>
        <w:tc>
          <w:tcPr>
            <w:tcW w:w="2552" w:type="dxa"/>
            <w:shd w:val="clear" w:color="auto" w:fill="auto"/>
          </w:tcPr>
          <w:p w14:paraId="396198EC" w14:textId="77777777" w:rsidR="00D630AE" w:rsidRPr="00097824" w:rsidRDefault="00447CEC" w:rsidP="00AD4A9F">
            <w:pPr>
              <w:ind w:left="397" w:firstLine="357"/>
              <w:contextualSpacing/>
              <w:rPr>
                <w:szCs w:val="24"/>
              </w:rPr>
            </w:pPr>
            <w:r w:rsidRPr="00097824">
              <w:rPr>
                <w:szCs w:val="24"/>
                <w:lang w:val="en-US"/>
              </w:rPr>
              <w:t>N</w:t>
            </w:r>
            <w:r w:rsidRPr="00097824">
              <w:rPr>
                <w:szCs w:val="24"/>
                <w:vertAlign w:val="subscript"/>
              </w:rPr>
              <w:t>0</w:t>
            </w:r>
          </w:p>
        </w:tc>
        <w:tc>
          <w:tcPr>
            <w:tcW w:w="2268" w:type="dxa"/>
            <w:shd w:val="clear" w:color="auto" w:fill="auto"/>
          </w:tcPr>
          <w:p w14:paraId="70347531" w14:textId="77777777" w:rsidR="00D630AE" w:rsidRPr="00097824" w:rsidRDefault="00447CEC" w:rsidP="00AD4A9F">
            <w:pPr>
              <w:ind w:left="397" w:firstLine="357"/>
              <w:contextualSpacing/>
              <w:rPr>
                <w:szCs w:val="24"/>
              </w:rPr>
            </w:pPr>
            <w:r w:rsidRPr="00097824">
              <w:rPr>
                <w:szCs w:val="24"/>
                <w:lang w:val="en-US"/>
              </w:rPr>
              <w:t>M</w:t>
            </w:r>
            <w:r w:rsidR="007F5427" w:rsidRPr="00097824">
              <w:rPr>
                <w:szCs w:val="24"/>
                <w:vertAlign w:val="subscript"/>
              </w:rPr>
              <w:t>0</w:t>
            </w:r>
          </w:p>
        </w:tc>
      </w:tr>
      <w:tr w:rsidR="005A526D" w:rsidRPr="00097824" w14:paraId="6CAD808D" w14:textId="77777777" w:rsidTr="00E54A74">
        <w:tc>
          <w:tcPr>
            <w:tcW w:w="2478" w:type="dxa"/>
            <w:shd w:val="clear" w:color="auto" w:fill="auto"/>
          </w:tcPr>
          <w:p w14:paraId="11ADB42B" w14:textId="77777777" w:rsidR="00D630AE" w:rsidRPr="00097824" w:rsidRDefault="00447CEC" w:rsidP="00AD4A9F">
            <w:pPr>
              <w:ind w:left="397" w:firstLine="357"/>
              <w:contextualSpacing/>
              <w:rPr>
                <w:szCs w:val="24"/>
              </w:rPr>
            </w:pPr>
            <w:r w:rsidRPr="00097824">
              <w:rPr>
                <w:szCs w:val="24"/>
              </w:rPr>
              <w:t>Стадия</w:t>
            </w:r>
            <w:r w:rsidRPr="00097824">
              <w:rPr>
                <w:szCs w:val="24"/>
                <w:lang w:val="en-US"/>
              </w:rPr>
              <w:t xml:space="preserve"> III</w:t>
            </w:r>
            <w:r w:rsidRPr="00097824">
              <w:rPr>
                <w:szCs w:val="24"/>
              </w:rPr>
              <w:t>С</w:t>
            </w:r>
          </w:p>
        </w:tc>
        <w:tc>
          <w:tcPr>
            <w:tcW w:w="2166" w:type="dxa"/>
            <w:shd w:val="clear" w:color="auto" w:fill="auto"/>
          </w:tcPr>
          <w:p w14:paraId="4FE5A08C" w14:textId="77777777" w:rsidR="00D630AE" w:rsidRPr="00097824" w:rsidRDefault="00447CEC" w:rsidP="00AD4A9F">
            <w:pPr>
              <w:ind w:left="397" w:firstLine="357"/>
              <w:contextualSpacing/>
              <w:rPr>
                <w:szCs w:val="24"/>
                <w:lang w:val="en-US"/>
              </w:rPr>
            </w:pPr>
            <w:r w:rsidRPr="00097824">
              <w:rPr>
                <w:szCs w:val="24"/>
              </w:rPr>
              <w:t>Любая</w:t>
            </w:r>
            <w:r w:rsidRPr="00097824">
              <w:rPr>
                <w:szCs w:val="24"/>
                <w:lang w:val="en-US"/>
              </w:rPr>
              <w:t xml:space="preserve"> T</w:t>
            </w:r>
          </w:p>
        </w:tc>
        <w:tc>
          <w:tcPr>
            <w:tcW w:w="2552" w:type="dxa"/>
            <w:shd w:val="clear" w:color="auto" w:fill="auto"/>
          </w:tcPr>
          <w:p w14:paraId="374D0D47" w14:textId="77777777" w:rsidR="00D630AE" w:rsidRPr="00097824" w:rsidRDefault="00447CEC" w:rsidP="00AD4A9F">
            <w:pPr>
              <w:ind w:left="397" w:firstLine="357"/>
              <w:contextualSpacing/>
              <w:rPr>
                <w:szCs w:val="24"/>
              </w:rPr>
            </w:pPr>
            <w:r w:rsidRPr="00097824">
              <w:rPr>
                <w:szCs w:val="24"/>
                <w:lang w:val="en-US"/>
              </w:rPr>
              <w:t>N</w:t>
            </w:r>
            <w:r w:rsidRPr="00097824">
              <w:rPr>
                <w:szCs w:val="24"/>
                <w:vertAlign w:val="subscript"/>
              </w:rPr>
              <w:t>1</w:t>
            </w:r>
          </w:p>
        </w:tc>
        <w:tc>
          <w:tcPr>
            <w:tcW w:w="2268" w:type="dxa"/>
            <w:shd w:val="clear" w:color="auto" w:fill="auto"/>
          </w:tcPr>
          <w:p w14:paraId="22031E48" w14:textId="77777777" w:rsidR="00D630AE" w:rsidRPr="00097824" w:rsidRDefault="00447CEC" w:rsidP="00AD4A9F">
            <w:pPr>
              <w:ind w:left="397" w:firstLine="357"/>
              <w:contextualSpacing/>
              <w:rPr>
                <w:szCs w:val="24"/>
                <w:lang w:val="en-US"/>
              </w:rPr>
            </w:pPr>
            <w:r w:rsidRPr="00097824">
              <w:rPr>
                <w:szCs w:val="24"/>
                <w:lang w:val="en-US"/>
              </w:rPr>
              <w:t>M</w:t>
            </w:r>
            <w:r w:rsidRPr="00097824">
              <w:rPr>
                <w:szCs w:val="24"/>
                <w:vertAlign w:val="subscript"/>
                <w:lang w:val="en-US"/>
              </w:rPr>
              <w:t>0</w:t>
            </w:r>
          </w:p>
        </w:tc>
      </w:tr>
      <w:tr w:rsidR="005A526D" w:rsidRPr="00097824" w14:paraId="535ECB9C" w14:textId="77777777" w:rsidTr="00E54A74">
        <w:tc>
          <w:tcPr>
            <w:tcW w:w="2478" w:type="dxa"/>
            <w:shd w:val="clear" w:color="auto" w:fill="auto"/>
          </w:tcPr>
          <w:p w14:paraId="57299D9A" w14:textId="77777777" w:rsidR="00D630AE" w:rsidRPr="00097824" w:rsidRDefault="00447CEC" w:rsidP="00AD4A9F">
            <w:pPr>
              <w:ind w:left="397" w:firstLine="357"/>
              <w:contextualSpacing/>
              <w:rPr>
                <w:szCs w:val="24"/>
              </w:rPr>
            </w:pPr>
            <w:r w:rsidRPr="00097824">
              <w:rPr>
                <w:szCs w:val="24"/>
              </w:rPr>
              <w:t>Стадия</w:t>
            </w:r>
            <w:r w:rsidRPr="00097824">
              <w:rPr>
                <w:szCs w:val="24"/>
                <w:lang w:val="en-US"/>
              </w:rPr>
              <w:t xml:space="preserve"> IVA</w:t>
            </w:r>
          </w:p>
        </w:tc>
        <w:tc>
          <w:tcPr>
            <w:tcW w:w="2166" w:type="dxa"/>
            <w:shd w:val="clear" w:color="auto" w:fill="auto"/>
          </w:tcPr>
          <w:p w14:paraId="72900ADD" w14:textId="77777777" w:rsidR="00D630AE" w:rsidRPr="00097824" w:rsidRDefault="00447CEC" w:rsidP="00AD4A9F">
            <w:pPr>
              <w:ind w:left="397" w:firstLine="357"/>
              <w:contextualSpacing/>
              <w:rPr>
                <w:szCs w:val="24"/>
              </w:rPr>
            </w:pPr>
            <w:r w:rsidRPr="00097824">
              <w:rPr>
                <w:szCs w:val="24"/>
              </w:rPr>
              <w:t>Любая</w:t>
            </w:r>
            <w:r w:rsidRPr="00097824">
              <w:rPr>
                <w:szCs w:val="24"/>
                <w:lang w:val="en-US"/>
              </w:rPr>
              <w:t xml:space="preserve"> T</w:t>
            </w:r>
          </w:p>
        </w:tc>
        <w:tc>
          <w:tcPr>
            <w:tcW w:w="2552" w:type="dxa"/>
            <w:shd w:val="clear" w:color="auto" w:fill="auto"/>
          </w:tcPr>
          <w:p w14:paraId="1AFDAC09" w14:textId="77777777" w:rsidR="00D630AE" w:rsidRPr="00097824" w:rsidRDefault="00447CEC" w:rsidP="00AD4A9F">
            <w:pPr>
              <w:ind w:left="397" w:firstLine="357"/>
              <w:contextualSpacing/>
              <w:rPr>
                <w:szCs w:val="24"/>
              </w:rPr>
            </w:pPr>
            <w:r w:rsidRPr="00097824">
              <w:rPr>
                <w:szCs w:val="24"/>
                <w:lang w:val="en-US"/>
              </w:rPr>
              <w:t>N</w:t>
            </w:r>
            <w:r w:rsidRPr="00097824">
              <w:rPr>
                <w:szCs w:val="24"/>
                <w:vertAlign w:val="subscript"/>
              </w:rPr>
              <w:t>2</w:t>
            </w:r>
          </w:p>
        </w:tc>
        <w:tc>
          <w:tcPr>
            <w:tcW w:w="2268" w:type="dxa"/>
            <w:shd w:val="clear" w:color="auto" w:fill="auto"/>
          </w:tcPr>
          <w:p w14:paraId="10BD908B" w14:textId="77777777" w:rsidR="00D630AE" w:rsidRPr="00097824" w:rsidRDefault="00447CEC" w:rsidP="00AD4A9F">
            <w:pPr>
              <w:ind w:left="397" w:firstLine="357"/>
              <w:contextualSpacing/>
              <w:rPr>
                <w:szCs w:val="24"/>
              </w:rPr>
            </w:pPr>
            <w:r w:rsidRPr="00097824">
              <w:rPr>
                <w:szCs w:val="24"/>
                <w:lang w:val="en-US"/>
              </w:rPr>
              <w:t>M</w:t>
            </w:r>
            <w:r w:rsidRPr="00097824">
              <w:rPr>
                <w:szCs w:val="24"/>
                <w:vertAlign w:val="subscript"/>
                <w:lang w:val="en-US"/>
              </w:rPr>
              <w:t>0</w:t>
            </w:r>
          </w:p>
        </w:tc>
      </w:tr>
      <w:tr w:rsidR="00447CEC" w:rsidRPr="00097824" w14:paraId="0D19A2F7" w14:textId="77777777" w:rsidTr="00E54A74">
        <w:tc>
          <w:tcPr>
            <w:tcW w:w="2478" w:type="dxa"/>
            <w:shd w:val="clear" w:color="auto" w:fill="auto"/>
          </w:tcPr>
          <w:p w14:paraId="76B5F277" w14:textId="77777777" w:rsidR="00D630AE" w:rsidRPr="00097824" w:rsidRDefault="00447CEC" w:rsidP="00AD4A9F">
            <w:pPr>
              <w:ind w:left="397" w:firstLine="357"/>
              <w:contextualSpacing/>
              <w:rPr>
                <w:szCs w:val="24"/>
              </w:rPr>
            </w:pPr>
            <w:r w:rsidRPr="00097824">
              <w:rPr>
                <w:szCs w:val="24"/>
              </w:rPr>
              <w:t>Стадия</w:t>
            </w:r>
            <w:r w:rsidRPr="00097824">
              <w:rPr>
                <w:szCs w:val="24"/>
                <w:lang w:val="en-US"/>
              </w:rPr>
              <w:t xml:space="preserve"> IVB</w:t>
            </w:r>
          </w:p>
        </w:tc>
        <w:tc>
          <w:tcPr>
            <w:tcW w:w="2166" w:type="dxa"/>
            <w:shd w:val="clear" w:color="auto" w:fill="auto"/>
          </w:tcPr>
          <w:p w14:paraId="3D23B46B" w14:textId="77777777" w:rsidR="00D630AE" w:rsidRPr="00097824" w:rsidRDefault="00447CEC" w:rsidP="00AD4A9F">
            <w:pPr>
              <w:ind w:left="397" w:firstLine="357"/>
              <w:contextualSpacing/>
              <w:rPr>
                <w:szCs w:val="24"/>
              </w:rPr>
            </w:pPr>
            <w:r w:rsidRPr="00097824">
              <w:rPr>
                <w:szCs w:val="24"/>
              </w:rPr>
              <w:t>Любая</w:t>
            </w:r>
            <w:r w:rsidRPr="00097824">
              <w:rPr>
                <w:szCs w:val="24"/>
                <w:lang w:val="en-US"/>
              </w:rPr>
              <w:t xml:space="preserve"> T</w:t>
            </w:r>
          </w:p>
        </w:tc>
        <w:tc>
          <w:tcPr>
            <w:tcW w:w="2552" w:type="dxa"/>
            <w:shd w:val="clear" w:color="auto" w:fill="auto"/>
          </w:tcPr>
          <w:p w14:paraId="1DCD4A02" w14:textId="77777777" w:rsidR="00D630AE" w:rsidRPr="00097824" w:rsidRDefault="00447CEC" w:rsidP="00AD4A9F">
            <w:pPr>
              <w:ind w:left="397" w:firstLine="357"/>
              <w:contextualSpacing/>
              <w:rPr>
                <w:szCs w:val="24"/>
              </w:rPr>
            </w:pPr>
            <w:r w:rsidRPr="00097824">
              <w:rPr>
                <w:szCs w:val="24"/>
              </w:rPr>
              <w:t>Любая</w:t>
            </w:r>
            <w:r w:rsidRPr="00097824">
              <w:rPr>
                <w:szCs w:val="24"/>
                <w:lang w:val="en-US"/>
              </w:rPr>
              <w:t xml:space="preserve"> N</w:t>
            </w:r>
          </w:p>
        </w:tc>
        <w:tc>
          <w:tcPr>
            <w:tcW w:w="2268" w:type="dxa"/>
            <w:shd w:val="clear" w:color="auto" w:fill="auto"/>
          </w:tcPr>
          <w:p w14:paraId="679D0019" w14:textId="77777777" w:rsidR="00D630AE" w:rsidRPr="00097824" w:rsidRDefault="00447CEC" w:rsidP="00AD4A9F">
            <w:pPr>
              <w:ind w:left="397" w:firstLine="357"/>
              <w:contextualSpacing/>
              <w:rPr>
                <w:szCs w:val="24"/>
              </w:rPr>
            </w:pPr>
            <w:r w:rsidRPr="00097824">
              <w:rPr>
                <w:szCs w:val="24"/>
                <w:lang w:val="en-US"/>
              </w:rPr>
              <w:t>M</w:t>
            </w:r>
            <w:r w:rsidRPr="00097824">
              <w:rPr>
                <w:szCs w:val="24"/>
                <w:vertAlign w:val="subscript"/>
                <w:lang w:val="en-US"/>
              </w:rPr>
              <w:t>1</w:t>
            </w:r>
          </w:p>
        </w:tc>
      </w:tr>
    </w:tbl>
    <w:p w14:paraId="2B8D9614" w14:textId="77777777" w:rsidR="00447CEC" w:rsidRPr="00097824" w:rsidRDefault="00447CEC" w:rsidP="00AD4A9F">
      <w:pPr>
        <w:ind w:left="397" w:firstLine="357"/>
        <w:jc w:val="center"/>
        <w:rPr>
          <w:b/>
          <w:bCs/>
          <w:sz w:val="28"/>
          <w:szCs w:val="28"/>
        </w:rPr>
      </w:pPr>
    </w:p>
    <w:p w14:paraId="4C20FD17" w14:textId="77777777" w:rsidR="00D630AE" w:rsidRPr="00097824" w:rsidRDefault="007F5427" w:rsidP="00AD4A9F">
      <w:pPr>
        <w:pStyle w:val="SDText"/>
        <w:spacing w:after="0" w:line="360" w:lineRule="auto"/>
        <w:ind w:left="397" w:firstLine="357"/>
        <w:rPr>
          <w:i/>
          <w:iCs/>
        </w:rPr>
      </w:pPr>
      <w:r w:rsidRPr="00097824">
        <w:rPr>
          <w:i/>
          <w:iCs/>
        </w:rPr>
        <w:t>Гистологическая градация:</w:t>
      </w:r>
    </w:p>
    <w:p w14:paraId="289A418F" w14:textId="77777777" w:rsidR="00D630AE" w:rsidRPr="00097824" w:rsidRDefault="007F5427" w:rsidP="00AD4A9F">
      <w:pPr>
        <w:pStyle w:val="SDText"/>
        <w:spacing w:after="0" w:line="360" w:lineRule="auto"/>
        <w:ind w:left="397" w:firstLine="357"/>
      </w:pPr>
      <w:proofErr w:type="spellStart"/>
      <w:r w:rsidRPr="00097824">
        <w:t>Gx</w:t>
      </w:r>
      <w:proofErr w:type="spellEnd"/>
      <w:r w:rsidR="00D42E93" w:rsidRPr="00097824">
        <w:t>–</w:t>
      </w:r>
      <w:r w:rsidR="000A4C83" w:rsidRPr="00097824">
        <w:t xml:space="preserve"> недостаточно данных для оценки</w:t>
      </w:r>
      <w:r w:rsidR="00D42E93" w:rsidRPr="00097824">
        <w:t>;</w:t>
      </w:r>
    </w:p>
    <w:p w14:paraId="40D1DB7F" w14:textId="77777777" w:rsidR="00D630AE" w:rsidRPr="00097824" w:rsidRDefault="007F5427" w:rsidP="00AD4A9F">
      <w:pPr>
        <w:pStyle w:val="SDText"/>
        <w:spacing w:after="0" w:line="360" w:lineRule="auto"/>
        <w:ind w:left="397" w:firstLine="357"/>
      </w:pPr>
      <w:r w:rsidRPr="00097824">
        <w:t>G1</w:t>
      </w:r>
      <w:r w:rsidR="000A4C83" w:rsidRPr="00097824">
        <w:t xml:space="preserve"> – хорошо дифференцированная</w:t>
      </w:r>
      <w:r w:rsidR="00D42E93" w:rsidRPr="00097824">
        <w:t>;</w:t>
      </w:r>
    </w:p>
    <w:p w14:paraId="4DDE7B17" w14:textId="77777777" w:rsidR="00D630AE" w:rsidRPr="00097824" w:rsidRDefault="007F5427" w:rsidP="00AD4A9F">
      <w:pPr>
        <w:pStyle w:val="SDText"/>
        <w:spacing w:after="0" w:line="360" w:lineRule="auto"/>
        <w:ind w:left="397" w:firstLine="357"/>
      </w:pPr>
      <w:r w:rsidRPr="00097824">
        <w:t>G2</w:t>
      </w:r>
      <w:r w:rsidR="000A4C83" w:rsidRPr="00097824">
        <w:t xml:space="preserve"> – умеренно дифференцированная</w:t>
      </w:r>
      <w:r w:rsidR="00D42E93" w:rsidRPr="00097824">
        <w:t>;</w:t>
      </w:r>
    </w:p>
    <w:p w14:paraId="6B250708" w14:textId="77777777" w:rsidR="00D630AE" w:rsidRPr="00097824" w:rsidRDefault="007F5427" w:rsidP="00AD4A9F">
      <w:pPr>
        <w:pStyle w:val="SDText"/>
        <w:spacing w:after="0" w:line="360" w:lineRule="auto"/>
        <w:ind w:left="397" w:firstLine="357"/>
      </w:pPr>
      <w:r w:rsidRPr="00097824">
        <w:t>G3</w:t>
      </w:r>
      <w:r w:rsidR="000A4C83" w:rsidRPr="00097824">
        <w:t xml:space="preserve"> – низкодифференцированная</w:t>
      </w:r>
      <w:r w:rsidR="00D42E93" w:rsidRPr="00097824">
        <w:t>.</w:t>
      </w:r>
    </w:p>
    <w:p w14:paraId="068BAA68" w14:textId="77777777" w:rsidR="000A4C83" w:rsidRPr="00097824" w:rsidRDefault="000A4C83" w:rsidP="00AD4A9F">
      <w:pPr>
        <w:ind w:left="397" w:firstLine="357"/>
        <w:contextualSpacing/>
      </w:pPr>
    </w:p>
    <w:p w14:paraId="3D74B39D" w14:textId="05AA7B57" w:rsidR="00F75E46" w:rsidRPr="00097824" w:rsidRDefault="000A4C83" w:rsidP="00AD4A9F">
      <w:pPr>
        <w:ind w:left="397" w:firstLine="357"/>
        <w:contextualSpacing/>
      </w:pPr>
      <w:r w:rsidRPr="00097824">
        <w:t xml:space="preserve">Модифицированная система </w:t>
      </w:r>
      <w:proofErr w:type="spellStart"/>
      <w:r w:rsidRPr="00097824">
        <w:t>стадирования</w:t>
      </w:r>
      <w:proofErr w:type="spellEnd"/>
      <w:r w:rsidR="006C5EC5" w:rsidRPr="00097824">
        <w:t xml:space="preserve"> </w:t>
      </w:r>
      <w:r w:rsidRPr="00097824">
        <w:t>В</w:t>
      </w:r>
      <w:proofErr w:type="spellStart"/>
      <w:r w:rsidRPr="00097824">
        <w:rPr>
          <w:lang w:val="en-US"/>
        </w:rPr>
        <w:t>ismuth</w:t>
      </w:r>
      <w:proofErr w:type="spellEnd"/>
      <w:r w:rsidRPr="00097824">
        <w:t>-</w:t>
      </w:r>
      <w:proofErr w:type="spellStart"/>
      <w:r w:rsidRPr="00097824">
        <w:t>Corlette</w:t>
      </w:r>
      <w:proofErr w:type="spellEnd"/>
      <w:r w:rsidRPr="00097824">
        <w:t xml:space="preserve"> классифицирует опухоли проксимальных желчных протоков на 4 типа, основанные на степени </w:t>
      </w:r>
      <w:r w:rsidR="00A26E5A" w:rsidRPr="00097824">
        <w:t xml:space="preserve">поражения </w:t>
      </w:r>
      <w:r w:rsidRPr="00097824">
        <w:t>желчных протоков (</w:t>
      </w:r>
      <w:r w:rsidR="007F5427" w:rsidRPr="00097824">
        <w:fldChar w:fldCharType="begin"/>
      </w:r>
      <w:r w:rsidR="00447CEC" w:rsidRPr="00097824">
        <w:instrText xml:space="preserve"> REF _Ref113185980 \h </w:instrText>
      </w:r>
      <w:r w:rsidR="00AA52DF" w:rsidRPr="00097824">
        <w:instrText xml:space="preserve"> \* MERGEFORMAT </w:instrText>
      </w:r>
      <w:r w:rsidR="007F5427" w:rsidRPr="00097824">
        <w:fldChar w:fldCharType="separate"/>
      </w:r>
      <w:r w:rsidR="006752A2" w:rsidRPr="00097824">
        <w:t xml:space="preserve">Таблица </w:t>
      </w:r>
      <w:r w:rsidR="006752A2" w:rsidRPr="00097824">
        <w:rPr>
          <w:noProof/>
        </w:rPr>
        <w:t>3</w:t>
      </w:r>
      <w:r w:rsidR="007F5427" w:rsidRPr="00097824">
        <w:fldChar w:fldCharType="end"/>
      </w:r>
      <w:r w:rsidRPr="00097824">
        <w:t>).</w:t>
      </w:r>
    </w:p>
    <w:p w14:paraId="542A8583" w14:textId="1F6C631A" w:rsidR="00D630AE" w:rsidRPr="00097824" w:rsidRDefault="00447CEC" w:rsidP="00AD4A9F">
      <w:pPr>
        <w:pStyle w:val="SDTable"/>
        <w:spacing w:before="0" w:after="0"/>
        <w:ind w:left="397" w:firstLine="357"/>
      </w:pPr>
      <w:bookmarkStart w:id="42" w:name="_Ref113185980"/>
      <w:r w:rsidRPr="00097824">
        <w:t xml:space="preserve">Таблица </w:t>
      </w:r>
      <w:r w:rsidR="007F5427" w:rsidRPr="00097824">
        <w:fldChar w:fldCharType="begin"/>
      </w:r>
      <w:r w:rsidRPr="00097824">
        <w:instrText xml:space="preserve"> SEQ Таблица \* ARABIC </w:instrText>
      </w:r>
      <w:r w:rsidR="007F5427" w:rsidRPr="00097824">
        <w:fldChar w:fldCharType="separate"/>
      </w:r>
      <w:r w:rsidR="006752A2" w:rsidRPr="00097824">
        <w:rPr>
          <w:noProof/>
        </w:rPr>
        <w:t>3</w:t>
      </w:r>
      <w:r w:rsidR="007F5427" w:rsidRPr="00097824">
        <w:fldChar w:fldCharType="end"/>
      </w:r>
      <w:bookmarkEnd w:id="42"/>
      <w:r w:rsidR="00FF0721" w:rsidRPr="00097824">
        <w:t>.</w:t>
      </w:r>
    </w:p>
    <w:p w14:paraId="7E50C887" w14:textId="77777777" w:rsidR="00D630AE" w:rsidRPr="00097824" w:rsidRDefault="007F5427" w:rsidP="00AD4A9F">
      <w:pPr>
        <w:pStyle w:val="SDTable"/>
        <w:spacing w:before="0" w:after="0"/>
        <w:ind w:left="397" w:firstLine="357"/>
      </w:pPr>
      <w:r w:rsidRPr="00097824">
        <w:rPr>
          <w:rFonts w:cs="Mangal"/>
          <w:szCs w:val="24"/>
        </w:rPr>
        <w:t xml:space="preserve"> Классификация </w:t>
      </w:r>
      <w:r w:rsidR="00447CEC" w:rsidRPr="00097824">
        <w:rPr>
          <w:lang w:val="en-GB"/>
        </w:rPr>
        <w:t>Bismuth</w:t>
      </w:r>
      <w:r w:rsidRPr="00097824">
        <w:rPr>
          <w:rFonts w:cs="Mangal"/>
          <w:szCs w:val="24"/>
        </w:rPr>
        <w:t>-</w:t>
      </w:r>
      <w:r w:rsidR="00447CEC" w:rsidRPr="00097824">
        <w:rPr>
          <w:lang w:val="en-GB"/>
        </w:rPr>
        <w:t>Corlette</w:t>
      </w:r>
      <w:r w:rsidRPr="00097824">
        <w:rPr>
          <w:rFonts w:cs="Mangal"/>
          <w:szCs w:val="24"/>
        </w:rPr>
        <w:t xml:space="preserve"> (для рака проксимальных желчных протоков)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7146"/>
      </w:tblGrid>
      <w:tr w:rsidR="005A526D" w:rsidRPr="00097824" w14:paraId="68A69F05" w14:textId="77777777" w:rsidTr="00447CEC">
        <w:tc>
          <w:tcPr>
            <w:tcW w:w="2199" w:type="dxa"/>
            <w:shd w:val="clear" w:color="auto" w:fill="auto"/>
          </w:tcPr>
          <w:p w14:paraId="7C29F05B" w14:textId="77777777" w:rsidR="000A4C83" w:rsidRPr="00097824" w:rsidRDefault="000A4C83" w:rsidP="00AD4A9F">
            <w:pPr>
              <w:ind w:left="397" w:firstLine="357"/>
              <w:contextualSpacing/>
            </w:pPr>
            <w:r w:rsidRPr="00097824">
              <w:t>Тип I</w:t>
            </w:r>
          </w:p>
        </w:tc>
        <w:tc>
          <w:tcPr>
            <w:tcW w:w="7146" w:type="dxa"/>
            <w:shd w:val="clear" w:color="auto" w:fill="auto"/>
          </w:tcPr>
          <w:p w14:paraId="6FF6C313" w14:textId="77777777" w:rsidR="000A4C83" w:rsidRPr="00097824" w:rsidRDefault="000A4C83" w:rsidP="00AD4A9F">
            <w:pPr>
              <w:ind w:left="397" w:firstLine="357"/>
              <w:contextualSpacing/>
            </w:pPr>
            <w:r w:rsidRPr="00097824">
              <w:t>Поражение общего печеночного протока</w:t>
            </w:r>
          </w:p>
        </w:tc>
      </w:tr>
      <w:tr w:rsidR="005A526D" w:rsidRPr="00097824" w14:paraId="0393BFCB" w14:textId="77777777" w:rsidTr="00447CEC">
        <w:tc>
          <w:tcPr>
            <w:tcW w:w="2199" w:type="dxa"/>
            <w:shd w:val="clear" w:color="auto" w:fill="auto"/>
          </w:tcPr>
          <w:p w14:paraId="5B2F6B0A" w14:textId="77777777" w:rsidR="000A4C83" w:rsidRPr="00097824" w:rsidRDefault="000A4C83" w:rsidP="00AD4A9F">
            <w:pPr>
              <w:ind w:left="397" w:firstLine="357"/>
              <w:contextualSpacing/>
            </w:pPr>
            <w:r w:rsidRPr="00097824">
              <w:lastRenderedPageBreak/>
              <w:t>Тип II</w:t>
            </w:r>
          </w:p>
        </w:tc>
        <w:tc>
          <w:tcPr>
            <w:tcW w:w="7146" w:type="dxa"/>
            <w:shd w:val="clear" w:color="auto" w:fill="auto"/>
          </w:tcPr>
          <w:p w14:paraId="452A51DF" w14:textId="77777777" w:rsidR="000A4C83" w:rsidRPr="00097824" w:rsidRDefault="000A4C83" w:rsidP="00AD4A9F">
            <w:pPr>
              <w:ind w:left="397" w:firstLine="357"/>
              <w:contextualSpacing/>
            </w:pPr>
            <w:r w:rsidRPr="00097824">
              <w:t>Поражение слияния печеночных протоков</w:t>
            </w:r>
          </w:p>
        </w:tc>
      </w:tr>
      <w:tr w:rsidR="005A526D" w:rsidRPr="00097824" w14:paraId="7F224A92" w14:textId="77777777" w:rsidTr="00447CEC">
        <w:tc>
          <w:tcPr>
            <w:tcW w:w="2199" w:type="dxa"/>
            <w:shd w:val="clear" w:color="auto" w:fill="auto"/>
          </w:tcPr>
          <w:p w14:paraId="563171D0" w14:textId="77777777" w:rsidR="000A4C83" w:rsidRPr="00097824" w:rsidRDefault="000A4C83" w:rsidP="00AD4A9F">
            <w:pPr>
              <w:ind w:left="397" w:firstLine="357"/>
              <w:contextualSpacing/>
            </w:pPr>
            <w:r w:rsidRPr="00097824">
              <w:t>Тип IIIA</w:t>
            </w:r>
          </w:p>
        </w:tc>
        <w:tc>
          <w:tcPr>
            <w:tcW w:w="7146" w:type="dxa"/>
            <w:shd w:val="clear" w:color="auto" w:fill="auto"/>
          </w:tcPr>
          <w:p w14:paraId="41E812B4" w14:textId="77777777" w:rsidR="000A4C83" w:rsidRPr="00097824" w:rsidRDefault="000A4C83" w:rsidP="00AD4A9F">
            <w:pPr>
              <w:ind w:left="397" w:firstLine="357"/>
              <w:contextualSpacing/>
            </w:pPr>
            <w:r w:rsidRPr="00097824">
              <w:t>Поражение правого печеночного протока</w:t>
            </w:r>
          </w:p>
        </w:tc>
      </w:tr>
      <w:tr w:rsidR="005A526D" w:rsidRPr="00097824" w14:paraId="11190323" w14:textId="77777777" w:rsidTr="00447CEC">
        <w:tc>
          <w:tcPr>
            <w:tcW w:w="2199" w:type="dxa"/>
            <w:shd w:val="clear" w:color="auto" w:fill="auto"/>
          </w:tcPr>
          <w:p w14:paraId="6193B24E" w14:textId="77777777" w:rsidR="000A4C83" w:rsidRPr="00097824" w:rsidRDefault="000A4C83" w:rsidP="00AD4A9F">
            <w:pPr>
              <w:ind w:left="397" w:firstLine="357"/>
              <w:contextualSpacing/>
            </w:pPr>
            <w:r w:rsidRPr="00097824">
              <w:t>Тип IIIВ</w:t>
            </w:r>
          </w:p>
        </w:tc>
        <w:tc>
          <w:tcPr>
            <w:tcW w:w="7146" w:type="dxa"/>
            <w:shd w:val="clear" w:color="auto" w:fill="auto"/>
          </w:tcPr>
          <w:p w14:paraId="7A2C507F" w14:textId="77777777" w:rsidR="000A4C83" w:rsidRPr="00097824" w:rsidRDefault="000A4C83" w:rsidP="00AD4A9F">
            <w:pPr>
              <w:ind w:left="397" w:firstLine="357"/>
              <w:contextualSpacing/>
            </w:pPr>
            <w:r w:rsidRPr="00097824">
              <w:t>Поражение левого печеночного протока</w:t>
            </w:r>
          </w:p>
        </w:tc>
      </w:tr>
      <w:tr w:rsidR="005A526D" w:rsidRPr="00097824" w14:paraId="450703EB" w14:textId="77777777" w:rsidTr="00447CEC">
        <w:tc>
          <w:tcPr>
            <w:tcW w:w="2199" w:type="dxa"/>
            <w:shd w:val="clear" w:color="auto" w:fill="auto"/>
          </w:tcPr>
          <w:p w14:paraId="079A17E1" w14:textId="77777777" w:rsidR="000A4C83" w:rsidRPr="00097824" w:rsidRDefault="000A4C83" w:rsidP="00AD4A9F">
            <w:pPr>
              <w:ind w:left="397" w:firstLine="357"/>
              <w:contextualSpacing/>
            </w:pPr>
            <w:r w:rsidRPr="00097824">
              <w:t>Тип IV</w:t>
            </w:r>
          </w:p>
        </w:tc>
        <w:tc>
          <w:tcPr>
            <w:tcW w:w="7146" w:type="dxa"/>
            <w:shd w:val="clear" w:color="auto" w:fill="auto"/>
          </w:tcPr>
          <w:p w14:paraId="3D92D520" w14:textId="77777777" w:rsidR="000A4C83" w:rsidRPr="00097824" w:rsidRDefault="000A4C83" w:rsidP="00AD4A9F">
            <w:pPr>
              <w:ind w:left="397" w:firstLine="357"/>
              <w:contextualSpacing/>
            </w:pPr>
            <w:r w:rsidRPr="00097824">
              <w:t>Поражение обоих печеночных протоков</w:t>
            </w:r>
          </w:p>
        </w:tc>
      </w:tr>
    </w:tbl>
    <w:p w14:paraId="392E194D" w14:textId="77777777" w:rsidR="000A4C83" w:rsidRPr="00097824" w:rsidRDefault="000A4C83" w:rsidP="00AD4A9F">
      <w:pPr>
        <w:ind w:left="397" w:firstLine="357"/>
        <w:contextualSpacing/>
      </w:pPr>
    </w:p>
    <w:p w14:paraId="388D6B07" w14:textId="77777777" w:rsidR="00FF0721" w:rsidRPr="00097824" w:rsidRDefault="00FF0721" w:rsidP="00AD4A9F">
      <w:pPr>
        <w:ind w:left="397" w:firstLine="357"/>
        <w:contextualSpacing/>
      </w:pPr>
    </w:p>
    <w:p w14:paraId="1FADDC4E" w14:textId="23564257" w:rsidR="00FF0721" w:rsidRPr="00097824" w:rsidRDefault="000A4C83" w:rsidP="00AD4A9F">
      <w:pPr>
        <w:ind w:left="397" w:firstLine="357"/>
        <w:rPr>
          <w:b/>
        </w:rPr>
      </w:pPr>
      <w:proofErr w:type="spellStart"/>
      <w:r w:rsidRPr="00097824">
        <w:rPr>
          <w:b/>
        </w:rPr>
        <w:t>Стадирование</w:t>
      </w:r>
      <w:proofErr w:type="spellEnd"/>
      <w:r w:rsidRPr="00097824">
        <w:rPr>
          <w:b/>
        </w:rPr>
        <w:t xml:space="preserve"> рака </w:t>
      </w:r>
      <w:r w:rsidR="00756B2B" w:rsidRPr="00097824">
        <w:rPr>
          <w:b/>
        </w:rPr>
        <w:t xml:space="preserve">дистального отдела </w:t>
      </w:r>
      <w:r w:rsidRPr="00097824">
        <w:rPr>
          <w:b/>
        </w:rPr>
        <w:t xml:space="preserve">внепеченочных желчных протоков </w:t>
      </w:r>
    </w:p>
    <w:p w14:paraId="6BE9725A" w14:textId="77777777" w:rsidR="00DC58B8" w:rsidRPr="00097824" w:rsidRDefault="00DC58B8" w:rsidP="00AD4A9F">
      <w:pPr>
        <w:pStyle w:val="SDText"/>
        <w:spacing w:after="0" w:line="360" w:lineRule="auto"/>
        <w:ind w:left="397" w:firstLine="357"/>
        <w:rPr>
          <w:i/>
          <w:iCs/>
        </w:rPr>
      </w:pPr>
      <w:r w:rsidRPr="00097824">
        <w:rPr>
          <w:i/>
          <w:iCs/>
        </w:rPr>
        <w:t>Т – первичная опухоль:</w:t>
      </w:r>
    </w:p>
    <w:p w14:paraId="75D4D49D" w14:textId="77777777" w:rsidR="00D630AE" w:rsidRPr="00097824" w:rsidRDefault="00DC58B8" w:rsidP="00AD4A9F">
      <w:pPr>
        <w:pStyle w:val="SDText"/>
        <w:spacing w:after="0" w:line="360" w:lineRule="auto"/>
        <w:ind w:left="397" w:firstLine="357"/>
      </w:pPr>
      <w:r w:rsidRPr="00097824">
        <w:t>T</w:t>
      </w:r>
      <w:r w:rsidRPr="00097824">
        <w:rPr>
          <w:vertAlign w:val="subscript"/>
        </w:rPr>
        <w:t>Х</w:t>
      </w:r>
      <w:r w:rsidRPr="00097824">
        <w:t xml:space="preserve"> – недостаточно данных для оценки первичной опухоли;</w:t>
      </w:r>
    </w:p>
    <w:p w14:paraId="00ED76DC" w14:textId="77777777" w:rsidR="00D630AE" w:rsidRPr="00097824" w:rsidRDefault="00DC58B8" w:rsidP="00AD4A9F">
      <w:pPr>
        <w:pStyle w:val="SDText"/>
        <w:spacing w:after="0" w:line="360" w:lineRule="auto"/>
        <w:ind w:left="397" w:firstLine="357"/>
      </w:pPr>
      <w:r w:rsidRPr="00097824">
        <w:t>T</w:t>
      </w:r>
      <w:r w:rsidRPr="00097824">
        <w:rPr>
          <w:vertAlign w:val="subscript"/>
        </w:rPr>
        <w:t>0</w:t>
      </w:r>
      <w:r w:rsidRPr="00097824">
        <w:t xml:space="preserve"> – первичная опухоль не определяется;</w:t>
      </w:r>
    </w:p>
    <w:p w14:paraId="30F59816" w14:textId="77777777" w:rsidR="00D630AE" w:rsidRPr="00097824" w:rsidRDefault="00DC58B8" w:rsidP="00AD4A9F">
      <w:pPr>
        <w:pStyle w:val="SDText"/>
        <w:spacing w:after="0" w:line="360" w:lineRule="auto"/>
        <w:ind w:left="397" w:firstLine="357"/>
      </w:pPr>
      <w:proofErr w:type="spellStart"/>
      <w:r w:rsidRPr="00097824">
        <w:t>Т</w:t>
      </w:r>
      <w:r w:rsidRPr="00097824">
        <w:rPr>
          <w:vertAlign w:val="subscript"/>
        </w:rPr>
        <w:t>is</w:t>
      </w:r>
      <w:proofErr w:type="spellEnd"/>
      <w:r w:rsidRPr="00097824">
        <w:t xml:space="preserve">– рак </w:t>
      </w:r>
      <w:proofErr w:type="spellStart"/>
      <w:r w:rsidRPr="00097824">
        <w:rPr>
          <w:i/>
          <w:iCs/>
        </w:rPr>
        <w:t>in</w:t>
      </w:r>
      <w:proofErr w:type="spellEnd"/>
      <w:r w:rsidR="00A26E5A" w:rsidRPr="00097824">
        <w:rPr>
          <w:i/>
          <w:iCs/>
        </w:rPr>
        <w:t xml:space="preserve"> </w:t>
      </w:r>
      <w:proofErr w:type="spellStart"/>
      <w:r w:rsidRPr="00097824">
        <w:rPr>
          <w:i/>
          <w:iCs/>
        </w:rPr>
        <w:t>situ</w:t>
      </w:r>
      <w:proofErr w:type="spellEnd"/>
      <w:r w:rsidRPr="00097824">
        <w:t xml:space="preserve"> (высокая степень дисплазии).</w:t>
      </w:r>
    </w:p>
    <w:p w14:paraId="58D84661" w14:textId="77777777" w:rsidR="00D630AE" w:rsidRPr="00097824" w:rsidRDefault="00DC58B8" w:rsidP="00AD4A9F">
      <w:pPr>
        <w:pStyle w:val="SDText"/>
        <w:spacing w:after="0" w:line="360" w:lineRule="auto"/>
        <w:ind w:left="397" w:firstLine="357"/>
      </w:pPr>
      <w:r w:rsidRPr="00097824">
        <w:t>T</w:t>
      </w:r>
      <w:r w:rsidRPr="00097824">
        <w:rPr>
          <w:vertAlign w:val="subscript"/>
        </w:rPr>
        <w:t>1</w:t>
      </w:r>
      <w:r w:rsidRPr="00097824">
        <w:t xml:space="preserve"> – опухоль проникает в стенку протока глубиной менее 5 мм;</w:t>
      </w:r>
    </w:p>
    <w:p w14:paraId="7C10DA07" w14:textId="77777777" w:rsidR="00D630AE" w:rsidRPr="00097824" w:rsidRDefault="00DC58B8" w:rsidP="00AD4A9F">
      <w:pPr>
        <w:pStyle w:val="SDText"/>
        <w:spacing w:after="0" w:line="360" w:lineRule="auto"/>
        <w:ind w:left="397" w:firstLine="357"/>
      </w:pPr>
      <w:r w:rsidRPr="00097824">
        <w:t>T</w:t>
      </w:r>
      <w:r w:rsidRPr="00097824">
        <w:rPr>
          <w:vertAlign w:val="subscript"/>
        </w:rPr>
        <w:t>2</w:t>
      </w:r>
      <w:r w:rsidRPr="00097824">
        <w:t xml:space="preserve"> – опухоль проникает в стенку протока глубиной 5–12 мм; </w:t>
      </w:r>
    </w:p>
    <w:p w14:paraId="2D893E86" w14:textId="77777777" w:rsidR="00D630AE" w:rsidRPr="00097824" w:rsidRDefault="00DC58B8" w:rsidP="00AD4A9F">
      <w:pPr>
        <w:pStyle w:val="SDText"/>
        <w:spacing w:after="0" w:line="360" w:lineRule="auto"/>
        <w:ind w:left="397" w:firstLine="357"/>
      </w:pPr>
      <w:r w:rsidRPr="00097824">
        <w:t>T</w:t>
      </w:r>
      <w:r w:rsidRPr="00097824">
        <w:rPr>
          <w:vertAlign w:val="subscript"/>
        </w:rPr>
        <w:t>3</w:t>
      </w:r>
      <w:r w:rsidRPr="00097824">
        <w:t xml:space="preserve"> – опухоль проникает в стенку протока глубиной более 12 мм;</w:t>
      </w:r>
    </w:p>
    <w:p w14:paraId="05305773" w14:textId="5D01E47E" w:rsidR="00D630AE" w:rsidRPr="00097824" w:rsidRDefault="00DC58B8" w:rsidP="00AD4A9F">
      <w:pPr>
        <w:pStyle w:val="SDText"/>
        <w:spacing w:after="0" w:line="360" w:lineRule="auto"/>
        <w:ind w:left="397" w:firstLine="357"/>
      </w:pPr>
      <w:r w:rsidRPr="00097824">
        <w:t>T</w:t>
      </w:r>
      <w:r w:rsidRPr="00097824">
        <w:rPr>
          <w:vertAlign w:val="subscript"/>
        </w:rPr>
        <w:t>4</w:t>
      </w:r>
      <w:r w:rsidRPr="00097824">
        <w:t xml:space="preserve"> – инвазия опухоли в чревный ствол, верхнюю </w:t>
      </w:r>
      <w:r w:rsidR="007F5427" w:rsidRPr="00097824">
        <w:t>брыжеечную и/или общую</w:t>
      </w:r>
      <w:r w:rsidRPr="00097824">
        <w:t xml:space="preserve"> печеночную</w:t>
      </w:r>
      <w:r w:rsidR="00784873" w:rsidRPr="00097824">
        <w:t xml:space="preserve"> </w:t>
      </w:r>
      <w:r w:rsidR="00FF0721" w:rsidRPr="00097824">
        <w:t>артерию</w:t>
      </w:r>
      <w:r w:rsidRPr="00097824">
        <w:t>.</w:t>
      </w:r>
    </w:p>
    <w:p w14:paraId="1468BCBA" w14:textId="77777777" w:rsidR="00DC58B8" w:rsidRPr="00097824" w:rsidRDefault="00DC58B8" w:rsidP="00AD4A9F">
      <w:pPr>
        <w:pStyle w:val="SDText"/>
        <w:spacing w:after="0" w:line="360" w:lineRule="auto"/>
        <w:ind w:left="397" w:firstLine="357"/>
        <w:rPr>
          <w:i/>
          <w:iCs/>
        </w:rPr>
      </w:pPr>
      <w:r w:rsidRPr="00097824">
        <w:rPr>
          <w:i/>
          <w:iCs/>
        </w:rPr>
        <w:t xml:space="preserve">N – регионарные лимфатические узлы: вдоль общего желчного протока, общей печеночной артерии, воротной вены, передние и задние </w:t>
      </w:r>
      <w:proofErr w:type="spellStart"/>
      <w:r w:rsidRPr="00097824">
        <w:rPr>
          <w:i/>
          <w:iCs/>
        </w:rPr>
        <w:t>панкреатодуоденальные</w:t>
      </w:r>
      <w:proofErr w:type="spellEnd"/>
      <w:r w:rsidRPr="00097824">
        <w:rPr>
          <w:i/>
          <w:iCs/>
        </w:rPr>
        <w:t xml:space="preserve"> узлы и лимфатические узлы, расположенные справа и вдоль верней брыжеечной артерии.</w:t>
      </w:r>
    </w:p>
    <w:p w14:paraId="111CDB87" w14:textId="77777777" w:rsidR="00D630AE" w:rsidRPr="00097824" w:rsidRDefault="00DC58B8" w:rsidP="00AD4A9F">
      <w:pPr>
        <w:pStyle w:val="SDText"/>
        <w:spacing w:after="0" w:line="360" w:lineRule="auto"/>
        <w:ind w:left="397" w:firstLine="357"/>
      </w:pPr>
      <w:r w:rsidRPr="00097824">
        <w:t>N</w:t>
      </w:r>
      <w:r w:rsidRPr="00097824">
        <w:rPr>
          <w:vertAlign w:val="subscript"/>
        </w:rPr>
        <w:t>X</w:t>
      </w:r>
      <w:r w:rsidRPr="00097824">
        <w:t xml:space="preserve"> – недостаточно данных для оценки поражения лимфоузлов;</w:t>
      </w:r>
    </w:p>
    <w:p w14:paraId="1B1E871D" w14:textId="77777777" w:rsidR="00D630AE" w:rsidRPr="00097824" w:rsidRDefault="00DC58B8" w:rsidP="00AD4A9F">
      <w:pPr>
        <w:pStyle w:val="SDText"/>
        <w:spacing w:after="0" w:line="360" w:lineRule="auto"/>
        <w:ind w:left="397" w:firstLine="357"/>
      </w:pPr>
      <w:r w:rsidRPr="00097824">
        <w:t>N</w:t>
      </w:r>
      <w:r w:rsidRPr="00097824">
        <w:rPr>
          <w:vertAlign w:val="subscript"/>
        </w:rPr>
        <w:t>0</w:t>
      </w:r>
      <w:r w:rsidRPr="00097824">
        <w:t xml:space="preserve"> – нет признаков метастатического поражения регионарных лимфатических узлов;</w:t>
      </w:r>
    </w:p>
    <w:p w14:paraId="7D32186E" w14:textId="77777777" w:rsidR="00D630AE" w:rsidRPr="00097824" w:rsidRDefault="00DC58B8" w:rsidP="00AD4A9F">
      <w:pPr>
        <w:pStyle w:val="SDText"/>
        <w:spacing w:after="0" w:line="360" w:lineRule="auto"/>
        <w:ind w:left="397" w:firstLine="357"/>
      </w:pPr>
      <w:r w:rsidRPr="00097824">
        <w:t>N</w:t>
      </w:r>
      <w:r w:rsidRPr="00097824">
        <w:rPr>
          <w:vertAlign w:val="subscript"/>
        </w:rPr>
        <w:t>1</w:t>
      </w:r>
      <w:r w:rsidRPr="00097824">
        <w:t xml:space="preserve"> – </w:t>
      </w:r>
      <w:r w:rsidR="007842C8" w:rsidRPr="00097824">
        <w:t>о</w:t>
      </w:r>
      <w:r w:rsidRPr="00097824">
        <w:t xml:space="preserve">т одного до трех положительных лимфатических узлов; </w:t>
      </w:r>
    </w:p>
    <w:p w14:paraId="05E03D4F" w14:textId="731BF914" w:rsidR="00D630AE" w:rsidRPr="00097824" w:rsidRDefault="00DC58B8" w:rsidP="00AD4A9F">
      <w:pPr>
        <w:pStyle w:val="SDText"/>
        <w:spacing w:after="0" w:line="360" w:lineRule="auto"/>
        <w:ind w:left="397" w:firstLine="357"/>
      </w:pPr>
      <w:r w:rsidRPr="00097824">
        <w:t>N</w:t>
      </w:r>
      <w:r w:rsidRPr="00097824">
        <w:rPr>
          <w:vertAlign w:val="subscript"/>
        </w:rPr>
        <w:t>2</w:t>
      </w:r>
      <w:r w:rsidR="003519D1" w:rsidRPr="00097824">
        <w:t>–</w:t>
      </w:r>
      <w:r w:rsidR="007842C8" w:rsidRPr="00097824">
        <w:t>ч</w:t>
      </w:r>
      <w:r w:rsidRPr="00097824">
        <w:t xml:space="preserve">етыре или более положительных лимфатических узла. </w:t>
      </w:r>
    </w:p>
    <w:p w14:paraId="4447DA62" w14:textId="77777777" w:rsidR="00DC58B8" w:rsidRPr="00097824" w:rsidRDefault="00DC58B8" w:rsidP="00AD4A9F">
      <w:pPr>
        <w:pStyle w:val="SDText"/>
        <w:spacing w:after="0" w:line="360" w:lineRule="auto"/>
        <w:ind w:left="397" w:firstLine="357"/>
        <w:rPr>
          <w:i/>
          <w:iCs/>
        </w:rPr>
      </w:pPr>
      <w:r w:rsidRPr="00097824">
        <w:rPr>
          <w:i/>
          <w:iCs/>
        </w:rPr>
        <w:t>М – отдаленные метастазы:</w:t>
      </w:r>
    </w:p>
    <w:p w14:paraId="1391B30D" w14:textId="77777777" w:rsidR="00D630AE" w:rsidRPr="00097824" w:rsidRDefault="00DC58B8" w:rsidP="00AD4A9F">
      <w:pPr>
        <w:pStyle w:val="SDText"/>
        <w:spacing w:after="0" w:line="360" w:lineRule="auto"/>
        <w:ind w:left="397" w:firstLine="357"/>
      </w:pPr>
      <w:r w:rsidRPr="00097824">
        <w:t>М</w:t>
      </w:r>
      <w:r w:rsidRPr="00097824">
        <w:rPr>
          <w:vertAlign w:val="subscript"/>
        </w:rPr>
        <w:t>0</w:t>
      </w:r>
      <w:r w:rsidRPr="00097824">
        <w:t xml:space="preserve"> – нет отдаленных метастазов;</w:t>
      </w:r>
    </w:p>
    <w:p w14:paraId="578EBE35" w14:textId="77777777" w:rsidR="00D630AE" w:rsidRPr="00097824" w:rsidRDefault="00DC58B8" w:rsidP="00AD4A9F">
      <w:pPr>
        <w:pStyle w:val="SDText"/>
        <w:spacing w:after="0" w:line="360" w:lineRule="auto"/>
        <w:ind w:left="397" w:firstLine="357"/>
      </w:pPr>
      <w:r w:rsidRPr="00097824">
        <w:t>М</w:t>
      </w:r>
      <w:r w:rsidRPr="00097824">
        <w:rPr>
          <w:vertAlign w:val="subscript"/>
        </w:rPr>
        <w:t>1</w:t>
      </w:r>
      <w:r w:rsidRPr="00097824">
        <w:t xml:space="preserve"> – есть отдаленные метастазы.</w:t>
      </w:r>
    </w:p>
    <w:p w14:paraId="1A23D1D8" w14:textId="3F0D6D65" w:rsidR="00FF0721" w:rsidRPr="00097824" w:rsidRDefault="00DC58B8" w:rsidP="00AD4A9F">
      <w:pPr>
        <w:pStyle w:val="SDTable"/>
        <w:spacing w:before="0" w:after="0"/>
        <w:ind w:left="397" w:firstLine="357"/>
        <w:rPr>
          <w:noProof/>
        </w:rPr>
      </w:pPr>
      <w:bookmarkStart w:id="43" w:name="_Toc112669739"/>
      <w:r w:rsidRPr="00097824">
        <w:t xml:space="preserve">Таблица </w:t>
      </w:r>
      <w:r w:rsidR="007F5427" w:rsidRPr="00097824">
        <w:fldChar w:fldCharType="begin"/>
      </w:r>
      <w:r w:rsidRPr="00097824">
        <w:instrText xml:space="preserve"> SEQ Таблица \* ARABIC </w:instrText>
      </w:r>
      <w:r w:rsidR="007F5427" w:rsidRPr="00097824">
        <w:fldChar w:fldCharType="separate"/>
      </w:r>
      <w:r w:rsidR="006752A2" w:rsidRPr="00097824">
        <w:rPr>
          <w:noProof/>
        </w:rPr>
        <w:t>4</w:t>
      </w:r>
      <w:r w:rsidR="007F5427" w:rsidRPr="00097824">
        <w:rPr>
          <w:noProof/>
        </w:rPr>
        <w:fldChar w:fldCharType="end"/>
      </w:r>
      <w:r w:rsidR="00FF0721" w:rsidRPr="00097824">
        <w:rPr>
          <w:noProof/>
        </w:rPr>
        <w:t>.</w:t>
      </w:r>
    </w:p>
    <w:p w14:paraId="6B361618" w14:textId="77777777" w:rsidR="00DC58B8" w:rsidRPr="00097824" w:rsidRDefault="00DC58B8" w:rsidP="00AD4A9F">
      <w:pPr>
        <w:pStyle w:val="SDTable"/>
        <w:spacing w:before="0" w:after="0"/>
        <w:ind w:left="397" w:firstLine="357"/>
        <w:rPr>
          <w:noProof/>
        </w:rPr>
      </w:pPr>
      <w:r w:rsidRPr="00097824">
        <w:t xml:space="preserve"> Группировка по стадиям рака внепеченочных желчных протоков (дистальных)</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450"/>
        <w:gridCol w:w="2410"/>
        <w:gridCol w:w="1984"/>
      </w:tblGrid>
      <w:tr w:rsidR="005A526D" w:rsidRPr="00097824" w14:paraId="66CF8513" w14:textId="77777777" w:rsidTr="003519D1">
        <w:trPr>
          <w:trHeight w:val="283"/>
          <w:tblHeader/>
        </w:trPr>
        <w:tc>
          <w:tcPr>
            <w:tcW w:w="2478" w:type="dxa"/>
            <w:shd w:val="clear" w:color="auto" w:fill="auto"/>
          </w:tcPr>
          <w:p w14:paraId="14FA93A1" w14:textId="77777777" w:rsidR="00D630AE" w:rsidRPr="00097824" w:rsidRDefault="00DC58B8" w:rsidP="00AD4A9F">
            <w:pPr>
              <w:ind w:left="397" w:firstLine="357"/>
              <w:contextualSpacing/>
              <w:jc w:val="center"/>
              <w:rPr>
                <w:szCs w:val="24"/>
              </w:rPr>
            </w:pPr>
            <w:r w:rsidRPr="00097824">
              <w:rPr>
                <w:b/>
                <w:bCs/>
                <w:szCs w:val="24"/>
              </w:rPr>
              <w:t>Стадия</w:t>
            </w:r>
          </w:p>
        </w:tc>
        <w:tc>
          <w:tcPr>
            <w:tcW w:w="2450" w:type="dxa"/>
            <w:shd w:val="clear" w:color="auto" w:fill="auto"/>
          </w:tcPr>
          <w:p w14:paraId="6BFE332B" w14:textId="77777777" w:rsidR="00D630AE" w:rsidRPr="00097824" w:rsidRDefault="00DC58B8" w:rsidP="00AD4A9F">
            <w:pPr>
              <w:ind w:left="397" w:firstLine="357"/>
              <w:contextualSpacing/>
              <w:jc w:val="center"/>
              <w:rPr>
                <w:szCs w:val="24"/>
              </w:rPr>
            </w:pPr>
            <w:r w:rsidRPr="00097824">
              <w:rPr>
                <w:b/>
                <w:bCs/>
                <w:szCs w:val="24"/>
              </w:rPr>
              <w:t>Т</w:t>
            </w:r>
          </w:p>
        </w:tc>
        <w:tc>
          <w:tcPr>
            <w:tcW w:w="2410" w:type="dxa"/>
            <w:shd w:val="clear" w:color="auto" w:fill="auto"/>
          </w:tcPr>
          <w:p w14:paraId="11FDF4DB" w14:textId="77777777" w:rsidR="00D630AE" w:rsidRPr="00097824" w:rsidRDefault="00DC58B8" w:rsidP="00AD4A9F">
            <w:pPr>
              <w:ind w:left="397" w:firstLine="357"/>
              <w:contextualSpacing/>
              <w:jc w:val="center"/>
              <w:rPr>
                <w:szCs w:val="24"/>
              </w:rPr>
            </w:pPr>
            <w:r w:rsidRPr="00097824">
              <w:rPr>
                <w:b/>
                <w:bCs/>
                <w:szCs w:val="24"/>
                <w:lang w:val="en-US"/>
              </w:rPr>
              <w:t>N</w:t>
            </w:r>
          </w:p>
        </w:tc>
        <w:tc>
          <w:tcPr>
            <w:tcW w:w="1984" w:type="dxa"/>
            <w:shd w:val="clear" w:color="auto" w:fill="auto"/>
          </w:tcPr>
          <w:p w14:paraId="56A72F54" w14:textId="77777777" w:rsidR="00D630AE" w:rsidRPr="00097824" w:rsidRDefault="00DC58B8" w:rsidP="00AD4A9F">
            <w:pPr>
              <w:ind w:left="397" w:firstLine="357"/>
              <w:contextualSpacing/>
              <w:jc w:val="center"/>
              <w:rPr>
                <w:szCs w:val="24"/>
              </w:rPr>
            </w:pPr>
            <w:r w:rsidRPr="00097824">
              <w:rPr>
                <w:b/>
                <w:bCs/>
                <w:szCs w:val="24"/>
                <w:lang w:val="en-US"/>
              </w:rPr>
              <w:t>M</w:t>
            </w:r>
          </w:p>
        </w:tc>
      </w:tr>
      <w:tr w:rsidR="005A526D" w:rsidRPr="00097824" w14:paraId="53FC46F8" w14:textId="77777777" w:rsidTr="00E54A74">
        <w:trPr>
          <w:trHeight w:val="283"/>
        </w:trPr>
        <w:tc>
          <w:tcPr>
            <w:tcW w:w="2478" w:type="dxa"/>
            <w:shd w:val="clear" w:color="auto" w:fill="auto"/>
          </w:tcPr>
          <w:p w14:paraId="423128C2" w14:textId="77777777" w:rsidR="00D630AE" w:rsidRPr="00097824" w:rsidRDefault="00DC58B8" w:rsidP="00AD4A9F">
            <w:pPr>
              <w:ind w:left="397" w:firstLine="357"/>
              <w:contextualSpacing/>
              <w:rPr>
                <w:szCs w:val="24"/>
              </w:rPr>
            </w:pPr>
            <w:r w:rsidRPr="00097824">
              <w:rPr>
                <w:szCs w:val="24"/>
              </w:rPr>
              <w:t>Стадия 0</w:t>
            </w:r>
          </w:p>
        </w:tc>
        <w:tc>
          <w:tcPr>
            <w:tcW w:w="2450" w:type="dxa"/>
            <w:shd w:val="clear" w:color="auto" w:fill="auto"/>
          </w:tcPr>
          <w:p w14:paraId="72F561CE" w14:textId="77777777" w:rsidR="00D630AE" w:rsidRPr="00097824" w:rsidRDefault="00DC58B8" w:rsidP="00AD4A9F">
            <w:pPr>
              <w:ind w:left="397" w:firstLine="357"/>
              <w:contextualSpacing/>
              <w:rPr>
                <w:szCs w:val="24"/>
              </w:rPr>
            </w:pPr>
            <w:proofErr w:type="spellStart"/>
            <w:r w:rsidRPr="00097824">
              <w:rPr>
                <w:szCs w:val="24"/>
              </w:rPr>
              <w:t>T</w:t>
            </w:r>
            <w:r w:rsidRPr="00097824">
              <w:rPr>
                <w:szCs w:val="24"/>
                <w:vertAlign w:val="subscript"/>
              </w:rPr>
              <w:t>is</w:t>
            </w:r>
            <w:proofErr w:type="spellEnd"/>
          </w:p>
        </w:tc>
        <w:tc>
          <w:tcPr>
            <w:tcW w:w="2410" w:type="dxa"/>
            <w:shd w:val="clear" w:color="auto" w:fill="auto"/>
          </w:tcPr>
          <w:p w14:paraId="4AB6190A" w14:textId="77777777" w:rsidR="00D630AE" w:rsidRPr="00097824" w:rsidRDefault="00DC58B8" w:rsidP="00AD4A9F">
            <w:pPr>
              <w:ind w:left="397" w:firstLine="357"/>
              <w:contextualSpacing/>
              <w:rPr>
                <w:szCs w:val="24"/>
              </w:rPr>
            </w:pPr>
            <w:r w:rsidRPr="00097824">
              <w:rPr>
                <w:szCs w:val="24"/>
              </w:rPr>
              <w:t>N</w:t>
            </w:r>
            <w:r w:rsidRPr="00097824">
              <w:rPr>
                <w:szCs w:val="24"/>
                <w:vertAlign w:val="subscript"/>
              </w:rPr>
              <w:t>0</w:t>
            </w:r>
          </w:p>
        </w:tc>
        <w:tc>
          <w:tcPr>
            <w:tcW w:w="1984" w:type="dxa"/>
            <w:shd w:val="clear" w:color="auto" w:fill="auto"/>
          </w:tcPr>
          <w:p w14:paraId="46EB828D" w14:textId="77777777" w:rsidR="00D630AE" w:rsidRPr="00097824" w:rsidRDefault="00DC58B8" w:rsidP="00AD4A9F">
            <w:pPr>
              <w:ind w:left="397" w:firstLine="357"/>
              <w:contextualSpacing/>
              <w:rPr>
                <w:szCs w:val="24"/>
              </w:rPr>
            </w:pPr>
            <w:r w:rsidRPr="00097824">
              <w:rPr>
                <w:szCs w:val="24"/>
              </w:rPr>
              <w:t>M</w:t>
            </w:r>
            <w:r w:rsidRPr="00097824">
              <w:rPr>
                <w:szCs w:val="24"/>
                <w:vertAlign w:val="subscript"/>
              </w:rPr>
              <w:t>0</w:t>
            </w:r>
          </w:p>
        </w:tc>
      </w:tr>
      <w:tr w:rsidR="005A526D" w:rsidRPr="00097824" w14:paraId="0D294B76" w14:textId="77777777" w:rsidTr="00E54A74">
        <w:trPr>
          <w:trHeight w:val="283"/>
        </w:trPr>
        <w:tc>
          <w:tcPr>
            <w:tcW w:w="2478" w:type="dxa"/>
            <w:shd w:val="clear" w:color="auto" w:fill="auto"/>
          </w:tcPr>
          <w:p w14:paraId="103B7994" w14:textId="77777777" w:rsidR="00D630AE" w:rsidRPr="00097824" w:rsidRDefault="00DC58B8" w:rsidP="00AD4A9F">
            <w:pPr>
              <w:ind w:left="397" w:firstLine="357"/>
              <w:contextualSpacing/>
              <w:rPr>
                <w:szCs w:val="24"/>
              </w:rPr>
            </w:pPr>
            <w:r w:rsidRPr="00097824">
              <w:rPr>
                <w:szCs w:val="24"/>
              </w:rPr>
              <w:t>Стадия I</w:t>
            </w:r>
          </w:p>
        </w:tc>
        <w:tc>
          <w:tcPr>
            <w:tcW w:w="2450" w:type="dxa"/>
            <w:tcBorders>
              <w:bottom w:val="single" w:sz="4" w:space="0" w:color="auto"/>
            </w:tcBorders>
            <w:shd w:val="clear" w:color="auto" w:fill="auto"/>
          </w:tcPr>
          <w:p w14:paraId="54B3E24E" w14:textId="77777777" w:rsidR="00D630AE" w:rsidRPr="00097824" w:rsidRDefault="00DC58B8" w:rsidP="00AD4A9F">
            <w:pPr>
              <w:ind w:left="397" w:firstLine="357"/>
              <w:contextualSpacing/>
              <w:rPr>
                <w:szCs w:val="24"/>
              </w:rPr>
            </w:pPr>
            <w:r w:rsidRPr="00097824">
              <w:rPr>
                <w:szCs w:val="24"/>
              </w:rPr>
              <w:t>T</w:t>
            </w:r>
            <w:r w:rsidRPr="00097824">
              <w:rPr>
                <w:szCs w:val="24"/>
                <w:vertAlign w:val="subscript"/>
              </w:rPr>
              <w:t>1</w:t>
            </w:r>
          </w:p>
        </w:tc>
        <w:tc>
          <w:tcPr>
            <w:tcW w:w="2410" w:type="dxa"/>
            <w:tcBorders>
              <w:bottom w:val="single" w:sz="4" w:space="0" w:color="auto"/>
            </w:tcBorders>
            <w:shd w:val="clear" w:color="auto" w:fill="auto"/>
          </w:tcPr>
          <w:p w14:paraId="13FDA560" w14:textId="77777777" w:rsidR="00D630AE" w:rsidRPr="00097824" w:rsidRDefault="00DC58B8" w:rsidP="00AD4A9F">
            <w:pPr>
              <w:ind w:left="397" w:firstLine="357"/>
              <w:contextualSpacing/>
              <w:rPr>
                <w:szCs w:val="24"/>
              </w:rPr>
            </w:pPr>
            <w:r w:rsidRPr="00097824">
              <w:rPr>
                <w:szCs w:val="24"/>
              </w:rPr>
              <w:t>N</w:t>
            </w:r>
            <w:r w:rsidRPr="00097824">
              <w:rPr>
                <w:szCs w:val="24"/>
                <w:vertAlign w:val="subscript"/>
              </w:rPr>
              <w:t>0</w:t>
            </w:r>
          </w:p>
        </w:tc>
        <w:tc>
          <w:tcPr>
            <w:tcW w:w="1984" w:type="dxa"/>
            <w:tcBorders>
              <w:bottom w:val="single" w:sz="4" w:space="0" w:color="auto"/>
            </w:tcBorders>
            <w:shd w:val="clear" w:color="auto" w:fill="auto"/>
          </w:tcPr>
          <w:p w14:paraId="04BE21F4" w14:textId="77777777" w:rsidR="00D630AE" w:rsidRPr="00097824" w:rsidRDefault="00DC58B8" w:rsidP="00AD4A9F">
            <w:pPr>
              <w:ind w:left="397" w:firstLine="357"/>
              <w:contextualSpacing/>
              <w:rPr>
                <w:szCs w:val="24"/>
              </w:rPr>
            </w:pPr>
            <w:r w:rsidRPr="00097824">
              <w:rPr>
                <w:szCs w:val="24"/>
              </w:rPr>
              <w:t>M</w:t>
            </w:r>
            <w:r w:rsidRPr="00097824">
              <w:rPr>
                <w:szCs w:val="24"/>
                <w:vertAlign w:val="subscript"/>
              </w:rPr>
              <w:t>0</w:t>
            </w:r>
          </w:p>
        </w:tc>
      </w:tr>
      <w:tr w:rsidR="005A526D" w:rsidRPr="00097824" w14:paraId="3FE356DE" w14:textId="77777777" w:rsidTr="00E54A74">
        <w:trPr>
          <w:trHeight w:val="279"/>
        </w:trPr>
        <w:tc>
          <w:tcPr>
            <w:tcW w:w="2478" w:type="dxa"/>
            <w:vMerge w:val="restart"/>
            <w:shd w:val="clear" w:color="auto" w:fill="auto"/>
          </w:tcPr>
          <w:p w14:paraId="04409BBA" w14:textId="77777777" w:rsidR="00D630AE" w:rsidRPr="00097824" w:rsidRDefault="00DC58B8" w:rsidP="00AD4A9F">
            <w:pPr>
              <w:ind w:left="397" w:firstLine="357"/>
              <w:contextualSpacing/>
              <w:rPr>
                <w:szCs w:val="24"/>
              </w:rPr>
            </w:pPr>
            <w:r w:rsidRPr="00097824">
              <w:rPr>
                <w:szCs w:val="24"/>
              </w:rPr>
              <w:t>Стадия IIА</w:t>
            </w:r>
          </w:p>
        </w:tc>
        <w:tc>
          <w:tcPr>
            <w:tcW w:w="2450" w:type="dxa"/>
            <w:tcBorders>
              <w:bottom w:val="nil"/>
            </w:tcBorders>
            <w:shd w:val="clear" w:color="auto" w:fill="auto"/>
          </w:tcPr>
          <w:p w14:paraId="3DA2E857" w14:textId="77777777" w:rsidR="00D630AE" w:rsidRPr="00097824" w:rsidRDefault="00DC58B8" w:rsidP="00AD4A9F">
            <w:pPr>
              <w:ind w:left="397" w:firstLine="357"/>
              <w:contextualSpacing/>
              <w:rPr>
                <w:szCs w:val="24"/>
              </w:rPr>
            </w:pPr>
            <w:r w:rsidRPr="00097824">
              <w:rPr>
                <w:szCs w:val="24"/>
              </w:rPr>
              <w:t>T</w:t>
            </w:r>
            <w:r w:rsidRPr="00097824">
              <w:rPr>
                <w:szCs w:val="24"/>
                <w:vertAlign w:val="subscript"/>
              </w:rPr>
              <w:t>1</w:t>
            </w:r>
          </w:p>
        </w:tc>
        <w:tc>
          <w:tcPr>
            <w:tcW w:w="2410" w:type="dxa"/>
            <w:tcBorders>
              <w:bottom w:val="nil"/>
            </w:tcBorders>
            <w:shd w:val="clear" w:color="auto" w:fill="auto"/>
          </w:tcPr>
          <w:p w14:paraId="2DB82D2B" w14:textId="77777777" w:rsidR="00D630AE" w:rsidRPr="00097824" w:rsidRDefault="00DC58B8" w:rsidP="00AD4A9F">
            <w:pPr>
              <w:ind w:left="397" w:firstLine="357"/>
              <w:contextualSpacing/>
              <w:rPr>
                <w:szCs w:val="24"/>
              </w:rPr>
            </w:pPr>
            <w:r w:rsidRPr="00097824">
              <w:rPr>
                <w:szCs w:val="24"/>
              </w:rPr>
              <w:t>N</w:t>
            </w:r>
            <w:r w:rsidRPr="00097824">
              <w:rPr>
                <w:szCs w:val="24"/>
                <w:vertAlign w:val="subscript"/>
              </w:rPr>
              <w:t>1</w:t>
            </w:r>
          </w:p>
        </w:tc>
        <w:tc>
          <w:tcPr>
            <w:tcW w:w="1984" w:type="dxa"/>
            <w:tcBorders>
              <w:bottom w:val="nil"/>
            </w:tcBorders>
            <w:shd w:val="clear" w:color="auto" w:fill="auto"/>
          </w:tcPr>
          <w:p w14:paraId="0DA9A31D" w14:textId="77777777" w:rsidR="00D630AE" w:rsidRPr="00097824" w:rsidRDefault="00DC58B8" w:rsidP="00AD4A9F">
            <w:pPr>
              <w:ind w:left="397" w:firstLine="357"/>
              <w:contextualSpacing/>
              <w:rPr>
                <w:szCs w:val="24"/>
              </w:rPr>
            </w:pPr>
            <w:r w:rsidRPr="00097824">
              <w:rPr>
                <w:szCs w:val="24"/>
              </w:rPr>
              <w:t>M</w:t>
            </w:r>
            <w:r w:rsidRPr="00097824">
              <w:rPr>
                <w:szCs w:val="24"/>
                <w:vertAlign w:val="subscript"/>
              </w:rPr>
              <w:t>0</w:t>
            </w:r>
          </w:p>
        </w:tc>
      </w:tr>
      <w:tr w:rsidR="005A526D" w:rsidRPr="00097824" w14:paraId="28DF54F0" w14:textId="77777777" w:rsidTr="00E54A74">
        <w:trPr>
          <w:trHeight w:val="283"/>
        </w:trPr>
        <w:tc>
          <w:tcPr>
            <w:tcW w:w="2478" w:type="dxa"/>
            <w:vMerge/>
            <w:shd w:val="clear" w:color="auto" w:fill="auto"/>
          </w:tcPr>
          <w:p w14:paraId="0F88597E" w14:textId="77777777" w:rsidR="00DC58B8" w:rsidRPr="00097824" w:rsidRDefault="00DC58B8" w:rsidP="00AD4A9F">
            <w:pPr>
              <w:ind w:left="397" w:firstLine="357"/>
              <w:contextualSpacing/>
              <w:rPr>
                <w:szCs w:val="24"/>
              </w:rPr>
            </w:pPr>
          </w:p>
        </w:tc>
        <w:tc>
          <w:tcPr>
            <w:tcW w:w="2450" w:type="dxa"/>
            <w:tcBorders>
              <w:top w:val="nil"/>
              <w:bottom w:val="single" w:sz="4" w:space="0" w:color="auto"/>
            </w:tcBorders>
            <w:shd w:val="clear" w:color="auto" w:fill="auto"/>
          </w:tcPr>
          <w:p w14:paraId="7CDDFE40" w14:textId="77777777" w:rsidR="00D630AE" w:rsidRPr="00097824" w:rsidRDefault="00DC58B8" w:rsidP="00AD4A9F">
            <w:pPr>
              <w:ind w:left="397" w:firstLine="357"/>
              <w:contextualSpacing/>
              <w:rPr>
                <w:szCs w:val="24"/>
              </w:rPr>
            </w:pPr>
            <w:r w:rsidRPr="00097824">
              <w:rPr>
                <w:szCs w:val="24"/>
              </w:rPr>
              <w:t>Т</w:t>
            </w:r>
            <w:r w:rsidRPr="00097824">
              <w:rPr>
                <w:szCs w:val="24"/>
                <w:vertAlign w:val="subscript"/>
              </w:rPr>
              <w:t>2</w:t>
            </w:r>
          </w:p>
        </w:tc>
        <w:tc>
          <w:tcPr>
            <w:tcW w:w="2410" w:type="dxa"/>
            <w:tcBorders>
              <w:top w:val="nil"/>
              <w:bottom w:val="single" w:sz="4" w:space="0" w:color="auto"/>
            </w:tcBorders>
            <w:shd w:val="clear" w:color="auto" w:fill="auto"/>
          </w:tcPr>
          <w:p w14:paraId="6B6FE864" w14:textId="77777777" w:rsidR="00D630AE" w:rsidRPr="00097824" w:rsidRDefault="00DC58B8" w:rsidP="00AD4A9F">
            <w:pPr>
              <w:ind w:left="397" w:firstLine="357"/>
              <w:contextualSpacing/>
              <w:rPr>
                <w:szCs w:val="24"/>
              </w:rPr>
            </w:pPr>
            <w:r w:rsidRPr="00097824">
              <w:rPr>
                <w:szCs w:val="24"/>
              </w:rPr>
              <w:t>N</w:t>
            </w:r>
            <w:r w:rsidRPr="00097824">
              <w:rPr>
                <w:szCs w:val="24"/>
                <w:vertAlign w:val="subscript"/>
              </w:rPr>
              <w:t>0</w:t>
            </w:r>
          </w:p>
        </w:tc>
        <w:tc>
          <w:tcPr>
            <w:tcW w:w="1984" w:type="dxa"/>
            <w:tcBorders>
              <w:top w:val="nil"/>
              <w:bottom w:val="single" w:sz="4" w:space="0" w:color="auto"/>
            </w:tcBorders>
            <w:shd w:val="clear" w:color="auto" w:fill="auto"/>
          </w:tcPr>
          <w:p w14:paraId="3F332A02" w14:textId="77777777" w:rsidR="00D630AE" w:rsidRPr="00097824" w:rsidRDefault="00DC58B8" w:rsidP="00AD4A9F">
            <w:pPr>
              <w:ind w:left="397" w:firstLine="357"/>
              <w:contextualSpacing/>
              <w:rPr>
                <w:szCs w:val="24"/>
              </w:rPr>
            </w:pPr>
            <w:r w:rsidRPr="00097824">
              <w:rPr>
                <w:szCs w:val="24"/>
              </w:rPr>
              <w:t>M</w:t>
            </w:r>
            <w:r w:rsidRPr="00097824">
              <w:rPr>
                <w:szCs w:val="24"/>
                <w:vertAlign w:val="subscript"/>
              </w:rPr>
              <w:t>0</w:t>
            </w:r>
          </w:p>
        </w:tc>
      </w:tr>
      <w:tr w:rsidR="005A526D" w:rsidRPr="00097824" w14:paraId="0FDFC5C2" w14:textId="77777777" w:rsidTr="00E54A74">
        <w:trPr>
          <w:trHeight w:val="20"/>
        </w:trPr>
        <w:tc>
          <w:tcPr>
            <w:tcW w:w="2478" w:type="dxa"/>
            <w:vMerge w:val="restart"/>
            <w:shd w:val="clear" w:color="auto" w:fill="auto"/>
          </w:tcPr>
          <w:p w14:paraId="1ACA363C" w14:textId="77777777" w:rsidR="00D630AE" w:rsidRPr="00097824" w:rsidRDefault="00DC58B8" w:rsidP="00AD4A9F">
            <w:pPr>
              <w:ind w:left="397" w:firstLine="357"/>
              <w:contextualSpacing/>
              <w:rPr>
                <w:szCs w:val="24"/>
              </w:rPr>
            </w:pPr>
            <w:r w:rsidRPr="00097824">
              <w:rPr>
                <w:szCs w:val="24"/>
              </w:rPr>
              <w:lastRenderedPageBreak/>
              <w:t>Стадия IIВ</w:t>
            </w:r>
          </w:p>
        </w:tc>
        <w:tc>
          <w:tcPr>
            <w:tcW w:w="2450" w:type="dxa"/>
            <w:tcBorders>
              <w:bottom w:val="nil"/>
            </w:tcBorders>
            <w:shd w:val="clear" w:color="auto" w:fill="auto"/>
          </w:tcPr>
          <w:p w14:paraId="5A8F545E" w14:textId="77777777" w:rsidR="00D630AE" w:rsidRPr="00097824" w:rsidRDefault="00DC58B8" w:rsidP="00AD4A9F">
            <w:pPr>
              <w:ind w:left="397" w:firstLine="357"/>
              <w:contextualSpacing/>
              <w:rPr>
                <w:szCs w:val="24"/>
              </w:rPr>
            </w:pPr>
            <w:r w:rsidRPr="00097824">
              <w:rPr>
                <w:szCs w:val="24"/>
              </w:rPr>
              <w:t>T</w:t>
            </w:r>
            <w:r w:rsidRPr="00097824">
              <w:rPr>
                <w:szCs w:val="24"/>
                <w:vertAlign w:val="subscript"/>
              </w:rPr>
              <w:t>2</w:t>
            </w:r>
          </w:p>
        </w:tc>
        <w:tc>
          <w:tcPr>
            <w:tcW w:w="2410" w:type="dxa"/>
            <w:tcBorders>
              <w:bottom w:val="nil"/>
            </w:tcBorders>
            <w:shd w:val="clear" w:color="auto" w:fill="auto"/>
          </w:tcPr>
          <w:p w14:paraId="47A4794F" w14:textId="77777777" w:rsidR="00D630AE" w:rsidRPr="00097824" w:rsidRDefault="00DC58B8" w:rsidP="00AD4A9F">
            <w:pPr>
              <w:ind w:left="397" w:firstLine="357"/>
              <w:contextualSpacing/>
              <w:rPr>
                <w:szCs w:val="24"/>
              </w:rPr>
            </w:pPr>
            <w:r w:rsidRPr="00097824">
              <w:rPr>
                <w:szCs w:val="24"/>
              </w:rPr>
              <w:t>N</w:t>
            </w:r>
            <w:r w:rsidRPr="00097824">
              <w:rPr>
                <w:szCs w:val="24"/>
                <w:vertAlign w:val="subscript"/>
              </w:rPr>
              <w:t>1</w:t>
            </w:r>
          </w:p>
        </w:tc>
        <w:tc>
          <w:tcPr>
            <w:tcW w:w="1984" w:type="dxa"/>
            <w:tcBorders>
              <w:bottom w:val="nil"/>
            </w:tcBorders>
            <w:shd w:val="clear" w:color="auto" w:fill="auto"/>
          </w:tcPr>
          <w:p w14:paraId="0BCE9967" w14:textId="77777777" w:rsidR="00D630AE" w:rsidRPr="00097824" w:rsidRDefault="00DC58B8" w:rsidP="00AD4A9F">
            <w:pPr>
              <w:ind w:left="397" w:firstLine="357"/>
              <w:contextualSpacing/>
              <w:rPr>
                <w:szCs w:val="24"/>
              </w:rPr>
            </w:pPr>
            <w:r w:rsidRPr="00097824">
              <w:rPr>
                <w:szCs w:val="24"/>
              </w:rPr>
              <w:t>M</w:t>
            </w:r>
            <w:r w:rsidRPr="00097824">
              <w:rPr>
                <w:szCs w:val="24"/>
                <w:vertAlign w:val="subscript"/>
              </w:rPr>
              <w:t>0</w:t>
            </w:r>
          </w:p>
        </w:tc>
      </w:tr>
      <w:tr w:rsidR="005A526D" w:rsidRPr="00097824" w14:paraId="4F11B9B3" w14:textId="77777777" w:rsidTr="00E54A74">
        <w:trPr>
          <w:trHeight w:val="20"/>
        </w:trPr>
        <w:tc>
          <w:tcPr>
            <w:tcW w:w="2478" w:type="dxa"/>
            <w:vMerge/>
            <w:shd w:val="clear" w:color="auto" w:fill="auto"/>
          </w:tcPr>
          <w:p w14:paraId="16B265F1" w14:textId="77777777" w:rsidR="00DC58B8" w:rsidRPr="00097824" w:rsidRDefault="00DC58B8" w:rsidP="00AD4A9F">
            <w:pPr>
              <w:ind w:left="397" w:firstLine="357"/>
              <w:contextualSpacing/>
              <w:rPr>
                <w:szCs w:val="24"/>
              </w:rPr>
            </w:pPr>
          </w:p>
        </w:tc>
        <w:tc>
          <w:tcPr>
            <w:tcW w:w="2450" w:type="dxa"/>
            <w:tcBorders>
              <w:top w:val="nil"/>
              <w:bottom w:val="nil"/>
            </w:tcBorders>
            <w:shd w:val="clear" w:color="auto" w:fill="auto"/>
          </w:tcPr>
          <w:p w14:paraId="54FD8672" w14:textId="77777777" w:rsidR="00D630AE" w:rsidRPr="00097824" w:rsidRDefault="00DC58B8" w:rsidP="00AD4A9F">
            <w:pPr>
              <w:ind w:left="397" w:firstLine="357"/>
              <w:contextualSpacing/>
              <w:rPr>
                <w:szCs w:val="24"/>
              </w:rPr>
            </w:pPr>
            <w:r w:rsidRPr="00097824">
              <w:rPr>
                <w:szCs w:val="24"/>
                <w:lang w:val="en-US"/>
              </w:rPr>
              <w:t>T</w:t>
            </w:r>
            <w:r w:rsidR="007F5427" w:rsidRPr="00097824">
              <w:rPr>
                <w:szCs w:val="24"/>
                <w:vertAlign w:val="subscript"/>
              </w:rPr>
              <w:t>3</w:t>
            </w:r>
          </w:p>
        </w:tc>
        <w:tc>
          <w:tcPr>
            <w:tcW w:w="2410" w:type="dxa"/>
            <w:tcBorders>
              <w:top w:val="nil"/>
              <w:bottom w:val="nil"/>
            </w:tcBorders>
            <w:shd w:val="clear" w:color="auto" w:fill="auto"/>
          </w:tcPr>
          <w:p w14:paraId="1D1BB096" w14:textId="77777777" w:rsidR="00D630AE" w:rsidRPr="00097824" w:rsidRDefault="00DC58B8" w:rsidP="00AD4A9F">
            <w:pPr>
              <w:ind w:left="397" w:firstLine="357"/>
              <w:contextualSpacing/>
              <w:rPr>
                <w:szCs w:val="24"/>
              </w:rPr>
            </w:pPr>
            <w:r w:rsidRPr="00097824">
              <w:rPr>
                <w:szCs w:val="24"/>
                <w:lang w:val="en-US"/>
              </w:rPr>
              <w:t>N</w:t>
            </w:r>
            <w:r w:rsidR="007F5427" w:rsidRPr="00097824">
              <w:rPr>
                <w:szCs w:val="24"/>
                <w:vertAlign w:val="subscript"/>
              </w:rPr>
              <w:t>0</w:t>
            </w:r>
          </w:p>
        </w:tc>
        <w:tc>
          <w:tcPr>
            <w:tcW w:w="1984" w:type="dxa"/>
            <w:tcBorders>
              <w:top w:val="nil"/>
              <w:bottom w:val="nil"/>
            </w:tcBorders>
            <w:shd w:val="clear" w:color="auto" w:fill="auto"/>
          </w:tcPr>
          <w:p w14:paraId="4A5236EB" w14:textId="77777777" w:rsidR="00D630AE" w:rsidRPr="00097824" w:rsidRDefault="00DC58B8" w:rsidP="00AD4A9F">
            <w:pPr>
              <w:ind w:left="397" w:firstLine="357"/>
              <w:contextualSpacing/>
              <w:rPr>
                <w:szCs w:val="24"/>
              </w:rPr>
            </w:pPr>
            <w:r w:rsidRPr="00097824">
              <w:rPr>
                <w:szCs w:val="24"/>
              </w:rPr>
              <w:t>M</w:t>
            </w:r>
            <w:r w:rsidRPr="00097824">
              <w:rPr>
                <w:szCs w:val="24"/>
                <w:vertAlign w:val="subscript"/>
              </w:rPr>
              <w:t>0</w:t>
            </w:r>
          </w:p>
        </w:tc>
      </w:tr>
      <w:tr w:rsidR="005A526D" w:rsidRPr="00097824" w14:paraId="604DD2CA" w14:textId="77777777" w:rsidTr="00E54A74">
        <w:trPr>
          <w:trHeight w:val="44"/>
        </w:trPr>
        <w:tc>
          <w:tcPr>
            <w:tcW w:w="2478" w:type="dxa"/>
            <w:vMerge/>
            <w:shd w:val="clear" w:color="auto" w:fill="auto"/>
          </w:tcPr>
          <w:p w14:paraId="760DEA2E" w14:textId="77777777" w:rsidR="00DC58B8" w:rsidRPr="00097824" w:rsidRDefault="00DC58B8" w:rsidP="00AD4A9F">
            <w:pPr>
              <w:ind w:left="397" w:firstLine="357"/>
              <w:contextualSpacing/>
              <w:rPr>
                <w:szCs w:val="24"/>
              </w:rPr>
            </w:pPr>
          </w:p>
        </w:tc>
        <w:tc>
          <w:tcPr>
            <w:tcW w:w="2450" w:type="dxa"/>
            <w:tcBorders>
              <w:top w:val="nil"/>
              <w:bottom w:val="single" w:sz="4" w:space="0" w:color="auto"/>
            </w:tcBorders>
            <w:shd w:val="clear" w:color="auto" w:fill="auto"/>
          </w:tcPr>
          <w:p w14:paraId="0EDDE4F8" w14:textId="77777777" w:rsidR="00D630AE" w:rsidRPr="00097824" w:rsidRDefault="00DC58B8" w:rsidP="00AD4A9F">
            <w:pPr>
              <w:ind w:left="397" w:firstLine="357"/>
              <w:contextualSpacing/>
              <w:rPr>
                <w:szCs w:val="24"/>
              </w:rPr>
            </w:pPr>
            <w:r w:rsidRPr="00097824">
              <w:rPr>
                <w:szCs w:val="24"/>
                <w:lang w:val="en-US"/>
              </w:rPr>
              <w:t>T</w:t>
            </w:r>
            <w:r w:rsidR="007F5427" w:rsidRPr="00097824">
              <w:rPr>
                <w:szCs w:val="24"/>
                <w:vertAlign w:val="subscript"/>
              </w:rPr>
              <w:t>3</w:t>
            </w:r>
          </w:p>
        </w:tc>
        <w:tc>
          <w:tcPr>
            <w:tcW w:w="2410" w:type="dxa"/>
            <w:tcBorders>
              <w:top w:val="nil"/>
              <w:bottom w:val="single" w:sz="4" w:space="0" w:color="auto"/>
            </w:tcBorders>
            <w:shd w:val="clear" w:color="auto" w:fill="auto"/>
          </w:tcPr>
          <w:p w14:paraId="71A5B41D" w14:textId="77777777" w:rsidR="00D630AE" w:rsidRPr="00097824" w:rsidRDefault="00DC58B8" w:rsidP="00AD4A9F">
            <w:pPr>
              <w:ind w:left="397" w:firstLine="357"/>
              <w:contextualSpacing/>
              <w:rPr>
                <w:szCs w:val="24"/>
              </w:rPr>
            </w:pPr>
            <w:r w:rsidRPr="00097824">
              <w:rPr>
                <w:szCs w:val="24"/>
                <w:lang w:val="en-US"/>
              </w:rPr>
              <w:t>N</w:t>
            </w:r>
            <w:r w:rsidR="007F5427" w:rsidRPr="00097824">
              <w:rPr>
                <w:szCs w:val="24"/>
                <w:vertAlign w:val="subscript"/>
              </w:rPr>
              <w:t>1</w:t>
            </w:r>
          </w:p>
        </w:tc>
        <w:tc>
          <w:tcPr>
            <w:tcW w:w="1984" w:type="dxa"/>
            <w:tcBorders>
              <w:top w:val="nil"/>
              <w:bottom w:val="single" w:sz="4" w:space="0" w:color="auto"/>
            </w:tcBorders>
            <w:shd w:val="clear" w:color="auto" w:fill="auto"/>
          </w:tcPr>
          <w:p w14:paraId="7CFBBB4F" w14:textId="77777777" w:rsidR="00D630AE" w:rsidRPr="00097824" w:rsidRDefault="00DC58B8" w:rsidP="00AD4A9F">
            <w:pPr>
              <w:ind w:left="397" w:firstLine="357"/>
              <w:contextualSpacing/>
              <w:rPr>
                <w:szCs w:val="24"/>
              </w:rPr>
            </w:pPr>
            <w:r w:rsidRPr="00097824">
              <w:rPr>
                <w:szCs w:val="24"/>
              </w:rPr>
              <w:t>M</w:t>
            </w:r>
            <w:r w:rsidRPr="00097824">
              <w:rPr>
                <w:szCs w:val="24"/>
                <w:vertAlign w:val="subscript"/>
              </w:rPr>
              <w:t>0</w:t>
            </w:r>
          </w:p>
        </w:tc>
      </w:tr>
      <w:tr w:rsidR="005A526D" w:rsidRPr="00097824" w14:paraId="78099B22" w14:textId="77777777" w:rsidTr="00E54A74">
        <w:trPr>
          <w:trHeight w:val="283"/>
        </w:trPr>
        <w:tc>
          <w:tcPr>
            <w:tcW w:w="2478" w:type="dxa"/>
            <w:vMerge w:val="restart"/>
            <w:shd w:val="clear" w:color="auto" w:fill="auto"/>
          </w:tcPr>
          <w:p w14:paraId="249C6A6C" w14:textId="77777777" w:rsidR="00D630AE" w:rsidRPr="00097824" w:rsidRDefault="00DC58B8" w:rsidP="00AD4A9F">
            <w:pPr>
              <w:ind w:left="397" w:firstLine="357"/>
              <w:contextualSpacing/>
              <w:rPr>
                <w:szCs w:val="24"/>
                <w:lang w:val="en-US"/>
              </w:rPr>
            </w:pPr>
            <w:r w:rsidRPr="00097824">
              <w:rPr>
                <w:szCs w:val="24"/>
              </w:rPr>
              <w:t>Стадия III</w:t>
            </w:r>
            <w:r w:rsidRPr="00097824">
              <w:rPr>
                <w:szCs w:val="24"/>
                <w:lang w:val="en-US"/>
              </w:rPr>
              <w:t>A</w:t>
            </w:r>
          </w:p>
        </w:tc>
        <w:tc>
          <w:tcPr>
            <w:tcW w:w="2450" w:type="dxa"/>
            <w:tcBorders>
              <w:bottom w:val="nil"/>
            </w:tcBorders>
            <w:shd w:val="clear" w:color="auto" w:fill="auto"/>
          </w:tcPr>
          <w:p w14:paraId="1FAB7F50" w14:textId="77777777" w:rsidR="00D630AE" w:rsidRPr="00097824" w:rsidRDefault="00DC58B8" w:rsidP="00AD4A9F">
            <w:pPr>
              <w:ind w:left="397" w:firstLine="357"/>
              <w:contextualSpacing/>
              <w:rPr>
                <w:szCs w:val="24"/>
                <w:lang w:val="en-US"/>
              </w:rPr>
            </w:pPr>
            <w:r w:rsidRPr="00097824">
              <w:rPr>
                <w:szCs w:val="24"/>
              </w:rPr>
              <w:t>T</w:t>
            </w:r>
            <w:r w:rsidRPr="00097824">
              <w:rPr>
                <w:szCs w:val="24"/>
                <w:vertAlign w:val="subscript"/>
                <w:lang w:val="en-US"/>
              </w:rPr>
              <w:t>1</w:t>
            </w:r>
          </w:p>
        </w:tc>
        <w:tc>
          <w:tcPr>
            <w:tcW w:w="2410" w:type="dxa"/>
            <w:tcBorders>
              <w:bottom w:val="nil"/>
            </w:tcBorders>
            <w:shd w:val="clear" w:color="auto" w:fill="auto"/>
          </w:tcPr>
          <w:p w14:paraId="113FDDE2" w14:textId="77777777" w:rsidR="00D630AE" w:rsidRPr="00097824" w:rsidRDefault="00DC58B8" w:rsidP="00AD4A9F">
            <w:pPr>
              <w:ind w:left="397" w:firstLine="357"/>
              <w:contextualSpacing/>
              <w:rPr>
                <w:szCs w:val="24"/>
                <w:lang w:val="en-US"/>
              </w:rPr>
            </w:pPr>
            <w:r w:rsidRPr="00097824">
              <w:rPr>
                <w:szCs w:val="24"/>
              </w:rPr>
              <w:t>N</w:t>
            </w:r>
            <w:r w:rsidRPr="00097824">
              <w:rPr>
                <w:szCs w:val="24"/>
                <w:vertAlign w:val="subscript"/>
                <w:lang w:val="en-US"/>
              </w:rPr>
              <w:t>2</w:t>
            </w:r>
          </w:p>
        </w:tc>
        <w:tc>
          <w:tcPr>
            <w:tcW w:w="1984" w:type="dxa"/>
            <w:tcBorders>
              <w:bottom w:val="nil"/>
            </w:tcBorders>
            <w:shd w:val="clear" w:color="auto" w:fill="auto"/>
          </w:tcPr>
          <w:p w14:paraId="5A2FD4F5" w14:textId="77777777" w:rsidR="00D630AE" w:rsidRPr="00097824" w:rsidRDefault="00DC58B8" w:rsidP="00AD4A9F">
            <w:pPr>
              <w:ind w:left="397" w:firstLine="357"/>
              <w:contextualSpacing/>
              <w:rPr>
                <w:szCs w:val="24"/>
                <w:lang w:val="en-US"/>
              </w:rPr>
            </w:pPr>
            <w:r w:rsidRPr="00097824">
              <w:rPr>
                <w:szCs w:val="24"/>
              </w:rPr>
              <w:t>M</w:t>
            </w:r>
            <w:r w:rsidRPr="00097824">
              <w:rPr>
                <w:szCs w:val="24"/>
                <w:vertAlign w:val="subscript"/>
              </w:rPr>
              <w:t>0</w:t>
            </w:r>
          </w:p>
        </w:tc>
      </w:tr>
      <w:tr w:rsidR="005A526D" w:rsidRPr="00097824" w14:paraId="527FF585" w14:textId="77777777" w:rsidTr="00E54A74">
        <w:trPr>
          <w:trHeight w:val="283"/>
        </w:trPr>
        <w:tc>
          <w:tcPr>
            <w:tcW w:w="2478" w:type="dxa"/>
            <w:vMerge/>
            <w:shd w:val="clear" w:color="auto" w:fill="auto"/>
          </w:tcPr>
          <w:p w14:paraId="23916947" w14:textId="77777777" w:rsidR="00DC58B8" w:rsidRPr="00097824" w:rsidRDefault="00DC58B8" w:rsidP="00AD4A9F">
            <w:pPr>
              <w:ind w:left="397" w:firstLine="357"/>
              <w:contextualSpacing/>
              <w:rPr>
                <w:szCs w:val="24"/>
              </w:rPr>
            </w:pPr>
          </w:p>
        </w:tc>
        <w:tc>
          <w:tcPr>
            <w:tcW w:w="2450" w:type="dxa"/>
            <w:tcBorders>
              <w:top w:val="nil"/>
              <w:bottom w:val="nil"/>
            </w:tcBorders>
            <w:shd w:val="clear" w:color="auto" w:fill="auto"/>
          </w:tcPr>
          <w:p w14:paraId="1C80A170" w14:textId="77777777" w:rsidR="00D630AE" w:rsidRPr="00097824" w:rsidRDefault="00DC58B8" w:rsidP="00AD4A9F">
            <w:pPr>
              <w:ind w:left="397" w:firstLine="357"/>
              <w:contextualSpacing/>
              <w:rPr>
                <w:szCs w:val="24"/>
              </w:rPr>
            </w:pPr>
            <w:r w:rsidRPr="00097824">
              <w:rPr>
                <w:szCs w:val="24"/>
                <w:lang w:val="en-US"/>
              </w:rPr>
              <w:t>T</w:t>
            </w:r>
            <w:r w:rsidRPr="00097824">
              <w:rPr>
                <w:szCs w:val="24"/>
                <w:vertAlign w:val="subscript"/>
                <w:lang w:val="en-US"/>
              </w:rPr>
              <w:t>2</w:t>
            </w:r>
          </w:p>
        </w:tc>
        <w:tc>
          <w:tcPr>
            <w:tcW w:w="2410" w:type="dxa"/>
            <w:tcBorders>
              <w:top w:val="nil"/>
              <w:bottom w:val="nil"/>
            </w:tcBorders>
            <w:shd w:val="clear" w:color="auto" w:fill="auto"/>
          </w:tcPr>
          <w:p w14:paraId="0DBDF499" w14:textId="77777777" w:rsidR="00D630AE" w:rsidRPr="00097824" w:rsidRDefault="00DC58B8" w:rsidP="00AD4A9F">
            <w:pPr>
              <w:ind w:left="397" w:firstLine="357"/>
              <w:contextualSpacing/>
              <w:rPr>
                <w:szCs w:val="24"/>
              </w:rPr>
            </w:pPr>
            <w:r w:rsidRPr="00097824">
              <w:rPr>
                <w:szCs w:val="24"/>
                <w:lang w:val="en-US"/>
              </w:rPr>
              <w:t>N</w:t>
            </w:r>
            <w:r w:rsidRPr="00097824">
              <w:rPr>
                <w:szCs w:val="24"/>
                <w:vertAlign w:val="subscript"/>
                <w:lang w:val="en-US"/>
              </w:rPr>
              <w:t>2</w:t>
            </w:r>
          </w:p>
        </w:tc>
        <w:tc>
          <w:tcPr>
            <w:tcW w:w="1984" w:type="dxa"/>
            <w:tcBorders>
              <w:top w:val="nil"/>
              <w:bottom w:val="nil"/>
            </w:tcBorders>
            <w:shd w:val="clear" w:color="auto" w:fill="auto"/>
          </w:tcPr>
          <w:p w14:paraId="4B5D39D1" w14:textId="77777777" w:rsidR="00D630AE" w:rsidRPr="00097824" w:rsidRDefault="00DC58B8" w:rsidP="00AD4A9F">
            <w:pPr>
              <w:ind w:left="397" w:firstLine="357"/>
              <w:contextualSpacing/>
              <w:rPr>
                <w:szCs w:val="24"/>
              </w:rPr>
            </w:pPr>
            <w:r w:rsidRPr="00097824">
              <w:rPr>
                <w:szCs w:val="24"/>
                <w:lang w:val="en-US"/>
              </w:rPr>
              <w:t>M</w:t>
            </w:r>
            <w:r w:rsidRPr="00097824">
              <w:rPr>
                <w:szCs w:val="24"/>
                <w:vertAlign w:val="subscript"/>
                <w:lang w:val="en-US"/>
              </w:rPr>
              <w:t>0</w:t>
            </w:r>
          </w:p>
        </w:tc>
      </w:tr>
      <w:tr w:rsidR="005A526D" w:rsidRPr="00097824" w14:paraId="06AD5F8C" w14:textId="77777777" w:rsidTr="00E54A74">
        <w:trPr>
          <w:trHeight w:val="283"/>
        </w:trPr>
        <w:tc>
          <w:tcPr>
            <w:tcW w:w="2478" w:type="dxa"/>
            <w:vMerge/>
            <w:shd w:val="clear" w:color="auto" w:fill="auto"/>
          </w:tcPr>
          <w:p w14:paraId="11FACD0E" w14:textId="77777777" w:rsidR="00DC58B8" w:rsidRPr="00097824" w:rsidRDefault="00DC58B8" w:rsidP="00AD4A9F">
            <w:pPr>
              <w:ind w:left="397" w:firstLine="357"/>
              <w:contextualSpacing/>
              <w:rPr>
                <w:szCs w:val="24"/>
              </w:rPr>
            </w:pPr>
          </w:p>
        </w:tc>
        <w:tc>
          <w:tcPr>
            <w:tcW w:w="2450" w:type="dxa"/>
            <w:tcBorders>
              <w:top w:val="nil"/>
              <w:bottom w:val="single" w:sz="4" w:space="0" w:color="auto"/>
            </w:tcBorders>
            <w:shd w:val="clear" w:color="auto" w:fill="auto"/>
          </w:tcPr>
          <w:p w14:paraId="5D994E7A" w14:textId="77777777" w:rsidR="00D630AE" w:rsidRPr="00097824" w:rsidRDefault="00DC58B8" w:rsidP="00AD4A9F">
            <w:pPr>
              <w:ind w:left="397" w:firstLine="357"/>
              <w:contextualSpacing/>
              <w:rPr>
                <w:szCs w:val="24"/>
              </w:rPr>
            </w:pPr>
            <w:r w:rsidRPr="00097824">
              <w:rPr>
                <w:szCs w:val="24"/>
                <w:lang w:val="en-US"/>
              </w:rPr>
              <w:t>T</w:t>
            </w:r>
            <w:r w:rsidRPr="00097824">
              <w:rPr>
                <w:szCs w:val="24"/>
                <w:vertAlign w:val="subscript"/>
                <w:lang w:val="en-US"/>
              </w:rPr>
              <w:t>3</w:t>
            </w:r>
          </w:p>
        </w:tc>
        <w:tc>
          <w:tcPr>
            <w:tcW w:w="2410" w:type="dxa"/>
            <w:tcBorders>
              <w:top w:val="nil"/>
              <w:bottom w:val="single" w:sz="4" w:space="0" w:color="auto"/>
            </w:tcBorders>
            <w:shd w:val="clear" w:color="auto" w:fill="auto"/>
          </w:tcPr>
          <w:p w14:paraId="5D648798" w14:textId="77777777" w:rsidR="00D630AE" w:rsidRPr="00097824" w:rsidRDefault="00DC58B8" w:rsidP="00AD4A9F">
            <w:pPr>
              <w:ind w:left="397" w:firstLine="357"/>
              <w:contextualSpacing/>
              <w:rPr>
                <w:szCs w:val="24"/>
              </w:rPr>
            </w:pPr>
            <w:r w:rsidRPr="00097824">
              <w:rPr>
                <w:szCs w:val="24"/>
                <w:lang w:val="en-US"/>
              </w:rPr>
              <w:t>N</w:t>
            </w:r>
            <w:r w:rsidRPr="00097824">
              <w:rPr>
                <w:szCs w:val="24"/>
                <w:vertAlign w:val="subscript"/>
                <w:lang w:val="en-US"/>
              </w:rPr>
              <w:t>2</w:t>
            </w:r>
          </w:p>
        </w:tc>
        <w:tc>
          <w:tcPr>
            <w:tcW w:w="1984" w:type="dxa"/>
            <w:tcBorders>
              <w:top w:val="nil"/>
              <w:bottom w:val="single" w:sz="4" w:space="0" w:color="auto"/>
            </w:tcBorders>
            <w:shd w:val="clear" w:color="auto" w:fill="auto"/>
          </w:tcPr>
          <w:p w14:paraId="74B2B3EC" w14:textId="77777777" w:rsidR="00D630AE" w:rsidRPr="00097824" w:rsidRDefault="00DC58B8" w:rsidP="00AD4A9F">
            <w:pPr>
              <w:ind w:left="397" w:firstLine="357"/>
              <w:contextualSpacing/>
              <w:rPr>
                <w:szCs w:val="24"/>
              </w:rPr>
            </w:pPr>
            <w:r w:rsidRPr="00097824">
              <w:rPr>
                <w:szCs w:val="24"/>
                <w:lang w:val="en-US"/>
              </w:rPr>
              <w:t>M</w:t>
            </w:r>
            <w:r w:rsidRPr="00097824">
              <w:rPr>
                <w:szCs w:val="24"/>
                <w:vertAlign w:val="subscript"/>
                <w:lang w:val="en-US"/>
              </w:rPr>
              <w:t>0</w:t>
            </w:r>
          </w:p>
        </w:tc>
      </w:tr>
      <w:tr w:rsidR="005A526D" w:rsidRPr="00097824" w14:paraId="1700AD4D" w14:textId="77777777" w:rsidTr="00E54A74">
        <w:trPr>
          <w:trHeight w:val="339"/>
        </w:trPr>
        <w:tc>
          <w:tcPr>
            <w:tcW w:w="2478" w:type="dxa"/>
            <w:vMerge w:val="restart"/>
            <w:shd w:val="clear" w:color="auto" w:fill="auto"/>
          </w:tcPr>
          <w:p w14:paraId="4437263F" w14:textId="77777777" w:rsidR="00D630AE" w:rsidRPr="00097824" w:rsidRDefault="00DC58B8" w:rsidP="00AD4A9F">
            <w:pPr>
              <w:ind w:left="397" w:firstLine="357"/>
              <w:contextualSpacing/>
              <w:rPr>
                <w:szCs w:val="24"/>
                <w:lang w:val="en-US"/>
              </w:rPr>
            </w:pPr>
            <w:r w:rsidRPr="00097824">
              <w:rPr>
                <w:szCs w:val="24"/>
              </w:rPr>
              <w:t>Стадия III</w:t>
            </w:r>
            <w:r w:rsidRPr="00097824">
              <w:rPr>
                <w:szCs w:val="24"/>
                <w:lang w:val="en-US"/>
              </w:rPr>
              <w:t>B</w:t>
            </w:r>
          </w:p>
        </w:tc>
        <w:tc>
          <w:tcPr>
            <w:tcW w:w="2450" w:type="dxa"/>
            <w:tcBorders>
              <w:bottom w:val="nil"/>
            </w:tcBorders>
            <w:shd w:val="clear" w:color="auto" w:fill="auto"/>
          </w:tcPr>
          <w:p w14:paraId="12C3150F" w14:textId="77777777" w:rsidR="00D630AE" w:rsidRPr="00097824" w:rsidRDefault="00DC58B8" w:rsidP="00AD4A9F">
            <w:pPr>
              <w:ind w:left="397" w:firstLine="357"/>
              <w:contextualSpacing/>
              <w:rPr>
                <w:szCs w:val="24"/>
                <w:lang w:val="en-US"/>
              </w:rPr>
            </w:pPr>
            <w:r w:rsidRPr="00097824">
              <w:rPr>
                <w:szCs w:val="24"/>
                <w:lang w:val="en-US"/>
              </w:rPr>
              <w:t>T</w:t>
            </w:r>
            <w:r w:rsidRPr="00097824">
              <w:rPr>
                <w:szCs w:val="24"/>
                <w:vertAlign w:val="subscript"/>
                <w:lang w:val="en-US"/>
              </w:rPr>
              <w:t>4</w:t>
            </w:r>
          </w:p>
        </w:tc>
        <w:tc>
          <w:tcPr>
            <w:tcW w:w="2410" w:type="dxa"/>
            <w:tcBorders>
              <w:bottom w:val="nil"/>
            </w:tcBorders>
            <w:shd w:val="clear" w:color="auto" w:fill="auto"/>
          </w:tcPr>
          <w:p w14:paraId="610B8F94" w14:textId="77777777" w:rsidR="00D630AE" w:rsidRPr="00097824" w:rsidRDefault="00DC58B8" w:rsidP="00AD4A9F">
            <w:pPr>
              <w:ind w:left="397" w:firstLine="357"/>
              <w:contextualSpacing/>
              <w:rPr>
                <w:szCs w:val="24"/>
                <w:lang w:val="en-US"/>
              </w:rPr>
            </w:pPr>
            <w:r w:rsidRPr="00097824">
              <w:rPr>
                <w:szCs w:val="24"/>
                <w:lang w:val="en-US"/>
              </w:rPr>
              <w:t>N</w:t>
            </w:r>
            <w:r w:rsidRPr="00097824">
              <w:rPr>
                <w:szCs w:val="24"/>
                <w:vertAlign w:val="subscript"/>
                <w:lang w:val="en-US"/>
              </w:rPr>
              <w:t>0</w:t>
            </w:r>
          </w:p>
        </w:tc>
        <w:tc>
          <w:tcPr>
            <w:tcW w:w="1984" w:type="dxa"/>
            <w:tcBorders>
              <w:bottom w:val="nil"/>
            </w:tcBorders>
            <w:shd w:val="clear" w:color="auto" w:fill="auto"/>
          </w:tcPr>
          <w:p w14:paraId="13900446" w14:textId="77777777" w:rsidR="00D630AE" w:rsidRPr="00097824" w:rsidRDefault="00DC58B8" w:rsidP="00AD4A9F">
            <w:pPr>
              <w:ind w:left="397" w:firstLine="357"/>
              <w:contextualSpacing/>
              <w:rPr>
                <w:szCs w:val="24"/>
                <w:lang w:val="en-US"/>
              </w:rPr>
            </w:pPr>
            <w:r w:rsidRPr="00097824">
              <w:rPr>
                <w:szCs w:val="24"/>
                <w:lang w:val="en-US"/>
              </w:rPr>
              <w:t>M</w:t>
            </w:r>
            <w:r w:rsidRPr="00097824">
              <w:rPr>
                <w:szCs w:val="24"/>
                <w:vertAlign w:val="subscript"/>
                <w:lang w:val="en-US"/>
              </w:rPr>
              <w:t>0</w:t>
            </w:r>
          </w:p>
        </w:tc>
      </w:tr>
      <w:tr w:rsidR="005A526D" w:rsidRPr="00097824" w14:paraId="4C7C454F" w14:textId="77777777" w:rsidTr="00E54A74">
        <w:trPr>
          <w:trHeight w:val="389"/>
        </w:trPr>
        <w:tc>
          <w:tcPr>
            <w:tcW w:w="2478" w:type="dxa"/>
            <w:vMerge/>
            <w:shd w:val="clear" w:color="auto" w:fill="auto"/>
          </w:tcPr>
          <w:p w14:paraId="10051B79" w14:textId="77777777" w:rsidR="00DC58B8" w:rsidRPr="00097824" w:rsidRDefault="00DC58B8" w:rsidP="00AD4A9F">
            <w:pPr>
              <w:ind w:left="397" w:firstLine="357"/>
              <w:contextualSpacing/>
              <w:rPr>
                <w:szCs w:val="24"/>
              </w:rPr>
            </w:pPr>
          </w:p>
        </w:tc>
        <w:tc>
          <w:tcPr>
            <w:tcW w:w="2450" w:type="dxa"/>
            <w:tcBorders>
              <w:top w:val="nil"/>
              <w:bottom w:val="nil"/>
            </w:tcBorders>
            <w:shd w:val="clear" w:color="auto" w:fill="auto"/>
          </w:tcPr>
          <w:p w14:paraId="2EFBA2C9" w14:textId="77777777" w:rsidR="00D630AE" w:rsidRPr="00097824" w:rsidRDefault="00DC58B8" w:rsidP="00AD4A9F">
            <w:pPr>
              <w:ind w:left="397" w:firstLine="357"/>
              <w:contextualSpacing/>
              <w:rPr>
                <w:szCs w:val="24"/>
                <w:lang w:val="en-US"/>
              </w:rPr>
            </w:pPr>
            <w:r w:rsidRPr="00097824">
              <w:rPr>
                <w:szCs w:val="24"/>
                <w:lang w:val="en-US"/>
              </w:rPr>
              <w:t>T</w:t>
            </w:r>
            <w:r w:rsidRPr="00097824">
              <w:rPr>
                <w:szCs w:val="24"/>
                <w:vertAlign w:val="subscript"/>
                <w:lang w:val="en-US"/>
              </w:rPr>
              <w:t>4</w:t>
            </w:r>
          </w:p>
        </w:tc>
        <w:tc>
          <w:tcPr>
            <w:tcW w:w="2410" w:type="dxa"/>
            <w:tcBorders>
              <w:top w:val="nil"/>
              <w:bottom w:val="nil"/>
            </w:tcBorders>
            <w:shd w:val="clear" w:color="auto" w:fill="auto"/>
          </w:tcPr>
          <w:p w14:paraId="06A0CAD8" w14:textId="77777777" w:rsidR="00D630AE" w:rsidRPr="00097824" w:rsidRDefault="00DC58B8" w:rsidP="00AD4A9F">
            <w:pPr>
              <w:ind w:left="397" w:firstLine="357"/>
              <w:contextualSpacing/>
              <w:rPr>
                <w:szCs w:val="24"/>
                <w:lang w:val="en-US"/>
              </w:rPr>
            </w:pPr>
            <w:r w:rsidRPr="00097824">
              <w:rPr>
                <w:szCs w:val="24"/>
                <w:lang w:val="en-US"/>
              </w:rPr>
              <w:t>N</w:t>
            </w:r>
            <w:r w:rsidRPr="00097824">
              <w:rPr>
                <w:szCs w:val="24"/>
                <w:vertAlign w:val="subscript"/>
                <w:lang w:val="en-US"/>
              </w:rPr>
              <w:t>1</w:t>
            </w:r>
          </w:p>
        </w:tc>
        <w:tc>
          <w:tcPr>
            <w:tcW w:w="1984" w:type="dxa"/>
            <w:tcBorders>
              <w:top w:val="nil"/>
              <w:bottom w:val="nil"/>
            </w:tcBorders>
            <w:shd w:val="clear" w:color="auto" w:fill="auto"/>
          </w:tcPr>
          <w:p w14:paraId="6192816E" w14:textId="77777777" w:rsidR="00D630AE" w:rsidRPr="00097824" w:rsidRDefault="00DC58B8" w:rsidP="00AD4A9F">
            <w:pPr>
              <w:ind w:left="397" w:firstLine="357"/>
              <w:contextualSpacing/>
              <w:rPr>
                <w:szCs w:val="24"/>
                <w:lang w:val="en-US"/>
              </w:rPr>
            </w:pPr>
            <w:r w:rsidRPr="00097824">
              <w:rPr>
                <w:szCs w:val="24"/>
                <w:lang w:val="en-US"/>
              </w:rPr>
              <w:t>M</w:t>
            </w:r>
            <w:r w:rsidRPr="00097824">
              <w:rPr>
                <w:szCs w:val="24"/>
                <w:vertAlign w:val="subscript"/>
                <w:lang w:val="en-US"/>
              </w:rPr>
              <w:t>0</w:t>
            </w:r>
          </w:p>
        </w:tc>
      </w:tr>
      <w:tr w:rsidR="005A526D" w:rsidRPr="00097824" w14:paraId="50A616AE" w14:textId="77777777" w:rsidTr="00E54A74">
        <w:trPr>
          <w:trHeight w:val="283"/>
        </w:trPr>
        <w:tc>
          <w:tcPr>
            <w:tcW w:w="2478" w:type="dxa"/>
            <w:vMerge/>
            <w:shd w:val="clear" w:color="auto" w:fill="auto"/>
          </w:tcPr>
          <w:p w14:paraId="567BB433" w14:textId="77777777" w:rsidR="00DC58B8" w:rsidRPr="00097824" w:rsidRDefault="00DC58B8" w:rsidP="00AD4A9F">
            <w:pPr>
              <w:ind w:left="397" w:firstLine="357"/>
              <w:contextualSpacing/>
              <w:rPr>
                <w:szCs w:val="24"/>
              </w:rPr>
            </w:pPr>
          </w:p>
        </w:tc>
        <w:tc>
          <w:tcPr>
            <w:tcW w:w="2450" w:type="dxa"/>
            <w:tcBorders>
              <w:top w:val="nil"/>
            </w:tcBorders>
            <w:shd w:val="clear" w:color="auto" w:fill="auto"/>
          </w:tcPr>
          <w:p w14:paraId="62BCF3D3" w14:textId="77777777" w:rsidR="00D630AE" w:rsidRPr="00097824" w:rsidRDefault="00DC58B8" w:rsidP="00AD4A9F">
            <w:pPr>
              <w:ind w:left="397" w:firstLine="357"/>
              <w:contextualSpacing/>
              <w:rPr>
                <w:szCs w:val="24"/>
                <w:lang w:val="en-US"/>
              </w:rPr>
            </w:pPr>
            <w:r w:rsidRPr="00097824">
              <w:rPr>
                <w:szCs w:val="24"/>
                <w:lang w:val="en-US"/>
              </w:rPr>
              <w:t>T</w:t>
            </w:r>
            <w:r w:rsidRPr="00097824">
              <w:rPr>
                <w:szCs w:val="24"/>
                <w:vertAlign w:val="subscript"/>
                <w:lang w:val="en-US"/>
              </w:rPr>
              <w:t>4</w:t>
            </w:r>
          </w:p>
        </w:tc>
        <w:tc>
          <w:tcPr>
            <w:tcW w:w="2410" w:type="dxa"/>
            <w:tcBorders>
              <w:top w:val="nil"/>
            </w:tcBorders>
            <w:shd w:val="clear" w:color="auto" w:fill="auto"/>
          </w:tcPr>
          <w:p w14:paraId="05E2C3B1" w14:textId="77777777" w:rsidR="00D630AE" w:rsidRPr="00097824" w:rsidRDefault="00DC58B8" w:rsidP="00AD4A9F">
            <w:pPr>
              <w:ind w:left="397" w:firstLine="357"/>
              <w:contextualSpacing/>
              <w:rPr>
                <w:szCs w:val="24"/>
                <w:lang w:val="en-US"/>
              </w:rPr>
            </w:pPr>
            <w:r w:rsidRPr="00097824">
              <w:rPr>
                <w:szCs w:val="24"/>
                <w:lang w:val="en-US"/>
              </w:rPr>
              <w:t>N</w:t>
            </w:r>
            <w:r w:rsidRPr="00097824">
              <w:rPr>
                <w:szCs w:val="24"/>
                <w:vertAlign w:val="subscript"/>
                <w:lang w:val="en-US"/>
              </w:rPr>
              <w:t>2</w:t>
            </w:r>
          </w:p>
        </w:tc>
        <w:tc>
          <w:tcPr>
            <w:tcW w:w="1984" w:type="dxa"/>
            <w:tcBorders>
              <w:top w:val="nil"/>
            </w:tcBorders>
            <w:shd w:val="clear" w:color="auto" w:fill="auto"/>
          </w:tcPr>
          <w:p w14:paraId="677A0F33" w14:textId="77777777" w:rsidR="00D630AE" w:rsidRPr="00097824" w:rsidRDefault="00DC58B8" w:rsidP="00AD4A9F">
            <w:pPr>
              <w:ind w:left="397" w:firstLine="357"/>
              <w:contextualSpacing/>
              <w:rPr>
                <w:szCs w:val="24"/>
                <w:lang w:val="en-US"/>
              </w:rPr>
            </w:pPr>
            <w:r w:rsidRPr="00097824">
              <w:rPr>
                <w:szCs w:val="24"/>
                <w:lang w:val="en-US"/>
              </w:rPr>
              <w:t>M</w:t>
            </w:r>
            <w:r w:rsidRPr="00097824">
              <w:rPr>
                <w:szCs w:val="24"/>
                <w:vertAlign w:val="subscript"/>
                <w:lang w:val="en-US"/>
              </w:rPr>
              <w:t>0</w:t>
            </w:r>
          </w:p>
        </w:tc>
      </w:tr>
      <w:tr w:rsidR="00DC58B8" w:rsidRPr="00097824" w14:paraId="270F9870" w14:textId="77777777" w:rsidTr="00E54A74">
        <w:trPr>
          <w:trHeight w:val="283"/>
        </w:trPr>
        <w:tc>
          <w:tcPr>
            <w:tcW w:w="2478" w:type="dxa"/>
            <w:shd w:val="clear" w:color="auto" w:fill="auto"/>
          </w:tcPr>
          <w:p w14:paraId="0EC0F46B" w14:textId="77777777" w:rsidR="00D630AE" w:rsidRPr="00097824" w:rsidRDefault="00DC58B8" w:rsidP="00AD4A9F">
            <w:pPr>
              <w:ind w:left="397" w:firstLine="357"/>
              <w:contextualSpacing/>
              <w:rPr>
                <w:szCs w:val="24"/>
                <w:lang w:val="en-US"/>
              </w:rPr>
            </w:pPr>
            <w:r w:rsidRPr="00097824">
              <w:rPr>
                <w:szCs w:val="24"/>
              </w:rPr>
              <w:t>Стадия IV</w:t>
            </w:r>
          </w:p>
        </w:tc>
        <w:tc>
          <w:tcPr>
            <w:tcW w:w="2450" w:type="dxa"/>
            <w:shd w:val="clear" w:color="auto" w:fill="auto"/>
          </w:tcPr>
          <w:p w14:paraId="1B6D733B" w14:textId="77777777" w:rsidR="00D630AE" w:rsidRPr="00097824" w:rsidRDefault="00DC58B8" w:rsidP="00AD4A9F">
            <w:pPr>
              <w:ind w:left="397" w:firstLine="357"/>
              <w:contextualSpacing/>
              <w:rPr>
                <w:szCs w:val="24"/>
              </w:rPr>
            </w:pPr>
            <w:r w:rsidRPr="00097824">
              <w:rPr>
                <w:szCs w:val="24"/>
              </w:rPr>
              <w:t>Любая T</w:t>
            </w:r>
          </w:p>
        </w:tc>
        <w:tc>
          <w:tcPr>
            <w:tcW w:w="2410" w:type="dxa"/>
            <w:shd w:val="clear" w:color="auto" w:fill="auto"/>
          </w:tcPr>
          <w:p w14:paraId="50EA676A" w14:textId="77777777" w:rsidR="00D630AE" w:rsidRPr="00097824" w:rsidRDefault="00DC58B8" w:rsidP="00AD4A9F">
            <w:pPr>
              <w:ind w:left="397" w:firstLine="357"/>
              <w:contextualSpacing/>
              <w:rPr>
                <w:szCs w:val="24"/>
              </w:rPr>
            </w:pPr>
            <w:r w:rsidRPr="00097824">
              <w:rPr>
                <w:szCs w:val="24"/>
              </w:rPr>
              <w:t>Любая N</w:t>
            </w:r>
          </w:p>
        </w:tc>
        <w:tc>
          <w:tcPr>
            <w:tcW w:w="1984" w:type="dxa"/>
            <w:shd w:val="clear" w:color="auto" w:fill="auto"/>
          </w:tcPr>
          <w:p w14:paraId="4B8E2433" w14:textId="77777777" w:rsidR="00D630AE" w:rsidRPr="00097824" w:rsidRDefault="00DC58B8" w:rsidP="00AD4A9F">
            <w:pPr>
              <w:ind w:left="397" w:firstLine="357"/>
              <w:contextualSpacing/>
              <w:rPr>
                <w:szCs w:val="24"/>
              </w:rPr>
            </w:pPr>
            <w:r w:rsidRPr="00097824">
              <w:rPr>
                <w:szCs w:val="24"/>
              </w:rPr>
              <w:t>M</w:t>
            </w:r>
            <w:r w:rsidRPr="00097824">
              <w:rPr>
                <w:szCs w:val="24"/>
                <w:vertAlign w:val="subscript"/>
              </w:rPr>
              <w:t>1</w:t>
            </w:r>
          </w:p>
        </w:tc>
      </w:tr>
    </w:tbl>
    <w:p w14:paraId="1C57C759" w14:textId="77777777" w:rsidR="00DC58B8" w:rsidRPr="00097824" w:rsidRDefault="00DC58B8" w:rsidP="00AD4A9F">
      <w:pPr>
        <w:ind w:left="397" w:firstLine="357"/>
        <w:rPr>
          <w:szCs w:val="24"/>
        </w:rPr>
      </w:pPr>
    </w:p>
    <w:p w14:paraId="2468A7E7" w14:textId="77777777" w:rsidR="00D630AE" w:rsidRPr="00097824" w:rsidRDefault="007F5427" w:rsidP="00AD4A9F">
      <w:pPr>
        <w:pStyle w:val="SDText"/>
        <w:spacing w:after="0" w:line="360" w:lineRule="auto"/>
        <w:ind w:left="397" w:firstLine="357"/>
        <w:rPr>
          <w:i/>
          <w:iCs/>
        </w:rPr>
      </w:pPr>
      <w:r w:rsidRPr="00097824">
        <w:rPr>
          <w:i/>
          <w:iCs/>
        </w:rPr>
        <w:t>Гистологическая градация:</w:t>
      </w:r>
    </w:p>
    <w:p w14:paraId="5DFDFFC4" w14:textId="77777777" w:rsidR="00D630AE" w:rsidRPr="00097824" w:rsidRDefault="007F5427" w:rsidP="00AD4A9F">
      <w:pPr>
        <w:pStyle w:val="SDText"/>
        <w:spacing w:after="0" w:line="360" w:lineRule="auto"/>
        <w:ind w:left="397" w:firstLine="357"/>
      </w:pPr>
      <w:proofErr w:type="spellStart"/>
      <w:r w:rsidRPr="00097824">
        <w:t>G</w:t>
      </w:r>
      <w:r w:rsidRPr="00097824">
        <w:rPr>
          <w:vertAlign w:val="subscript"/>
        </w:rPr>
        <w:t>x</w:t>
      </w:r>
      <w:proofErr w:type="spellEnd"/>
      <w:r w:rsidR="00ED4D97" w:rsidRPr="00097824">
        <w:t>–</w:t>
      </w:r>
      <w:r w:rsidR="000A4C83" w:rsidRPr="00097824">
        <w:t xml:space="preserve"> недостаточно данных для оценки</w:t>
      </w:r>
      <w:r w:rsidR="00ED4D97" w:rsidRPr="00097824">
        <w:t>;</w:t>
      </w:r>
    </w:p>
    <w:p w14:paraId="7449DA8A" w14:textId="77777777" w:rsidR="00D630AE" w:rsidRPr="00097824" w:rsidRDefault="007F5427" w:rsidP="00AD4A9F">
      <w:pPr>
        <w:pStyle w:val="SDText"/>
        <w:spacing w:after="0" w:line="360" w:lineRule="auto"/>
        <w:ind w:left="397" w:firstLine="357"/>
      </w:pPr>
      <w:r w:rsidRPr="00097824">
        <w:t>G</w:t>
      </w:r>
      <w:r w:rsidR="000A4C83" w:rsidRPr="00097824">
        <w:rPr>
          <w:vertAlign w:val="subscript"/>
        </w:rPr>
        <w:t>1</w:t>
      </w:r>
      <w:r w:rsidR="000A4C83" w:rsidRPr="00097824">
        <w:t xml:space="preserve"> – хорошо дифференцированная</w:t>
      </w:r>
      <w:r w:rsidR="00ED4D97" w:rsidRPr="00097824">
        <w:t>;</w:t>
      </w:r>
    </w:p>
    <w:p w14:paraId="5051E641" w14:textId="77777777" w:rsidR="00D630AE" w:rsidRPr="00097824" w:rsidRDefault="007F5427" w:rsidP="00AD4A9F">
      <w:pPr>
        <w:pStyle w:val="SDText"/>
        <w:spacing w:after="0" w:line="360" w:lineRule="auto"/>
        <w:ind w:left="397" w:firstLine="357"/>
      </w:pPr>
      <w:r w:rsidRPr="00097824">
        <w:t>G</w:t>
      </w:r>
      <w:r w:rsidR="000A4C83" w:rsidRPr="00097824">
        <w:rPr>
          <w:vertAlign w:val="subscript"/>
        </w:rPr>
        <w:t>2</w:t>
      </w:r>
      <w:r w:rsidR="000A4C83" w:rsidRPr="00097824">
        <w:t xml:space="preserve"> – умеренно дифференцированная</w:t>
      </w:r>
      <w:r w:rsidR="00ED4D97" w:rsidRPr="00097824">
        <w:t>;</w:t>
      </w:r>
    </w:p>
    <w:p w14:paraId="70FB2AD8" w14:textId="77777777" w:rsidR="00D630AE" w:rsidRPr="00097824" w:rsidRDefault="007F5427" w:rsidP="00AD4A9F">
      <w:pPr>
        <w:pStyle w:val="SDText"/>
        <w:spacing w:after="0" w:line="360" w:lineRule="auto"/>
        <w:ind w:left="397" w:firstLine="357"/>
      </w:pPr>
      <w:r w:rsidRPr="00097824">
        <w:t>G</w:t>
      </w:r>
      <w:r w:rsidR="000A4C83" w:rsidRPr="00097824">
        <w:rPr>
          <w:vertAlign w:val="subscript"/>
        </w:rPr>
        <w:t>3</w:t>
      </w:r>
      <w:r w:rsidR="00ED4D97" w:rsidRPr="00097824">
        <w:t> – </w:t>
      </w:r>
      <w:r w:rsidR="000A4C83" w:rsidRPr="00097824">
        <w:t>низкодифференцированная</w:t>
      </w:r>
      <w:r w:rsidR="00ED4D97" w:rsidRPr="00097824">
        <w:t>.</w:t>
      </w:r>
    </w:p>
    <w:p w14:paraId="6EA79B80" w14:textId="77777777" w:rsidR="00D630AE" w:rsidRPr="00097824" w:rsidRDefault="00D630AE" w:rsidP="00AD4A9F">
      <w:pPr>
        <w:pStyle w:val="SDText"/>
        <w:spacing w:after="0" w:line="360" w:lineRule="auto"/>
        <w:ind w:left="397" w:firstLine="357"/>
      </w:pPr>
    </w:p>
    <w:p w14:paraId="2F05613B" w14:textId="77777777" w:rsidR="00FF0721" w:rsidRPr="00097824" w:rsidRDefault="00FF0721" w:rsidP="00AD4A9F">
      <w:pPr>
        <w:ind w:left="397" w:firstLine="357"/>
        <w:rPr>
          <w:b/>
        </w:rPr>
      </w:pPr>
      <w:proofErr w:type="spellStart"/>
      <w:r w:rsidRPr="00097824">
        <w:rPr>
          <w:b/>
        </w:rPr>
        <w:t>Стадирование</w:t>
      </w:r>
      <w:proofErr w:type="spellEnd"/>
      <w:r w:rsidRPr="00097824">
        <w:rPr>
          <w:b/>
        </w:rPr>
        <w:t xml:space="preserve"> рака желчного пузыря</w:t>
      </w:r>
    </w:p>
    <w:p w14:paraId="7C6FE547" w14:textId="77777777" w:rsidR="00FF0721" w:rsidRPr="00097824" w:rsidRDefault="00FF0721" w:rsidP="00AD4A9F">
      <w:pPr>
        <w:ind w:left="397" w:firstLine="357"/>
        <w:rPr>
          <w:b/>
        </w:rPr>
      </w:pPr>
    </w:p>
    <w:p w14:paraId="6BBBD49E" w14:textId="77777777" w:rsidR="00FF0721" w:rsidRPr="00097824" w:rsidRDefault="00FF0721" w:rsidP="00AD4A9F">
      <w:pPr>
        <w:pStyle w:val="SDText"/>
        <w:spacing w:after="0" w:line="360" w:lineRule="auto"/>
        <w:ind w:left="397" w:firstLine="357"/>
        <w:rPr>
          <w:i/>
          <w:iCs/>
        </w:rPr>
      </w:pPr>
      <w:r w:rsidRPr="00097824">
        <w:rPr>
          <w:i/>
          <w:iCs/>
        </w:rPr>
        <w:t>Т – первичная опухоль:</w:t>
      </w:r>
    </w:p>
    <w:p w14:paraId="1FD8AD1B" w14:textId="77777777" w:rsidR="00FF0721" w:rsidRPr="00097824" w:rsidRDefault="00FF0721" w:rsidP="00AD4A9F">
      <w:pPr>
        <w:pStyle w:val="SDText"/>
        <w:spacing w:after="0" w:line="360" w:lineRule="auto"/>
        <w:ind w:left="397" w:firstLine="357"/>
      </w:pPr>
      <w:r w:rsidRPr="00097824">
        <w:t>T</w:t>
      </w:r>
      <w:r w:rsidRPr="00097824">
        <w:rPr>
          <w:vertAlign w:val="subscript"/>
        </w:rPr>
        <w:t>Х</w:t>
      </w:r>
      <w:r w:rsidRPr="00097824">
        <w:t xml:space="preserve"> – недостаточно данных для оценки первичной опухоли;</w:t>
      </w:r>
    </w:p>
    <w:p w14:paraId="5675BA73" w14:textId="77777777" w:rsidR="00FF0721" w:rsidRPr="00097824" w:rsidRDefault="00FF0721" w:rsidP="00AD4A9F">
      <w:pPr>
        <w:pStyle w:val="SDText"/>
        <w:spacing w:after="0" w:line="360" w:lineRule="auto"/>
        <w:ind w:left="397" w:firstLine="357"/>
      </w:pPr>
      <w:r w:rsidRPr="00097824">
        <w:t>T</w:t>
      </w:r>
      <w:r w:rsidRPr="00097824">
        <w:rPr>
          <w:vertAlign w:val="subscript"/>
        </w:rPr>
        <w:t>0</w:t>
      </w:r>
      <w:r w:rsidRPr="00097824">
        <w:t xml:space="preserve"> – первичная опухоль не определяется;</w:t>
      </w:r>
    </w:p>
    <w:p w14:paraId="7D7EBF37" w14:textId="77777777" w:rsidR="00FF0721" w:rsidRPr="00097824" w:rsidRDefault="00FF0721" w:rsidP="00AD4A9F">
      <w:pPr>
        <w:pStyle w:val="SDText"/>
        <w:spacing w:after="0" w:line="360" w:lineRule="auto"/>
        <w:ind w:left="397" w:firstLine="357"/>
      </w:pPr>
      <w:proofErr w:type="spellStart"/>
      <w:r w:rsidRPr="00097824">
        <w:t>Тis</w:t>
      </w:r>
      <w:proofErr w:type="spellEnd"/>
      <w:r w:rsidRPr="00097824">
        <w:t xml:space="preserve"> – рак </w:t>
      </w:r>
      <w:proofErr w:type="spellStart"/>
      <w:r w:rsidRPr="00097824">
        <w:rPr>
          <w:i/>
          <w:iCs/>
        </w:rPr>
        <w:t>in</w:t>
      </w:r>
      <w:proofErr w:type="spellEnd"/>
      <w:r w:rsidR="00CA5022" w:rsidRPr="00097824">
        <w:rPr>
          <w:i/>
          <w:iCs/>
        </w:rPr>
        <w:t xml:space="preserve"> </w:t>
      </w:r>
      <w:proofErr w:type="spellStart"/>
      <w:r w:rsidRPr="00097824">
        <w:rPr>
          <w:i/>
          <w:iCs/>
        </w:rPr>
        <w:t>situ</w:t>
      </w:r>
      <w:proofErr w:type="spellEnd"/>
      <w:r w:rsidRPr="00097824">
        <w:t>;</w:t>
      </w:r>
    </w:p>
    <w:p w14:paraId="027AA156" w14:textId="77777777" w:rsidR="00FF0721" w:rsidRPr="00097824" w:rsidRDefault="00FF0721" w:rsidP="00AD4A9F">
      <w:pPr>
        <w:pStyle w:val="SDText"/>
        <w:spacing w:after="0" w:line="360" w:lineRule="auto"/>
        <w:ind w:left="397" w:firstLine="357"/>
      </w:pPr>
      <w:r w:rsidRPr="00097824">
        <w:t>T</w:t>
      </w:r>
      <w:r w:rsidRPr="00097824">
        <w:rPr>
          <w:vertAlign w:val="subscript"/>
        </w:rPr>
        <w:t>1</w:t>
      </w:r>
      <w:r w:rsidRPr="00097824">
        <w:t xml:space="preserve"> – опухоль прорастает в собственную пластинку или мышечный слой;</w:t>
      </w:r>
    </w:p>
    <w:p w14:paraId="358C1990" w14:textId="77777777" w:rsidR="00FF0721" w:rsidRPr="00097824" w:rsidRDefault="00FF0721" w:rsidP="00AD4A9F">
      <w:pPr>
        <w:pStyle w:val="SDText"/>
        <w:spacing w:after="0" w:line="360" w:lineRule="auto"/>
        <w:ind w:left="397" w:firstLine="357"/>
      </w:pPr>
      <w:r w:rsidRPr="00097824">
        <w:t>T</w:t>
      </w:r>
      <w:r w:rsidRPr="00097824">
        <w:rPr>
          <w:vertAlign w:val="subscript"/>
        </w:rPr>
        <w:t>1a</w:t>
      </w:r>
      <w:r w:rsidRPr="00097824">
        <w:t xml:space="preserve"> – опухоль прорастает в собственную пластинчатую оболочку;</w:t>
      </w:r>
    </w:p>
    <w:p w14:paraId="5ABD816E" w14:textId="77777777" w:rsidR="00FF0721" w:rsidRPr="00097824" w:rsidRDefault="00FF0721" w:rsidP="00AD4A9F">
      <w:pPr>
        <w:pStyle w:val="SDText"/>
        <w:spacing w:after="0" w:line="360" w:lineRule="auto"/>
        <w:ind w:left="397" w:firstLine="357"/>
      </w:pPr>
      <w:r w:rsidRPr="00097824">
        <w:t>T</w:t>
      </w:r>
      <w:r w:rsidRPr="00097824">
        <w:rPr>
          <w:vertAlign w:val="subscript"/>
        </w:rPr>
        <w:t xml:space="preserve">1b </w:t>
      </w:r>
      <w:r w:rsidRPr="00097824">
        <w:t>– опухоль прорастает в мышечный слой;</w:t>
      </w:r>
    </w:p>
    <w:p w14:paraId="331B3AD2" w14:textId="77777777" w:rsidR="00FF0721" w:rsidRPr="00097824" w:rsidRDefault="00FF0721" w:rsidP="00AD4A9F">
      <w:pPr>
        <w:pStyle w:val="SDText"/>
        <w:spacing w:after="0" w:line="360" w:lineRule="auto"/>
        <w:ind w:left="397" w:firstLine="357"/>
      </w:pPr>
      <w:r w:rsidRPr="00097824">
        <w:t>T</w:t>
      </w:r>
      <w:r w:rsidRPr="00097824">
        <w:rPr>
          <w:vertAlign w:val="subscript"/>
        </w:rPr>
        <w:t>2</w:t>
      </w:r>
      <w:r w:rsidRPr="00097824">
        <w:t xml:space="preserve"> – опухоль проникает в </w:t>
      </w:r>
      <w:proofErr w:type="spellStart"/>
      <w:r w:rsidRPr="00097824">
        <w:t>перимускулярную</w:t>
      </w:r>
      <w:proofErr w:type="spellEnd"/>
      <w:r w:rsidRPr="00097824">
        <w:t xml:space="preserve"> соединительную ткань на брюшной стороне, без вовлечения </w:t>
      </w:r>
      <w:proofErr w:type="spellStart"/>
      <w:r w:rsidRPr="00097824">
        <w:t>серозы</w:t>
      </w:r>
      <w:proofErr w:type="spellEnd"/>
      <w:r w:rsidRPr="00097824">
        <w:t xml:space="preserve"> (висцеральной брюшины) или опухоль проникает в </w:t>
      </w:r>
      <w:proofErr w:type="spellStart"/>
      <w:r w:rsidRPr="00097824">
        <w:t>перимышечной</w:t>
      </w:r>
      <w:proofErr w:type="spellEnd"/>
      <w:r w:rsidRPr="00097824">
        <w:t xml:space="preserve"> со</w:t>
      </w:r>
      <w:r w:rsidR="0006726D" w:rsidRPr="00097824">
        <w:t>единительной ткани на печеночной стороне</w:t>
      </w:r>
      <w:r w:rsidRPr="00097824">
        <w:t xml:space="preserve">, без врастания в печень. </w:t>
      </w:r>
    </w:p>
    <w:p w14:paraId="36AC464F" w14:textId="77777777" w:rsidR="00FF0721" w:rsidRPr="00097824" w:rsidRDefault="00FF0721" w:rsidP="00AD4A9F">
      <w:pPr>
        <w:pStyle w:val="SDText"/>
        <w:spacing w:after="0" w:line="360" w:lineRule="auto"/>
        <w:ind w:left="397" w:firstLine="357"/>
      </w:pPr>
      <w:r w:rsidRPr="00097824">
        <w:t>Т</w:t>
      </w:r>
      <w:r w:rsidRPr="00097824">
        <w:rPr>
          <w:vertAlign w:val="subscript"/>
        </w:rPr>
        <w:t>2а</w:t>
      </w:r>
      <w:r w:rsidRPr="00097824">
        <w:t xml:space="preserve"> – опухоль проникает в </w:t>
      </w:r>
      <w:proofErr w:type="spellStart"/>
      <w:r w:rsidRPr="00097824">
        <w:t>перимускулярную</w:t>
      </w:r>
      <w:proofErr w:type="spellEnd"/>
      <w:r w:rsidRPr="00097824">
        <w:t xml:space="preserve"> соединительную ткань на брюшной стороне, без вовлечения </w:t>
      </w:r>
      <w:proofErr w:type="spellStart"/>
      <w:r w:rsidRPr="00097824">
        <w:t>серозы</w:t>
      </w:r>
      <w:proofErr w:type="spellEnd"/>
      <w:r w:rsidRPr="00097824">
        <w:t xml:space="preserve"> (висцеральной брюшины). </w:t>
      </w:r>
    </w:p>
    <w:p w14:paraId="0A120B23" w14:textId="77777777" w:rsidR="00FF0721" w:rsidRPr="00097824" w:rsidRDefault="00FF0721" w:rsidP="00AD4A9F">
      <w:pPr>
        <w:pStyle w:val="SDText"/>
        <w:spacing w:after="0" w:line="360" w:lineRule="auto"/>
        <w:ind w:left="397" w:firstLine="357"/>
      </w:pPr>
      <w:r w:rsidRPr="00097824">
        <w:t>Т</w:t>
      </w:r>
      <w:r w:rsidRPr="00097824">
        <w:rPr>
          <w:vertAlign w:val="subscript"/>
        </w:rPr>
        <w:t>2в</w:t>
      </w:r>
      <w:r w:rsidRPr="00097824">
        <w:t xml:space="preserve"> – опухоль проникает в </w:t>
      </w:r>
      <w:proofErr w:type="spellStart"/>
      <w:r w:rsidRPr="00097824">
        <w:t>перимускулярную</w:t>
      </w:r>
      <w:proofErr w:type="spellEnd"/>
      <w:r w:rsidRPr="00097824">
        <w:t xml:space="preserve"> соединительную ткань на печеночной стороне, без врастания в печень.</w:t>
      </w:r>
    </w:p>
    <w:p w14:paraId="7141E74C" w14:textId="06F3CC5D" w:rsidR="00FF0721" w:rsidRPr="00097824" w:rsidRDefault="00FF0721" w:rsidP="00AD4A9F">
      <w:pPr>
        <w:pStyle w:val="SDText"/>
        <w:spacing w:after="0" w:line="360" w:lineRule="auto"/>
        <w:ind w:left="397" w:firstLine="357"/>
      </w:pPr>
      <w:r w:rsidRPr="00097824">
        <w:lastRenderedPageBreak/>
        <w:t>T</w:t>
      </w:r>
      <w:r w:rsidRPr="00097824">
        <w:rPr>
          <w:vertAlign w:val="subscript"/>
        </w:rPr>
        <w:t>3</w:t>
      </w:r>
      <w:r w:rsidRPr="00097824">
        <w:t xml:space="preserve"> – опухоль прорастает </w:t>
      </w:r>
      <w:proofErr w:type="spellStart"/>
      <w:r w:rsidRPr="00097824">
        <w:t>серозу</w:t>
      </w:r>
      <w:proofErr w:type="spellEnd"/>
      <w:r w:rsidRPr="00097824">
        <w:t xml:space="preserve"> (висцеральную брюшину) и/или прямая инвазия в печень и/или другие соседние органы и структуры (желудок, двенадцатиперстная кишка, ободочная кишка, поджелудочная железа, сальник, внепеченочные желчные протоки);</w:t>
      </w:r>
    </w:p>
    <w:p w14:paraId="0853478C" w14:textId="77777777" w:rsidR="00FF0721" w:rsidRPr="00097824" w:rsidRDefault="00FF0721" w:rsidP="00AD4A9F">
      <w:pPr>
        <w:pStyle w:val="SDText"/>
        <w:spacing w:after="0" w:line="360" w:lineRule="auto"/>
        <w:ind w:left="397" w:firstLine="357"/>
      </w:pPr>
      <w:r w:rsidRPr="00097824">
        <w:t>T</w:t>
      </w:r>
      <w:r w:rsidRPr="00097824">
        <w:rPr>
          <w:vertAlign w:val="subscript"/>
        </w:rPr>
        <w:t>4</w:t>
      </w:r>
      <w:r w:rsidRPr="00097824">
        <w:t xml:space="preserve"> – инвазия опухоли в воротную вену или печеночную артерию, или инвазия двух и более органов и структур.</w:t>
      </w:r>
    </w:p>
    <w:p w14:paraId="7DEC7FED" w14:textId="77777777" w:rsidR="00FF0721" w:rsidRPr="00097824" w:rsidRDefault="00FF0721" w:rsidP="00AD4A9F">
      <w:pPr>
        <w:pStyle w:val="SDText"/>
        <w:spacing w:after="0" w:line="360" w:lineRule="auto"/>
        <w:ind w:left="397" w:firstLine="357"/>
        <w:rPr>
          <w:i/>
          <w:iCs/>
        </w:rPr>
      </w:pPr>
      <w:r w:rsidRPr="00097824">
        <w:rPr>
          <w:i/>
          <w:iCs/>
        </w:rPr>
        <w:t xml:space="preserve">N – регионарные лимфатические узлы относятся лимфатические узлы вдоль </w:t>
      </w:r>
      <w:proofErr w:type="spellStart"/>
      <w:r w:rsidRPr="00097824">
        <w:rPr>
          <w:i/>
          <w:iCs/>
        </w:rPr>
        <w:t>гепатодуоденальной</w:t>
      </w:r>
      <w:proofErr w:type="spellEnd"/>
      <w:r w:rsidRPr="00097824">
        <w:rPr>
          <w:i/>
          <w:iCs/>
        </w:rPr>
        <w:t xml:space="preserve"> связки, а также </w:t>
      </w:r>
      <w:proofErr w:type="spellStart"/>
      <w:r w:rsidRPr="00097824">
        <w:rPr>
          <w:i/>
          <w:iCs/>
        </w:rPr>
        <w:t>околодвенадцатиперстные</w:t>
      </w:r>
      <w:proofErr w:type="spellEnd"/>
      <w:r w:rsidRPr="00097824">
        <w:rPr>
          <w:i/>
          <w:iCs/>
        </w:rPr>
        <w:t xml:space="preserve"> и </w:t>
      </w:r>
      <w:proofErr w:type="spellStart"/>
      <w:r w:rsidRPr="00097824">
        <w:rPr>
          <w:i/>
          <w:iCs/>
        </w:rPr>
        <w:t>перипанкреатические</w:t>
      </w:r>
      <w:proofErr w:type="spellEnd"/>
      <w:r w:rsidRPr="00097824">
        <w:rPr>
          <w:i/>
          <w:iCs/>
        </w:rPr>
        <w:t xml:space="preserve"> лимфатические узлы.</w:t>
      </w:r>
    </w:p>
    <w:p w14:paraId="74F49E88" w14:textId="77777777" w:rsidR="00FF0721" w:rsidRPr="00097824" w:rsidRDefault="00FF0721" w:rsidP="00AD4A9F">
      <w:pPr>
        <w:pStyle w:val="SDText"/>
        <w:spacing w:after="0" w:line="360" w:lineRule="auto"/>
        <w:ind w:left="397" w:firstLine="357"/>
      </w:pPr>
      <w:r w:rsidRPr="00097824">
        <w:t>N</w:t>
      </w:r>
      <w:r w:rsidRPr="00097824">
        <w:rPr>
          <w:vertAlign w:val="subscript"/>
        </w:rPr>
        <w:t>Х</w:t>
      </w:r>
      <w:r w:rsidRPr="00097824">
        <w:t xml:space="preserve"> – недостаточно данных для оценки поражения лимфоузлов;</w:t>
      </w:r>
    </w:p>
    <w:p w14:paraId="6772B5EC" w14:textId="77777777" w:rsidR="00FF0721" w:rsidRPr="00097824" w:rsidRDefault="00FF0721" w:rsidP="00AD4A9F">
      <w:pPr>
        <w:pStyle w:val="SDText"/>
        <w:spacing w:after="0" w:line="360" w:lineRule="auto"/>
        <w:ind w:left="397" w:firstLine="357"/>
      </w:pPr>
      <w:r w:rsidRPr="00097824">
        <w:t>N</w:t>
      </w:r>
      <w:r w:rsidRPr="00097824">
        <w:rPr>
          <w:vertAlign w:val="subscript"/>
        </w:rPr>
        <w:t>0</w:t>
      </w:r>
      <w:r w:rsidRPr="00097824">
        <w:t xml:space="preserve"> – нет признаков метастатического поражения регионарных лимфатических узлов;</w:t>
      </w:r>
    </w:p>
    <w:p w14:paraId="36BA1BF1" w14:textId="77777777" w:rsidR="00FF0721" w:rsidRPr="00097824" w:rsidRDefault="00FF0721" w:rsidP="00AD4A9F">
      <w:pPr>
        <w:pStyle w:val="SDText"/>
        <w:spacing w:after="0" w:line="360" w:lineRule="auto"/>
        <w:ind w:left="397" w:firstLine="357"/>
      </w:pPr>
      <w:r w:rsidRPr="00097824">
        <w:t>N</w:t>
      </w:r>
      <w:r w:rsidRPr="00097824">
        <w:rPr>
          <w:vertAlign w:val="subscript"/>
        </w:rPr>
        <w:t>1</w:t>
      </w:r>
      <w:r w:rsidRPr="00097824">
        <w:t xml:space="preserve"> – поражение от одного до трех регионарных лимфатических узлов;</w:t>
      </w:r>
    </w:p>
    <w:p w14:paraId="1CCEB409" w14:textId="77777777" w:rsidR="00FF0721" w:rsidRPr="00097824" w:rsidRDefault="00FF0721" w:rsidP="00AD4A9F">
      <w:pPr>
        <w:pStyle w:val="SDText"/>
        <w:spacing w:after="0" w:line="360" w:lineRule="auto"/>
        <w:ind w:left="397" w:firstLine="357"/>
      </w:pPr>
      <w:r w:rsidRPr="00097824">
        <w:t>N</w:t>
      </w:r>
      <w:r w:rsidRPr="00097824">
        <w:rPr>
          <w:vertAlign w:val="subscript"/>
        </w:rPr>
        <w:t>2</w:t>
      </w:r>
      <w:r w:rsidRPr="00097824">
        <w:t xml:space="preserve"> – поражение четырех и более лимфатических узлов.</w:t>
      </w:r>
    </w:p>
    <w:p w14:paraId="40DD7BAF" w14:textId="77777777" w:rsidR="00FF0721" w:rsidRPr="00097824" w:rsidRDefault="00FF0721" w:rsidP="00AD4A9F">
      <w:pPr>
        <w:pStyle w:val="SDText"/>
        <w:spacing w:after="0" w:line="360" w:lineRule="auto"/>
        <w:ind w:left="397" w:firstLine="357"/>
        <w:rPr>
          <w:i/>
          <w:iCs/>
        </w:rPr>
      </w:pPr>
      <w:r w:rsidRPr="00097824">
        <w:rPr>
          <w:i/>
          <w:iCs/>
        </w:rPr>
        <w:t>М – отдаленные метастазы:</w:t>
      </w:r>
    </w:p>
    <w:p w14:paraId="0BDECE2E" w14:textId="77777777" w:rsidR="00FF0721" w:rsidRPr="00097824" w:rsidRDefault="00FF0721" w:rsidP="00AD4A9F">
      <w:pPr>
        <w:pStyle w:val="SDText"/>
        <w:spacing w:after="0" w:line="360" w:lineRule="auto"/>
        <w:ind w:left="397" w:firstLine="357"/>
      </w:pPr>
      <w:r w:rsidRPr="00097824">
        <w:t>М</w:t>
      </w:r>
      <w:r w:rsidRPr="00097824">
        <w:rPr>
          <w:vertAlign w:val="subscript"/>
        </w:rPr>
        <w:t>0</w:t>
      </w:r>
      <w:r w:rsidRPr="00097824">
        <w:t xml:space="preserve"> – нет отдаленных метастазов;</w:t>
      </w:r>
    </w:p>
    <w:p w14:paraId="7D9879DF" w14:textId="77777777" w:rsidR="00FF0721" w:rsidRPr="00097824" w:rsidRDefault="00FF0721" w:rsidP="00AD4A9F">
      <w:pPr>
        <w:pStyle w:val="SDText"/>
        <w:spacing w:after="0" w:line="360" w:lineRule="auto"/>
        <w:ind w:left="397" w:firstLine="357"/>
      </w:pPr>
      <w:r w:rsidRPr="00097824">
        <w:t>М</w:t>
      </w:r>
      <w:r w:rsidRPr="00097824">
        <w:rPr>
          <w:vertAlign w:val="subscript"/>
        </w:rPr>
        <w:t>1</w:t>
      </w:r>
      <w:r w:rsidRPr="00097824">
        <w:t xml:space="preserve"> – есть отдаленные метастазы.</w:t>
      </w:r>
    </w:p>
    <w:p w14:paraId="5D8864EF" w14:textId="70F02684" w:rsidR="00FF0721" w:rsidRPr="00097824" w:rsidRDefault="00FF0721" w:rsidP="00784873">
      <w:pPr>
        <w:pStyle w:val="SDTable"/>
        <w:spacing w:before="0" w:after="0"/>
        <w:ind w:left="397" w:firstLine="357"/>
        <w:jc w:val="center"/>
      </w:pPr>
      <w:r w:rsidRPr="00097824">
        <w:t xml:space="preserve">Таблица </w:t>
      </w:r>
      <w:r w:rsidR="007F5427" w:rsidRPr="00097824">
        <w:fldChar w:fldCharType="begin"/>
      </w:r>
      <w:r w:rsidRPr="00097824">
        <w:instrText xml:space="preserve"> SEQ Таблица \* ARABIC </w:instrText>
      </w:r>
      <w:r w:rsidR="007F5427" w:rsidRPr="00097824">
        <w:fldChar w:fldCharType="separate"/>
      </w:r>
      <w:r w:rsidR="006752A2" w:rsidRPr="00097824">
        <w:rPr>
          <w:noProof/>
        </w:rPr>
        <w:t>5</w:t>
      </w:r>
      <w:r w:rsidR="007F5427" w:rsidRPr="00097824">
        <w:rPr>
          <w:noProof/>
        </w:rPr>
        <w:fldChar w:fldCharType="end"/>
      </w:r>
      <w:r w:rsidRPr="00097824">
        <w:t xml:space="preserve"> Группировка рака желчного пузыря по стадиям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1734"/>
        <w:gridCol w:w="2491"/>
        <w:gridCol w:w="2596"/>
      </w:tblGrid>
      <w:tr w:rsidR="00FF0721" w:rsidRPr="00097824" w14:paraId="561671A3" w14:textId="77777777" w:rsidTr="00B62BA4">
        <w:trPr>
          <w:tblHeader/>
        </w:trPr>
        <w:tc>
          <w:tcPr>
            <w:tcW w:w="1350" w:type="pct"/>
            <w:shd w:val="clear" w:color="auto" w:fill="auto"/>
          </w:tcPr>
          <w:p w14:paraId="549507A7" w14:textId="77777777" w:rsidR="00FF0721" w:rsidRPr="00097824" w:rsidRDefault="00FF0721" w:rsidP="00AD4A9F">
            <w:pPr>
              <w:ind w:left="397" w:firstLine="357"/>
              <w:contextualSpacing/>
              <w:jc w:val="center"/>
              <w:rPr>
                <w:b/>
                <w:bCs/>
                <w:szCs w:val="24"/>
              </w:rPr>
            </w:pPr>
            <w:r w:rsidRPr="00097824">
              <w:rPr>
                <w:b/>
                <w:bCs/>
                <w:szCs w:val="24"/>
              </w:rPr>
              <w:t>Стадия</w:t>
            </w:r>
          </w:p>
        </w:tc>
        <w:tc>
          <w:tcPr>
            <w:tcW w:w="928" w:type="pct"/>
            <w:shd w:val="clear" w:color="auto" w:fill="auto"/>
          </w:tcPr>
          <w:p w14:paraId="745381E8" w14:textId="77777777" w:rsidR="00FF0721" w:rsidRPr="00097824" w:rsidRDefault="00FF0721" w:rsidP="00AD4A9F">
            <w:pPr>
              <w:ind w:left="397" w:firstLine="357"/>
              <w:contextualSpacing/>
              <w:jc w:val="center"/>
              <w:rPr>
                <w:b/>
                <w:bCs/>
                <w:szCs w:val="24"/>
              </w:rPr>
            </w:pPr>
            <w:r w:rsidRPr="00097824">
              <w:rPr>
                <w:b/>
                <w:bCs/>
                <w:szCs w:val="24"/>
              </w:rPr>
              <w:t>Т</w:t>
            </w:r>
          </w:p>
        </w:tc>
        <w:tc>
          <w:tcPr>
            <w:tcW w:w="1333" w:type="pct"/>
            <w:shd w:val="clear" w:color="auto" w:fill="auto"/>
          </w:tcPr>
          <w:p w14:paraId="42ABA53B" w14:textId="77777777" w:rsidR="00FF0721" w:rsidRPr="00097824" w:rsidRDefault="00FF0721" w:rsidP="00AD4A9F">
            <w:pPr>
              <w:ind w:left="397" w:firstLine="357"/>
              <w:contextualSpacing/>
              <w:jc w:val="center"/>
              <w:rPr>
                <w:b/>
                <w:bCs/>
                <w:szCs w:val="24"/>
                <w:lang w:val="en-US"/>
              </w:rPr>
            </w:pPr>
            <w:r w:rsidRPr="00097824">
              <w:rPr>
                <w:b/>
                <w:bCs/>
                <w:szCs w:val="24"/>
                <w:lang w:val="en-US"/>
              </w:rPr>
              <w:t>N</w:t>
            </w:r>
          </w:p>
        </w:tc>
        <w:tc>
          <w:tcPr>
            <w:tcW w:w="1389" w:type="pct"/>
            <w:shd w:val="clear" w:color="auto" w:fill="auto"/>
          </w:tcPr>
          <w:p w14:paraId="4DEE9D54" w14:textId="77777777" w:rsidR="00FF0721" w:rsidRPr="00097824" w:rsidRDefault="00FF0721" w:rsidP="00AD4A9F">
            <w:pPr>
              <w:ind w:left="397" w:firstLine="357"/>
              <w:contextualSpacing/>
              <w:jc w:val="center"/>
              <w:rPr>
                <w:b/>
                <w:bCs/>
                <w:szCs w:val="24"/>
                <w:lang w:val="en-US"/>
              </w:rPr>
            </w:pPr>
            <w:r w:rsidRPr="00097824">
              <w:rPr>
                <w:b/>
                <w:bCs/>
                <w:szCs w:val="24"/>
                <w:lang w:val="en-US"/>
              </w:rPr>
              <w:t>M</w:t>
            </w:r>
          </w:p>
        </w:tc>
      </w:tr>
      <w:tr w:rsidR="00FF0721" w:rsidRPr="00097824" w14:paraId="070116C3" w14:textId="77777777" w:rsidTr="00B62BA4">
        <w:tc>
          <w:tcPr>
            <w:tcW w:w="1350" w:type="pct"/>
            <w:shd w:val="clear" w:color="auto" w:fill="auto"/>
          </w:tcPr>
          <w:p w14:paraId="3612570D" w14:textId="77777777" w:rsidR="00FF0721" w:rsidRPr="00097824" w:rsidRDefault="00FF0721" w:rsidP="00AD4A9F">
            <w:pPr>
              <w:ind w:left="397" w:firstLine="357"/>
              <w:contextualSpacing/>
              <w:rPr>
                <w:szCs w:val="24"/>
              </w:rPr>
            </w:pPr>
            <w:r w:rsidRPr="00097824">
              <w:rPr>
                <w:szCs w:val="24"/>
              </w:rPr>
              <w:t>Стадия 0</w:t>
            </w:r>
          </w:p>
        </w:tc>
        <w:tc>
          <w:tcPr>
            <w:tcW w:w="928" w:type="pct"/>
            <w:shd w:val="clear" w:color="auto" w:fill="auto"/>
          </w:tcPr>
          <w:p w14:paraId="78A26995" w14:textId="77777777" w:rsidR="00FF0721" w:rsidRPr="00097824" w:rsidRDefault="00FF0721" w:rsidP="00AD4A9F">
            <w:pPr>
              <w:ind w:left="397" w:firstLine="357"/>
              <w:contextualSpacing/>
              <w:rPr>
                <w:szCs w:val="24"/>
              </w:rPr>
            </w:pPr>
            <w:proofErr w:type="spellStart"/>
            <w:r w:rsidRPr="00097824">
              <w:rPr>
                <w:szCs w:val="24"/>
              </w:rPr>
              <w:t>T</w:t>
            </w:r>
            <w:r w:rsidRPr="00097824">
              <w:rPr>
                <w:szCs w:val="24"/>
                <w:vertAlign w:val="subscript"/>
              </w:rPr>
              <w:t>is</w:t>
            </w:r>
            <w:proofErr w:type="spellEnd"/>
          </w:p>
        </w:tc>
        <w:tc>
          <w:tcPr>
            <w:tcW w:w="1333" w:type="pct"/>
            <w:shd w:val="clear" w:color="auto" w:fill="auto"/>
          </w:tcPr>
          <w:p w14:paraId="09B96D7F" w14:textId="77777777" w:rsidR="00FF0721" w:rsidRPr="00097824" w:rsidRDefault="00FF0721" w:rsidP="00AD4A9F">
            <w:pPr>
              <w:ind w:left="397" w:firstLine="357"/>
              <w:contextualSpacing/>
              <w:rPr>
                <w:szCs w:val="24"/>
              </w:rPr>
            </w:pPr>
            <w:r w:rsidRPr="00097824">
              <w:rPr>
                <w:szCs w:val="24"/>
              </w:rPr>
              <w:t>N</w:t>
            </w:r>
            <w:r w:rsidRPr="00097824">
              <w:rPr>
                <w:szCs w:val="24"/>
                <w:vertAlign w:val="subscript"/>
              </w:rPr>
              <w:t>0</w:t>
            </w:r>
          </w:p>
        </w:tc>
        <w:tc>
          <w:tcPr>
            <w:tcW w:w="1389" w:type="pct"/>
            <w:shd w:val="clear" w:color="auto" w:fill="auto"/>
          </w:tcPr>
          <w:p w14:paraId="29AA5810" w14:textId="77777777" w:rsidR="00FF0721" w:rsidRPr="00097824" w:rsidRDefault="00FF0721" w:rsidP="00AD4A9F">
            <w:pPr>
              <w:ind w:left="397" w:firstLine="357"/>
              <w:contextualSpacing/>
              <w:rPr>
                <w:szCs w:val="24"/>
              </w:rPr>
            </w:pPr>
            <w:r w:rsidRPr="00097824">
              <w:rPr>
                <w:szCs w:val="24"/>
              </w:rPr>
              <w:t>M</w:t>
            </w:r>
            <w:r w:rsidRPr="00097824">
              <w:rPr>
                <w:szCs w:val="24"/>
                <w:vertAlign w:val="subscript"/>
              </w:rPr>
              <w:t>0</w:t>
            </w:r>
          </w:p>
        </w:tc>
      </w:tr>
      <w:tr w:rsidR="00FF0721" w:rsidRPr="00097824" w14:paraId="518062AF" w14:textId="77777777" w:rsidTr="00B62BA4">
        <w:tc>
          <w:tcPr>
            <w:tcW w:w="1350" w:type="pct"/>
            <w:shd w:val="clear" w:color="auto" w:fill="auto"/>
          </w:tcPr>
          <w:p w14:paraId="4FD2EC1D" w14:textId="77777777" w:rsidR="00FF0721" w:rsidRPr="00097824" w:rsidRDefault="00FF0721" w:rsidP="00AD4A9F">
            <w:pPr>
              <w:ind w:left="397" w:firstLine="357"/>
              <w:contextualSpacing/>
              <w:rPr>
                <w:szCs w:val="24"/>
                <w:lang w:val="en-US"/>
              </w:rPr>
            </w:pPr>
            <w:r w:rsidRPr="00097824">
              <w:rPr>
                <w:szCs w:val="24"/>
              </w:rPr>
              <w:t xml:space="preserve">Стадия </w:t>
            </w:r>
            <w:r w:rsidRPr="00097824">
              <w:rPr>
                <w:szCs w:val="24"/>
                <w:lang w:val="en-US"/>
              </w:rPr>
              <w:t>I</w:t>
            </w:r>
          </w:p>
        </w:tc>
        <w:tc>
          <w:tcPr>
            <w:tcW w:w="928" w:type="pct"/>
            <w:shd w:val="clear" w:color="auto" w:fill="auto"/>
          </w:tcPr>
          <w:p w14:paraId="69B8F3FE" w14:textId="77777777" w:rsidR="00FF0721" w:rsidRPr="00097824" w:rsidRDefault="00FF0721" w:rsidP="00AD4A9F">
            <w:pPr>
              <w:ind w:left="397" w:firstLine="357"/>
              <w:contextualSpacing/>
              <w:rPr>
                <w:szCs w:val="24"/>
              </w:rPr>
            </w:pPr>
            <w:r w:rsidRPr="00097824">
              <w:rPr>
                <w:szCs w:val="24"/>
              </w:rPr>
              <w:t>T</w:t>
            </w:r>
            <w:r w:rsidRPr="00097824">
              <w:rPr>
                <w:szCs w:val="24"/>
                <w:vertAlign w:val="subscript"/>
              </w:rPr>
              <w:t>1</w:t>
            </w:r>
          </w:p>
        </w:tc>
        <w:tc>
          <w:tcPr>
            <w:tcW w:w="1333" w:type="pct"/>
            <w:shd w:val="clear" w:color="auto" w:fill="auto"/>
          </w:tcPr>
          <w:p w14:paraId="777540D8" w14:textId="77777777" w:rsidR="00FF0721" w:rsidRPr="00097824" w:rsidRDefault="00FF0721" w:rsidP="00AD4A9F">
            <w:pPr>
              <w:ind w:left="397" w:firstLine="357"/>
              <w:contextualSpacing/>
              <w:rPr>
                <w:szCs w:val="24"/>
              </w:rPr>
            </w:pPr>
            <w:r w:rsidRPr="00097824">
              <w:rPr>
                <w:szCs w:val="24"/>
              </w:rPr>
              <w:t>N</w:t>
            </w:r>
            <w:r w:rsidRPr="00097824">
              <w:rPr>
                <w:szCs w:val="24"/>
                <w:vertAlign w:val="subscript"/>
              </w:rPr>
              <w:t>0</w:t>
            </w:r>
          </w:p>
        </w:tc>
        <w:tc>
          <w:tcPr>
            <w:tcW w:w="1389" w:type="pct"/>
            <w:shd w:val="clear" w:color="auto" w:fill="auto"/>
          </w:tcPr>
          <w:p w14:paraId="68459C0C" w14:textId="77777777" w:rsidR="00FF0721" w:rsidRPr="00097824" w:rsidRDefault="00FF0721" w:rsidP="00AD4A9F">
            <w:pPr>
              <w:ind w:left="397" w:firstLine="357"/>
              <w:contextualSpacing/>
              <w:rPr>
                <w:szCs w:val="24"/>
              </w:rPr>
            </w:pPr>
            <w:r w:rsidRPr="00097824">
              <w:rPr>
                <w:szCs w:val="24"/>
              </w:rPr>
              <w:t>M</w:t>
            </w:r>
            <w:r w:rsidRPr="00097824">
              <w:rPr>
                <w:szCs w:val="24"/>
                <w:vertAlign w:val="subscript"/>
              </w:rPr>
              <w:t>0</w:t>
            </w:r>
          </w:p>
        </w:tc>
      </w:tr>
      <w:tr w:rsidR="00FF0721" w:rsidRPr="00097824" w14:paraId="171101A4" w14:textId="77777777" w:rsidTr="00B62BA4">
        <w:tc>
          <w:tcPr>
            <w:tcW w:w="1350" w:type="pct"/>
            <w:shd w:val="clear" w:color="auto" w:fill="auto"/>
          </w:tcPr>
          <w:p w14:paraId="4556A3BF" w14:textId="77777777" w:rsidR="00FF0721" w:rsidRPr="00097824" w:rsidRDefault="00FF0721" w:rsidP="00AD4A9F">
            <w:pPr>
              <w:ind w:left="397" w:firstLine="357"/>
              <w:contextualSpacing/>
              <w:rPr>
                <w:szCs w:val="24"/>
              </w:rPr>
            </w:pPr>
            <w:r w:rsidRPr="00097824">
              <w:rPr>
                <w:szCs w:val="24"/>
              </w:rPr>
              <w:t xml:space="preserve">Стадия </w:t>
            </w:r>
            <w:r w:rsidRPr="00097824">
              <w:rPr>
                <w:szCs w:val="24"/>
                <w:lang w:val="en-US"/>
              </w:rPr>
              <w:t>II</w:t>
            </w:r>
            <w:r w:rsidRPr="00097824">
              <w:rPr>
                <w:szCs w:val="24"/>
              </w:rPr>
              <w:t>А</w:t>
            </w:r>
          </w:p>
        </w:tc>
        <w:tc>
          <w:tcPr>
            <w:tcW w:w="928" w:type="pct"/>
            <w:shd w:val="clear" w:color="auto" w:fill="auto"/>
          </w:tcPr>
          <w:p w14:paraId="27D4BDDD" w14:textId="77777777" w:rsidR="00FF0721" w:rsidRPr="00097824" w:rsidRDefault="00FF0721" w:rsidP="00AD4A9F">
            <w:pPr>
              <w:ind w:left="397" w:firstLine="357"/>
              <w:contextualSpacing/>
              <w:rPr>
                <w:szCs w:val="24"/>
              </w:rPr>
            </w:pPr>
            <w:r w:rsidRPr="00097824">
              <w:rPr>
                <w:szCs w:val="24"/>
              </w:rPr>
              <w:t>T</w:t>
            </w:r>
            <w:r w:rsidRPr="00097824">
              <w:rPr>
                <w:szCs w:val="24"/>
                <w:vertAlign w:val="subscript"/>
              </w:rPr>
              <w:t>2а</w:t>
            </w:r>
          </w:p>
        </w:tc>
        <w:tc>
          <w:tcPr>
            <w:tcW w:w="1333" w:type="pct"/>
            <w:shd w:val="clear" w:color="auto" w:fill="auto"/>
          </w:tcPr>
          <w:p w14:paraId="27849B35" w14:textId="77777777" w:rsidR="00FF0721" w:rsidRPr="00097824" w:rsidRDefault="00FF0721" w:rsidP="00AD4A9F">
            <w:pPr>
              <w:ind w:left="397" w:firstLine="357"/>
              <w:contextualSpacing/>
              <w:rPr>
                <w:szCs w:val="24"/>
              </w:rPr>
            </w:pPr>
            <w:r w:rsidRPr="00097824">
              <w:rPr>
                <w:szCs w:val="24"/>
              </w:rPr>
              <w:t>N</w:t>
            </w:r>
            <w:r w:rsidRPr="00097824">
              <w:rPr>
                <w:szCs w:val="24"/>
                <w:vertAlign w:val="subscript"/>
              </w:rPr>
              <w:t>0</w:t>
            </w:r>
          </w:p>
        </w:tc>
        <w:tc>
          <w:tcPr>
            <w:tcW w:w="1389" w:type="pct"/>
            <w:shd w:val="clear" w:color="auto" w:fill="auto"/>
          </w:tcPr>
          <w:p w14:paraId="25430484" w14:textId="77777777" w:rsidR="00FF0721" w:rsidRPr="00097824" w:rsidRDefault="00FF0721" w:rsidP="00AD4A9F">
            <w:pPr>
              <w:ind w:left="397" w:firstLine="357"/>
              <w:contextualSpacing/>
              <w:rPr>
                <w:szCs w:val="24"/>
              </w:rPr>
            </w:pPr>
            <w:r w:rsidRPr="00097824">
              <w:rPr>
                <w:szCs w:val="24"/>
              </w:rPr>
              <w:t>M</w:t>
            </w:r>
            <w:r w:rsidRPr="00097824">
              <w:rPr>
                <w:szCs w:val="24"/>
                <w:vertAlign w:val="subscript"/>
              </w:rPr>
              <w:t>0</w:t>
            </w:r>
          </w:p>
        </w:tc>
      </w:tr>
      <w:tr w:rsidR="00FF0721" w:rsidRPr="00097824" w14:paraId="0F266068" w14:textId="77777777" w:rsidTr="00B62BA4">
        <w:tc>
          <w:tcPr>
            <w:tcW w:w="1350" w:type="pct"/>
            <w:shd w:val="clear" w:color="auto" w:fill="auto"/>
          </w:tcPr>
          <w:p w14:paraId="0278A136" w14:textId="77777777" w:rsidR="00FF0721" w:rsidRPr="00097824" w:rsidRDefault="00FF0721" w:rsidP="00AD4A9F">
            <w:pPr>
              <w:ind w:left="397" w:firstLine="357"/>
              <w:contextualSpacing/>
              <w:rPr>
                <w:szCs w:val="24"/>
              </w:rPr>
            </w:pPr>
            <w:r w:rsidRPr="00097824">
              <w:rPr>
                <w:szCs w:val="24"/>
              </w:rPr>
              <w:t xml:space="preserve">Стадия </w:t>
            </w:r>
            <w:r w:rsidRPr="00097824">
              <w:rPr>
                <w:szCs w:val="24"/>
                <w:lang w:val="en-US"/>
              </w:rPr>
              <w:t>II</w:t>
            </w:r>
            <w:r w:rsidRPr="00097824">
              <w:rPr>
                <w:szCs w:val="24"/>
              </w:rPr>
              <w:t>В</w:t>
            </w:r>
          </w:p>
        </w:tc>
        <w:tc>
          <w:tcPr>
            <w:tcW w:w="928" w:type="pct"/>
            <w:shd w:val="clear" w:color="auto" w:fill="auto"/>
          </w:tcPr>
          <w:p w14:paraId="68CD43AC" w14:textId="77777777" w:rsidR="00FF0721" w:rsidRPr="00097824" w:rsidRDefault="00FF0721" w:rsidP="00AD4A9F">
            <w:pPr>
              <w:ind w:left="397" w:firstLine="357"/>
              <w:contextualSpacing/>
              <w:rPr>
                <w:szCs w:val="24"/>
              </w:rPr>
            </w:pPr>
            <w:r w:rsidRPr="00097824">
              <w:rPr>
                <w:szCs w:val="24"/>
              </w:rPr>
              <w:t>T</w:t>
            </w:r>
            <w:r w:rsidRPr="00097824">
              <w:rPr>
                <w:szCs w:val="24"/>
                <w:vertAlign w:val="subscript"/>
              </w:rPr>
              <w:t>2в</w:t>
            </w:r>
          </w:p>
        </w:tc>
        <w:tc>
          <w:tcPr>
            <w:tcW w:w="1333" w:type="pct"/>
            <w:shd w:val="clear" w:color="auto" w:fill="auto"/>
          </w:tcPr>
          <w:p w14:paraId="25A9FA06" w14:textId="77777777" w:rsidR="00FF0721" w:rsidRPr="00097824" w:rsidRDefault="00FF0721" w:rsidP="00AD4A9F">
            <w:pPr>
              <w:ind w:left="397" w:firstLine="357"/>
              <w:contextualSpacing/>
              <w:rPr>
                <w:szCs w:val="24"/>
              </w:rPr>
            </w:pPr>
            <w:r w:rsidRPr="00097824">
              <w:rPr>
                <w:szCs w:val="24"/>
              </w:rPr>
              <w:t>N</w:t>
            </w:r>
            <w:r w:rsidRPr="00097824">
              <w:rPr>
                <w:szCs w:val="24"/>
                <w:vertAlign w:val="subscript"/>
              </w:rPr>
              <w:t>0</w:t>
            </w:r>
          </w:p>
        </w:tc>
        <w:tc>
          <w:tcPr>
            <w:tcW w:w="1389" w:type="pct"/>
            <w:shd w:val="clear" w:color="auto" w:fill="auto"/>
          </w:tcPr>
          <w:p w14:paraId="04E98F2D" w14:textId="77777777" w:rsidR="00FF0721" w:rsidRPr="00097824" w:rsidRDefault="00FF0721" w:rsidP="00AD4A9F">
            <w:pPr>
              <w:ind w:left="397" w:firstLine="357"/>
              <w:contextualSpacing/>
              <w:rPr>
                <w:szCs w:val="24"/>
              </w:rPr>
            </w:pPr>
            <w:r w:rsidRPr="00097824">
              <w:rPr>
                <w:szCs w:val="24"/>
              </w:rPr>
              <w:t>M</w:t>
            </w:r>
            <w:r w:rsidRPr="00097824">
              <w:rPr>
                <w:szCs w:val="24"/>
                <w:vertAlign w:val="subscript"/>
              </w:rPr>
              <w:t>0</w:t>
            </w:r>
          </w:p>
        </w:tc>
      </w:tr>
      <w:tr w:rsidR="00FF0721" w:rsidRPr="00097824" w14:paraId="00CAE055" w14:textId="77777777" w:rsidTr="00B62BA4">
        <w:tc>
          <w:tcPr>
            <w:tcW w:w="1350" w:type="pct"/>
            <w:shd w:val="clear" w:color="auto" w:fill="auto"/>
          </w:tcPr>
          <w:p w14:paraId="4E4D2BF4" w14:textId="77777777" w:rsidR="00FF0721" w:rsidRPr="00097824" w:rsidRDefault="00FF0721" w:rsidP="00AD4A9F">
            <w:pPr>
              <w:ind w:left="397" w:firstLine="357"/>
              <w:contextualSpacing/>
              <w:rPr>
                <w:szCs w:val="24"/>
                <w:lang w:val="en-US"/>
              </w:rPr>
            </w:pPr>
            <w:r w:rsidRPr="00097824">
              <w:rPr>
                <w:szCs w:val="24"/>
              </w:rPr>
              <w:t xml:space="preserve">Стадия </w:t>
            </w:r>
            <w:r w:rsidRPr="00097824">
              <w:rPr>
                <w:szCs w:val="24"/>
                <w:lang w:val="en-US"/>
              </w:rPr>
              <w:t>IIIA</w:t>
            </w:r>
          </w:p>
        </w:tc>
        <w:tc>
          <w:tcPr>
            <w:tcW w:w="928" w:type="pct"/>
            <w:shd w:val="clear" w:color="auto" w:fill="auto"/>
          </w:tcPr>
          <w:p w14:paraId="019C15FF" w14:textId="77777777" w:rsidR="00FF0721" w:rsidRPr="00097824" w:rsidRDefault="00FF0721" w:rsidP="00AD4A9F">
            <w:pPr>
              <w:ind w:left="397" w:firstLine="357"/>
              <w:contextualSpacing/>
              <w:rPr>
                <w:szCs w:val="24"/>
              </w:rPr>
            </w:pPr>
            <w:r w:rsidRPr="00097824">
              <w:rPr>
                <w:szCs w:val="24"/>
              </w:rPr>
              <w:t>T</w:t>
            </w:r>
            <w:r w:rsidRPr="00097824">
              <w:rPr>
                <w:szCs w:val="24"/>
                <w:vertAlign w:val="subscript"/>
              </w:rPr>
              <w:t>3</w:t>
            </w:r>
          </w:p>
        </w:tc>
        <w:tc>
          <w:tcPr>
            <w:tcW w:w="1333" w:type="pct"/>
            <w:shd w:val="clear" w:color="auto" w:fill="auto"/>
          </w:tcPr>
          <w:p w14:paraId="5C048FC2" w14:textId="77777777" w:rsidR="00FF0721" w:rsidRPr="00097824" w:rsidRDefault="00FF0721" w:rsidP="00AD4A9F">
            <w:pPr>
              <w:ind w:left="397" w:firstLine="357"/>
              <w:contextualSpacing/>
              <w:rPr>
                <w:szCs w:val="24"/>
              </w:rPr>
            </w:pPr>
            <w:r w:rsidRPr="00097824">
              <w:rPr>
                <w:szCs w:val="24"/>
              </w:rPr>
              <w:t>N</w:t>
            </w:r>
            <w:r w:rsidRPr="00097824">
              <w:rPr>
                <w:szCs w:val="24"/>
                <w:vertAlign w:val="subscript"/>
              </w:rPr>
              <w:t>0</w:t>
            </w:r>
          </w:p>
        </w:tc>
        <w:tc>
          <w:tcPr>
            <w:tcW w:w="1389" w:type="pct"/>
            <w:shd w:val="clear" w:color="auto" w:fill="auto"/>
          </w:tcPr>
          <w:p w14:paraId="360BE131" w14:textId="77777777" w:rsidR="00FF0721" w:rsidRPr="00097824" w:rsidRDefault="00FF0721" w:rsidP="00AD4A9F">
            <w:pPr>
              <w:ind w:left="397" w:firstLine="357"/>
              <w:contextualSpacing/>
              <w:rPr>
                <w:szCs w:val="24"/>
              </w:rPr>
            </w:pPr>
            <w:r w:rsidRPr="00097824">
              <w:rPr>
                <w:szCs w:val="24"/>
              </w:rPr>
              <w:t>M</w:t>
            </w:r>
            <w:r w:rsidRPr="00097824">
              <w:rPr>
                <w:szCs w:val="24"/>
                <w:vertAlign w:val="subscript"/>
              </w:rPr>
              <w:t>0</w:t>
            </w:r>
          </w:p>
        </w:tc>
      </w:tr>
      <w:tr w:rsidR="00FF0721" w:rsidRPr="00097824" w14:paraId="0F6EDD90" w14:textId="77777777" w:rsidTr="00B62BA4">
        <w:tc>
          <w:tcPr>
            <w:tcW w:w="1350" w:type="pct"/>
            <w:shd w:val="clear" w:color="auto" w:fill="auto"/>
          </w:tcPr>
          <w:p w14:paraId="020CD3F5" w14:textId="77777777" w:rsidR="00FF0721" w:rsidRPr="00097824" w:rsidRDefault="00FF0721" w:rsidP="00AD4A9F">
            <w:pPr>
              <w:ind w:left="397" w:firstLine="357"/>
              <w:contextualSpacing/>
              <w:rPr>
                <w:szCs w:val="24"/>
                <w:lang w:val="en-US"/>
              </w:rPr>
            </w:pPr>
            <w:r w:rsidRPr="00097824">
              <w:rPr>
                <w:szCs w:val="24"/>
              </w:rPr>
              <w:t xml:space="preserve">Стадия </w:t>
            </w:r>
            <w:r w:rsidRPr="00097824">
              <w:rPr>
                <w:szCs w:val="24"/>
                <w:lang w:val="en-US"/>
              </w:rPr>
              <w:t>IIIB</w:t>
            </w:r>
          </w:p>
        </w:tc>
        <w:tc>
          <w:tcPr>
            <w:tcW w:w="928" w:type="pct"/>
            <w:shd w:val="clear" w:color="auto" w:fill="auto"/>
          </w:tcPr>
          <w:p w14:paraId="412BFE86" w14:textId="77777777" w:rsidR="00FF0721" w:rsidRPr="00097824" w:rsidRDefault="00FF0721" w:rsidP="00AD4A9F">
            <w:pPr>
              <w:ind w:left="397" w:firstLine="357"/>
              <w:contextualSpacing/>
              <w:rPr>
                <w:szCs w:val="24"/>
              </w:rPr>
            </w:pPr>
            <w:r w:rsidRPr="00097824">
              <w:rPr>
                <w:szCs w:val="24"/>
              </w:rPr>
              <w:t>T</w:t>
            </w:r>
            <w:r w:rsidRPr="00097824">
              <w:rPr>
                <w:szCs w:val="24"/>
                <w:vertAlign w:val="subscript"/>
              </w:rPr>
              <w:t>1–3</w:t>
            </w:r>
          </w:p>
        </w:tc>
        <w:tc>
          <w:tcPr>
            <w:tcW w:w="1333" w:type="pct"/>
            <w:shd w:val="clear" w:color="auto" w:fill="auto"/>
          </w:tcPr>
          <w:p w14:paraId="4FD03993" w14:textId="77777777" w:rsidR="00FF0721" w:rsidRPr="00097824" w:rsidRDefault="00FF0721" w:rsidP="00AD4A9F">
            <w:pPr>
              <w:ind w:left="397" w:firstLine="357"/>
              <w:contextualSpacing/>
              <w:rPr>
                <w:szCs w:val="24"/>
              </w:rPr>
            </w:pPr>
            <w:r w:rsidRPr="00097824">
              <w:rPr>
                <w:szCs w:val="24"/>
              </w:rPr>
              <w:t>N</w:t>
            </w:r>
            <w:r w:rsidRPr="00097824">
              <w:rPr>
                <w:szCs w:val="24"/>
                <w:vertAlign w:val="subscript"/>
              </w:rPr>
              <w:t>1</w:t>
            </w:r>
          </w:p>
        </w:tc>
        <w:tc>
          <w:tcPr>
            <w:tcW w:w="1389" w:type="pct"/>
            <w:shd w:val="clear" w:color="auto" w:fill="auto"/>
          </w:tcPr>
          <w:p w14:paraId="023D944C" w14:textId="77777777" w:rsidR="00FF0721" w:rsidRPr="00097824" w:rsidRDefault="00FF0721" w:rsidP="00AD4A9F">
            <w:pPr>
              <w:ind w:left="397" w:firstLine="357"/>
              <w:contextualSpacing/>
              <w:rPr>
                <w:szCs w:val="24"/>
              </w:rPr>
            </w:pPr>
            <w:r w:rsidRPr="00097824">
              <w:rPr>
                <w:szCs w:val="24"/>
              </w:rPr>
              <w:t>M</w:t>
            </w:r>
            <w:r w:rsidRPr="00097824">
              <w:rPr>
                <w:szCs w:val="24"/>
                <w:vertAlign w:val="subscript"/>
              </w:rPr>
              <w:t>0</w:t>
            </w:r>
          </w:p>
        </w:tc>
      </w:tr>
      <w:tr w:rsidR="00FF0721" w:rsidRPr="00097824" w14:paraId="5887BE88" w14:textId="77777777" w:rsidTr="00B62BA4">
        <w:tc>
          <w:tcPr>
            <w:tcW w:w="1350" w:type="pct"/>
            <w:shd w:val="clear" w:color="auto" w:fill="auto"/>
          </w:tcPr>
          <w:p w14:paraId="2B368866" w14:textId="77777777" w:rsidR="00FF0721" w:rsidRPr="00097824" w:rsidRDefault="00FF0721" w:rsidP="00AD4A9F">
            <w:pPr>
              <w:ind w:left="397" w:firstLine="357"/>
              <w:contextualSpacing/>
              <w:rPr>
                <w:szCs w:val="24"/>
                <w:lang w:val="en-US"/>
              </w:rPr>
            </w:pPr>
            <w:r w:rsidRPr="00097824">
              <w:rPr>
                <w:szCs w:val="24"/>
              </w:rPr>
              <w:t xml:space="preserve">Стадия </w:t>
            </w:r>
            <w:r w:rsidRPr="00097824">
              <w:rPr>
                <w:szCs w:val="24"/>
                <w:lang w:val="en-US"/>
              </w:rPr>
              <w:t>IVA</w:t>
            </w:r>
          </w:p>
        </w:tc>
        <w:tc>
          <w:tcPr>
            <w:tcW w:w="928" w:type="pct"/>
            <w:shd w:val="clear" w:color="auto" w:fill="auto"/>
          </w:tcPr>
          <w:p w14:paraId="661B8C8A" w14:textId="77777777" w:rsidR="00FF0721" w:rsidRPr="00097824" w:rsidRDefault="00FF0721" w:rsidP="00AD4A9F">
            <w:pPr>
              <w:ind w:left="397" w:firstLine="357"/>
              <w:contextualSpacing/>
              <w:rPr>
                <w:szCs w:val="24"/>
              </w:rPr>
            </w:pPr>
            <w:r w:rsidRPr="00097824">
              <w:rPr>
                <w:szCs w:val="24"/>
              </w:rPr>
              <w:t>T</w:t>
            </w:r>
            <w:r w:rsidRPr="00097824">
              <w:rPr>
                <w:szCs w:val="24"/>
                <w:vertAlign w:val="subscript"/>
              </w:rPr>
              <w:t>4</w:t>
            </w:r>
          </w:p>
        </w:tc>
        <w:tc>
          <w:tcPr>
            <w:tcW w:w="1333" w:type="pct"/>
            <w:shd w:val="clear" w:color="auto" w:fill="auto"/>
          </w:tcPr>
          <w:p w14:paraId="49EB8205" w14:textId="77777777" w:rsidR="00FF0721" w:rsidRPr="00097824" w:rsidRDefault="00FF0721" w:rsidP="00AD4A9F">
            <w:pPr>
              <w:ind w:left="397" w:firstLine="357"/>
              <w:contextualSpacing/>
              <w:rPr>
                <w:szCs w:val="24"/>
              </w:rPr>
            </w:pPr>
            <w:r w:rsidRPr="00097824">
              <w:rPr>
                <w:szCs w:val="24"/>
              </w:rPr>
              <w:t>N</w:t>
            </w:r>
            <w:r w:rsidRPr="00097824">
              <w:rPr>
                <w:szCs w:val="24"/>
                <w:vertAlign w:val="subscript"/>
              </w:rPr>
              <w:t>0–1</w:t>
            </w:r>
          </w:p>
        </w:tc>
        <w:tc>
          <w:tcPr>
            <w:tcW w:w="1389" w:type="pct"/>
            <w:shd w:val="clear" w:color="auto" w:fill="auto"/>
          </w:tcPr>
          <w:p w14:paraId="6AE7C544" w14:textId="77777777" w:rsidR="00FF0721" w:rsidRPr="00097824" w:rsidRDefault="00FF0721" w:rsidP="00AD4A9F">
            <w:pPr>
              <w:ind w:left="397" w:firstLine="357"/>
              <w:contextualSpacing/>
              <w:rPr>
                <w:szCs w:val="24"/>
              </w:rPr>
            </w:pPr>
            <w:r w:rsidRPr="00097824">
              <w:rPr>
                <w:szCs w:val="24"/>
              </w:rPr>
              <w:t>M</w:t>
            </w:r>
            <w:r w:rsidRPr="00097824">
              <w:rPr>
                <w:szCs w:val="24"/>
                <w:vertAlign w:val="subscript"/>
              </w:rPr>
              <w:t>0</w:t>
            </w:r>
          </w:p>
        </w:tc>
      </w:tr>
      <w:tr w:rsidR="00FF0721" w:rsidRPr="00097824" w14:paraId="0C68C4BD" w14:textId="77777777" w:rsidTr="00B62BA4">
        <w:trPr>
          <w:trHeight w:val="376"/>
        </w:trPr>
        <w:tc>
          <w:tcPr>
            <w:tcW w:w="1350" w:type="pct"/>
            <w:vMerge w:val="restart"/>
            <w:shd w:val="clear" w:color="auto" w:fill="auto"/>
          </w:tcPr>
          <w:p w14:paraId="6AA558EC" w14:textId="77777777" w:rsidR="00FF0721" w:rsidRPr="00097824" w:rsidRDefault="00FF0721" w:rsidP="00AD4A9F">
            <w:pPr>
              <w:ind w:left="397" w:firstLine="357"/>
              <w:contextualSpacing/>
              <w:rPr>
                <w:szCs w:val="24"/>
                <w:lang w:val="en-US"/>
              </w:rPr>
            </w:pPr>
            <w:r w:rsidRPr="00097824">
              <w:rPr>
                <w:szCs w:val="24"/>
              </w:rPr>
              <w:t xml:space="preserve">Стадия </w:t>
            </w:r>
            <w:r w:rsidRPr="00097824">
              <w:rPr>
                <w:szCs w:val="24"/>
                <w:lang w:val="en-US"/>
              </w:rPr>
              <w:t>IVB</w:t>
            </w:r>
          </w:p>
        </w:tc>
        <w:tc>
          <w:tcPr>
            <w:tcW w:w="928" w:type="pct"/>
            <w:shd w:val="clear" w:color="auto" w:fill="auto"/>
          </w:tcPr>
          <w:p w14:paraId="645136B1" w14:textId="77777777" w:rsidR="00FF0721" w:rsidRPr="00097824" w:rsidRDefault="00FF0721" w:rsidP="00AD4A9F">
            <w:pPr>
              <w:ind w:left="397" w:firstLine="357"/>
              <w:contextualSpacing/>
              <w:rPr>
                <w:szCs w:val="24"/>
              </w:rPr>
            </w:pPr>
            <w:r w:rsidRPr="00097824">
              <w:rPr>
                <w:szCs w:val="24"/>
              </w:rPr>
              <w:t>Любая T</w:t>
            </w:r>
          </w:p>
        </w:tc>
        <w:tc>
          <w:tcPr>
            <w:tcW w:w="1333" w:type="pct"/>
            <w:shd w:val="clear" w:color="auto" w:fill="auto"/>
          </w:tcPr>
          <w:p w14:paraId="1AABFFCA" w14:textId="77777777" w:rsidR="00FF0721" w:rsidRPr="00097824" w:rsidRDefault="00FF0721" w:rsidP="00AD4A9F">
            <w:pPr>
              <w:ind w:left="397" w:firstLine="357"/>
              <w:contextualSpacing/>
              <w:rPr>
                <w:szCs w:val="24"/>
              </w:rPr>
            </w:pPr>
            <w:r w:rsidRPr="00097824">
              <w:rPr>
                <w:szCs w:val="24"/>
              </w:rPr>
              <w:t>N</w:t>
            </w:r>
            <w:r w:rsidRPr="00097824">
              <w:rPr>
                <w:szCs w:val="24"/>
                <w:vertAlign w:val="subscript"/>
              </w:rPr>
              <w:t>2</w:t>
            </w:r>
          </w:p>
        </w:tc>
        <w:tc>
          <w:tcPr>
            <w:tcW w:w="1389" w:type="pct"/>
            <w:shd w:val="clear" w:color="auto" w:fill="auto"/>
          </w:tcPr>
          <w:p w14:paraId="5380B9E7" w14:textId="77777777" w:rsidR="00FF0721" w:rsidRPr="00097824" w:rsidRDefault="00FF0721" w:rsidP="00AD4A9F">
            <w:pPr>
              <w:ind w:left="397" w:firstLine="357"/>
              <w:contextualSpacing/>
              <w:rPr>
                <w:szCs w:val="24"/>
              </w:rPr>
            </w:pPr>
            <w:r w:rsidRPr="00097824">
              <w:rPr>
                <w:szCs w:val="24"/>
              </w:rPr>
              <w:t>M</w:t>
            </w:r>
            <w:r w:rsidRPr="00097824">
              <w:rPr>
                <w:szCs w:val="24"/>
                <w:vertAlign w:val="subscript"/>
              </w:rPr>
              <w:t>0</w:t>
            </w:r>
          </w:p>
        </w:tc>
      </w:tr>
      <w:tr w:rsidR="00FF0721" w:rsidRPr="00097824" w14:paraId="66D1FEBD" w14:textId="77777777" w:rsidTr="00B62BA4">
        <w:tc>
          <w:tcPr>
            <w:tcW w:w="1350" w:type="pct"/>
            <w:vMerge/>
            <w:shd w:val="clear" w:color="auto" w:fill="auto"/>
          </w:tcPr>
          <w:p w14:paraId="2A5036C4" w14:textId="77777777" w:rsidR="00FF0721" w:rsidRPr="00097824" w:rsidRDefault="00FF0721" w:rsidP="00AD4A9F">
            <w:pPr>
              <w:ind w:left="397" w:firstLine="357"/>
              <w:contextualSpacing/>
              <w:rPr>
                <w:szCs w:val="24"/>
              </w:rPr>
            </w:pPr>
          </w:p>
        </w:tc>
        <w:tc>
          <w:tcPr>
            <w:tcW w:w="928" w:type="pct"/>
            <w:shd w:val="clear" w:color="auto" w:fill="auto"/>
          </w:tcPr>
          <w:p w14:paraId="6251C834" w14:textId="77777777" w:rsidR="00FF0721" w:rsidRPr="00097824" w:rsidRDefault="00FF0721" w:rsidP="00B62BA4">
            <w:pPr>
              <w:ind w:left="397" w:firstLine="0"/>
              <w:contextualSpacing/>
              <w:rPr>
                <w:szCs w:val="24"/>
              </w:rPr>
            </w:pPr>
            <w:r w:rsidRPr="00097824">
              <w:rPr>
                <w:szCs w:val="24"/>
              </w:rPr>
              <w:t>Любая T</w:t>
            </w:r>
          </w:p>
        </w:tc>
        <w:tc>
          <w:tcPr>
            <w:tcW w:w="1333" w:type="pct"/>
            <w:shd w:val="clear" w:color="auto" w:fill="auto"/>
          </w:tcPr>
          <w:p w14:paraId="767A6C45" w14:textId="77777777" w:rsidR="00FF0721" w:rsidRPr="00097824" w:rsidRDefault="00FF0721" w:rsidP="00B62BA4">
            <w:pPr>
              <w:contextualSpacing/>
              <w:rPr>
                <w:szCs w:val="24"/>
              </w:rPr>
            </w:pPr>
            <w:r w:rsidRPr="00097824">
              <w:rPr>
                <w:szCs w:val="24"/>
              </w:rPr>
              <w:t>Любой N</w:t>
            </w:r>
          </w:p>
        </w:tc>
        <w:tc>
          <w:tcPr>
            <w:tcW w:w="1389" w:type="pct"/>
            <w:shd w:val="clear" w:color="auto" w:fill="auto"/>
          </w:tcPr>
          <w:p w14:paraId="51989D29" w14:textId="77777777" w:rsidR="00FF0721" w:rsidRPr="00097824" w:rsidRDefault="00FF0721" w:rsidP="00AD4A9F">
            <w:pPr>
              <w:ind w:left="397" w:firstLine="357"/>
              <w:contextualSpacing/>
              <w:rPr>
                <w:szCs w:val="24"/>
              </w:rPr>
            </w:pPr>
            <w:r w:rsidRPr="00097824">
              <w:rPr>
                <w:szCs w:val="24"/>
              </w:rPr>
              <w:t>M</w:t>
            </w:r>
            <w:r w:rsidRPr="00097824">
              <w:rPr>
                <w:szCs w:val="24"/>
                <w:vertAlign w:val="subscript"/>
              </w:rPr>
              <w:t>1</w:t>
            </w:r>
          </w:p>
        </w:tc>
      </w:tr>
    </w:tbl>
    <w:p w14:paraId="2126987D" w14:textId="77777777" w:rsidR="00FF0721" w:rsidRPr="00097824" w:rsidRDefault="00FF0721" w:rsidP="00AD4A9F">
      <w:pPr>
        <w:ind w:left="397" w:firstLine="357"/>
        <w:contextualSpacing/>
      </w:pPr>
    </w:p>
    <w:p w14:paraId="60B4C89A" w14:textId="77777777" w:rsidR="00FF0721" w:rsidRPr="00097824" w:rsidRDefault="00FF0721" w:rsidP="00AD4A9F">
      <w:pPr>
        <w:pStyle w:val="SDText"/>
        <w:spacing w:after="0" w:line="360" w:lineRule="auto"/>
        <w:ind w:left="397" w:firstLine="357"/>
        <w:rPr>
          <w:i/>
          <w:iCs/>
        </w:rPr>
      </w:pPr>
      <w:r w:rsidRPr="00097824">
        <w:rPr>
          <w:i/>
          <w:iCs/>
        </w:rPr>
        <w:t>Гистологическая градация:</w:t>
      </w:r>
    </w:p>
    <w:p w14:paraId="1280A9F1" w14:textId="56A13CC0" w:rsidR="00FF0721" w:rsidRPr="00097824" w:rsidRDefault="00FF0721" w:rsidP="00AD4A9F">
      <w:pPr>
        <w:pStyle w:val="SDText"/>
        <w:spacing w:after="0" w:line="360" w:lineRule="auto"/>
        <w:ind w:left="397" w:firstLine="357"/>
      </w:pPr>
      <w:proofErr w:type="spellStart"/>
      <w:r w:rsidRPr="00097824">
        <w:t>Gx</w:t>
      </w:r>
      <w:proofErr w:type="spellEnd"/>
      <w:r w:rsidR="00AD4A9F" w:rsidRPr="00097824">
        <w:t xml:space="preserve"> </w:t>
      </w:r>
      <w:r w:rsidRPr="00097824">
        <w:t>– недостаточно данных для оценки;</w:t>
      </w:r>
    </w:p>
    <w:p w14:paraId="6D044EE6" w14:textId="77777777" w:rsidR="00FF0721" w:rsidRPr="00097824" w:rsidRDefault="00FF0721" w:rsidP="00AD4A9F">
      <w:pPr>
        <w:pStyle w:val="SDText"/>
        <w:spacing w:after="0" w:line="360" w:lineRule="auto"/>
        <w:ind w:left="397" w:firstLine="357"/>
      </w:pPr>
      <w:r w:rsidRPr="00097824">
        <w:t>G1 – хорошо дифференцированная;</w:t>
      </w:r>
    </w:p>
    <w:p w14:paraId="5953D147" w14:textId="77777777" w:rsidR="00FF0721" w:rsidRPr="00097824" w:rsidRDefault="00FF0721" w:rsidP="00AD4A9F">
      <w:pPr>
        <w:pStyle w:val="SDText"/>
        <w:spacing w:after="0" w:line="360" w:lineRule="auto"/>
        <w:ind w:left="397" w:firstLine="357"/>
      </w:pPr>
      <w:r w:rsidRPr="00097824">
        <w:t>G2 – умеренно дифференцированная;</w:t>
      </w:r>
    </w:p>
    <w:p w14:paraId="7F907737" w14:textId="77777777" w:rsidR="00FF0721" w:rsidRPr="00097824" w:rsidRDefault="00FF0721" w:rsidP="00AD4A9F">
      <w:pPr>
        <w:pStyle w:val="SDText"/>
        <w:spacing w:after="0" w:line="360" w:lineRule="auto"/>
        <w:ind w:left="397" w:firstLine="357"/>
      </w:pPr>
      <w:r w:rsidRPr="00097824">
        <w:lastRenderedPageBreak/>
        <w:t>G3 – низкодифференцированная.</w:t>
      </w:r>
    </w:p>
    <w:p w14:paraId="34055DDA" w14:textId="77777777" w:rsidR="00D630AE" w:rsidRPr="00097824" w:rsidRDefault="00D630AE" w:rsidP="00AD4A9F">
      <w:pPr>
        <w:pStyle w:val="SDText"/>
        <w:spacing w:after="0" w:line="360" w:lineRule="auto"/>
        <w:ind w:left="397" w:firstLine="357"/>
      </w:pPr>
    </w:p>
    <w:p w14:paraId="4CEE4292" w14:textId="0816DD08" w:rsidR="00CD17D7" w:rsidRPr="00097824" w:rsidRDefault="00CD17D7" w:rsidP="00AD4A9F">
      <w:pPr>
        <w:pStyle w:val="10"/>
        <w:spacing w:before="0"/>
        <w:ind w:left="397" w:firstLine="357"/>
      </w:pPr>
      <w:bookmarkStart w:id="44" w:name="_Toc23142721"/>
      <w:bookmarkStart w:id="45" w:name="_Toc11747736"/>
      <w:bookmarkStart w:id="46" w:name="_Toc113198762"/>
      <w:bookmarkStart w:id="47" w:name="_Toc113205052"/>
      <w:r w:rsidRPr="00097824">
        <w:t>2. Диагностика</w:t>
      </w:r>
      <w:bookmarkEnd w:id="24"/>
      <w:bookmarkEnd w:id="44"/>
      <w:bookmarkEnd w:id="45"/>
      <w:r w:rsidR="00B02AFB" w:rsidRPr="00097824">
        <w:t xml:space="preserve"> </w:t>
      </w:r>
      <w:r w:rsidR="001B0BC9" w:rsidRPr="00097824">
        <w:t>заболевания или состояния (группы заболеваний или состояний), медицинские показания и противопоказания к применению методов диагностики</w:t>
      </w:r>
      <w:bookmarkEnd w:id="46"/>
      <w:bookmarkEnd w:id="47"/>
    </w:p>
    <w:p w14:paraId="6B7CB4BA" w14:textId="77777777" w:rsidR="00D630AE" w:rsidRPr="00097824" w:rsidRDefault="001E440A" w:rsidP="00AD4A9F">
      <w:pPr>
        <w:ind w:left="397" w:firstLine="357"/>
        <w:contextualSpacing/>
        <w:rPr>
          <w:rFonts w:eastAsia="MS Mincho"/>
          <w:b/>
          <w:bCs/>
          <w:szCs w:val="24"/>
          <w:shd w:val="clear" w:color="auto" w:fill="FFFFFF"/>
        </w:rPr>
      </w:pPr>
      <w:r w:rsidRPr="00097824">
        <w:rPr>
          <w:rFonts w:eastAsia="MS Mincho"/>
          <w:b/>
          <w:bCs/>
          <w:szCs w:val="24"/>
          <w:shd w:val="clear" w:color="auto" w:fill="FFFFFF"/>
        </w:rPr>
        <w:t xml:space="preserve">2.1. </w:t>
      </w:r>
      <w:r w:rsidR="00FF0721" w:rsidRPr="00097824">
        <w:rPr>
          <w:rFonts w:eastAsia="MS Mincho"/>
          <w:b/>
          <w:bCs/>
          <w:szCs w:val="24"/>
          <w:shd w:val="clear" w:color="auto" w:fill="FFFFFF"/>
        </w:rPr>
        <w:t xml:space="preserve">Внутрипеченочная </w:t>
      </w:r>
      <w:proofErr w:type="spellStart"/>
      <w:r w:rsidR="00FF0721" w:rsidRPr="00097824">
        <w:rPr>
          <w:rFonts w:eastAsia="MS Mincho"/>
          <w:b/>
          <w:bCs/>
          <w:szCs w:val="24"/>
          <w:shd w:val="clear" w:color="auto" w:fill="FFFFFF"/>
        </w:rPr>
        <w:t>холангиокарцинома</w:t>
      </w:r>
      <w:proofErr w:type="spellEnd"/>
    </w:p>
    <w:p w14:paraId="2A2E2DAC" w14:textId="77777777" w:rsidR="00D630AE" w:rsidRPr="00097824" w:rsidRDefault="00D630AE" w:rsidP="00AD4A9F">
      <w:pPr>
        <w:ind w:left="397" w:firstLine="357"/>
        <w:contextualSpacing/>
        <w:rPr>
          <w:rFonts w:eastAsia="MS Mincho"/>
          <w:b/>
          <w:bCs/>
          <w:szCs w:val="24"/>
          <w:shd w:val="clear" w:color="auto" w:fill="FFFFFF"/>
        </w:rPr>
      </w:pPr>
    </w:p>
    <w:p w14:paraId="489ADAC1" w14:textId="77777777" w:rsidR="009C6BCC" w:rsidRPr="00097824" w:rsidRDefault="007F5427" w:rsidP="00AD4A9F">
      <w:pPr>
        <w:ind w:left="397" w:firstLine="357"/>
        <w:contextualSpacing/>
        <w:rPr>
          <w:rFonts w:eastAsia="MS Mincho"/>
          <w:b/>
          <w:bCs/>
          <w:szCs w:val="24"/>
          <w:shd w:val="clear" w:color="auto" w:fill="FFFFFF"/>
        </w:rPr>
      </w:pPr>
      <w:r w:rsidRPr="00097824">
        <w:rPr>
          <w:rFonts w:eastAsia="MS Mincho"/>
          <w:b/>
          <w:bCs/>
          <w:szCs w:val="24"/>
          <w:shd w:val="clear" w:color="auto" w:fill="FFFFFF"/>
        </w:rPr>
        <w:t>Критерии установления диагноза:</w:t>
      </w:r>
    </w:p>
    <w:p w14:paraId="77C6EB96" w14:textId="334C20D4" w:rsidR="00D630AE" w:rsidRPr="00097824" w:rsidRDefault="007F5427" w:rsidP="00CC2BE1">
      <w:pPr>
        <w:pStyle w:val="aff"/>
        <w:numPr>
          <w:ilvl w:val="0"/>
          <w:numId w:val="27"/>
        </w:numPr>
        <w:ind w:left="397" w:firstLine="357"/>
        <w:contextualSpacing/>
        <w:rPr>
          <w:rFonts w:eastAsia="MS Mincho"/>
          <w:szCs w:val="24"/>
          <w:shd w:val="clear" w:color="auto" w:fill="FFFFFF"/>
        </w:rPr>
      </w:pPr>
      <w:r w:rsidRPr="00097824">
        <w:rPr>
          <w:rFonts w:eastAsia="MS Mincho"/>
          <w:szCs w:val="24"/>
          <w:shd w:val="clear" w:color="auto" w:fill="FFFFFF"/>
        </w:rPr>
        <w:t>Наличие опухолевого очага в печени по данным УЗКТ, МРТ или КТ.</w:t>
      </w:r>
    </w:p>
    <w:p w14:paraId="2548D2A7" w14:textId="0A943532" w:rsidR="00D630AE" w:rsidRPr="00097824" w:rsidRDefault="007F5427" w:rsidP="00CC2BE1">
      <w:pPr>
        <w:pStyle w:val="aff"/>
        <w:numPr>
          <w:ilvl w:val="0"/>
          <w:numId w:val="27"/>
        </w:numPr>
        <w:ind w:left="397" w:firstLine="357"/>
        <w:contextualSpacing/>
        <w:rPr>
          <w:rFonts w:eastAsia="MS Mincho"/>
          <w:szCs w:val="24"/>
          <w:shd w:val="clear" w:color="auto" w:fill="FFFFFF"/>
        </w:rPr>
      </w:pPr>
      <w:r w:rsidRPr="00097824">
        <w:rPr>
          <w:rFonts w:eastAsia="MS Mincho"/>
          <w:szCs w:val="24"/>
          <w:shd w:val="clear" w:color="auto" w:fill="FFFFFF"/>
        </w:rPr>
        <w:t>Морфологическое подтверждение диагноза.</w:t>
      </w:r>
    </w:p>
    <w:p w14:paraId="75C61F91" w14:textId="77777777" w:rsidR="00D630AE" w:rsidRPr="00097824" w:rsidRDefault="007F5427" w:rsidP="00CC2BE1">
      <w:pPr>
        <w:pStyle w:val="aff"/>
        <w:numPr>
          <w:ilvl w:val="0"/>
          <w:numId w:val="27"/>
        </w:numPr>
        <w:ind w:left="397" w:firstLine="357"/>
        <w:contextualSpacing/>
        <w:rPr>
          <w:rFonts w:eastAsia="MS Mincho"/>
          <w:szCs w:val="24"/>
          <w:shd w:val="clear" w:color="auto" w:fill="FFFFFF"/>
        </w:rPr>
      </w:pPr>
      <w:r w:rsidRPr="00097824">
        <w:rPr>
          <w:rFonts w:eastAsia="MS Mincho"/>
          <w:szCs w:val="24"/>
          <w:shd w:val="clear" w:color="auto" w:fill="FFFFFF"/>
        </w:rPr>
        <w:t>Исключение других первичных опухолевых очагов (рак толстой кишки, рак желудка и т.д.)</w:t>
      </w:r>
    </w:p>
    <w:p w14:paraId="74FD8971" w14:textId="77777777" w:rsidR="00D630AE" w:rsidRPr="00097824" w:rsidRDefault="00CD17D7" w:rsidP="00CC2BE1">
      <w:pPr>
        <w:pStyle w:val="2"/>
        <w:numPr>
          <w:ilvl w:val="2"/>
          <w:numId w:val="29"/>
        </w:numPr>
        <w:spacing w:before="0"/>
        <w:ind w:left="397" w:firstLine="357"/>
      </w:pPr>
      <w:bookmarkStart w:id="48" w:name="_Toc11747737"/>
      <w:bookmarkStart w:id="49" w:name="_Toc23142722"/>
      <w:bookmarkStart w:id="50" w:name="_Toc113198763"/>
      <w:bookmarkStart w:id="51" w:name="_Toc113205053"/>
      <w:r w:rsidRPr="00097824">
        <w:t>Жалобы и анамнез</w:t>
      </w:r>
      <w:bookmarkEnd w:id="48"/>
      <w:bookmarkEnd w:id="49"/>
      <w:bookmarkEnd w:id="50"/>
      <w:bookmarkEnd w:id="51"/>
    </w:p>
    <w:p w14:paraId="3D8EA438" w14:textId="0A3CB934" w:rsidR="00352DF5" w:rsidRPr="00097824" w:rsidRDefault="00352DF5" w:rsidP="00AD4A9F">
      <w:pPr>
        <w:pStyle w:val="1"/>
        <w:spacing w:before="0"/>
        <w:ind w:left="397" w:firstLine="357"/>
        <w:rPr>
          <w:rFonts w:eastAsia="MS Mincho"/>
          <w:b/>
          <w:i/>
          <w:shd w:val="clear" w:color="auto" w:fill="FFFFFF"/>
        </w:rPr>
      </w:pPr>
      <w:r w:rsidRPr="00097824">
        <w:rPr>
          <w:rStyle w:val="110"/>
          <w:rFonts w:eastAsia="MS Mincho"/>
        </w:rPr>
        <w:t>Рекомендуется</w:t>
      </w:r>
      <w:r w:rsidRPr="00097824">
        <w:rPr>
          <w:rFonts w:eastAsia="MS Mincho"/>
          <w:shd w:val="clear" w:color="auto" w:fill="FFFFFF"/>
        </w:rPr>
        <w:t xml:space="preserve"> тщательный сбор жалоб и анамнеза у пациента с целью выявления факторов, которые могут повлиять на выбор тактики лечения</w:t>
      </w:r>
      <w:r w:rsidR="00AD4A9F" w:rsidRPr="00097824">
        <w:rPr>
          <w:rFonts w:eastAsia="MS Mincho"/>
          <w:shd w:val="clear" w:color="auto" w:fill="FFFFFF"/>
        </w:rPr>
        <w:t xml:space="preserve"> </w:t>
      </w:r>
      <w:r w:rsidR="007F5427" w:rsidRPr="00097824">
        <w:rPr>
          <w:rFonts w:eastAsia="MS Mincho"/>
          <w:shd w:val="clear" w:color="auto" w:fill="FFFFFF"/>
        </w:rPr>
        <w:fldChar w:fldCharType="begin"/>
      </w:r>
      <w:r w:rsidR="00817194" w:rsidRPr="00097824">
        <w:rPr>
          <w:rFonts w:eastAsia="MS Mincho"/>
          <w:shd w:val="clear" w:color="auto" w:fill="FFFFFF"/>
        </w:rPr>
        <w:instrText xml:space="preserve"> ADDIN ZOTERO_ITEM CSL_CITATION {"citationID":"xaSdT2f3","properties":{"formattedCitation":"[10]","plainCitation":"[10]","noteIndex":0},"citationItems":[{"id":166676,"uris":["http://zotero.org/groups/4764298/items/HLCDHDCZ"],"itemData":{"id":166676,"type":"article-journal","container-title":"Annals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A."},{"family":"Huguet","given":"Florence"},{"family":"Gruenberger","given":"Thomas"},{"family":"Arnold","given":"Dirk"}],"issued":{"date-parts":[["2016"]]}}}],"schema":"https://github.com/citation-style-language/schema/raw/master/csl-citation.json"} </w:instrText>
      </w:r>
      <w:r w:rsidR="007F5427" w:rsidRPr="00097824">
        <w:rPr>
          <w:rFonts w:eastAsia="MS Mincho"/>
          <w:shd w:val="clear" w:color="auto" w:fill="FFFFFF"/>
        </w:rPr>
        <w:fldChar w:fldCharType="separate"/>
      </w:r>
      <w:r w:rsidR="00817194" w:rsidRPr="00097824">
        <w:rPr>
          <w:rFonts w:eastAsia="MS Mincho"/>
        </w:rPr>
        <w:t>[10]</w:t>
      </w:r>
      <w:r w:rsidR="007F5427" w:rsidRPr="00097824">
        <w:rPr>
          <w:rFonts w:eastAsia="MS Mincho"/>
          <w:shd w:val="clear" w:color="auto" w:fill="FFFFFF"/>
        </w:rPr>
        <w:fldChar w:fldCharType="end"/>
      </w:r>
      <w:r w:rsidRPr="00097824">
        <w:rPr>
          <w:rFonts w:eastAsia="GalsLightC"/>
          <w:shd w:val="clear" w:color="auto" w:fill="FFFFFF"/>
        </w:rPr>
        <w:t xml:space="preserve">. </w:t>
      </w:r>
    </w:p>
    <w:p w14:paraId="243ECF0A" w14:textId="448671C3" w:rsidR="00352DF5" w:rsidRPr="00097824" w:rsidRDefault="007F5427" w:rsidP="00A37046">
      <w:pPr>
        <w:pStyle w:val="32"/>
        <w:ind w:firstLine="0"/>
        <w:rPr>
          <w:color w:val="auto"/>
        </w:rPr>
      </w:pPr>
      <w:r w:rsidRPr="00097824">
        <w:rPr>
          <w:color w:val="auto"/>
        </w:rPr>
        <w:t>Уровень убедительности рекомендаций – С (уровень достоверности доказательств – 5)</w:t>
      </w:r>
    </w:p>
    <w:p w14:paraId="05D3E601" w14:textId="0EE6400D" w:rsidR="00352DF5" w:rsidRPr="00097824" w:rsidRDefault="00164CBF" w:rsidP="00AD4A9F">
      <w:pPr>
        <w:pStyle w:val="32"/>
        <w:ind w:left="397" w:firstLine="357"/>
        <w:rPr>
          <w:b w:val="0"/>
          <w:i/>
          <w:color w:val="auto"/>
        </w:rPr>
      </w:pPr>
      <w:r w:rsidRPr="00097824">
        <w:rPr>
          <w:color w:val="auto"/>
        </w:rPr>
        <w:t xml:space="preserve">Комментарий: </w:t>
      </w:r>
      <w:r w:rsidR="007F5427" w:rsidRPr="00097824">
        <w:rPr>
          <w:b w:val="0"/>
          <w:i/>
          <w:color w:val="auto"/>
        </w:rPr>
        <w:t>сбор информации о жалобах и деталях анамнеза, в том числе семейного анамнеза, проводится с целью выявления факторов, которые могут повлиять на выбор тактики лечения</w:t>
      </w:r>
    </w:p>
    <w:p w14:paraId="14C6D704" w14:textId="77777777" w:rsidR="00A37046" w:rsidRPr="00097824" w:rsidRDefault="00A37046" w:rsidP="00AD4A9F">
      <w:pPr>
        <w:pStyle w:val="32"/>
        <w:ind w:left="397" w:firstLine="357"/>
      </w:pPr>
    </w:p>
    <w:p w14:paraId="2D2B7A93" w14:textId="77777777" w:rsidR="00D630AE" w:rsidRPr="00097824" w:rsidRDefault="00CD17D7" w:rsidP="00CC2BE1">
      <w:pPr>
        <w:pStyle w:val="2"/>
        <w:numPr>
          <w:ilvl w:val="2"/>
          <w:numId w:val="29"/>
        </w:numPr>
        <w:spacing w:before="0"/>
        <w:ind w:left="397" w:firstLine="357"/>
      </w:pPr>
      <w:bookmarkStart w:id="52" w:name="_Toc11747738"/>
      <w:bookmarkStart w:id="53" w:name="_Toc23142723"/>
      <w:bookmarkStart w:id="54" w:name="_Toc113198764"/>
      <w:bookmarkStart w:id="55" w:name="_Toc113205054"/>
      <w:proofErr w:type="spellStart"/>
      <w:r w:rsidRPr="00097824">
        <w:t>Физикальное</w:t>
      </w:r>
      <w:proofErr w:type="spellEnd"/>
      <w:r w:rsidRPr="00097824">
        <w:t xml:space="preserve"> обследование</w:t>
      </w:r>
      <w:bookmarkEnd w:id="52"/>
      <w:bookmarkEnd w:id="53"/>
      <w:bookmarkEnd w:id="54"/>
      <w:bookmarkEnd w:id="55"/>
    </w:p>
    <w:p w14:paraId="780A1471" w14:textId="7CE221EF" w:rsidR="002F4C3E" w:rsidRPr="00097824" w:rsidRDefault="002F4C3E" w:rsidP="00AD4A9F">
      <w:pPr>
        <w:pStyle w:val="1"/>
        <w:spacing w:before="0"/>
        <w:ind w:left="397" w:firstLine="357"/>
        <w:rPr>
          <w:rFonts w:eastAsia="MS Mincho"/>
          <w:shd w:val="clear" w:color="auto" w:fill="FFFFFF"/>
        </w:rPr>
      </w:pPr>
      <w:r w:rsidRPr="00097824">
        <w:rPr>
          <w:rFonts w:eastAsia="MS Mincho"/>
          <w:shd w:val="clear" w:color="auto" w:fill="FFFFFF"/>
        </w:rPr>
        <w:t xml:space="preserve">Рекомендуется </w:t>
      </w:r>
      <w:r w:rsidR="00C01DF2" w:rsidRPr="00097824">
        <w:rPr>
          <w:rFonts w:eastAsia="MS Mincho"/>
          <w:shd w:val="clear" w:color="auto" w:fill="FFFFFF"/>
        </w:rPr>
        <w:t xml:space="preserve">всем пациентам </w:t>
      </w:r>
      <w:r w:rsidRPr="00097824">
        <w:rPr>
          <w:rFonts w:eastAsia="MS Mincho"/>
          <w:shd w:val="clear" w:color="auto" w:fill="FFFFFF"/>
        </w:rPr>
        <w:t xml:space="preserve">выполнить </w:t>
      </w:r>
      <w:r w:rsidR="007F5427" w:rsidRPr="00097824">
        <w:rPr>
          <w:rFonts w:eastAsia="MS Mincho"/>
          <w:shd w:val="clear" w:color="auto" w:fill="FFFFFF"/>
        </w:rPr>
        <w:t>врачебный</w:t>
      </w:r>
      <w:r w:rsidR="00E739C2" w:rsidRPr="00097824">
        <w:rPr>
          <w:rFonts w:eastAsia="MS Mincho"/>
          <w:shd w:val="clear" w:color="auto" w:fill="FFFFFF"/>
        </w:rPr>
        <w:t xml:space="preserve"> </w:t>
      </w:r>
      <w:r w:rsidRPr="00097824">
        <w:rPr>
          <w:rFonts w:eastAsia="MS Mincho"/>
          <w:shd w:val="clear" w:color="auto" w:fill="FFFFFF"/>
        </w:rPr>
        <w:t>осмотр</w:t>
      </w:r>
      <w:r w:rsidR="00ED5D86" w:rsidRPr="00097824">
        <w:rPr>
          <w:rFonts w:eastAsia="MS Mincho"/>
          <w:shd w:val="clear" w:color="auto" w:fill="FFFFFF"/>
        </w:rPr>
        <w:t xml:space="preserve"> и </w:t>
      </w:r>
      <w:r w:rsidRPr="00097824">
        <w:rPr>
          <w:rFonts w:eastAsia="MS Mincho"/>
          <w:shd w:val="clear" w:color="auto" w:fill="FFFFFF"/>
        </w:rPr>
        <w:t>оценку</w:t>
      </w:r>
      <w:r w:rsidR="00E739C2" w:rsidRPr="00097824">
        <w:rPr>
          <w:rFonts w:eastAsia="MS Mincho"/>
          <w:shd w:val="clear" w:color="auto" w:fill="FFFFFF"/>
        </w:rPr>
        <w:t xml:space="preserve"> </w:t>
      </w:r>
      <w:proofErr w:type="spellStart"/>
      <w:r w:rsidRPr="00097824">
        <w:rPr>
          <w:rFonts w:eastAsia="MS Mincho"/>
          <w:shd w:val="clear" w:color="auto" w:fill="FFFFFF"/>
        </w:rPr>
        <w:t>нутритивного</w:t>
      </w:r>
      <w:proofErr w:type="spellEnd"/>
      <w:r w:rsidR="00E739C2" w:rsidRPr="00097824">
        <w:rPr>
          <w:rFonts w:eastAsia="MS Mincho"/>
          <w:shd w:val="clear" w:color="auto" w:fill="FFFFFF"/>
        </w:rPr>
        <w:t xml:space="preserve"> </w:t>
      </w:r>
      <w:r w:rsidRPr="00097824">
        <w:rPr>
          <w:rFonts w:eastAsia="MS Mincho"/>
          <w:shd w:val="clear" w:color="auto" w:fill="FFFFFF"/>
        </w:rPr>
        <w:t>статуса</w:t>
      </w:r>
      <w:r w:rsidR="00AD4A9F" w:rsidRPr="00097824">
        <w:rPr>
          <w:rFonts w:eastAsia="MS Mincho"/>
          <w:shd w:val="clear" w:color="auto" w:fill="FFFFFF"/>
        </w:rPr>
        <w:t xml:space="preserve"> </w:t>
      </w:r>
      <w:r w:rsidR="007F5427" w:rsidRPr="00097824">
        <w:rPr>
          <w:rFonts w:eastAsia="MS Mincho"/>
          <w:shd w:val="clear" w:color="auto" w:fill="FFFFFF"/>
        </w:rPr>
        <w:fldChar w:fldCharType="begin"/>
      </w:r>
      <w:r w:rsidR="001A1954" w:rsidRPr="00097824">
        <w:rPr>
          <w:rFonts w:eastAsia="MS Mincho"/>
          <w:shd w:val="clear" w:color="auto" w:fill="FFFFFF"/>
        </w:rPr>
        <w:instrText xml:space="preserve"> ADDIN ZOTERO_ITEM CSL_CITATION {"citationID":"HrBOqJu6","properties":{"formattedCitation":"[10,13]","plainCitation":"[10,13]","noteIndex":0},"citationItems":[{"id":166676,"uris":["http://zotero.org/groups/4764298/items/HLCDHDCZ"],"itemData":{"id":166676,"type":"article-journal","container-title":"Annals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167181,"uris":["http://zotero.org/groups/4764298/items/PDG4UFLD"],"itemData":{"id":167181,"type":"article-journal","abstract":"Oh SE, et al. Clin Nutr Res. 2022 Jul;11(3):183-193. https://doi.org/10.7762/cnr.2022.11.3.183","container-title":"Clinical Nutrition Research","DOI":"10.7762/cnr.2022.11.3.183","ISSN":"2287-3732","issue":"3","language":"en","page":"183-193","source":"e-cnr.org","title":"Pre-treatment Nutritional Risk Assessment by NRS-2002 Predicts Prognosis in Patients With Advanced Biliary Tract Cancer: A Single Center Retrospective Study","title-short":"Pre-treatment Nutritional Risk Assessment by NRS-2002 Predicts Prognosis in Patients With Advanced Biliary Tract Cancer","volume":"11","author":[{"family":"Oh","given":"Se Eung"},{"family":"Park","given":"Juong Soon"},{"family":"Jeung","given":"Hei-Cheul"}],"issued":{"date-parts":[["2022",7]]}},"label":"page"}],"schema":"https://github.com/citation-style-language/schema/raw/master/csl-citation.json"} </w:instrText>
      </w:r>
      <w:r w:rsidR="007F5427" w:rsidRPr="00097824">
        <w:rPr>
          <w:rFonts w:eastAsia="MS Mincho"/>
          <w:shd w:val="clear" w:color="auto" w:fill="FFFFFF"/>
        </w:rPr>
        <w:fldChar w:fldCharType="separate"/>
      </w:r>
      <w:r w:rsidR="001A1954" w:rsidRPr="00097824">
        <w:rPr>
          <w:rFonts w:eastAsia="MS Mincho"/>
        </w:rPr>
        <w:t>[10,13]</w:t>
      </w:r>
      <w:r w:rsidR="007F5427" w:rsidRPr="00097824">
        <w:rPr>
          <w:rFonts w:eastAsia="MS Mincho"/>
          <w:shd w:val="clear" w:color="auto" w:fill="FFFFFF"/>
        </w:rPr>
        <w:fldChar w:fldCharType="end"/>
      </w:r>
      <w:r w:rsidRPr="00097824">
        <w:rPr>
          <w:rFonts w:eastAsia="MS Mincho"/>
          <w:shd w:val="clear" w:color="auto" w:fill="FFFFFF"/>
        </w:rPr>
        <w:t>.</w:t>
      </w:r>
    </w:p>
    <w:p w14:paraId="35BF3859" w14:textId="62E15D3B" w:rsidR="002F4C3E" w:rsidRPr="00097824" w:rsidRDefault="007F5427" w:rsidP="00A37046">
      <w:pPr>
        <w:pStyle w:val="32"/>
        <w:ind w:firstLine="0"/>
        <w:rPr>
          <w:color w:val="auto"/>
        </w:rPr>
      </w:pPr>
      <w:r w:rsidRPr="00097824">
        <w:rPr>
          <w:color w:val="auto"/>
        </w:rPr>
        <w:t xml:space="preserve">Уровень убедительности рекомендаций – С (уровень достоверности доказательств – </w:t>
      </w:r>
      <w:r w:rsidR="00354706" w:rsidRPr="00097824">
        <w:rPr>
          <w:color w:val="auto"/>
        </w:rPr>
        <w:t>5</w:t>
      </w:r>
      <w:r w:rsidRPr="00097824">
        <w:rPr>
          <w:color w:val="auto"/>
        </w:rPr>
        <w:t>)</w:t>
      </w:r>
    </w:p>
    <w:p w14:paraId="13C24B1F" w14:textId="77777777" w:rsidR="00A37046" w:rsidRPr="00097824" w:rsidRDefault="00A37046" w:rsidP="00A37046">
      <w:pPr>
        <w:pStyle w:val="32"/>
        <w:ind w:firstLine="0"/>
        <w:rPr>
          <w:color w:val="auto"/>
        </w:rPr>
      </w:pPr>
    </w:p>
    <w:p w14:paraId="03E18D92" w14:textId="77777777" w:rsidR="00687896" w:rsidRPr="00097824" w:rsidRDefault="007F5427" w:rsidP="00AD4A9F">
      <w:pPr>
        <w:pStyle w:val="1"/>
        <w:spacing w:before="0"/>
        <w:ind w:left="397" w:firstLine="357"/>
        <w:rPr>
          <w:rFonts w:eastAsia="MS Mincho"/>
          <w:shd w:val="clear" w:color="auto" w:fill="FFFFFF"/>
        </w:rPr>
      </w:pPr>
      <w:r w:rsidRPr="00097824">
        <w:rPr>
          <w:rFonts w:eastAsia="MS Mincho"/>
          <w:shd w:val="clear" w:color="auto" w:fill="FFFFFF"/>
        </w:rPr>
        <w:t xml:space="preserve">Рекомендуется </w:t>
      </w:r>
      <w:r w:rsidR="0006388D" w:rsidRPr="00097824">
        <w:rPr>
          <w:rFonts w:eastAsia="MS Mincho"/>
          <w:shd w:val="clear" w:color="auto" w:fill="FFFFFF"/>
        </w:rPr>
        <w:t>оценка</w:t>
      </w:r>
      <w:r w:rsidRPr="00097824">
        <w:rPr>
          <w:rFonts w:eastAsia="MS Mincho"/>
          <w:shd w:val="clear" w:color="auto" w:fill="FFFFFF"/>
        </w:rPr>
        <w:t xml:space="preserve"> всем пациентам статуса по ECOG для </w:t>
      </w:r>
      <w:r w:rsidR="00594CE0" w:rsidRPr="00097824">
        <w:rPr>
          <w:rFonts w:eastAsia="MS Mincho"/>
          <w:shd w:val="clear" w:color="auto" w:fill="FFFFFF"/>
        </w:rPr>
        <w:t xml:space="preserve">определения дальнейшей тактики лечения, в том числе </w:t>
      </w:r>
      <w:r w:rsidR="00687896" w:rsidRPr="00097824">
        <w:rPr>
          <w:rFonts w:eastAsia="MS Mincho"/>
          <w:shd w:val="clear" w:color="auto" w:fill="FFFFFF"/>
        </w:rPr>
        <w:t>оценки возможности проведения химиотерапии и ее выбора, а так</w:t>
      </w:r>
      <w:r w:rsidR="00E739C2" w:rsidRPr="00097824">
        <w:rPr>
          <w:rFonts w:eastAsia="MS Mincho"/>
          <w:shd w:val="clear" w:color="auto" w:fill="FFFFFF"/>
        </w:rPr>
        <w:t xml:space="preserve"> </w:t>
      </w:r>
      <w:r w:rsidR="00687896" w:rsidRPr="00097824">
        <w:rPr>
          <w:rFonts w:eastAsia="MS Mincho"/>
          <w:shd w:val="clear" w:color="auto" w:fill="FFFFFF"/>
        </w:rPr>
        <w:t>же определения прогноза для пациента</w:t>
      </w:r>
      <w:r w:rsidRPr="00097824">
        <w:rPr>
          <w:rFonts w:eastAsia="MS Mincho"/>
          <w:shd w:val="clear" w:color="auto" w:fill="FFFFFF"/>
        </w:rPr>
        <w:fldChar w:fldCharType="begin"/>
      </w:r>
      <w:r w:rsidR="001A1954" w:rsidRPr="00097824">
        <w:rPr>
          <w:rFonts w:eastAsia="MS Mincho"/>
          <w:shd w:val="clear" w:color="auto" w:fill="FFFFFF"/>
        </w:rPr>
        <w:instrText xml:space="preserve"> ADDIN ZOTERO_ITEM CSL_CITATION {"citationID":"v9tPwS1R","properties":{"formattedCitation":"[14\\uc0\\u8211{}18]","plainCitation":"[14–18]","noteIndex":0},"citationItems":[{"id":167057,"uris":["http://zotero.org/groups/4764298/items/HMVZ2ATJ"],"itemData":{"id":167057,"type":"article-journal","abstract":"Introduction\nGall bladder cancer (GBC) has high prevalence in the Indo-Gangetic belt in India. While the first-line chemotherapy (CT1) has been established as gemcitabine–platinum doublet in advanced GBC, there is no standard recommendation or guidelines regarding feasibility of second-line therapy.\nMethods\nWe performed a retrospective analysis of all patients who received second-line of chemotherapy (CT2) at our institution from July 2012 to December 2014. Patient records were examined for efficacy and toxicity of administered CT2, along with response rates (RR) and survival. Potential prognostic factors were also evaluated.\nResults\nEighty-seven patients received CT2 in the predefined period. Ninety-nine percent of patients had received a gemcitabine-based regimen as CT1 with a median progression-free survival (PFS) of 5 months before CT2. 51.7 % patients had undergone surgery prior with 5.7 % patients having received radiotherapy previously. Prior to beginning CT2, PS was 0/1 in 67.8 % patients, albumin was &gt;4 g% in 40.2 % and CA 19.9 was raised in a majority (66.7 %) patients, respectively. As per institution protocol, a majority of patients (89.6 %) were administered CAP-IRI regimen. Overall RR and disease control rates (DCR) were 21.8 % and 41.3 %, respectively. Median progression-free survival (PFS) and overall survival (OS) were 6 and 8 months, with no significant differences between CAP-IRI and other regimens. Adverse effects were tolerable, with dose reduced upfront in 23 % patients and 11.5 % patients during subsequent cycles of CT. ECOG Performance Status (PS) of 0/1 was a significant prognostic variable for OS on multivariate analysis (p = 0.003).\nConclusion\nCAP-IRI is a well-tolerated second-line chemotherapeutic regimen in patients with advanced GBC. Careful selection of patients is required when administering second-line chemotherapy to advanced GBC patients, with particular emphasis on ECOG PS.","container-title":"Journal of Gastrointestinal Cancer","DOI":"10.1007/s12029-016-9828-2","journalAbbreviation":"Journal of Gastrointestinal Cancer","source":"ResearchGate","title":"Second-Line Palliative Chemotherapy in Advanced Gall Bladder Cancer, CAP-IRI: Safe and Effective Option","title-short":"Second-Line Palliative Chemotherapy in Advanced Gall Bladder Cancer, CAP-IRI","volume":"47","author":[{"family":"Ramaswamy","given":"Anant"},{"family":"Ostwal","given":"Vikas"},{"family":"Pande","given":"Nikhil"},{"family":"Sahu","given":"Arvind"},{"family":"Sunny","given":"Jandyal"},{"family":"Shetty","given":"Nitin"},{"family":"Patkar","given":"Shraddha"},{"family":"Goel","given":"Mahesh"},{"family":"Gupta","given":"Sudeep"}],"issued":{"date-parts":[["2016",9,1]]}},"label":"page"},{"id":167058,"uris":["http://zotero.org/groups/4764298/items/2M3NCJSD"],"itemData":{"id":167058,"type":"article-journal","abstract":"Background\nBiliary tract cancer is an uncommon cancer with a poor outcome. We assembled data from the National Cancer Research Institute (UK) ABC-02 study and 10 international studies to determine prognostic outcome characteristics for patients with advanced disease.\nMethods\nMultivariable analyses of the final dataset from the ABC-02 study were carried out. All variables were simultaneously included in a Cox proportional hazards model, and backward elimination was used to produce the final model (using a significance level of 10%), in which the selected variables were associated independently with outcome. This score was validated externally by receiver operating curve (ROC) analysis using the independent international dataset.\nResults\nA total of 410 patients were included from the ABC-02 study and 753 from the international dataset. An overall survival (OS) and progression-free survival (PFS) Cox model was derived from the ABC-02 study. White blood cells, haemoglobin, disease status, bilirubin, neutrophils, gender, and performance status were considered prognostic for survival (all with P &lt; 0.10). Patients with metastatic disease {hazard ratio (HR) 1.56 [95% confidence interval (CI) 1.20–2.02]} and Eastern Cooperative Oncology Group performance status (ECOG PS) 2 had worse survival [HR 2.24 (95% CI 1.53–3.28)]. In a dataset restricted to patients who received cisplatin and gemcitabine with ECOG PS 0 and 1, only haemoglobin, disease status, bilirubin, and neutrophils were associated with PFS and OS. ROC analysis suggested the models generated from the ABC-02 study had a limited prognostic value [6-month PFS: area under the curve (AUC) 62% (95% CI 57–68); 1-year OS: AUC 64% (95% CI 58–69)].\nConclusion\nThese data propose a set of prognostic criteria for outcome in advanced biliary tract cancer derived from the ABC-02 study that are validated in an international dataset. Although these findings establish the benchmark for the prognostic evaluation of patients with ABC and confirm the value of longheld clinical observations, the ability of the model to correctly predict prognosis is limited and needs to be improved through identification of additional clinical and molecular markers.","container-title":"Annals of Oncology","DOI":"10.1093/annonc/mdv483","ISSN":"0923-7534","issue":"1","journalAbbreviation":"Annals of Oncology","language":"en","page":"134-140","source":"ScienceDirect","title":"Prognostic factors for progression-free and overall survival in advanced biliary tract cancer","volume":"27","author":[{"family":"Bridgewater","given":"J."},{"family":"Lopes","given":"A."},{"family":"Wasan","given":"H."},{"family":"Malka","given":"D."},{"family":"Jensen","given":"L."},{"family":"Okusaka","given":"T."},{"family":"Knox","given":"J."},{"family":"Wagner","given":"D."},{"family":"Cunningham","given":"D."},{"family":"Shannon","given":"J."},{"family":"Goldstein","given":"D."},{"family":"Moehler","given":"M."},{"family":"Bekaii-Saab","given":"T."},{"family":"McNamara","given":"M. G."},{"family":"Valle","given":"J. W."}],"issued":{"date-parts":[["2016",1,1]]}},"label":"page"},{"id":167061,"uris":["http://zotero.org/groups/4764298/items/85ZJUYG3"],"itemData":{"id":167061,"type":"article-journal","abstract":"Background\nData regarding prognostic factors in advanced biliary tract cancer (BTC) remains scarce. The aim of this study was to review our institutional experience with cisplatin and gemcitabine in advanced BTC as well as to evaluate potential prognostic factors for overall survival (OS).\n\nMaterial and methods\nConsecutive patients with advanced BTC who initiated palliative chemotherapy with cisplatin and gemcitabine from 2009 to 2012 at the BC Cancer Agency were identified using the pharmacy database. Clinicopathologic variables and treatment outcome were retrospectively collected. Potential prognostic factors were assessed by univariate and multivariate analyses.\n\nResults\nA total of 106 patients were included in the analysis. Median OS was 8.5 months (95% CI: 6.5-10.5). On univariate analysis, poor ECOG performance status (ECOG PS) at diagnosis, primary tumor location (extra-hepatic cholangiocarcinoma, and unknown biliary cancer), and sites of advanced disease (extra-hepatic metastasis) were significantly associated with worse OS (P&lt;0.001, 0.036 and 0.034, respectively). Age, gender, CA19-9, CEA, hemoglobin, neutrophil count, and prior stent were not significantly associated with OS. On multivariate analysis, ECOG PS 2/3 was the only predictor of poor OS (P&lt;0.001), while primary location (P=0.089) and sites of advanced disease (P=0.079) had a non-significant trend towards prognostic significance.\n\nConclusions\nIn this population based analysis, a poorer performance status was significantly prognostic of worse OS. Although not significant in our analysis, primary tumor location and sites of advanced disease may also have prognostic relevance.","container-title":"Journal of Gastrointestinal Oncology","DOI":"10.3978/j.issn.2078-6891.2014.081","ISSN":"2078-6891","issue":"6","journalAbbreviation":"J Gastrointest Oncol","note":"PMID: 25436121\nPMCID: PMC4226814","page":"428-432","source":"PubMed Central","title":"A population based analysis of prognostic factors in advanced biliary tract cancer","volume":"5","author":[{"family":"Peixoto","given":"Renata D’Alpino"},{"family":"Renouf","given":"Daniel"},{"family":"Lim","given":"Howard"}],"issued":{"date-parts":[["2014",12]]}},"label":"page"},{"id":167063,"uris":["http://zotero.org/groups/4764298/items/5IBKN5MU"],"itemData":{"id":167063,"type":"article-journal","abstract":"Background\nAlthough biliary tract cancers (BTC) are common in older age-groups, treatment approaches and outcomes are understudied in this population.\n\nPatients and Methods\nData from 913 patients diagnosed with BTC from January 1987 to July 2013 and treated at Princess Margaret Cancer Center, Toronto were analyzed. The differences in treatment patterns between older and younger patients were explored and the impact of age, patient and disease characteristics on survival outcomes was assessed.\n\nResults\nThree hundred and twenty one patients ≥70 years were identified. Older patients were more likely to receive best supportive care, 40% (n = 130), compared to younger patients 26% (n = 154); p &lt; 0.0001. On multivariable analysis, factors associated with receipt of surgery included stage I/II disease (p &lt; 0.0001) and ECOG PS &lt; 2 (p &lt; 0.0001). Older age was not associated with lack of surgical intervention. In comparison, older age was associated with non-receipt of palliative chemotherapy (p = 0.0007). Similar survival benefit from treatment was seen in older and younger patients. Of 626 patients that underwent either surgery or palliative chemotherapy (n = 188), the median survival was 21.1 months (95% CI 19.0–27.9) in patients &gt;70 years of age, and 21.1 months in younger patients (n = 438) (95% CI 19.5–24.5).\n\nConclusion\nIn this large retrospective analysis, older patients with BTC are less likely to undergo an intervention. However, active therapy when given is associated with similar survival benefits, irrespective of age.","container-title":"Oncotarget","ISSN":"1949-2553","issue":"42","journalAbbreviation":"Oncotarget","note":"PMID: 26575326\nPMCID: PMC4792607","page":"44995-45004","source":"PubMed Central","title":"Patterns of care and treatment outcomes in older patients with biliary tract cancer","volume":"6","author":[{"family":"Horgan","given":"Anne"},{"family":"Knox","given":"Jennifer"},{"family":"Aneja","given":"Priya"},{"family":"Le","given":"Lisa"},{"family":"McKeever","given":"Elizabeth"},{"family":"McNamara","given":"Mairead"}],"issued":{"date-parts":[["2015",11,9]]}},"label":"page"},{"id":167066,"uris":["http://zotero.org/groups/4764298/items/VKA7V3J2"],"itemData":{"id":167066,"type":"article-journal","abstract":"The benefit of palliative chemotherapy (PC) in patients with advanced solid tumors and poor performance status (ECOG-PS) has not been prospectively validated, which makes treatment decision challenging. We aimed to evaluate the overall survival, factors associated with early mortality, and adoption of additional procedures in hospitalized patients with advanced cancer and poor ECOG-PS treated with PC.","container-title":"BMC Palliative Care","DOI":"10.1186/s12904-019-0427-4","ISSN":"1472-684X","issue":"1","journalAbbreviation":"BMC Palliative Care","page":"42","source":"BioMed Central","title":"Inpatient palliative chemotherapy is associated with high mortality and aggressive end-of-life care in patients with advanced solid tumors and poor performance status","volume":"18","author":[{"family":"Fiorin de Vasconcellos","given":"Vitor"},{"family":"RCC Bonadio","given":"Renata"},{"family":"Avanço","given":"Guilherme"},{"family":"Negrão","given":"Marcelo Vailati"},{"family":"Pimenta Riechelmann","given":"Rachel"}],"issued":{"date-parts":[["2019",5,20]]}},"label":"page"}],"schema":"https://github.com/citation-style-language/schema/raw/master/csl-citation.json"} </w:instrText>
      </w:r>
      <w:r w:rsidRPr="00097824">
        <w:rPr>
          <w:rFonts w:eastAsia="MS Mincho"/>
          <w:shd w:val="clear" w:color="auto" w:fill="FFFFFF"/>
        </w:rPr>
        <w:fldChar w:fldCharType="separate"/>
      </w:r>
      <w:r w:rsidR="001A1954" w:rsidRPr="00097824">
        <w:rPr>
          <w:szCs w:val="24"/>
        </w:rPr>
        <w:t>[14–18]</w:t>
      </w:r>
      <w:r w:rsidRPr="00097824">
        <w:rPr>
          <w:rFonts w:eastAsia="MS Mincho"/>
          <w:shd w:val="clear" w:color="auto" w:fill="FFFFFF"/>
        </w:rPr>
        <w:fldChar w:fldCharType="end"/>
      </w:r>
      <w:r w:rsidR="00687896" w:rsidRPr="00097824">
        <w:rPr>
          <w:rFonts w:eastAsia="MS Mincho"/>
          <w:shd w:val="clear" w:color="auto" w:fill="FFFFFF"/>
        </w:rPr>
        <w:t xml:space="preserve">. </w:t>
      </w:r>
    </w:p>
    <w:p w14:paraId="5C12BB8C" w14:textId="1FC88D40" w:rsidR="001A7611" w:rsidRPr="00097824" w:rsidRDefault="007F5427" w:rsidP="00A37046">
      <w:pPr>
        <w:pStyle w:val="32"/>
        <w:ind w:firstLine="0"/>
      </w:pPr>
      <w:r w:rsidRPr="00097824">
        <w:t xml:space="preserve">Уровень убедительности рекомендаций – </w:t>
      </w:r>
      <w:r w:rsidR="00354706" w:rsidRPr="00097824">
        <w:t xml:space="preserve">С </w:t>
      </w:r>
      <w:r w:rsidRPr="00097824">
        <w:t>(уровень достоверности доказательств – 4)</w:t>
      </w:r>
    </w:p>
    <w:p w14:paraId="2D45FD3D" w14:textId="77777777" w:rsidR="00896AC1" w:rsidRPr="00097824" w:rsidRDefault="00896AC1" w:rsidP="00AD4A9F">
      <w:pPr>
        <w:pStyle w:val="32"/>
        <w:ind w:left="397" w:firstLine="357"/>
        <w:rPr>
          <w:color w:val="auto"/>
        </w:rPr>
      </w:pPr>
    </w:p>
    <w:p w14:paraId="55B1D322" w14:textId="77777777" w:rsidR="00D630AE" w:rsidRPr="00097824" w:rsidRDefault="00CD17D7" w:rsidP="00CC2BE1">
      <w:pPr>
        <w:pStyle w:val="2"/>
        <w:numPr>
          <w:ilvl w:val="2"/>
          <w:numId w:val="29"/>
        </w:numPr>
        <w:spacing w:before="0"/>
        <w:ind w:left="397" w:firstLine="357"/>
      </w:pPr>
      <w:bookmarkStart w:id="56" w:name="_Toc11747739"/>
      <w:bookmarkStart w:id="57" w:name="_Toc23142724"/>
      <w:bookmarkStart w:id="58" w:name="_Toc113198765"/>
      <w:bookmarkStart w:id="59" w:name="_Toc113205055"/>
      <w:r w:rsidRPr="00097824">
        <w:t>Лабораторн</w:t>
      </w:r>
      <w:r w:rsidR="00910475" w:rsidRPr="00097824">
        <w:t>ые</w:t>
      </w:r>
      <w:bookmarkEnd w:id="56"/>
      <w:bookmarkEnd w:id="57"/>
      <w:r w:rsidR="00E739C2" w:rsidRPr="00097824">
        <w:t xml:space="preserve"> </w:t>
      </w:r>
      <w:r w:rsidR="00910475" w:rsidRPr="00097824">
        <w:t>диагностические исследования</w:t>
      </w:r>
      <w:bookmarkEnd w:id="58"/>
      <w:bookmarkEnd w:id="59"/>
    </w:p>
    <w:p w14:paraId="21FDA10F" w14:textId="52F29D4F" w:rsidR="00D630AE" w:rsidRPr="00097824" w:rsidRDefault="00164CBF" w:rsidP="00C3232A">
      <w:pPr>
        <w:pStyle w:val="1"/>
        <w:numPr>
          <w:ilvl w:val="0"/>
          <w:numId w:val="39"/>
        </w:numPr>
        <w:spacing w:before="0"/>
        <w:rPr>
          <w:rFonts w:eastAsia="MS Mincho"/>
          <w:shd w:val="clear" w:color="auto" w:fill="FFFFFF"/>
        </w:rPr>
      </w:pPr>
      <w:r w:rsidRPr="00097824">
        <w:rPr>
          <w:rFonts w:eastAsia="MS Mincho"/>
          <w:shd w:val="clear" w:color="auto" w:fill="FFFFFF"/>
        </w:rPr>
        <w:lastRenderedPageBreak/>
        <w:t xml:space="preserve">Пациентам с внутрипеченочной </w:t>
      </w:r>
      <w:proofErr w:type="spellStart"/>
      <w:r w:rsidRPr="00097824">
        <w:rPr>
          <w:rFonts w:eastAsia="MS Mincho"/>
          <w:shd w:val="clear" w:color="auto" w:fill="FFFFFF"/>
        </w:rPr>
        <w:t>холангиокарциномой</w:t>
      </w:r>
      <w:proofErr w:type="spellEnd"/>
      <w:r w:rsidR="00E739C2" w:rsidRPr="00097824">
        <w:rPr>
          <w:rFonts w:eastAsia="MS Mincho"/>
          <w:shd w:val="clear" w:color="auto" w:fill="FFFFFF"/>
        </w:rPr>
        <w:t xml:space="preserve"> </w:t>
      </w:r>
      <w:r w:rsidRPr="00097824">
        <w:rPr>
          <w:rFonts w:eastAsia="MS Mincho"/>
          <w:shd w:val="clear" w:color="auto" w:fill="FFFFFF"/>
        </w:rPr>
        <w:t>рекомендуется выполнить</w:t>
      </w:r>
      <w:r w:rsidR="00E739C2" w:rsidRPr="00097824">
        <w:rPr>
          <w:rFonts w:eastAsia="MS Mincho"/>
          <w:shd w:val="clear" w:color="auto" w:fill="FFFFFF"/>
        </w:rPr>
        <w:t xml:space="preserve"> </w:t>
      </w:r>
      <w:r w:rsidR="00AD3576" w:rsidRPr="00097824">
        <w:rPr>
          <w:rFonts w:eastAsia="MS Mincho"/>
          <w:shd w:val="clear" w:color="auto" w:fill="FFFFFF"/>
        </w:rPr>
        <w:t>определение основных групп крови по системе AB0, определение антигена D системы Резус (резус-фактор);</w:t>
      </w:r>
      <w:r w:rsidR="00E739C2" w:rsidRPr="00097824">
        <w:rPr>
          <w:rFonts w:eastAsia="MS Mincho"/>
          <w:shd w:val="clear" w:color="auto" w:fill="FFFFFF"/>
        </w:rPr>
        <w:t xml:space="preserve"> </w:t>
      </w:r>
      <w:r w:rsidR="00AD3576" w:rsidRPr="00097824">
        <w:rPr>
          <w:rFonts w:eastAsia="MS Mincho"/>
          <w:shd w:val="clear" w:color="auto" w:fill="FFFFFF"/>
        </w:rPr>
        <w:t>молекулярно-биологическое исследование крови на вирус гепатита B (</w:t>
      </w:r>
      <w:proofErr w:type="spellStart"/>
      <w:r w:rsidR="00AD3576" w:rsidRPr="00097824">
        <w:rPr>
          <w:rFonts w:eastAsia="MS Mincho"/>
          <w:shd w:val="clear" w:color="auto" w:fill="FFFFFF"/>
        </w:rPr>
        <w:t>Hepatitis</w:t>
      </w:r>
      <w:proofErr w:type="spellEnd"/>
      <w:r w:rsidR="00AD3576" w:rsidRPr="00097824">
        <w:rPr>
          <w:rFonts w:eastAsia="MS Mincho"/>
          <w:shd w:val="clear" w:color="auto" w:fill="FFFFFF"/>
        </w:rPr>
        <w:t xml:space="preserve"> B </w:t>
      </w:r>
      <w:proofErr w:type="spellStart"/>
      <w:r w:rsidR="00AD3576" w:rsidRPr="00097824">
        <w:rPr>
          <w:rFonts w:eastAsia="MS Mincho"/>
          <w:shd w:val="clear" w:color="auto" w:fill="FFFFFF"/>
        </w:rPr>
        <w:t>virus</w:t>
      </w:r>
      <w:proofErr w:type="spellEnd"/>
      <w:r w:rsidR="00AD3576" w:rsidRPr="00097824">
        <w:rPr>
          <w:rFonts w:eastAsia="MS Mincho"/>
          <w:shd w:val="clear" w:color="auto" w:fill="FFFFFF"/>
        </w:rPr>
        <w:t>), молекулярно-биологическое исследование крови на вирус гепатита C (</w:t>
      </w:r>
      <w:proofErr w:type="spellStart"/>
      <w:r w:rsidR="00AD3576" w:rsidRPr="00097824">
        <w:rPr>
          <w:rFonts w:eastAsia="MS Mincho"/>
          <w:shd w:val="clear" w:color="auto" w:fill="FFFFFF"/>
        </w:rPr>
        <w:t>Hepatitis</w:t>
      </w:r>
      <w:proofErr w:type="spellEnd"/>
      <w:r w:rsidR="00AD3576" w:rsidRPr="00097824">
        <w:rPr>
          <w:rFonts w:eastAsia="MS Mincho"/>
          <w:shd w:val="clear" w:color="auto" w:fill="FFFFFF"/>
        </w:rPr>
        <w:t xml:space="preserve"> C </w:t>
      </w:r>
      <w:proofErr w:type="spellStart"/>
      <w:r w:rsidR="00AD3576" w:rsidRPr="00097824">
        <w:rPr>
          <w:rFonts w:eastAsia="MS Mincho"/>
          <w:shd w:val="clear" w:color="auto" w:fill="FFFFFF"/>
        </w:rPr>
        <w:t>virus</w:t>
      </w:r>
      <w:proofErr w:type="spellEnd"/>
      <w:r w:rsidR="00AD3576" w:rsidRPr="00097824">
        <w:rPr>
          <w:rFonts w:eastAsia="MS Mincho"/>
          <w:shd w:val="clear" w:color="auto" w:fill="FFFFFF"/>
        </w:rPr>
        <w:t>);</w:t>
      </w:r>
      <w:r w:rsidR="00896AC1" w:rsidRPr="00097824">
        <w:rPr>
          <w:rFonts w:eastAsia="MS Mincho"/>
          <w:shd w:val="clear" w:color="auto" w:fill="FFFFFF"/>
        </w:rPr>
        <w:t xml:space="preserve"> </w:t>
      </w:r>
      <w:r w:rsidR="00AD3576" w:rsidRPr="00097824">
        <w:rPr>
          <w:rFonts w:eastAsia="MS Mincho"/>
          <w:shd w:val="clear" w:color="auto" w:fill="FFFFFF"/>
        </w:rPr>
        <w:t xml:space="preserve">общий (клинический) анализ крови развернутый клинический и биохимический общетерапевтический анализы крови, исследование уровня ракового эмбрионального антигена (РЭА) в крови, исследование </w:t>
      </w:r>
      <w:r w:rsidR="00C3232A" w:rsidRPr="00097824">
        <w:rPr>
          <w:rFonts w:eastAsia="MS Mincho"/>
          <w:shd w:val="clear" w:color="auto" w:fill="FFFFFF"/>
        </w:rPr>
        <w:t xml:space="preserve">уровня антигена </w:t>
      </w:r>
      <w:proofErr w:type="spellStart"/>
      <w:r w:rsidR="00C3232A" w:rsidRPr="00097824">
        <w:rPr>
          <w:rFonts w:eastAsia="MS Mincho"/>
          <w:shd w:val="clear" w:color="auto" w:fill="FFFFFF"/>
        </w:rPr>
        <w:t>аденогенных</w:t>
      </w:r>
      <w:proofErr w:type="spellEnd"/>
      <w:r w:rsidR="00C3232A" w:rsidRPr="00097824">
        <w:rPr>
          <w:rFonts w:eastAsia="MS Mincho"/>
          <w:shd w:val="clear" w:color="auto" w:fill="FFFFFF"/>
        </w:rPr>
        <w:t xml:space="preserve"> раков CA 19-9 в крови</w:t>
      </w:r>
      <w:r w:rsidR="00AD3576" w:rsidRPr="00097824">
        <w:rPr>
          <w:rFonts w:eastAsia="MS Mincho"/>
          <w:shd w:val="clear" w:color="auto" w:fill="FFFFFF"/>
        </w:rPr>
        <w:t>, исследование уровня альфа-</w:t>
      </w:r>
      <w:proofErr w:type="spellStart"/>
      <w:r w:rsidR="00AD3576" w:rsidRPr="00097824">
        <w:rPr>
          <w:rFonts w:eastAsia="MS Mincho"/>
          <w:shd w:val="clear" w:color="auto" w:fill="FFFFFF"/>
        </w:rPr>
        <w:t>фетопротеина</w:t>
      </w:r>
      <w:proofErr w:type="spellEnd"/>
      <w:r w:rsidR="00AD3576" w:rsidRPr="00097824">
        <w:rPr>
          <w:rFonts w:eastAsia="MS Mincho"/>
          <w:shd w:val="clear" w:color="auto" w:fill="FFFFFF"/>
        </w:rPr>
        <w:t xml:space="preserve"> (АФП)</w:t>
      </w:r>
      <w:r w:rsidR="00F41056" w:rsidRPr="00097824">
        <w:rPr>
          <w:rFonts w:eastAsia="MS Mincho"/>
          <w:shd w:val="clear" w:color="auto" w:fill="FFFFFF"/>
        </w:rPr>
        <w:t>,</w:t>
      </w:r>
      <w:r w:rsidR="007F5427" w:rsidRPr="00097824">
        <w:rPr>
          <w:rFonts w:eastAsia="MS Mincho"/>
          <w:shd w:val="clear" w:color="auto" w:fill="FFFFFF"/>
        </w:rPr>
        <w:t xml:space="preserve"> </w:t>
      </w:r>
      <w:r w:rsidR="00F41056" w:rsidRPr="00097824">
        <w:rPr>
          <w:rFonts w:eastAsia="MS Mincho"/>
          <w:shd w:val="clear" w:color="auto" w:fill="FFFFFF"/>
          <w:lang w:val="en-US"/>
        </w:rPr>
        <w:t>Ig</w:t>
      </w:r>
      <w:r w:rsidR="007F5427" w:rsidRPr="00097824">
        <w:rPr>
          <w:rFonts w:eastAsia="MS Mincho"/>
          <w:shd w:val="clear" w:color="auto" w:fill="FFFFFF"/>
        </w:rPr>
        <w:t xml:space="preserve">4 </w:t>
      </w:r>
      <w:r w:rsidR="00F41056" w:rsidRPr="00097824">
        <w:rPr>
          <w:rFonts w:eastAsia="MS Mincho"/>
          <w:shd w:val="clear" w:color="auto" w:fill="FFFFFF"/>
        </w:rPr>
        <w:t>в крови,</w:t>
      </w:r>
      <w:r w:rsidR="00AD3576" w:rsidRPr="00097824">
        <w:rPr>
          <w:rFonts w:eastAsia="MS Mincho"/>
          <w:shd w:val="clear" w:color="auto" w:fill="FFFFFF"/>
        </w:rPr>
        <w:t xml:space="preserve"> коагулограмму (ориентировочное исследование системы гемостаза),</w:t>
      </w:r>
      <w:r w:rsidR="00F41056" w:rsidRPr="00097824">
        <w:rPr>
          <w:rFonts w:eastAsia="MS Mincho"/>
          <w:shd w:val="clear" w:color="auto" w:fill="FFFFFF"/>
        </w:rPr>
        <w:t xml:space="preserve"> </w:t>
      </w:r>
      <w:r w:rsidR="00AD3576" w:rsidRPr="00097824">
        <w:rPr>
          <w:rFonts w:eastAsia="MS Mincho"/>
          <w:shd w:val="clear" w:color="auto" w:fill="FFFFFF"/>
        </w:rPr>
        <w:t xml:space="preserve"> а также общий (клинический) анализ мочи для определения тактики лечения и дифференциальной диагностики заболевания</w:t>
      </w:r>
      <w:r w:rsidR="00FE1DF4" w:rsidRPr="00097824">
        <w:rPr>
          <w:rFonts w:eastAsia="MS Mincho"/>
          <w:shd w:val="clear" w:color="auto" w:fill="FFFFFF"/>
        </w:rPr>
        <w:t xml:space="preserve"> </w:t>
      </w:r>
      <w:r w:rsidR="00AD3576" w:rsidRPr="00097824">
        <w:rPr>
          <w:rFonts w:eastAsia="MS Mincho"/>
          <w:shd w:val="clear" w:color="auto" w:fill="FFFFFF"/>
        </w:rPr>
        <w:t>[10,19–24].</w:t>
      </w:r>
    </w:p>
    <w:p w14:paraId="1A1890E5" w14:textId="5B5E7399" w:rsidR="00D630AE" w:rsidRPr="00097824" w:rsidRDefault="007F5427" w:rsidP="00A37046">
      <w:pPr>
        <w:pStyle w:val="1"/>
        <w:numPr>
          <w:ilvl w:val="0"/>
          <w:numId w:val="0"/>
        </w:numPr>
        <w:spacing w:before="0"/>
        <w:ind w:left="397"/>
        <w:rPr>
          <w:rFonts w:eastAsia="MS Mincho"/>
          <w:b/>
          <w:sz w:val="22"/>
          <w:szCs w:val="21"/>
          <w:shd w:val="clear" w:color="auto" w:fill="FFFFFF"/>
        </w:rPr>
      </w:pPr>
      <w:r w:rsidRPr="00097824">
        <w:rPr>
          <w:rFonts w:eastAsia="MS Mincho"/>
          <w:b/>
          <w:sz w:val="22"/>
          <w:szCs w:val="21"/>
          <w:shd w:val="clear" w:color="auto" w:fill="FFFFFF"/>
        </w:rPr>
        <w:t>Уровень убедительности рекомендаций – B</w:t>
      </w:r>
      <w:r w:rsidR="00F41056" w:rsidRPr="00097824">
        <w:rPr>
          <w:rFonts w:eastAsia="MS Mincho"/>
          <w:b/>
          <w:sz w:val="22"/>
          <w:szCs w:val="21"/>
          <w:shd w:val="clear" w:color="auto" w:fill="FFFFFF"/>
        </w:rPr>
        <w:t xml:space="preserve"> </w:t>
      </w:r>
      <w:r w:rsidRPr="00097824">
        <w:rPr>
          <w:rFonts w:eastAsia="MS Mincho"/>
          <w:b/>
          <w:sz w:val="22"/>
          <w:szCs w:val="21"/>
          <w:shd w:val="clear" w:color="auto" w:fill="FFFFFF"/>
        </w:rPr>
        <w:t>(уровень достоверности доказательств</w:t>
      </w:r>
      <w:r w:rsidR="00A37046" w:rsidRPr="00097824">
        <w:rPr>
          <w:rFonts w:eastAsia="MS Mincho"/>
          <w:b/>
          <w:sz w:val="22"/>
          <w:szCs w:val="21"/>
          <w:shd w:val="clear" w:color="auto" w:fill="FFFFFF"/>
        </w:rPr>
        <w:t xml:space="preserve"> </w:t>
      </w:r>
      <w:r w:rsidRPr="00097824">
        <w:rPr>
          <w:rFonts w:eastAsia="MS Mincho"/>
          <w:b/>
          <w:sz w:val="22"/>
          <w:szCs w:val="21"/>
          <w:shd w:val="clear" w:color="auto" w:fill="FFFFFF"/>
        </w:rPr>
        <w:t>4)</w:t>
      </w:r>
    </w:p>
    <w:p w14:paraId="4B4667BA" w14:textId="43DDA25C" w:rsidR="00D630AE" w:rsidRPr="00097824" w:rsidRDefault="007F5427" w:rsidP="00A37046">
      <w:pPr>
        <w:pStyle w:val="1"/>
        <w:numPr>
          <w:ilvl w:val="0"/>
          <w:numId w:val="0"/>
        </w:numPr>
        <w:spacing w:before="0"/>
        <w:ind w:left="426"/>
        <w:rPr>
          <w:rFonts w:eastAsia="MS Mincho"/>
          <w:i/>
          <w:szCs w:val="24"/>
          <w:shd w:val="clear" w:color="auto" w:fill="FFFFFF"/>
        </w:rPr>
      </w:pPr>
      <w:r w:rsidRPr="00097824">
        <w:rPr>
          <w:rFonts w:eastAsia="MS Mincho"/>
          <w:b/>
          <w:shd w:val="clear" w:color="auto" w:fill="FFFFFF"/>
        </w:rPr>
        <w:t>Комментарий</w:t>
      </w:r>
      <w:r w:rsidR="00164CBF" w:rsidRPr="00097824">
        <w:rPr>
          <w:rFonts w:eastAsia="MS Mincho"/>
          <w:shd w:val="clear" w:color="auto" w:fill="FFFFFF"/>
        </w:rPr>
        <w:t xml:space="preserve">: </w:t>
      </w:r>
      <w:r w:rsidRPr="00097824">
        <w:rPr>
          <w:rFonts w:eastAsia="MS Mincho"/>
          <w:i/>
          <w:szCs w:val="24"/>
          <w:shd w:val="clear" w:color="auto" w:fill="FFFFFF"/>
        </w:rPr>
        <w:t xml:space="preserve">данный объем лабораторной диагностики выполняется на этапе диагностики и перед планированием лечения. В процессе проведения терапии объем и кратность выполнения лабораторных исследований определяется клинической необходимостью. Клинический анализ крови должен быть выполнен не более чем за 5 дней до начала курса химиотерапии или лучевой терапии. Перечень параметров биохимического общетерапевтического анализа крови и коагулограммы лечащий врач должен определять для каждого пациента индивидуально с учетом его особенностей. Необходимо помнить, что уровень СА19-9 может быть повышен на фоне желтухи, холангита или иного воспалительного процесса в </w:t>
      </w:r>
      <w:proofErr w:type="spellStart"/>
      <w:r w:rsidRPr="00097824">
        <w:rPr>
          <w:rFonts w:eastAsia="MS Mincho"/>
          <w:i/>
          <w:szCs w:val="24"/>
          <w:shd w:val="clear" w:color="auto" w:fill="FFFFFF"/>
        </w:rPr>
        <w:t>панкреатобилиарной</w:t>
      </w:r>
      <w:proofErr w:type="spellEnd"/>
      <w:r w:rsidRPr="00097824">
        <w:rPr>
          <w:rFonts w:eastAsia="MS Mincho"/>
          <w:i/>
          <w:szCs w:val="24"/>
          <w:shd w:val="clear" w:color="auto" w:fill="FFFFFF"/>
        </w:rPr>
        <w:t xml:space="preserve"> области, в связи с чем исследование базового уровня антигена </w:t>
      </w:r>
      <w:proofErr w:type="spellStart"/>
      <w:r w:rsidRPr="00097824">
        <w:rPr>
          <w:rFonts w:eastAsia="MS Mincho"/>
          <w:i/>
          <w:szCs w:val="24"/>
          <w:shd w:val="clear" w:color="auto" w:fill="FFFFFF"/>
        </w:rPr>
        <w:t>аденогенных</w:t>
      </w:r>
      <w:proofErr w:type="spellEnd"/>
      <w:r w:rsidRPr="00097824">
        <w:rPr>
          <w:rFonts w:eastAsia="MS Mincho"/>
          <w:i/>
          <w:szCs w:val="24"/>
          <w:shd w:val="clear" w:color="auto" w:fill="FFFFFF"/>
        </w:rPr>
        <w:t xml:space="preserve"> раков СА 19-9 в крови должно проводиться после </w:t>
      </w:r>
      <w:proofErr w:type="spellStart"/>
      <w:r w:rsidRPr="00097824">
        <w:rPr>
          <w:rFonts w:eastAsia="MS Mincho"/>
          <w:i/>
          <w:szCs w:val="24"/>
          <w:shd w:val="clear" w:color="auto" w:fill="FFFFFF"/>
        </w:rPr>
        <w:t>билиарной</w:t>
      </w:r>
      <w:proofErr w:type="spellEnd"/>
      <w:r w:rsidRPr="00097824">
        <w:rPr>
          <w:rFonts w:eastAsia="MS Mincho"/>
          <w:i/>
          <w:szCs w:val="24"/>
          <w:shd w:val="clear" w:color="auto" w:fill="FFFFFF"/>
        </w:rPr>
        <w:t xml:space="preserve"> декомпрессии, нормализации уровня билирубина и купирования воспалительных явлений.</w:t>
      </w:r>
    </w:p>
    <w:p w14:paraId="0C53AFCC" w14:textId="77777777" w:rsidR="00A37046" w:rsidRPr="00097824" w:rsidRDefault="00A37046" w:rsidP="00A37046">
      <w:pPr>
        <w:pStyle w:val="1"/>
        <w:numPr>
          <w:ilvl w:val="0"/>
          <w:numId w:val="0"/>
        </w:numPr>
        <w:spacing w:before="0"/>
        <w:ind w:left="426"/>
        <w:rPr>
          <w:shd w:val="clear" w:color="auto" w:fill="FFFFFF"/>
        </w:rPr>
      </w:pPr>
    </w:p>
    <w:p w14:paraId="40697C1A" w14:textId="45CBC3E3" w:rsidR="00D630AE" w:rsidRPr="00097824" w:rsidRDefault="00910475" w:rsidP="00CC2BE1">
      <w:pPr>
        <w:pStyle w:val="2"/>
        <w:numPr>
          <w:ilvl w:val="2"/>
          <w:numId w:val="29"/>
        </w:numPr>
        <w:spacing w:before="0"/>
        <w:ind w:left="397" w:firstLine="357"/>
      </w:pPr>
      <w:bookmarkStart w:id="60" w:name="_Toc113205024"/>
      <w:bookmarkStart w:id="61" w:name="_Toc113205056"/>
      <w:bookmarkStart w:id="62" w:name="_Toc11747740"/>
      <w:bookmarkStart w:id="63" w:name="_Toc23142725"/>
      <w:bookmarkStart w:id="64" w:name="_Toc113198766"/>
      <w:bookmarkStart w:id="65" w:name="_Toc113205057"/>
      <w:bookmarkEnd w:id="60"/>
      <w:bookmarkEnd w:id="61"/>
      <w:r w:rsidRPr="00097824">
        <w:t>Инструментальные диагностические исследовани</w:t>
      </w:r>
      <w:r w:rsidR="0023087B" w:rsidRPr="00097824">
        <w:t>я</w:t>
      </w:r>
      <w:bookmarkEnd w:id="62"/>
      <w:bookmarkEnd w:id="63"/>
      <w:bookmarkEnd w:id="64"/>
      <w:bookmarkEnd w:id="65"/>
    </w:p>
    <w:p w14:paraId="29CAD600" w14:textId="04D26966" w:rsidR="00E739C2" w:rsidRPr="00097824" w:rsidRDefault="007F5427" w:rsidP="00C3232A">
      <w:pPr>
        <w:pStyle w:val="aff"/>
        <w:numPr>
          <w:ilvl w:val="0"/>
          <w:numId w:val="28"/>
        </w:numPr>
        <w:rPr>
          <w:rFonts w:eastAsia="MS Mincho"/>
          <w:shd w:val="clear" w:color="auto" w:fill="FFFFFF"/>
        </w:rPr>
      </w:pPr>
      <w:r w:rsidRPr="00097824">
        <w:t xml:space="preserve">Ультразвуковое исследование брюшной полости </w:t>
      </w:r>
      <w:r w:rsidR="00C3232A" w:rsidRPr="00097824">
        <w:t xml:space="preserve">(комплексное) </w:t>
      </w:r>
      <w:r w:rsidRPr="00097824">
        <w:t xml:space="preserve">в качестве скрининга может выявить образование в печени при внутрипеченочной форме </w:t>
      </w:r>
      <w:proofErr w:type="spellStart"/>
      <w:r w:rsidRPr="00097824">
        <w:t>холангиокарциномы</w:t>
      </w:r>
      <w:proofErr w:type="spellEnd"/>
      <w:r w:rsidR="00E739C2" w:rsidRPr="00097824">
        <w:t xml:space="preserve">, так же возможно его применение для </w:t>
      </w:r>
      <w:r w:rsidR="00980E88" w:rsidRPr="00097824">
        <w:t>навигации в ходе чрескожной аспирационной/</w:t>
      </w:r>
      <w:proofErr w:type="spellStart"/>
      <w:r w:rsidR="00980E88" w:rsidRPr="00097824">
        <w:t>инцизионной</w:t>
      </w:r>
      <w:proofErr w:type="spellEnd"/>
      <w:r w:rsidR="00980E88" w:rsidRPr="00097824">
        <w:t xml:space="preserve"> биопсии </w:t>
      </w:r>
      <w:proofErr w:type="gramStart"/>
      <w:r w:rsidR="00980E88" w:rsidRPr="00097824">
        <w:t>опухол</w:t>
      </w:r>
      <w:r w:rsidR="00C3232A" w:rsidRPr="00097824">
        <w:t>ей</w:t>
      </w:r>
      <w:r w:rsidR="00980E88" w:rsidRPr="00097824">
        <w:t xml:space="preserve"> </w:t>
      </w:r>
      <w:r w:rsidR="00C3232A" w:rsidRPr="00097824">
        <w:t xml:space="preserve"> опухолеподобных</w:t>
      </w:r>
      <w:proofErr w:type="gramEnd"/>
      <w:r w:rsidR="00C3232A" w:rsidRPr="00097824">
        <w:t xml:space="preserve"> образований мягких тканей</w:t>
      </w:r>
      <w:r w:rsidR="00FE1DF4" w:rsidRPr="00097824">
        <w:t xml:space="preserve"> [168]</w:t>
      </w:r>
      <w:r w:rsidR="00C3232A" w:rsidRPr="00097824">
        <w:t xml:space="preserve"> </w:t>
      </w:r>
      <w:r w:rsidR="00980E88" w:rsidRPr="00097824">
        <w:t xml:space="preserve">и </w:t>
      </w:r>
      <w:r w:rsidR="00E739C2" w:rsidRPr="00097824">
        <w:t>контроля за эффективность лекарственного лечения.</w:t>
      </w:r>
    </w:p>
    <w:p w14:paraId="65808EB2" w14:textId="164AD5BA" w:rsidR="004922B0" w:rsidRPr="00097824" w:rsidRDefault="004922B0" w:rsidP="00CC2BE1">
      <w:pPr>
        <w:pStyle w:val="aff"/>
        <w:numPr>
          <w:ilvl w:val="0"/>
          <w:numId w:val="28"/>
        </w:numPr>
        <w:ind w:left="397" w:firstLine="357"/>
        <w:rPr>
          <w:rFonts w:eastAsia="MS Mincho"/>
          <w:shd w:val="clear" w:color="auto" w:fill="FFFFFF"/>
        </w:rPr>
      </w:pPr>
      <w:r w:rsidRPr="00097824">
        <w:rPr>
          <w:rFonts w:eastAsia="MS Mincho"/>
          <w:shd w:val="clear" w:color="auto" w:fill="FFFFFF"/>
        </w:rPr>
        <w:lastRenderedPageBreak/>
        <w:t xml:space="preserve">Рекомендуется проведение биопсии с последующим </w:t>
      </w:r>
      <w:proofErr w:type="gramStart"/>
      <w:r w:rsidRPr="00097824">
        <w:rPr>
          <w:rFonts w:eastAsia="MS Mincho"/>
          <w:shd w:val="clear" w:color="auto" w:fill="FFFFFF"/>
        </w:rPr>
        <w:t>патолого-анатомическим</w:t>
      </w:r>
      <w:proofErr w:type="gramEnd"/>
      <w:r w:rsidRPr="00097824">
        <w:rPr>
          <w:rFonts w:eastAsia="MS Mincho"/>
          <w:shd w:val="clear" w:color="auto" w:fill="FFFFFF"/>
        </w:rPr>
        <w:t xml:space="preserve"> исследованием </w:t>
      </w:r>
      <w:proofErr w:type="spellStart"/>
      <w:r w:rsidRPr="00097824">
        <w:rPr>
          <w:rFonts w:eastAsia="MS Mincho"/>
          <w:shd w:val="clear" w:color="auto" w:fill="FFFFFF"/>
        </w:rPr>
        <w:t>биопсийного</w:t>
      </w:r>
      <w:proofErr w:type="spellEnd"/>
      <w:r w:rsidRPr="00097824">
        <w:rPr>
          <w:rFonts w:eastAsia="MS Mincho"/>
          <w:shd w:val="clear" w:color="auto" w:fill="FFFFFF"/>
        </w:rPr>
        <w:t xml:space="preserve"> (операционного) материала с проведением </w:t>
      </w:r>
      <w:proofErr w:type="spellStart"/>
      <w:r w:rsidRPr="00097824">
        <w:rPr>
          <w:rFonts w:eastAsia="MS Mincho"/>
          <w:shd w:val="clear" w:color="auto" w:fill="FFFFFF"/>
        </w:rPr>
        <w:t>иммуно</w:t>
      </w:r>
      <w:proofErr w:type="spellEnd"/>
      <w:r w:rsidR="00A37046" w:rsidRPr="00097824">
        <w:rPr>
          <w:rFonts w:eastAsia="MS Mincho"/>
          <w:shd w:val="clear" w:color="auto" w:fill="FFFFFF"/>
        </w:rPr>
        <w:t>-</w:t>
      </w:r>
      <w:r w:rsidRPr="00097824">
        <w:rPr>
          <w:rFonts w:eastAsia="MS Mincho"/>
          <w:shd w:val="clear" w:color="auto" w:fill="FFFFFF"/>
        </w:rPr>
        <w:t>гистохимического исследования при необходимости</w:t>
      </w:r>
      <w:r w:rsidR="00FE1DF4" w:rsidRPr="00097824">
        <w:rPr>
          <w:rFonts w:eastAsia="MS Mincho"/>
          <w:shd w:val="clear" w:color="auto" w:fill="FFFFFF"/>
        </w:rPr>
        <w:t xml:space="preserve"> [169, 170]</w:t>
      </w:r>
      <w:r w:rsidRPr="00097824">
        <w:rPr>
          <w:rFonts w:eastAsia="MS Mincho"/>
          <w:shd w:val="clear" w:color="auto" w:fill="FFFFFF"/>
        </w:rPr>
        <w:t xml:space="preserve">. </w:t>
      </w:r>
    </w:p>
    <w:p w14:paraId="0FEF348F" w14:textId="42FD5FDF" w:rsidR="004922B0" w:rsidRPr="00097824" w:rsidRDefault="004922B0" w:rsidP="00A37046">
      <w:pPr>
        <w:ind w:firstLine="0"/>
        <w:rPr>
          <w:rFonts w:eastAsia="MS Mincho"/>
          <w:szCs w:val="24"/>
          <w:shd w:val="clear" w:color="auto" w:fill="FFFFFF"/>
        </w:rPr>
      </w:pPr>
      <w:r w:rsidRPr="00097824">
        <w:rPr>
          <w:rFonts w:eastAsia="MS Mincho"/>
          <w:b/>
          <w:szCs w:val="24"/>
          <w:shd w:val="clear" w:color="auto" w:fill="FFFFFF"/>
        </w:rPr>
        <w:t xml:space="preserve">Уровень убедительности рекомендаций – </w:t>
      </w:r>
      <w:r w:rsidR="002A257A" w:rsidRPr="00097824">
        <w:rPr>
          <w:rFonts w:eastAsia="MS Mincho"/>
          <w:b/>
          <w:szCs w:val="24"/>
          <w:shd w:val="clear" w:color="auto" w:fill="FFFFFF"/>
        </w:rPr>
        <w:t>С</w:t>
      </w:r>
      <w:r w:rsidR="004A1307" w:rsidRPr="00097824">
        <w:rPr>
          <w:rFonts w:eastAsia="MS Mincho"/>
          <w:b/>
          <w:szCs w:val="24"/>
          <w:shd w:val="clear" w:color="auto" w:fill="FFFFFF"/>
        </w:rPr>
        <w:t xml:space="preserve"> </w:t>
      </w:r>
      <w:r w:rsidRPr="00097824">
        <w:rPr>
          <w:rFonts w:eastAsia="MS Mincho"/>
          <w:szCs w:val="24"/>
          <w:shd w:val="clear" w:color="auto" w:fill="FFFFFF"/>
        </w:rPr>
        <w:t xml:space="preserve">(уровень достоверности доказательств – </w:t>
      </w:r>
      <w:r w:rsidR="002A257A" w:rsidRPr="00097824">
        <w:rPr>
          <w:rFonts w:eastAsia="MS Mincho"/>
          <w:szCs w:val="24"/>
          <w:shd w:val="clear" w:color="auto" w:fill="FFFFFF"/>
        </w:rPr>
        <w:t>5</w:t>
      </w:r>
      <w:r w:rsidRPr="00097824">
        <w:rPr>
          <w:rFonts w:eastAsia="MS Mincho"/>
          <w:szCs w:val="24"/>
          <w:shd w:val="clear" w:color="auto" w:fill="FFFFFF"/>
        </w:rPr>
        <w:t>).</w:t>
      </w:r>
    </w:p>
    <w:p w14:paraId="21304D3F" w14:textId="77777777" w:rsidR="00980E88" w:rsidRPr="00097824" w:rsidRDefault="004922B0" w:rsidP="00A37046">
      <w:pPr>
        <w:ind w:firstLine="0"/>
        <w:rPr>
          <w:rFonts w:eastAsia="MS Mincho"/>
          <w:i/>
          <w:szCs w:val="24"/>
          <w:shd w:val="clear" w:color="auto" w:fill="FFFFFF"/>
        </w:rPr>
      </w:pPr>
      <w:r w:rsidRPr="00097824">
        <w:rPr>
          <w:rFonts w:eastAsia="MS Mincho"/>
          <w:b/>
          <w:szCs w:val="24"/>
          <w:shd w:val="clear" w:color="auto" w:fill="FFFFFF"/>
        </w:rPr>
        <w:t>Комментарий:</w:t>
      </w:r>
      <w:r w:rsidR="00E739C2" w:rsidRPr="00097824">
        <w:rPr>
          <w:rFonts w:eastAsia="MS Mincho"/>
          <w:b/>
          <w:szCs w:val="24"/>
          <w:shd w:val="clear" w:color="auto" w:fill="FFFFFF"/>
        </w:rPr>
        <w:t xml:space="preserve"> </w:t>
      </w:r>
      <w:r w:rsidRPr="00097824">
        <w:rPr>
          <w:rFonts w:eastAsia="MS Mincho"/>
          <w:i/>
          <w:szCs w:val="24"/>
          <w:shd w:val="clear" w:color="auto" w:fill="FFFFFF"/>
        </w:rPr>
        <w:t>Отрицательный результат биопсии при положительных данных лучевого исследования - повод для повторных процедур, пока не будет получен диагностически значимый материал.</w:t>
      </w:r>
      <w:r w:rsidR="004F05A5" w:rsidRPr="00097824">
        <w:rPr>
          <w:rFonts w:eastAsia="MS Mincho"/>
          <w:i/>
          <w:szCs w:val="24"/>
          <w:shd w:val="clear" w:color="auto" w:fill="FFFFFF"/>
        </w:rPr>
        <w:t xml:space="preserve"> Наиболее оптимальным способом забора материала является чрескожная </w:t>
      </w:r>
      <w:proofErr w:type="spellStart"/>
      <w:r w:rsidR="004F05A5" w:rsidRPr="00097824">
        <w:rPr>
          <w:rFonts w:eastAsia="MS Mincho"/>
          <w:i/>
          <w:szCs w:val="24"/>
          <w:shd w:val="clear" w:color="auto" w:fill="FFFFFF"/>
        </w:rPr>
        <w:t>чреспеченочная</w:t>
      </w:r>
      <w:proofErr w:type="spellEnd"/>
      <w:r w:rsidR="004F05A5" w:rsidRPr="00097824">
        <w:rPr>
          <w:rFonts w:eastAsia="MS Mincho"/>
          <w:i/>
          <w:szCs w:val="24"/>
          <w:shd w:val="clear" w:color="auto" w:fill="FFFFFF"/>
        </w:rPr>
        <w:t xml:space="preserve"> био</w:t>
      </w:r>
      <w:r w:rsidR="001354F1" w:rsidRPr="00097824">
        <w:rPr>
          <w:rFonts w:eastAsia="MS Mincho"/>
          <w:i/>
          <w:szCs w:val="24"/>
          <w:shd w:val="clear" w:color="auto" w:fill="FFFFFF"/>
        </w:rPr>
        <w:t xml:space="preserve">псии под УЗКТ или РКТ контролем, допустима биопсия печени под </w:t>
      </w:r>
      <w:proofErr w:type="spellStart"/>
      <w:r w:rsidR="001354F1" w:rsidRPr="00097824">
        <w:rPr>
          <w:rFonts w:eastAsia="MS Mincho"/>
          <w:i/>
          <w:szCs w:val="24"/>
          <w:shd w:val="clear" w:color="auto" w:fill="FFFFFF"/>
        </w:rPr>
        <w:t>эндовидеохирургическим</w:t>
      </w:r>
      <w:proofErr w:type="spellEnd"/>
      <w:r w:rsidR="001354F1" w:rsidRPr="00097824">
        <w:rPr>
          <w:rFonts w:eastAsia="MS Mincho"/>
          <w:i/>
          <w:szCs w:val="24"/>
          <w:shd w:val="clear" w:color="auto" w:fill="FFFFFF"/>
        </w:rPr>
        <w:t xml:space="preserve"> контролем.</w:t>
      </w:r>
      <w:r w:rsidR="004F05A5" w:rsidRPr="00097824">
        <w:rPr>
          <w:rFonts w:eastAsia="MS Mincho"/>
          <w:i/>
          <w:szCs w:val="24"/>
          <w:shd w:val="clear" w:color="auto" w:fill="FFFFFF"/>
        </w:rPr>
        <w:t xml:space="preserve"> Открытая биопсия печени должна применяться в крайних редких случаях.</w:t>
      </w:r>
    </w:p>
    <w:p w14:paraId="03094A71" w14:textId="5CFCADB1" w:rsidR="00980E88" w:rsidRPr="00097824" w:rsidRDefault="00980E88" w:rsidP="00A37046">
      <w:pPr>
        <w:ind w:firstLine="0"/>
        <w:rPr>
          <w:rFonts w:eastAsia="MS Mincho"/>
          <w:i/>
          <w:szCs w:val="24"/>
          <w:shd w:val="clear" w:color="auto" w:fill="FFFFFF"/>
        </w:rPr>
      </w:pPr>
      <w:r w:rsidRPr="00097824">
        <w:rPr>
          <w:rFonts w:eastAsia="MS Mincho"/>
          <w:i/>
          <w:szCs w:val="24"/>
          <w:u w:val="single"/>
          <w:shd w:val="clear" w:color="auto" w:fill="FFFFFF"/>
        </w:rPr>
        <w:t>Дифференциальная диагностика:</w:t>
      </w:r>
      <w:r w:rsidR="00A37046" w:rsidRPr="00097824">
        <w:rPr>
          <w:rFonts w:eastAsia="MS Mincho"/>
          <w:i/>
          <w:szCs w:val="24"/>
          <w:shd w:val="clear" w:color="auto" w:fill="FFFFFF"/>
        </w:rPr>
        <w:t xml:space="preserve"> </w:t>
      </w:r>
      <w:r w:rsidRPr="00097824">
        <w:rPr>
          <w:rFonts w:eastAsia="MS Mincho"/>
          <w:i/>
          <w:szCs w:val="24"/>
          <w:shd w:val="clear" w:color="auto" w:fill="FFFFFF"/>
        </w:rPr>
        <w:t xml:space="preserve">Ключевые новообразования, с которыми стоит дифференцировать внутрипеченочный ХЦР при исключении метастатического процесса в печени, гепатоцеллюлярный рак, эпителиоидная </w:t>
      </w:r>
      <w:proofErr w:type="spellStart"/>
      <w:r w:rsidRPr="00097824">
        <w:rPr>
          <w:rFonts w:eastAsia="MS Mincho"/>
          <w:i/>
          <w:szCs w:val="24"/>
          <w:shd w:val="clear" w:color="auto" w:fill="FFFFFF"/>
        </w:rPr>
        <w:t>гемангиоэндотелиома</w:t>
      </w:r>
      <w:proofErr w:type="spellEnd"/>
      <w:r w:rsidRPr="00097824">
        <w:rPr>
          <w:rFonts w:eastAsia="MS Mincho"/>
          <w:i/>
          <w:szCs w:val="24"/>
          <w:shd w:val="clear" w:color="auto" w:fill="FFFFFF"/>
        </w:rPr>
        <w:t xml:space="preserve">, </w:t>
      </w:r>
      <w:proofErr w:type="spellStart"/>
      <w:r w:rsidRPr="00097824">
        <w:rPr>
          <w:rFonts w:eastAsia="MS Mincho"/>
          <w:i/>
          <w:szCs w:val="24"/>
          <w:shd w:val="clear" w:color="auto" w:fill="FFFFFF"/>
        </w:rPr>
        <w:t>билиарная</w:t>
      </w:r>
      <w:proofErr w:type="spellEnd"/>
      <w:r w:rsidRPr="00097824">
        <w:rPr>
          <w:rFonts w:eastAsia="MS Mincho"/>
          <w:i/>
          <w:szCs w:val="24"/>
          <w:shd w:val="clear" w:color="auto" w:fill="FFFFFF"/>
        </w:rPr>
        <w:t xml:space="preserve"> аденома, </w:t>
      </w:r>
      <w:proofErr w:type="spellStart"/>
      <w:r w:rsidR="00242D02" w:rsidRPr="00097824">
        <w:rPr>
          <w:rFonts w:eastAsia="MS Mincho"/>
          <w:i/>
          <w:szCs w:val="24"/>
          <w:shd w:val="clear" w:color="auto" w:fill="FFFFFF"/>
        </w:rPr>
        <w:t>дуктулярная</w:t>
      </w:r>
      <w:proofErr w:type="spellEnd"/>
      <w:r w:rsidR="00242D02" w:rsidRPr="00097824">
        <w:rPr>
          <w:rFonts w:eastAsia="MS Mincho"/>
          <w:i/>
          <w:szCs w:val="24"/>
          <w:shd w:val="clear" w:color="auto" w:fill="FFFFFF"/>
        </w:rPr>
        <w:t xml:space="preserve"> реакция с </w:t>
      </w:r>
      <w:proofErr w:type="spellStart"/>
      <w:r w:rsidR="00242D02" w:rsidRPr="00097824">
        <w:rPr>
          <w:rFonts w:eastAsia="MS Mincho"/>
          <w:i/>
          <w:szCs w:val="24"/>
          <w:shd w:val="clear" w:color="auto" w:fill="FFFFFF"/>
        </w:rPr>
        <w:t>атипией</w:t>
      </w:r>
      <w:proofErr w:type="spellEnd"/>
      <w:r w:rsidR="00242D02" w:rsidRPr="00097824">
        <w:rPr>
          <w:rFonts w:eastAsia="MS Mincho"/>
          <w:i/>
          <w:szCs w:val="24"/>
          <w:shd w:val="clear" w:color="auto" w:fill="FFFFFF"/>
        </w:rPr>
        <w:t xml:space="preserve">, </w:t>
      </w:r>
      <w:proofErr w:type="spellStart"/>
      <w:r w:rsidR="00242D02" w:rsidRPr="00097824">
        <w:rPr>
          <w:rFonts w:eastAsia="MS Mincho"/>
          <w:i/>
          <w:szCs w:val="24"/>
          <w:shd w:val="clear" w:color="auto" w:fill="FFFFFF"/>
        </w:rPr>
        <w:t>билиарная</w:t>
      </w:r>
      <w:proofErr w:type="spellEnd"/>
      <w:r w:rsidR="00242D02" w:rsidRPr="00097824">
        <w:rPr>
          <w:rFonts w:eastAsia="MS Mincho"/>
          <w:i/>
          <w:szCs w:val="24"/>
          <w:shd w:val="clear" w:color="auto" w:fill="FFFFFF"/>
        </w:rPr>
        <w:t xml:space="preserve"> </w:t>
      </w:r>
      <w:proofErr w:type="spellStart"/>
      <w:r w:rsidR="00242D02" w:rsidRPr="00097824">
        <w:rPr>
          <w:rFonts w:eastAsia="MS Mincho"/>
          <w:i/>
          <w:szCs w:val="24"/>
          <w:shd w:val="clear" w:color="auto" w:fill="FFFFFF"/>
        </w:rPr>
        <w:t>аденофиброма</w:t>
      </w:r>
      <w:proofErr w:type="spellEnd"/>
      <w:r w:rsidRPr="00097824">
        <w:rPr>
          <w:rFonts w:eastAsia="MS Mincho"/>
          <w:i/>
          <w:szCs w:val="24"/>
          <w:shd w:val="clear" w:color="auto" w:fill="FFFFFF"/>
        </w:rPr>
        <w:t>. Каждая из нозологических единиц имеет характерную гистологическую картину. Для уточнения диагноза, как правило, используется метод ИГХ-диагностики</w:t>
      </w:r>
      <w:r w:rsidR="00FE1DF4" w:rsidRPr="00097824">
        <w:rPr>
          <w:rFonts w:eastAsia="MS Mincho"/>
          <w:i/>
          <w:szCs w:val="24"/>
          <w:shd w:val="clear" w:color="auto" w:fill="FFFFFF"/>
        </w:rPr>
        <w:t xml:space="preserve"> </w:t>
      </w:r>
      <w:r w:rsidR="00242D02" w:rsidRPr="00097824">
        <w:rPr>
          <w:rFonts w:eastAsia="MS Mincho"/>
          <w:i/>
          <w:szCs w:val="24"/>
          <w:shd w:val="clear" w:color="auto" w:fill="FFFFFF"/>
        </w:rPr>
        <w:t>[3</w:t>
      </w:r>
      <w:r w:rsidR="00F07915" w:rsidRPr="00097824">
        <w:rPr>
          <w:rFonts w:eastAsia="MS Mincho"/>
          <w:i/>
          <w:szCs w:val="24"/>
          <w:shd w:val="clear" w:color="auto" w:fill="FFFFFF"/>
        </w:rPr>
        <w:t>,164</w:t>
      </w:r>
      <w:r w:rsidR="00242D02" w:rsidRPr="00097824">
        <w:rPr>
          <w:rFonts w:eastAsia="MS Mincho"/>
          <w:i/>
          <w:szCs w:val="24"/>
          <w:shd w:val="clear" w:color="auto" w:fill="FFFFFF"/>
        </w:rPr>
        <w:t>]</w:t>
      </w:r>
      <w:r w:rsidRPr="00097824">
        <w:rPr>
          <w:rFonts w:eastAsia="MS Mincho"/>
          <w:i/>
          <w:szCs w:val="24"/>
          <w:shd w:val="clear" w:color="auto" w:fill="FFFFFF"/>
        </w:rPr>
        <w:t>.</w:t>
      </w:r>
    </w:p>
    <w:tbl>
      <w:tblPr>
        <w:tblStyle w:val="affb"/>
        <w:tblW w:w="0" w:type="auto"/>
        <w:tblLook w:val="04A0" w:firstRow="1" w:lastRow="0" w:firstColumn="1" w:lastColumn="0" w:noHBand="0" w:noVBand="1"/>
      </w:tblPr>
      <w:tblGrid>
        <w:gridCol w:w="2937"/>
        <w:gridCol w:w="6408"/>
      </w:tblGrid>
      <w:tr w:rsidR="00242D02" w:rsidRPr="00097824" w14:paraId="5D07CFD2" w14:textId="77777777" w:rsidTr="00B62BA4">
        <w:tc>
          <w:tcPr>
            <w:tcW w:w="2943" w:type="dxa"/>
          </w:tcPr>
          <w:p w14:paraId="1BA8D281" w14:textId="77777777" w:rsidR="00242D02" w:rsidRPr="00097824" w:rsidRDefault="00242D02" w:rsidP="00B62BA4">
            <w:pPr>
              <w:ind w:firstLine="0"/>
              <w:rPr>
                <w:rFonts w:eastAsia="MS Mincho"/>
                <w:b/>
                <w:i/>
                <w:szCs w:val="24"/>
                <w:shd w:val="clear" w:color="auto" w:fill="FFFFFF"/>
              </w:rPr>
            </w:pPr>
            <w:r w:rsidRPr="00097824">
              <w:rPr>
                <w:rFonts w:eastAsia="MS Mincho"/>
                <w:b/>
                <w:i/>
                <w:szCs w:val="24"/>
                <w:shd w:val="clear" w:color="auto" w:fill="FFFFFF"/>
              </w:rPr>
              <w:t>Гепатоцеллюлярный рак</w:t>
            </w:r>
          </w:p>
        </w:tc>
        <w:tc>
          <w:tcPr>
            <w:tcW w:w="6521" w:type="dxa"/>
          </w:tcPr>
          <w:p w14:paraId="36A0721C" w14:textId="77777777" w:rsidR="00242D02" w:rsidRPr="00097824" w:rsidRDefault="00242D02" w:rsidP="00242D02">
            <w:pPr>
              <w:pStyle w:val="aff"/>
              <w:ind w:left="397" w:firstLine="357"/>
              <w:rPr>
                <w:rFonts w:eastAsia="MS Mincho"/>
                <w:i/>
                <w:szCs w:val="24"/>
                <w:shd w:val="clear" w:color="auto" w:fill="FFFFFF"/>
              </w:rPr>
            </w:pPr>
            <w:r w:rsidRPr="00097824">
              <w:rPr>
                <w:rFonts w:eastAsia="MS Mincho"/>
                <w:b/>
                <w:i/>
                <w:szCs w:val="24"/>
                <w:shd w:val="clear" w:color="auto" w:fill="FFFFFF"/>
              </w:rPr>
              <w:t xml:space="preserve">При </w:t>
            </w:r>
            <w:proofErr w:type="spellStart"/>
            <w:r w:rsidRPr="00097824">
              <w:rPr>
                <w:rFonts w:eastAsia="MS Mincho"/>
                <w:b/>
                <w:i/>
                <w:szCs w:val="24"/>
                <w:shd w:val="clear" w:color="auto" w:fill="FFFFFF"/>
              </w:rPr>
              <w:t>иммуногистохимическом</w:t>
            </w:r>
            <w:proofErr w:type="spellEnd"/>
            <w:r w:rsidRPr="00097824">
              <w:rPr>
                <w:rFonts w:eastAsia="MS Mincho"/>
                <w:b/>
                <w:i/>
                <w:szCs w:val="24"/>
                <w:shd w:val="clear" w:color="auto" w:fill="FFFFFF"/>
              </w:rPr>
              <w:t xml:space="preserve"> исследовании</w:t>
            </w:r>
            <w:r w:rsidRPr="00097824">
              <w:rPr>
                <w:rFonts w:eastAsia="MS Mincho"/>
                <w:i/>
                <w:szCs w:val="24"/>
                <w:shd w:val="clear" w:color="auto" w:fill="FFFFFF"/>
              </w:rPr>
              <w:t xml:space="preserve"> </w:t>
            </w:r>
          </w:p>
          <w:p w14:paraId="44466E71" w14:textId="77777777" w:rsidR="00242D02" w:rsidRPr="00097824" w:rsidRDefault="00242D02" w:rsidP="00B62BA4">
            <w:pPr>
              <w:ind w:firstLine="0"/>
              <w:rPr>
                <w:rFonts w:eastAsia="MS Mincho"/>
                <w:i/>
                <w:szCs w:val="24"/>
                <w:shd w:val="clear" w:color="auto" w:fill="FFFFFF"/>
              </w:rPr>
            </w:pPr>
            <w:r w:rsidRPr="00097824">
              <w:rPr>
                <w:rFonts w:eastAsia="MS Mincho"/>
                <w:i/>
                <w:szCs w:val="24"/>
                <w:shd w:val="clear" w:color="auto" w:fill="FFFFFF"/>
              </w:rPr>
              <w:t xml:space="preserve">позитивные реакции с аргиназой-1, </w:t>
            </w:r>
            <w:proofErr w:type="spellStart"/>
            <w:r w:rsidRPr="00097824">
              <w:rPr>
                <w:rFonts w:eastAsia="MS Mincho"/>
                <w:i/>
                <w:szCs w:val="24"/>
                <w:shd w:val="clear" w:color="auto" w:fill="FFFFFF"/>
                <w:lang w:val="en-US"/>
              </w:rPr>
              <w:t>HepPar</w:t>
            </w:r>
            <w:proofErr w:type="spellEnd"/>
            <w:r w:rsidRPr="00097824">
              <w:rPr>
                <w:rFonts w:eastAsia="MS Mincho"/>
                <w:i/>
                <w:szCs w:val="24"/>
                <w:shd w:val="clear" w:color="auto" w:fill="FFFFFF"/>
              </w:rPr>
              <w:t xml:space="preserve">1, </w:t>
            </w:r>
            <w:proofErr w:type="spellStart"/>
            <w:r w:rsidRPr="00097824">
              <w:rPr>
                <w:rFonts w:eastAsia="MS Mincho"/>
                <w:i/>
                <w:szCs w:val="24"/>
                <w:shd w:val="clear" w:color="auto" w:fill="FFFFFF"/>
              </w:rPr>
              <w:t>глипиканом</w:t>
            </w:r>
            <w:proofErr w:type="spellEnd"/>
            <w:r w:rsidRPr="00097824">
              <w:rPr>
                <w:rFonts w:eastAsia="MS Mincho"/>
                <w:i/>
                <w:szCs w:val="24"/>
                <w:shd w:val="clear" w:color="auto" w:fill="FFFFFF"/>
              </w:rPr>
              <w:t xml:space="preserve"> 3, </w:t>
            </w:r>
            <w:r w:rsidRPr="00097824">
              <w:rPr>
                <w:rFonts w:eastAsia="MS Mincho"/>
                <w:i/>
                <w:szCs w:val="24"/>
                <w:shd w:val="clear" w:color="auto" w:fill="FFFFFF"/>
                <w:lang w:val="en-US"/>
              </w:rPr>
              <w:t>CD</w:t>
            </w:r>
            <w:r w:rsidRPr="00097824">
              <w:rPr>
                <w:rFonts w:eastAsia="MS Mincho"/>
                <w:i/>
                <w:szCs w:val="24"/>
                <w:shd w:val="clear" w:color="auto" w:fill="FFFFFF"/>
              </w:rPr>
              <w:t>10 (</w:t>
            </w:r>
            <w:proofErr w:type="spellStart"/>
            <w:r w:rsidRPr="00097824">
              <w:rPr>
                <w:rFonts w:eastAsia="MS Mincho"/>
                <w:i/>
                <w:szCs w:val="24"/>
                <w:shd w:val="clear" w:color="auto" w:fill="FFFFFF"/>
              </w:rPr>
              <w:t>каналикулярное</w:t>
            </w:r>
            <w:proofErr w:type="spellEnd"/>
            <w:r w:rsidRPr="00097824">
              <w:rPr>
                <w:rFonts w:eastAsia="MS Mincho"/>
                <w:i/>
                <w:szCs w:val="24"/>
                <w:shd w:val="clear" w:color="auto" w:fill="FFFFFF"/>
              </w:rPr>
              <w:t xml:space="preserve"> окрашивание)</w:t>
            </w:r>
          </w:p>
        </w:tc>
      </w:tr>
      <w:tr w:rsidR="00242D02" w:rsidRPr="00097824" w14:paraId="3AF62EF0" w14:textId="77777777" w:rsidTr="00B62BA4">
        <w:tc>
          <w:tcPr>
            <w:tcW w:w="2943" w:type="dxa"/>
          </w:tcPr>
          <w:p w14:paraId="0FBCA547" w14:textId="77777777" w:rsidR="00242D02" w:rsidRPr="00097824" w:rsidRDefault="00242D02" w:rsidP="00B62BA4">
            <w:pPr>
              <w:ind w:firstLine="0"/>
              <w:rPr>
                <w:rFonts w:eastAsia="MS Mincho"/>
                <w:b/>
                <w:i/>
                <w:szCs w:val="24"/>
                <w:shd w:val="clear" w:color="auto" w:fill="FFFFFF"/>
              </w:rPr>
            </w:pPr>
            <w:r w:rsidRPr="00097824">
              <w:rPr>
                <w:rFonts w:eastAsia="MS Mincho"/>
                <w:b/>
                <w:i/>
                <w:szCs w:val="24"/>
                <w:shd w:val="clear" w:color="auto" w:fill="FFFFFF"/>
              </w:rPr>
              <w:t>Метастатическая аденокарцинома</w:t>
            </w:r>
          </w:p>
          <w:p w14:paraId="531D3D2E" w14:textId="77777777" w:rsidR="00242D02" w:rsidRPr="00097824" w:rsidRDefault="00242D02" w:rsidP="00242D02">
            <w:pPr>
              <w:pStyle w:val="aff"/>
              <w:ind w:left="397" w:firstLine="357"/>
              <w:rPr>
                <w:rFonts w:eastAsia="MS Mincho"/>
                <w:i/>
                <w:szCs w:val="24"/>
                <w:shd w:val="clear" w:color="auto" w:fill="FFFFFF"/>
              </w:rPr>
            </w:pPr>
          </w:p>
        </w:tc>
        <w:tc>
          <w:tcPr>
            <w:tcW w:w="6521" w:type="dxa"/>
          </w:tcPr>
          <w:p w14:paraId="23C0E3E1" w14:textId="77777777" w:rsidR="00242D02" w:rsidRPr="00097824" w:rsidRDefault="00242D02" w:rsidP="00B62BA4">
            <w:pPr>
              <w:ind w:firstLine="0"/>
              <w:rPr>
                <w:rFonts w:eastAsia="MS Mincho"/>
                <w:i/>
                <w:szCs w:val="24"/>
                <w:shd w:val="clear" w:color="auto" w:fill="FFFFFF"/>
              </w:rPr>
            </w:pPr>
            <w:r w:rsidRPr="00097824">
              <w:rPr>
                <w:rFonts w:eastAsia="MS Mincho"/>
                <w:i/>
                <w:szCs w:val="24"/>
                <w:shd w:val="clear" w:color="auto" w:fill="FFFFFF"/>
              </w:rPr>
              <w:t>Анамнез (данные о наличии первичного очага)</w:t>
            </w:r>
          </w:p>
          <w:p w14:paraId="39F3043B" w14:textId="77777777" w:rsidR="00242D02" w:rsidRPr="00097824" w:rsidRDefault="00242D02" w:rsidP="00B62BA4">
            <w:pPr>
              <w:ind w:firstLine="0"/>
              <w:rPr>
                <w:rFonts w:eastAsia="MS Mincho"/>
                <w:i/>
                <w:szCs w:val="24"/>
                <w:shd w:val="clear" w:color="auto" w:fill="FFFFFF"/>
              </w:rPr>
            </w:pPr>
            <w:r w:rsidRPr="00097824">
              <w:rPr>
                <w:rFonts w:eastAsia="MS Mincho"/>
                <w:i/>
                <w:szCs w:val="24"/>
                <w:shd w:val="clear" w:color="auto" w:fill="FFFFFF"/>
              </w:rPr>
              <w:t xml:space="preserve">Окончательный диагноз может быть установлен коллегиально (данные клинико-рентгенологического обследования, гистологического и </w:t>
            </w:r>
            <w:proofErr w:type="spellStart"/>
            <w:r w:rsidRPr="00097824">
              <w:rPr>
                <w:rFonts w:eastAsia="MS Mincho"/>
                <w:i/>
                <w:szCs w:val="24"/>
                <w:shd w:val="clear" w:color="auto" w:fill="FFFFFF"/>
              </w:rPr>
              <w:t>иммуногистохимического</w:t>
            </w:r>
            <w:proofErr w:type="spellEnd"/>
            <w:r w:rsidRPr="00097824">
              <w:rPr>
                <w:rFonts w:eastAsia="MS Mincho"/>
                <w:i/>
                <w:szCs w:val="24"/>
                <w:shd w:val="clear" w:color="auto" w:fill="FFFFFF"/>
              </w:rPr>
              <w:t xml:space="preserve"> исследований)</w:t>
            </w:r>
          </w:p>
        </w:tc>
      </w:tr>
      <w:tr w:rsidR="00242D02" w:rsidRPr="00097824" w14:paraId="7F146D71" w14:textId="77777777" w:rsidTr="00B62BA4">
        <w:tc>
          <w:tcPr>
            <w:tcW w:w="2943" w:type="dxa"/>
          </w:tcPr>
          <w:p w14:paraId="11738F6C" w14:textId="77777777" w:rsidR="00242D02" w:rsidRPr="00097824" w:rsidRDefault="00242D02" w:rsidP="00B62BA4">
            <w:pPr>
              <w:ind w:firstLine="0"/>
              <w:rPr>
                <w:rFonts w:eastAsia="MS Mincho"/>
                <w:b/>
                <w:i/>
                <w:szCs w:val="24"/>
                <w:shd w:val="clear" w:color="auto" w:fill="FFFFFF"/>
              </w:rPr>
            </w:pPr>
            <w:r w:rsidRPr="00097824">
              <w:rPr>
                <w:rFonts w:eastAsia="MS Mincho"/>
                <w:b/>
                <w:i/>
                <w:szCs w:val="24"/>
                <w:shd w:val="clear" w:color="auto" w:fill="FFFFFF"/>
              </w:rPr>
              <w:t xml:space="preserve">Эпителиоидная </w:t>
            </w:r>
            <w:proofErr w:type="spellStart"/>
            <w:r w:rsidRPr="00097824">
              <w:rPr>
                <w:rFonts w:eastAsia="MS Mincho"/>
                <w:b/>
                <w:i/>
                <w:szCs w:val="24"/>
                <w:shd w:val="clear" w:color="auto" w:fill="FFFFFF"/>
              </w:rPr>
              <w:t>гемангиоэндотелиома</w:t>
            </w:r>
            <w:proofErr w:type="spellEnd"/>
          </w:p>
        </w:tc>
        <w:tc>
          <w:tcPr>
            <w:tcW w:w="6521" w:type="dxa"/>
          </w:tcPr>
          <w:p w14:paraId="1951DABC" w14:textId="1EAC2A28" w:rsidR="00242D02" w:rsidRPr="00097824" w:rsidRDefault="00FE1DF4" w:rsidP="00B62BA4">
            <w:pPr>
              <w:ind w:firstLine="0"/>
              <w:rPr>
                <w:rFonts w:eastAsia="MS Mincho"/>
                <w:i/>
                <w:szCs w:val="24"/>
                <w:shd w:val="clear" w:color="auto" w:fill="FFFFFF"/>
              </w:rPr>
            </w:pPr>
            <w:r w:rsidRPr="00097824">
              <w:rPr>
                <w:rFonts w:eastAsia="MS Mincho"/>
                <w:b/>
                <w:i/>
                <w:szCs w:val="24"/>
                <w:shd w:val="clear" w:color="auto" w:fill="FFFFFF"/>
              </w:rPr>
              <w:t xml:space="preserve">      </w:t>
            </w:r>
            <w:r w:rsidR="00242D02" w:rsidRPr="00097824">
              <w:rPr>
                <w:rFonts w:eastAsia="MS Mincho"/>
                <w:b/>
                <w:i/>
                <w:szCs w:val="24"/>
                <w:shd w:val="clear" w:color="auto" w:fill="FFFFFF"/>
              </w:rPr>
              <w:t xml:space="preserve">При </w:t>
            </w:r>
            <w:proofErr w:type="spellStart"/>
            <w:r w:rsidR="00242D02" w:rsidRPr="00097824">
              <w:rPr>
                <w:rFonts w:eastAsia="MS Mincho"/>
                <w:b/>
                <w:i/>
                <w:szCs w:val="24"/>
                <w:shd w:val="clear" w:color="auto" w:fill="FFFFFF"/>
              </w:rPr>
              <w:t>иммуногистохимическом</w:t>
            </w:r>
            <w:proofErr w:type="spellEnd"/>
            <w:r w:rsidR="00242D02" w:rsidRPr="00097824">
              <w:rPr>
                <w:rFonts w:eastAsia="MS Mincho"/>
                <w:b/>
                <w:i/>
                <w:szCs w:val="24"/>
                <w:shd w:val="clear" w:color="auto" w:fill="FFFFFF"/>
              </w:rPr>
              <w:t xml:space="preserve"> исследовании</w:t>
            </w:r>
            <w:r w:rsidR="00242D02" w:rsidRPr="00097824">
              <w:rPr>
                <w:rFonts w:eastAsia="MS Mincho"/>
                <w:i/>
                <w:szCs w:val="24"/>
                <w:shd w:val="clear" w:color="auto" w:fill="FFFFFF"/>
              </w:rPr>
              <w:t xml:space="preserve"> </w:t>
            </w:r>
          </w:p>
          <w:p w14:paraId="7441101F" w14:textId="77777777" w:rsidR="00242D02" w:rsidRPr="00097824" w:rsidRDefault="00242D02" w:rsidP="00B62BA4">
            <w:pPr>
              <w:ind w:firstLine="0"/>
              <w:rPr>
                <w:rFonts w:eastAsia="MS Mincho"/>
                <w:i/>
                <w:szCs w:val="24"/>
                <w:shd w:val="clear" w:color="auto" w:fill="FFFFFF"/>
              </w:rPr>
            </w:pPr>
            <w:r w:rsidRPr="00097824">
              <w:rPr>
                <w:rFonts w:eastAsia="MS Mincho"/>
                <w:i/>
                <w:szCs w:val="24"/>
                <w:shd w:val="clear" w:color="auto" w:fill="FFFFFF"/>
              </w:rPr>
              <w:t xml:space="preserve">позитивные реакции с </w:t>
            </w:r>
            <w:r w:rsidRPr="00097824">
              <w:rPr>
                <w:rFonts w:eastAsia="MS Mincho"/>
                <w:i/>
                <w:szCs w:val="24"/>
                <w:shd w:val="clear" w:color="auto" w:fill="FFFFFF"/>
                <w:lang w:val="en-US"/>
              </w:rPr>
              <w:t>CD</w:t>
            </w:r>
            <w:r w:rsidRPr="00097824">
              <w:rPr>
                <w:rFonts w:eastAsia="MS Mincho"/>
                <w:i/>
                <w:szCs w:val="24"/>
                <w:shd w:val="clear" w:color="auto" w:fill="FFFFFF"/>
              </w:rPr>
              <w:t xml:space="preserve">31, </w:t>
            </w:r>
            <w:r w:rsidRPr="00097824">
              <w:rPr>
                <w:rFonts w:eastAsia="MS Mincho"/>
                <w:i/>
                <w:szCs w:val="24"/>
                <w:shd w:val="clear" w:color="auto" w:fill="FFFFFF"/>
                <w:lang w:val="en-US"/>
              </w:rPr>
              <w:t>CD</w:t>
            </w:r>
            <w:r w:rsidRPr="00097824">
              <w:rPr>
                <w:rFonts w:eastAsia="MS Mincho"/>
                <w:i/>
                <w:szCs w:val="24"/>
                <w:shd w:val="clear" w:color="auto" w:fill="FFFFFF"/>
              </w:rPr>
              <w:t xml:space="preserve">34, </w:t>
            </w:r>
            <w:r w:rsidRPr="00097824">
              <w:rPr>
                <w:rFonts w:eastAsia="MS Mincho"/>
                <w:i/>
                <w:szCs w:val="24"/>
                <w:shd w:val="clear" w:color="auto" w:fill="FFFFFF"/>
                <w:lang w:val="en-US"/>
              </w:rPr>
              <w:t>FLI</w:t>
            </w:r>
            <w:r w:rsidRPr="00097824">
              <w:rPr>
                <w:rFonts w:eastAsia="MS Mincho"/>
                <w:i/>
                <w:szCs w:val="24"/>
                <w:shd w:val="clear" w:color="auto" w:fill="FFFFFF"/>
              </w:rPr>
              <w:t xml:space="preserve">-1, </w:t>
            </w:r>
            <w:r w:rsidRPr="00097824">
              <w:rPr>
                <w:rFonts w:eastAsia="MS Mincho"/>
                <w:i/>
                <w:szCs w:val="24"/>
                <w:shd w:val="clear" w:color="auto" w:fill="FFFFFF"/>
                <w:lang w:val="en-US"/>
              </w:rPr>
              <w:t>ERG</w:t>
            </w:r>
          </w:p>
        </w:tc>
      </w:tr>
      <w:tr w:rsidR="00242D02" w:rsidRPr="00097824" w14:paraId="518AD919" w14:textId="77777777" w:rsidTr="00B62BA4">
        <w:tc>
          <w:tcPr>
            <w:tcW w:w="2943" w:type="dxa"/>
          </w:tcPr>
          <w:p w14:paraId="4DB795BD" w14:textId="77777777" w:rsidR="00242D02" w:rsidRPr="00097824" w:rsidRDefault="00242D02" w:rsidP="00B62BA4">
            <w:pPr>
              <w:ind w:firstLine="0"/>
              <w:rPr>
                <w:rFonts w:eastAsia="MS Mincho"/>
                <w:b/>
                <w:i/>
                <w:szCs w:val="24"/>
                <w:shd w:val="clear" w:color="auto" w:fill="FFFFFF"/>
              </w:rPr>
            </w:pPr>
            <w:r w:rsidRPr="00097824">
              <w:rPr>
                <w:rFonts w:eastAsia="MS Mincho"/>
                <w:b/>
                <w:i/>
                <w:szCs w:val="24"/>
                <w:shd w:val="clear" w:color="auto" w:fill="FFFFFF"/>
              </w:rPr>
              <w:t>Комбинированный гепатоцеллюлярный рак/</w:t>
            </w:r>
            <w:proofErr w:type="spellStart"/>
            <w:r w:rsidRPr="00097824">
              <w:rPr>
                <w:rFonts w:eastAsia="MS Mincho"/>
                <w:b/>
                <w:i/>
                <w:szCs w:val="24"/>
                <w:shd w:val="clear" w:color="auto" w:fill="FFFFFF"/>
              </w:rPr>
              <w:t>холангиокарцинома</w:t>
            </w:r>
            <w:proofErr w:type="spellEnd"/>
          </w:p>
        </w:tc>
        <w:tc>
          <w:tcPr>
            <w:tcW w:w="6521" w:type="dxa"/>
          </w:tcPr>
          <w:p w14:paraId="16F86016" w14:textId="77777777" w:rsidR="00242D02" w:rsidRPr="00097824" w:rsidRDefault="00242D02" w:rsidP="00B62BA4">
            <w:pPr>
              <w:pStyle w:val="aff"/>
              <w:ind w:left="397" w:firstLine="0"/>
              <w:rPr>
                <w:rFonts w:eastAsia="MS Mincho"/>
                <w:i/>
                <w:szCs w:val="24"/>
                <w:shd w:val="clear" w:color="auto" w:fill="FFFFFF"/>
              </w:rPr>
            </w:pPr>
            <w:r w:rsidRPr="00097824">
              <w:rPr>
                <w:rFonts w:eastAsia="MS Mincho"/>
                <w:i/>
                <w:szCs w:val="24"/>
                <w:shd w:val="clear" w:color="auto" w:fill="FFFFFF"/>
              </w:rPr>
              <w:t xml:space="preserve">Наличие гепатоцеллюлярного компонента (при рутинном гистологическом исследовании, подтвержденным </w:t>
            </w:r>
            <w:proofErr w:type="spellStart"/>
            <w:r w:rsidRPr="00097824">
              <w:rPr>
                <w:rFonts w:eastAsia="MS Mincho"/>
                <w:i/>
                <w:szCs w:val="24"/>
                <w:shd w:val="clear" w:color="auto" w:fill="FFFFFF"/>
              </w:rPr>
              <w:t>иммуногистохимическим</w:t>
            </w:r>
            <w:proofErr w:type="spellEnd"/>
            <w:r w:rsidRPr="00097824">
              <w:rPr>
                <w:rFonts w:eastAsia="MS Mincho"/>
                <w:i/>
                <w:szCs w:val="24"/>
                <w:shd w:val="clear" w:color="auto" w:fill="FFFFFF"/>
              </w:rPr>
              <w:t xml:space="preserve"> методом)</w:t>
            </w:r>
          </w:p>
        </w:tc>
      </w:tr>
      <w:tr w:rsidR="00242D02" w:rsidRPr="00097824" w14:paraId="4A36854D" w14:textId="77777777" w:rsidTr="00B62BA4">
        <w:tc>
          <w:tcPr>
            <w:tcW w:w="2943" w:type="dxa"/>
          </w:tcPr>
          <w:p w14:paraId="56B77B42" w14:textId="77777777" w:rsidR="00242D02" w:rsidRPr="00097824" w:rsidRDefault="00242D02" w:rsidP="00B62BA4">
            <w:pPr>
              <w:ind w:firstLine="0"/>
              <w:jc w:val="left"/>
              <w:rPr>
                <w:rFonts w:eastAsia="MS Mincho"/>
                <w:b/>
                <w:i/>
                <w:szCs w:val="24"/>
                <w:shd w:val="clear" w:color="auto" w:fill="FFFFFF"/>
              </w:rPr>
            </w:pPr>
            <w:proofErr w:type="spellStart"/>
            <w:r w:rsidRPr="00097824">
              <w:rPr>
                <w:rFonts w:eastAsia="MS Mincho"/>
                <w:b/>
                <w:i/>
                <w:szCs w:val="24"/>
                <w:shd w:val="clear" w:color="auto" w:fill="FFFFFF"/>
              </w:rPr>
              <w:t>Билиарная</w:t>
            </w:r>
            <w:proofErr w:type="spellEnd"/>
            <w:r w:rsidRPr="00097824">
              <w:rPr>
                <w:rFonts w:eastAsia="MS Mincho"/>
                <w:b/>
                <w:i/>
                <w:szCs w:val="24"/>
                <w:shd w:val="clear" w:color="auto" w:fill="FFFFFF"/>
              </w:rPr>
              <w:t xml:space="preserve"> аденома</w:t>
            </w:r>
          </w:p>
        </w:tc>
        <w:tc>
          <w:tcPr>
            <w:tcW w:w="6521" w:type="dxa"/>
          </w:tcPr>
          <w:p w14:paraId="58007163" w14:textId="3E6BC10C" w:rsidR="00242D02" w:rsidRPr="00097824" w:rsidRDefault="00FE1DF4" w:rsidP="00B62BA4">
            <w:pPr>
              <w:ind w:firstLine="0"/>
              <w:rPr>
                <w:rFonts w:eastAsia="MS Mincho"/>
                <w:i/>
                <w:szCs w:val="24"/>
                <w:shd w:val="clear" w:color="auto" w:fill="FFFFFF"/>
              </w:rPr>
            </w:pPr>
            <w:r w:rsidRPr="00097824">
              <w:rPr>
                <w:rFonts w:eastAsia="MS Mincho"/>
                <w:i/>
                <w:szCs w:val="24"/>
                <w:shd w:val="clear" w:color="auto" w:fill="FFFFFF"/>
              </w:rPr>
              <w:t xml:space="preserve">       </w:t>
            </w:r>
            <w:r w:rsidR="00242D02" w:rsidRPr="00097824">
              <w:rPr>
                <w:rFonts w:eastAsia="MS Mincho"/>
                <w:i/>
                <w:szCs w:val="24"/>
                <w:shd w:val="clear" w:color="auto" w:fill="FFFFFF"/>
              </w:rPr>
              <w:t>Меньшие размеры, четкие границы</w:t>
            </w:r>
          </w:p>
          <w:p w14:paraId="240AB7B6" w14:textId="77777777" w:rsidR="00242D02" w:rsidRPr="00097824" w:rsidRDefault="00242D02" w:rsidP="00B62BA4">
            <w:pPr>
              <w:pStyle w:val="aff"/>
              <w:ind w:left="397" w:firstLine="0"/>
              <w:rPr>
                <w:rFonts w:eastAsia="MS Mincho"/>
                <w:i/>
                <w:szCs w:val="24"/>
                <w:shd w:val="clear" w:color="auto" w:fill="FFFFFF"/>
              </w:rPr>
            </w:pPr>
            <w:r w:rsidRPr="00097824">
              <w:rPr>
                <w:rFonts w:eastAsia="MS Mincho"/>
                <w:i/>
                <w:szCs w:val="24"/>
                <w:shd w:val="clear" w:color="auto" w:fill="FFFFFF"/>
              </w:rPr>
              <w:t xml:space="preserve">Низкий индекс </w:t>
            </w:r>
            <w:r w:rsidRPr="00097824">
              <w:rPr>
                <w:rFonts w:eastAsia="MS Mincho"/>
                <w:i/>
                <w:szCs w:val="24"/>
                <w:shd w:val="clear" w:color="auto" w:fill="FFFFFF"/>
                <w:lang w:val="en-US"/>
              </w:rPr>
              <w:t>Ki</w:t>
            </w:r>
            <w:r w:rsidRPr="00097824">
              <w:rPr>
                <w:rFonts w:eastAsia="MS Mincho"/>
                <w:i/>
                <w:szCs w:val="24"/>
                <w:shd w:val="clear" w:color="auto" w:fill="FFFFFF"/>
              </w:rPr>
              <w:t xml:space="preserve">67 (&lt;10%), </w:t>
            </w:r>
            <w:r w:rsidRPr="00097824">
              <w:rPr>
                <w:rFonts w:eastAsia="MS Mincho"/>
                <w:i/>
                <w:szCs w:val="24"/>
                <w:shd w:val="clear" w:color="auto" w:fill="FFFFFF"/>
                <w:lang w:val="en-US"/>
              </w:rPr>
              <w:t>p</w:t>
            </w:r>
            <w:r w:rsidRPr="00097824">
              <w:rPr>
                <w:rFonts w:eastAsia="MS Mincho"/>
                <w:i/>
                <w:szCs w:val="24"/>
                <w:shd w:val="clear" w:color="auto" w:fill="FFFFFF"/>
              </w:rPr>
              <w:t>53 (“дикий” тип экспрессии)</w:t>
            </w:r>
          </w:p>
        </w:tc>
      </w:tr>
      <w:tr w:rsidR="00242D02" w:rsidRPr="00097824" w14:paraId="6D161FC9" w14:textId="77777777" w:rsidTr="00B62BA4">
        <w:tc>
          <w:tcPr>
            <w:tcW w:w="2943" w:type="dxa"/>
          </w:tcPr>
          <w:p w14:paraId="28A4C00D" w14:textId="77777777" w:rsidR="00242D02" w:rsidRPr="00097824" w:rsidRDefault="00242D02" w:rsidP="00B62BA4">
            <w:pPr>
              <w:ind w:firstLine="0"/>
              <w:rPr>
                <w:rFonts w:eastAsia="MS Mincho"/>
                <w:b/>
                <w:i/>
                <w:szCs w:val="24"/>
                <w:shd w:val="clear" w:color="auto" w:fill="FFFFFF"/>
              </w:rPr>
            </w:pPr>
            <w:bookmarkStart w:id="66" w:name="_Hlk129554402"/>
            <w:proofErr w:type="spellStart"/>
            <w:r w:rsidRPr="00097824">
              <w:rPr>
                <w:rFonts w:eastAsia="MS Mincho"/>
                <w:b/>
                <w:i/>
                <w:szCs w:val="24"/>
                <w:shd w:val="clear" w:color="auto" w:fill="FFFFFF"/>
              </w:rPr>
              <w:t>Дуктулярная</w:t>
            </w:r>
            <w:proofErr w:type="spellEnd"/>
            <w:r w:rsidRPr="00097824">
              <w:rPr>
                <w:rFonts w:eastAsia="MS Mincho"/>
                <w:b/>
                <w:i/>
                <w:szCs w:val="24"/>
                <w:shd w:val="clear" w:color="auto" w:fill="FFFFFF"/>
              </w:rPr>
              <w:t xml:space="preserve"> реакция с </w:t>
            </w:r>
            <w:proofErr w:type="spellStart"/>
            <w:r w:rsidRPr="00097824">
              <w:rPr>
                <w:rFonts w:eastAsia="MS Mincho"/>
                <w:b/>
                <w:i/>
                <w:szCs w:val="24"/>
                <w:shd w:val="clear" w:color="auto" w:fill="FFFFFF"/>
              </w:rPr>
              <w:t>атипией</w:t>
            </w:r>
            <w:bookmarkEnd w:id="66"/>
            <w:proofErr w:type="spellEnd"/>
          </w:p>
        </w:tc>
        <w:tc>
          <w:tcPr>
            <w:tcW w:w="6521" w:type="dxa"/>
          </w:tcPr>
          <w:p w14:paraId="53688DD6" w14:textId="77777777" w:rsidR="00242D02" w:rsidRPr="00097824" w:rsidRDefault="00242D02" w:rsidP="00B62BA4">
            <w:pPr>
              <w:pStyle w:val="aff"/>
              <w:ind w:left="397" w:firstLine="0"/>
              <w:rPr>
                <w:rFonts w:eastAsia="MS Mincho"/>
                <w:i/>
                <w:szCs w:val="24"/>
                <w:shd w:val="clear" w:color="auto" w:fill="FFFFFF"/>
              </w:rPr>
            </w:pPr>
            <w:r w:rsidRPr="00097824">
              <w:rPr>
                <w:rFonts w:eastAsia="MS Mincho"/>
                <w:i/>
                <w:szCs w:val="24"/>
                <w:shd w:val="clear" w:color="auto" w:fill="FFFFFF"/>
              </w:rPr>
              <w:t xml:space="preserve">Дольковое строение, минимально выраженная </w:t>
            </w:r>
            <w:proofErr w:type="spellStart"/>
            <w:r w:rsidRPr="00097824">
              <w:rPr>
                <w:rFonts w:eastAsia="MS Mincho"/>
                <w:i/>
                <w:szCs w:val="24"/>
                <w:shd w:val="clear" w:color="auto" w:fill="FFFFFF"/>
              </w:rPr>
              <w:t>атипия</w:t>
            </w:r>
            <w:proofErr w:type="spellEnd"/>
          </w:p>
        </w:tc>
      </w:tr>
      <w:tr w:rsidR="00242D02" w:rsidRPr="00097824" w14:paraId="13F10D47" w14:textId="77777777" w:rsidTr="00B62BA4">
        <w:tc>
          <w:tcPr>
            <w:tcW w:w="2943" w:type="dxa"/>
          </w:tcPr>
          <w:p w14:paraId="04CE4215" w14:textId="77777777" w:rsidR="00242D02" w:rsidRPr="00097824" w:rsidRDefault="00242D02" w:rsidP="00B62BA4">
            <w:pPr>
              <w:ind w:firstLine="0"/>
              <w:rPr>
                <w:rFonts w:eastAsia="MS Mincho"/>
                <w:b/>
                <w:i/>
                <w:szCs w:val="24"/>
                <w:shd w:val="clear" w:color="auto" w:fill="FFFFFF"/>
              </w:rPr>
            </w:pPr>
            <w:bookmarkStart w:id="67" w:name="_Hlk129554358"/>
            <w:proofErr w:type="spellStart"/>
            <w:r w:rsidRPr="00097824">
              <w:rPr>
                <w:rFonts w:eastAsia="MS Mincho"/>
                <w:b/>
                <w:i/>
                <w:szCs w:val="24"/>
                <w:shd w:val="clear" w:color="auto" w:fill="FFFFFF"/>
              </w:rPr>
              <w:lastRenderedPageBreak/>
              <w:t>Билиарная</w:t>
            </w:r>
            <w:proofErr w:type="spellEnd"/>
            <w:r w:rsidRPr="00097824">
              <w:rPr>
                <w:rFonts w:eastAsia="MS Mincho"/>
                <w:b/>
                <w:i/>
                <w:szCs w:val="24"/>
                <w:shd w:val="clear" w:color="auto" w:fill="FFFFFF"/>
              </w:rPr>
              <w:t xml:space="preserve"> </w:t>
            </w:r>
            <w:proofErr w:type="spellStart"/>
            <w:r w:rsidRPr="00097824">
              <w:rPr>
                <w:rFonts w:eastAsia="MS Mincho"/>
                <w:b/>
                <w:i/>
                <w:szCs w:val="24"/>
                <w:shd w:val="clear" w:color="auto" w:fill="FFFFFF"/>
              </w:rPr>
              <w:t>аденофиброма</w:t>
            </w:r>
            <w:bookmarkEnd w:id="67"/>
            <w:proofErr w:type="spellEnd"/>
          </w:p>
        </w:tc>
        <w:tc>
          <w:tcPr>
            <w:tcW w:w="6521" w:type="dxa"/>
          </w:tcPr>
          <w:p w14:paraId="77C9CE02" w14:textId="77777777" w:rsidR="00242D02" w:rsidRPr="00097824" w:rsidRDefault="00242D02" w:rsidP="00B62BA4">
            <w:pPr>
              <w:pStyle w:val="aff"/>
              <w:ind w:left="397" w:firstLine="0"/>
              <w:rPr>
                <w:rFonts w:eastAsia="MS Mincho"/>
                <w:i/>
                <w:szCs w:val="24"/>
                <w:shd w:val="clear" w:color="auto" w:fill="FFFFFF"/>
              </w:rPr>
            </w:pPr>
            <w:proofErr w:type="spellStart"/>
            <w:r w:rsidRPr="00097824">
              <w:rPr>
                <w:rFonts w:eastAsia="MS Mincho"/>
                <w:i/>
                <w:szCs w:val="24"/>
                <w:shd w:val="clear" w:color="auto" w:fill="FFFFFF"/>
              </w:rPr>
              <w:t>Тубулокистозная</w:t>
            </w:r>
            <w:proofErr w:type="spellEnd"/>
            <w:r w:rsidRPr="00097824">
              <w:rPr>
                <w:rFonts w:eastAsia="MS Mincho"/>
                <w:i/>
                <w:szCs w:val="24"/>
                <w:shd w:val="clear" w:color="auto" w:fill="FFFFFF"/>
              </w:rPr>
              <w:t xml:space="preserve"> пролиферация </w:t>
            </w:r>
            <w:proofErr w:type="spellStart"/>
            <w:r w:rsidRPr="00097824">
              <w:rPr>
                <w:rFonts w:eastAsia="MS Mincho"/>
                <w:i/>
                <w:szCs w:val="24"/>
                <w:shd w:val="clear" w:color="auto" w:fill="FFFFFF"/>
              </w:rPr>
              <w:t>билиарного</w:t>
            </w:r>
            <w:proofErr w:type="spellEnd"/>
            <w:r w:rsidRPr="00097824">
              <w:rPr>
                <w:rFonts w:eastAsia="MS Mincho"/>
                <w:i/>
                <w:szCs w:val="24"/>
                <w:shd w:val="clear" w:color="auto" w:fill="FFFFFF"/>
              </w:rPr>
              <w:t xml:space="preserve"> эпителия с минимально выраженной </w:t>
            </w:r>
            <w:proofErr w:type="spellStart"/>
            <w:r w:rsidRPr="00097824">
              <w:rPr>
                <w:rFonts w:eastAsia="MS Mincho"/>
                <w:i/>
                <w:szCs w:val="24"/>
                <w:shd w:val="clear" w:color="auto" w:fill="FFFFFF"/>
              </w:rPr>
              <w:t>атипией</w:t>
            </w:r>
            <w:proofErr w:type="spellEnd"/>
          </w:p>
        </w:tc>
      </w:tr>
    </w:tbl>
    <w:p w14:paraId="66C00905" w14:textId="62A2BDEA" w:rsidR="004922B0" w:rsidRPr="00097824" w:rsidRDefault="004922B0" w:rsidP="00980E88">
      <w:pPr>
        <w:pStyle w:val="aff"/>
        <w:ind w:left="397" w:firstLine="357"/>
        <w:rPr>
          <w:rFonts w:eastAsia="MS Mincho"/>
          <w:i/>
          <w:szCs w:val="24"/>
          <w:shd w:val="clear" w:color="auto" w:fill="FFFFFF"/>
        </w:rPr>
      </w:pPr>
    </w:p>
    <w:p w14:paraId="524A63D6" w14:textId="0921B5FD" w:rsidR="00D630AE" w:rsidRPr="00097824" w:rsidRDefault="007F5427" w:rsidP="001512E3">
      <w:pPr>
        <w:pStyle w:val="aff"/>
        <w:numPr>
          <w:ilvl w:val="0"/>
          <w:numId w:val="28"/>
        </w:numPr>
        <w:rPr>
          <w:shd w:val="clear" w:color="auto" w:fill="FFFFFF"/>
        </w:rPr>
      </w:pPr>
      <w:r w:rsidRPr="00097824">
        <w:rPr>
          <w:shd w:val="clear" w:color="auto" w:fill="FFFFFF"/>
        </w:rPr>
        <w:t>При выявлении при УЗИ опухолевой патологии рекомендуется выполнить</w:t>
      </w:r>
      <w:r w:rsidR="005D6B9B" w:rsidRPr="00097824">
        <w:rPr>
          <w:shd w:val="clear" w:color="auto" w:fill="FFFFFF"/>
        </w:rPr>
        <w:t xml:space="preserve"> </w:t>
      </w:r>
      <w:r w:rsidR="00A06553" w:rsidRPr="00097824">
        <w:rPr>
          <w:shd w:val="clear" w:color="auto" w:fill="FFFFFF"/>
        </w:rPr>
        <w:t xml:space="preserve">компьютерную томографию </w:t>
      </w:r>
      <w:r w:rsidR="001512E3" w:rsidRPr="00097824">
        <w:rPr>
          <w:shd w:val="clear" w:color="auto" w:fill="FFFFFF"/>
        </w:rPr>
        <w:t xml:space="preserve">органов брюшной полости с внутривенным </w:t>
      </w:r>
      <w:proofErr w:type="spellStart"/>
      <w:r w:rsidR="001512E3" w:rsidRPr="00097824">
        <w:rPr>
          <w:shd w:val="clear" w:color="auto" w:fill="FFFFFF"/>
        </w:rPr>
        <w:t>болюсным</w:t>
      </w:r>
      <w:proofErr w:type="spellEnd"/>
      <w:r w:rsidR="001512E3" w:rsidRPr="00097824">
        <w:rPr>
          <w:shd w:val="clear" w:color="auto" w:fill="FFFFFF"/>
        </w:rPr>
        <w:t xml:space="preserve"> контрастированием </w:t>
      </w:r>
      <w:r w:rsidR="005D6B9B" w:rsidRPr="00097824">
        <w:rPr>
          <w:shd w:val="clear" w:color="auto" w:fill="FFFFFF"/>
        </w:rPr>
        <w:t>и</w:t>
      </w:r>
      <w:r w:rsidR="001512E3" w:rsidRPr="00097824">
        <w:t xml:space="preserve"> </w:t>
      </w:r>
      <w:r w:rsidR="00005B53" w:rsidRPr="00097824">
        <w:t>к</w:t>
      </w:r>
      <w:r w:rsidR="001512E3" w:rsidRPr="00097824">
        <w:rPr>
          <w:shd w:val="clear" w:color="auto" w:fill="FFFFFF"/>
        </w:rPr>
        <w:t>омпьютерн</w:t>
      </w:r>
      <w:r w:rsidR="00005B53" w:rsidRPr="00097824">
        <w:rPr>
          <w:shd w:val="clear" w:color="auto" w:fill="FFFFFF"/>
        </w:rPr>
        <w:t>ую</w:t>
      </w:r>
      <w:r w:rsidR="001512E3" w:rsidRPr="00097824">
        <w:rPr>
          <w:shd w:val="clear" w:color="auto" w:fill="FFFFFF"/>
        </w:rPr>
        <w:t xml:space="preserve"> томографи</w:t>
      </w:r>
      <w:r w:rsidR="00005B53" w:rsidRPr="00097824">
        <w:rPr>
          <w:shd w:val="clear" w:color="auto" w:fill="FFFFFF"/>
        </w:rPr>
        <w:t>ю</w:t>
      </w:r>
      <w:r w:rsidR="001512E3" w:rsidRPr="00097824">
        <w:rPr>
          <w:shd w:val="clear" w:color="auto" w:fill="FFFFFF"/>
        </w:rPr>
        <w:t xml:space="preserve"> органов малого таза</w:t>
      </w:r>
      <w:r w:rsidR="00581232" w:rsidRPr="00097824">
        <w:rPr>
          <w:shd w:val="clear" w:color="auto" w:fill="FFFFFF"/>
        </w:rPr>
        <w:t xml:space="preserve"> у женщин/у мужчин</w:t>
      </w:r>
      <w:r w:rsidR="001512E3" w:rsidRPr="00097824">
        <w:rPr>
          <w:shd w:val="clear" w:color="auto" w:fill="FFFFFF"/>
        </w:rPr>
        <w:t xml:space="preserve"> с контрастированием</w:t>
      </w:r>
      <w:r w:rsidR="005D6B9B" w:rsidRPr="00097824">
        <w:rPr>
          <w:shd w:val="clear" w:color="auto" w:fill="FFFFFF"/>
        </w:rPr>
        <w:t xml:space="preserve"> </w:t>
      </w:r>
      <w:r w:rsidRPr="00097824">
        <w:rPr>
          <w:shd w:val="clear" w:color="auto" w:fill="FFFFFF"/>
        </w:rPr>
        <w:t xml:space="preserve">и/или магнитно-резонансную томографию (МРТ) органов брюшной полости с внутривенным контрастированием с магнитно-резонансной </w:t>
      </w:r>
      <w:proofErr w:type="spellStart"/>
      <w:r w:rsidRPr="00097824">
        <w:rPr>
          <w:shd w:val="clear" w:color="auto" w:fill="FFFFFF"/>
        </w:rPr>
        <w:t>холангио</w:t>
      </w:r>
      <w:r w:rsidR="00A06553" w:rsidRPr="00097824">
        <w:rPr>
          <w:shd w:val="clear" w:color="auto" w:fill="FFFFFF"/>
        </w:rPr>
        <w:t>панкреато</w:t>
      </w:r>
      <w:r w:rsidRPr="00097824">
        <w:rPr>
          <w:shd w:val="clear" w:color="auto" w:fill="FFFFFF"/>
        </w:rPr>
        <w:t>графией</w:t>
      </w:r>
      <w:proofErr w:type="spellEnd"/>
      <w:r w:rsidR="009A18C0" w:rsidRPr="00097824">
        <w:rPr>
          <w:shd w:val="clear" w:color="auto" w:fill="FFFFFF"/>
        </w:rPr>
        <w:t xml:space="preserve"> </w:t>
      </w:r>
      <w:r w:rsidRPr="00097824">
        <w:rPr>
          <w:shd w:val="clear" w:color="auto" w:fill="FFFFFF"/>
        </w:rPr>
        <w:fldChar w:fldCharType="begin"/>
      </w:r>
      <w:r w:rsidRPr="00097824">
        <w:rPr>
          <w:shd w:val="clear" w:color="auto" w:fill="FFFFFF"/>
        </w:rPr>
        <w:instrText xml:space="preserve"> ADDIN ZOTERO_ITEM CSL_CITATION {"citationID":"cgY2X6Iw","properties":{"formattedCitation":"[10,29,30]","plainCitation":"[10,29,30]","noteIndex":0},"citationItems":[{"id":166676,"uris":["http://zotero.org/groups/4764298/items/HLCDHDCZ"],"itemData":{"id":166676,"type":"article-journal","container-title":"Annals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166635,"uris":["http://zotero.org/groups/4764298/items/KH4AKB33"],"itemData":{"id":166635,"type":"article-journal","abstract":"Objective\nTo obtain diagnostic performance values of CT, MRI, ultrasound and 18-fludeoxyglucose positron emission tomography (PET)/CT for staging of hilar cholangiocarcinoma.\n\nMethods\nA comprehensive systematic search was performed for articles published up to March 2011 that fulfilled the inclusion criteria. Study quality was assessed with the quality assessment of diagnostic accuracy studies tool.\n\nResults\n16 articles (448 patients) were included that evaluated CT (n=11), MRI (n=3), ultrasound (n=3), or PET/CT (n=1). Overall, their quality was moderate. The accuracy estimates for evaluation of CT for ductal extent of the tumour was 86%. The sensitivity and specificity estimates of CT were 89% and 92% for evaluation of portal vein involvement, 83% and 93% for hepatic artery involvement, and 61% and 88% for lymph node involvement, respectively. Data were too limited for adequate comparisons of the different techniques.\n\nConclusion\nDiagnostic accuracy studies of CT, MRI, ultrasound or PET/CT for staging of hilar cholangiocarcinoma are sparse and have moderate methodological quality. Data primarily concern CT, which has an acceptable accuracy for assessment of ductal extent, portal vein and hepatic artery involvement, but low sensitivity for nodal status.","container-title":"The British Journal of Radiology","DOI":"10.1259/bjr/88405305","ISSN":"0007-1285","issue":"1017","journalAbbreviation":"Br J Radiol","note":"PMID: 22919007\nPMCID: PMC3487057","page":"1255-1262","source":"PubMed Central","title":"Radiological staging in patients with hilar cholangiocarcinoma: a systematic review and meta-analysis","title-short":"Radiological staging in patients with hilar cholangiocarcinoma","volume":"85","author":[{"family":"Ruys","given":"A T"},{"family":"Van Beem","given":"B E"},{"family":"Engelbrecht","given":"M R W"},{"family":"Bipat","given":"S"},{"family":"Stoker","given":"J"},{"family":"Van Gulik","given":"T M"}],"issued":{"date-parts":[["2012",9]]}},"label":"page"},{"id":166637,"uris":["http://zotero.org/groups/4764298/items/WB3YC9P4"],"itemData":{"id":166637,"type":"article-journal","abstract":"PURPOSE: To retrospectively assess the accuracy of combined multiphasic computed tomography (CT) and direct cholangiography for evaluation of the resectability of hilar cholangiocarcinoma, on the basis of revised criteria for unresectability, by using surgery as the reference standard.\nMATERIALS AND METHODS: Institutional review board approval was obtained, and informed consent was waived. From 1998 to 2003, 55 patients (37 men, 18 women; mean age +/- standard deviation, 59 years +/- 12) with surgically proved hilar cholangiocarcinomas who underwent preoperative CT (single-detector row CT, n = 26; multi-detector row CT, n = 29) and cholangiography were included for study. The authors' revised criteria for unresectable tumor were contralateral hepatic artery invasion; main or contralateral portal vein invasion longer than 2 cm; biliary extension to the contralateral secondary confluence, farther than 2 cm from hepatic hilum; enlarged lymph nodes at the celiac, portacaval, and paraaortic area; and other ancillary findings. Tumor resectability based on these parameters was determined at imaging by two radiologists in consensus. Mann-Whitney U test and weighted kappa coefficient of agreement were used for accuracy determination.\nRESULTS: For depiction of portal vein invasion (in 26 patients), CT yielded an accuracy of 85.5%. Arterial invasion was found at surgery in 19 patients, with CT providing an accuracy of 92.7%. For prediction of node involvement (15 patients, 27%), CT yielded an accuracy of 83.6%. The extent of ductal involvement could be accurately predicted in 46 patients (84%) (weighted kappa = 0.767). In 30 of 42 patients with disease classified as resectable according to revised criteria, disease was found to be resectable at surgery (71.4% positive predictive value). In 11 of 13 patients with disease classified as unresectable according to revised criteria, unresectable disease was confirmed (84.6% negative predictive value). Overall accuracy of resectability was 74.5%.\nCONCLUSION: Combined interpretation of CT and direct cholangiographic images by using our revised criteria resulted in overall accuracy of 74.5% for prediction of resectability for hilar cholangiocarcinoma.","container-title":"Radiology","DOI":"10.1148/radiol.2383050419","ISSN":"0033-8419","issue":"1","journalAbbreviation":"Radiology","language":"eng","note":"PMID: 16467211","page":"113-121","source":"PubMed","title":"Preoperative assessment of resectability of hepatic hilar cholangiocarcinoma: combined CT and cholangiography with revised criteria","title-short":"Preoperative assessment of resectability of hepatic hilar cholangiocarcinoma","volume":"239","author":[{"family":"Lee","given":"Ho Yun"},{"family":"Kim","given":"Se Hyung"},{"family":"Lee","given":"Jeong Min"},{"family":"Kim","given":"Sun-Whe"},{"family":"Jang","given":"Jin-Young"},{"family":"Han","given":"Joon Koo"},{"family":"Choi","given":"Byung Ihn"}],"issued":{"date-parts":[["2006",4]]}},"label":"page"}],"schema":"https://github.com/citation-style-language/schema/raw/master/csl-citation.json"} </w:instrText>
      </w:r>
      <w:r w:rsidRPr="00097824">
        <w:rPr>
          <w:shd w:val="clear" w:color="auto" w:fill="FFFFFF"/>
        </w:rPr>
        <w:fldChar w:fldCharType="separate"/>
      </w:r>
      <w:r w:rsidRPr="00097824">
        <w:t>[10,</w:t>
      </w:r>
      <w:r w:rsidR="00FE1DF4" w:rsidRPr="00097824">
        <w:t xml:space="preserve"> </w:t>
      </w:r>
      <w:r w:rsidRPr="00097824">
        <w:t>29,</w:t>
      </w:r>
      <w:r w:rsidR="00FE1DF4" w:rsidRPr="00097824">
        <w:t xml:space="preserve"> </w:t>
      </w:r>
      <w:r w:rsidRPr="00097824">
        <w:t>30]</w:t>
      </w:r>
      <w:r w:rsidRPr="00097824">
        <w:rPr>
          <w:shd w:val="clear" w:color="auto" w:fill="FFFFFF"/>
        </w:rPr>
        <w:fldChar w:fldCharType="end"/>
      </w:r>
      <w:r w:rsidRPr="00097824">
        <w:rPr>
          <w:shd w:val="clear" w:color="auto" w:fill="FFFFFF"/>
        </w:rPr>
        <w:t>.</w:t>
      </w:r>
      <w:r w:rsidR="00FE1DF4" w:rsidRPr="00097824">
        <w:rPr>
          <w:shd w:val="clear" w:color="auto" w:fill="FFFFFF"/>
        </w:rPr>
        <w:t xml:space="preserve"> МРТ обладает преимуществом над КТ в оценке внутрипеченочной распространенности </w:t>
      </w:r>
      <w:proofErr w:type="spellStart"/>
      <w:r w:rsidR="00FE1DF4" w:rsidRPr="00097824">
        <w:rPr>
          <w:shd w:val="clear" w:color="auto" w:fill="FFFFFF"/>
        </w:rPr>
        <w:t>холангиокарциномы</w:t>
      </w:r>
      <w:proofErr w:type="spellEnd"/>
      <w:r w:rsidR="00FE1DF4" w:rsidRPr="00097824">
        <w:rPr>
          <w:shd w:val="clear" w:color="auto" w:fill="FFFFFF"/>
        </w:rPr>
        <w:t xml:space="preserve"> [171]</w:t>
      </w:r>
    </w:p>
    <w:p w14:paraId="0AE4DED7" w14:textId="14C69B34" w:rsidR="009C26C8" w:rsidRPr="00097824" w:rsidRDefault="007F5427" w:rsidP="00A37046">
      <w:pPr>
        <w:ind w:firstLine="0"/>
        <w:contextualSpacing/>
        <w:rPr>
          <w:rFonts w:eastAsia="MS Mincho"/>
          <w:szCs w:val="24"/>
          <w:shd w:val="clear" w:color="auto" w:fill="FFFFFF"/>
        </w:rPr>
      </w:pPr>
      <w:r w:rsidRPr="00097824">
        <w:rPr>
          <w:rFonts w:eastAsia="MS Mincho"/>
          <w:b/>
          <w:szCs w:val="24"/>
          <w:shd w:val="clear" w:color="auto" w:fill="FFFFFF"/>
        </w:rPr>
        <w:t xml:space="preserve">Уровень убедительности рекомендаций – </w:t>
      </w:r>
      <w:r w:rsidR="00273FAE" w:rsidRPr="00097824">
        <w:rPr>
          <w:rFonts w:eastAsia="MS Mincho"/>
          <w:b/>
          <w:szCs w:val="24"/>
          <w:shd w:val="clear" w:color="auto" w:fill="FFFFFF"/>
        </w:rPr>
        <w:t>С</w:t>
      </w:r>
      <w:r w:rsidR="00FE1DF4" w:rsidRPr="00097824">
        <w:rPr>
          <w:rFonts w:eastAsia="MS Mincho"/>
          <w:b/>
          <w:szCs w:val="24"/>
          <w:shd w:val="clear" w:color="auto" w:fill="FFFFFF"/>
        </w:rPr>
        <w:t xml:space="preserve"> </w:t>
      </w:r>
      <w:r w:rsidRPr="00097824">
        <w:rPr>
          <w:rFonts w:eastAsia="MS Mincho"/>
          <w:szCs w:val="24"/>
          <w:shd w:val="clear" w:color="auto" w:fill="FFFFFF"/>
        </w:rPr>
        <w:t xml:space="preserve">(уровень достоверности доказательств – </w:t>
      </w:r>
      <w:r w:rsidR="00273FAE" w:rsidRPr="00097824">
        <w:rPr>
          <w:rFonts w:eastAsia="MS Mincho"/>
          <w:szCs w:val="24"/>
          <w:shd w:val="clear" w:color="auto" w:fill="FFFFFF"/>
        </w:rPr>
        <w:t>5</w:t>
      </w:r>
      <w:r w:rsidRPr="00097824">
        <w:rPr>
          <w:rFonts w:eastAsia="MS Mincho"/>
          <w:szCs w:val="24"/>
          <w:shd w:val="clear" w:color="auto" w:fill="FFFFFF"/>
        </w:rPr>
        <w:t>).</w:t>
      </w:r>
    </w:p>
    <w:p w14:paraId="09458645" w14:textId="2CA7A472" w:rsidR="009C26C8" w:rsidRPr="00097824" w:rsidRDefault="007F5427" w:rsidP="00AD4A9F">
      <w:pPr>
        <w:ind w:left="397" w:firstLine="357"/>
        <w:contextualSpacing/>
        <w:rPr>
          <w:rFonts w:eastAsia="MS Mincho"/>
          <w:i/>
          <w:szCs w:val="24"/>
          <w:shd w:val="clear" w:color="auto" w:fill="FFFFFF"/>
        </w:rPr>
      </w:pPr>
      <w:r w:rsidRPr="00097824">
        <w:rPr>
          <w:rFonts w:eastAsia="MS Mincho"/>
          <w:b/>
          <w:szCs w:val="24"/>
          <w:shd w:val="clear" w:color="auto" w:fill="FFFFFF"/>
        </w:rPr>
        <w:t xml:space="preserve">Комментарий: </w:t>
      </w:r>
      <w:r w:rsidRPr="00097824">
        <w:rPr>
          <w:rFonts w:eastAsia="MS Mincho"/>
          <w:i/>
          <w:szCs w:val="24"/>
          <w:shd w:val="clear" w:color="auto" w:fill="FFFFFF"/>
        </w:rPr>
        <w:t>КТ является более</w:t>
      </w:r>
      <w:r w:rsidR="005D6B9B" w:rsidRPr="00097824">
        <w:rPr>
          <w:rFonts w:eastAsia="MS Mincho"/>
          <w:i/>
          <w:szCs w:val="24"/>
          <w:shd w:val="clear" w:color="auto" w:fill="FFFFFF"/>
        </w:rPr>
        <w:t xml:space="preserve"> специфичным</w:t>
      </w:r>
      <w:r w:rsidRPr="00097824">
        <w:rPr>
          <w:rFonts w:eastAsia="MS Mincho"/>
          <w:i/>
          <w:szCs w:val="24"/>
          <w:shd w:val="clear" w:color="auto" w:fill="FFFFFF"/>
        </w:rPr>
        <w:t xml:space="preserve">, чем УЗИ, для выявления поражения лимфатических узлов, инвазии органов и отдаленных метастазов; </w:t>
      </w:r>
      <w:r w:rsidR="005D6B9B" w:rsidRPr="00097824">
        <w:rPr>
          <w:rFonts w:eastAsia="MS Mincho"/>
          <w:i/>
          <w:szCs w:val="24"/>
          <w:shd w:val="clear" w:color="auto" w:fill="FFFFFF"/>
        </w:rPr>
        <w:t xml:space="preserve">с помощью </w:t>
      </w:r>
      <w:r w:rsidRPr="00097824">
        <w:rPr>
          <w:rFonts w:eastAsia="MS Mincho"/>
          <w:i/>
          <w:szCs w:val="24"/>
          <w:shd w:val="clear" w:color="auto" w:fill="FFFFFF"/>
        </w:rPr>
        <w:t xml:space="preserve">МРТ </w:t>
      </w:r>
      <w:r w:rsidR="005D6B9B" w:rsidRPr="00097824">
        <w:rPr>
          <w:rFonts w:eastAsia="MS Mincho"/>
          <w:i/>
          <w:szCs w:val="24"/>
          <w:shd w:val="clear" w:color="auto" w:fill="FFFFFF"/>
        </w:rPr>
        <w:t xml:space="preserve">можно проводить </w:t>
      </w:r>
      <w:r w:rsidRPr="00097824">
        <w:rPr>
          <w:rFonts w:eastAsia="MS Mincho"/>
          <w:i/>
          <w:szCs w:val="24"/>
          <w:shd w:val="clear" w:color="auto" w:fill="FFFFFF"/>
        </w:rPr>
        <w:t>дифференциальн</w:t>
      </w:r>
      <w:r w:rsidR="005D6B9B" w:rsidRPr="00097824">
        <w:rPr>
          <w:rFonts w:eastAsia="MS Mincho"/>
          <w:i/>
          <w:szCs w:val="24"/>
          <w:shd w:val="clear" w:color="auto" w:fill="FFFFFF"/>
        </w:rPr>
        <w:t>ую</w:t>
      </w:r>
      <w:r w:rsidRPr="00097824">
        <w:rPr>
          <w:rFonts w:eastAsia="MS Mincho"/>
          <w:i/>
          <w:szCs w:val="24"/>
          <w:shd w:val="clear" w:color="auto" w:fill="FFFFFF"/>
        </w:rPr>
        <w:t xml:space="preserve"> диагностик</w:t>
      </w:r>
      <w:r w:rsidR="005D6B9B" w:rsidRPr="00097824">
        <w:rPr>
          <w:rFonts w:eastAsia="MS Mincho"/>
          <w:i/>
          <w:szCs w:val="24"/>
          <w:shd w:val="clear" w:color="auto" w:fill="FFFFFF"/>
        </w:rPr>
        <w:t>у</w:t>
      </w:r>
      <w:r w:rsidRPr="00097824">
        <w:rPr>
          <w:rFonts w:eastAsia="MS Mincho"/>
          <w:i/>
          <w:szCs w:val="24"/>
          <w:shd w:val="clear" w:color="auto" w:fill="FFFFFF"/>
        </w:rPr>
        <w:t xml:space="preserve"> между доброкачественными опухолями и раком</w:t>
      </w:r>
      <w:r w:rsidR="00784873" w:rsidRPr="00097824">
        <w:rPr>
          <w:rFonts w:eastAsia="MS Mincho"/>
          <w:i/>
          <w:szCs w:val="24"/>
          <w:shd w:val="clear" w:color="auto" w:fill="FFFFFF"/>
        </w:rPr>
        <w:t xml:space="preserve"> </w:t>
      </w:r>
      <w:r w:rsidRPr="00097824">
        <w:rPr>
          <w:rFonts w:eastAsia="MS Mincho"/>
          <w:i/>
          <w:szCs w:val="24"/>
          <w:shd w:val="clear" w:color="auto" w:fill="FFFFFF"/>
        </w:rPr>
        <w:fldChar w:fldCharType="begin"/>
      </w:r>
      <w:r w:rsidRPr="00097824">
        <w:rPr>
          <w:rFonts w:eastAsia="MS Mincho"/>
          <w:i/>
          <w:szCs w:val="24"/>
          <w:shd w:val="clear" w:color="auto" w:fill="FFFFFF"/>
        </w:rPr>
        <w:instrText xml:space="preserve"> ADDIN ZOTERO_ITEM CSL_CITATION {"citationID":"MnAbcyFN","properties":{"formattedCitation":"[31]","plainCitation":"[31]","noteIndex":0},"citationItems":[{"id":167205,"uris":["http://zotero.org/groups/4764298/items/WG5XAJ62"],"itemData":{"id":167205,"type":"article-journal","abstract":"Primary carcinoma of the gallbladder is an uncommon, aggressive malignancy that affects women more frequently than men. Older age groups are most often affected, and coexisting gallstones are present in the vast majority of cases. The symptoms at presentation are vague and are most often related to adjacent organ invasion. Therefore, despite advances in cross-sectional imaging, early-stage tumors are not often encountered. Imaging studies may reveal a mass replacing the normal gallbladder, diffuse or focal thickening of the gallbladder wall, or a polypoid mass within the gallbladder lumen. Adjacent organ invasion, most commonly involving the liver, is typically present at diagnosis, as is biliary obstruction. Periportal and peripancreatic lymphadenopathy, hematogenous metastases, and peritoneal metastases may also be seen. The vast majority of gallbladder carcinomas are adenocarcinomas. Because most patients present with advanced disease, the prognosis is poor, with a reported 5-year survival rate of less than 5% in most large series. The radiologic differential diagnosis includes the more frequently encountered inflammatory conditions of the gallbladder, xanthogranulomatous cholecystitis, adenomyomatosis, other hepatobiliary malignancies, and metastatic disease.","container-title":"RadioGraphics","DOI":"10.1148/radiographics.21.2.g01mr16295","ISSN":"0271-5333","issue":"2","note":"publisher: Radiological Society of North America","page":"295-314","source":"pubs.rsna.org (Atypon)","title":"Gallbladder Carcinoma: Radiologic-Pathologic Correlation","title-short":"Gallbladder Carcinoma","volume":"21","author":[{"family":"Levy","given":"Angela D."},{"family":"Murakata","given":"Linda A."},{"family":"Rohrmann","given":"Charles A."}],"issued":{"date-parts":[["2001",3]]}}}],"schema":"https://github.com/citation-style-language/schema/raw/master/csl-citation.json"} </w:instrText>
      </w:r>
      <w:r w:rsidRPr="00097824">
        <w:rPr>
          <w:rFonts w:eastAsia="MS Mincho"/>
          <w:i/>
          <w:szCs w:val="24"/>
          <w:shd w:val="clear" w:color="auto" w:fill="FFFFFF"/>
        </w:rPr>
        <w:fldChar w:fldCharType="separate"/>
      </w:r>
      <w:r w:rsidR="00D529A9" w:rsidRPr="00097824">
        <w:t>[31]</w:t>
      </w:r>
      <w:r w:rsidRPr="00097824">
        <w:rPr>
          <w:rFonts w:eastAsia="MS Mincho"/>
          <w:i/>
          <w:szCs w:val="24"/>
          <w:shd w:val="clear" w:color="auto" w:fill="FFFFFF"/>
        </w:rPr>
        <w:fldChar w:fldCharType="end"/>
      </w:r>
      <w:r w:rsidRPr="00097824">
        <w:rPr>
          <w:rFonts w:eastAsia="MS Mincho"/>
          <w:i/>
          <w:szCs w:val="24"/>
          <w:shd w:val="clear" w:color="auto" w:fill="FFFFFF"/>
        </w:rPr>
        <w:t>.</w:t>
      </w:r>
    </w:p>
    <w:p w14:paraId="4B3CC654" w14:textId="12B0748A" w:rsidR="009C26C8" w:rsidRPr="00097824" w:rsidRDefault="00822409" w:rsidP="00AD4A9F">
      <w:pPr>
        <w:pStyle w:val="1"/>
        <w:spacing w:before="0"/>
        <w:ind w:left="397" w:firstLine="357"/>
        <w:rPr>
          <w:rFonts w:eastAsia="MS Mincho"/>
          <w:shd w:val="clear" w:color="auto" w:fill="FFFFFF"/>
        </w:rPr>
      </w:pPr>
      <w:r w:rsidRPr="00097824">
        <w:rPr>
          <w:rFonts w:eastAsia="MS Mincho"/>
          <w:shd w:val="clear" w:color="auto" w:fill="FFFFFF"/>
        </w:rPr>
        <w:t xml:space="preserve">Перед началом лечения всем </w:t>
      </w:r>
      <w:r w:rsidR="00011446" w:rsidRPr="00097824">
        <w:rPr>
          <w:rFonts w:eastAsia="MS Mincho"/>
          <w:shd w:val="clear" w:color="auto" w:fill="FFFFFF"/>
        </w:rPr>
        <w:t>пациентам</w:t>
      </w:r>
      <w:r w:rsidRPr="00097824">
        <w:rPr>
          <w:rFonts w:eastAsia="MS Mincho"/>
          <w:shd w:val="clear" w:color="auto" w:fill="FFFFFF"/>
        </w:rPr>
        <w:t xml:space="preserve"> р</w:t>
      </w:r>
      <w:r w:rsidR="009C26C8" w:rsidRPr="00097824">
        <w:rPr>
          <w:rFonts w:eastAsia="MS Mincho"/>
          <w:shd w:val="clear" w:color="auto" w:fill="FFFFFF"/>
        </w:rPr>
        <w:t xml:space="preserve">екомендуется выполнить КТ органов грудной </w:t>
      </w:r>
      <w:r w:rsidR="001512E3" w:rsidRPr="00097824">
        <w:rPr>
          <w:rFonts w:eastAsia="MS Mincho"/>
          <w:shd w:val="clear" w:color="auto" w:fill="FFFFFF"/>
        </w:rPr>
        <w:t xml:space="preserve">полости </w:t>
      </w:r>
      <w:r w:rsidR="00E35519" w:rsidRPr="00097824">
        <w:rPr>
          <w:rFonts w:eastAsia="MS Mincho"/>
          <w:shd w:val="clear" w:color="auto" w:fill="FFFFFF"/>
        </w:rPr>
        <w:t>для определения распространенности опухолевого процесса</w:t>
      </w:r>
      <w:r w:rsidR="00784873" w:rsidRPr="00097824">
        <w:rPr>
          <w:rFonts w:eastAsia="MS Mincho"/>
          <w:shd w:val="clear" w:color="auto" w:fill="FFFFFF"/>
        </w:rPr>
        <w:t xml:space="preserve"> </w:t>
      </w:r>
      <w:r w:rsidR="007F5427" w:rsidRPr="00097824">
        <w:rPr>
          <w:rFonts w:eastAsia="MS Mincho"/>
          <w:shd w:val="clear" w:color="auto" w:fill="FFFFFF"/>
        </w:rPr>
        <w:fldChar w:fldCharType="begin"/>
      </w:r>
      <w:r w:rsidR="00D529A9" w:rsidRPr="00097824">
        <w:rPr>
          <w:rFonts w:eastAsia="MS Mincho"/>
          <w:shd w:val="clear" w:color="auto" w:fill="FFFFFF"/>
        </w:rPr>
        <w:instrText xml:space="preserve"> ADDIN ZOTERO_ITEM CSL_CITATION {"citationID":"XUHNdTDP","properties":{"formattedCitation":"[10,32,33]","plainCitation":"[10,32,33]","noteIndex":0},"citationItems":[{"id":166676,"uris":["http://zotero.org/groups/4764298/items/HLCDHDCZ"],"itemData":{"id":166676,"type":"article-journal","container-title":"Annals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167142,"uris":["http://zotero.org/groups/4764298/items/LMWVKPKE"],"itemData":{"id":167142,"type":"article-journal","abstract":"Cholangiocarcinoma is a type of malignant tumor derived from the epithelium of the bile duct. Cases of cholangiocarcinoma metastasis to the lung are rare, especially those with imaging features of multiple cavities in bilateral lungs. Here, we report a case of a patient who had previously undergone radical resection of primary distal cholangiocarcinoma 18 months ago. Transbronchoscopic lung biopsy of the right lung and biopsy of the left supraclavicular lymph node were performed for pathology confirmation, as well as immunohistochemistry. Multiple cavity shadows in bilateral lungs and enlarged lymph nodes were found on the computed tomography (CT) scan obtained 18 months postoperatively. No obviously enlarged lymph nodes were observed under the carina and beside the aortic arch, whereas enlarged lymph nodes were found above the left clavicle. Biopsy of lung and supraclavicular lymph nodes confirmed metastatic adenocarcinoma. Immunohistochemistry showed that it originated from the digestive tract and had the same homology as cholangiocarcinoma (CK19 +, Villin +). Cholangiocarcinoma can be transferred to the lung and the left supraclavicular lymph nodes through the lymphatic pathway by characteristic jumping lymph node metastases. Diffuse cystic change is a specific CT manifestation of the lymphatic lung metasta</w:instrText>
      </w:r>
      <w:r w:rsidR="00D529A9" w:rsidRPr="00097824">
        <w:rPr>
          <w:rFonts w:eastAsia="MS Mincho" w:hint="eastAsia"/>
          <w:shd w:val="clear" w:color="auto" w:fill="FFFFFF"/>
        </w:rPr>
        <w:instrText>sis of cholangiocarcinoma., \ncystic cavity</w:instrText>
      </w:r>
      <w:r w:rsidR="00D529A9" w:rsidRPr="00097824">
        <w:rPr>
          <w:rFonts w:eastAsia="MS Mincho" w:hint="eastAsia"/>
          <w:shd w:val="clear" w:color="auto" w:fill="FFFFFF"/>
        </w:rPr>
        <w:instrText>‐</w:instrText>
      </w:r>
      <w:r w:rsidR="00D529A9" w:rsidRPr="00097824">
        <w:rPr>
          <w:rFonts w:eastAsia="MS Mincho" w:hint="eastAsia"/>
          <w:shd w:val="clear" w:color="auto" w:fill="FFFFFF"/>
        </w:rPr>
        <w:instrText>characteristic CT signs of translymphatic pulmonary metastasis in cholangiocarcinom.","container-title":"Thoracic Cancer","DOI":"10.1111/1759-7714.13584","ISSN":"1759-7706","issue":"10","journalAbbreviation":"Th</w:instrText>
      </w:r>
      <w:r w:rsidR="00D529A9" w:rsidRPr="00097824">
        <w:rPr>
          <w:rFonts w:eastAsia="MS Mincho"/>
          <w:shd w:val="clear" w:color="auto" w:fill="FFFFFF"/>
        </w:rPr>
        <w:instrText xml:space="preserve">orac Cancer","note":"PMID: 32885606\nPMCID: PMC7529578","page":"2998-3000","source":"PubMed Central","title":"Pulmonary metastasis of distal cholangiocarcinoma with multiple cavities in bilateral lungs: A case report","title-short":"Pulmonary metastasis of distal cholangiocarcinoma with multiple cavities in bilateral lungs","volume":"11","author":[{"family":"Zhai","given":"Nailiang"},{"family":"Liu","given":"Jinping"},{"family":"Xu","given":"Pan"},{"family":"Liu","given":"Bo"},{"family":"Fan","given":"Yichu"},{"family":"Lv","given":"Changjun"}],"issued":{"date-parts":[["2020",10]]}},"label":"page"},{"id":167140,"uris":["http://zotero.org/groups/4764298/items/CQAGSUHM"],"itemData":{"id":167140,"type":"article-journal","abstract":"Background\nIntraductal papillary neoplasm of the bile duct (IPNB) is considered a pre-cancerous biliary lesion and/or an early cancer lesion, although its classification remains unclear. The 2019 revised edition of the World Health Organization Classification of Tumors of the Digestive System proposed type 1 and type 2 as new classification categories, and meta-analyses and/or multi-center cohort studies are beginning to be reported. However, treatment for IPNB recurrence and metastasis remains unclear.\n\nCase presentation\nA 60-year-old man who was referred to our hospital after a suspected liver tumor was diagnosed using abdominal ultrasonography. Imaging findings revealed an irregularly shaped tumor in segment 5 (S5) of the liver (size 20 mm). The S5 lesion was suspected as IPNB, and segmentectomy was performed. The pathological findings revealed invasive carcinoma derived from IPNB, and immunohistochemistry revealed positive expression of MUC1, MUC5AC, and MUC6, but negative expression of CDX2 and MUC2. At 9 months after the surgery, computed tomography revealed a tumor in the right bile duct, which was diagnosed as liver recurrence of IPNB, and right hepatectomy was performed. The histopathological findings were the same as for the first resected specimen (i.e., IPNB). At 45 months after the second surgery, computed tomography revealed nodules in both lungs, which were diagnosed as lung metastases from IPNB and resected in two separate procedures. The pathological findings were metastatic carcinoma from IPNB for both lung lesions. The patient is currently alive and undergoing adjuvant chemotherapy (S-1), which was initiated 64 months after the first resection and 12 months after resection of the lung metastases.\n\nConclusion\nWe encountered a rare case of lung metastases from IPNB, which were diagnosed immunohistologically. Because IPNB is generally a slow-growing tumor, resection may be feasible for IPNB recurrence and/or metastasis, which may be detected during long-term follow-up. Thus, even if resection is performed for primary IPNB, additional surgical treatment may be feasible in this setting.","container-title":"World Journal of Surgical Oncology","DOI":"10.1186/s12957-020-02054-9","ISSN":"1477-7819","journalAbbreviation":"World J Surg Oncol","note":"PMID: 33097064\nPMCID: PMC7585296","page":"271","source":"PubMed Central","title":"Lung metastases from intraductal papillary neoplasm of the bile duct: a case report","title-short":"Lung metastases from intraductal papillary neoplasm of the bile duct","volume":"18","author":[{"family":"Fujino","given":"Rika"},{"family":"Masuoka","given":"Yoshihito"},{"family":"Mashiko","given":"Taro"},{"family":"Nakano","given":"Akira"},{"family":"Hirabayashi","given":"Kenichi"},{"family":"Nakagohri","given":"Toshio"}],"issued":{"date-parts":[["2020",10,23]]}},"label":"page"}],"schema":"https://github.com/citation-style-language/schema/raw/master/csl-citation.json"} </w:instrText>
      </w:r>
      <w:r w:rsidR="007F5427" w:rsidRPr="00097824">
        <w:rPr>
          <w:rFonts w:eastAsia="MS Mincho"/>
          <w:shd w:val="clear" w:color="auto" w:fill="FFFFFF"/>
        </w:rPr>
        <w:fldChar w:fldCharType="separate"/>
      </w:r>
      <w:r w:rsidR="00D529A9" w:rsidRPr="00097824">
        <w:rPr>
          <w:rFonts w:eastAsia="MS Mincho"/>
        </w:rPr>
        <w:t>[10,32,33]</w:t>
      </w:r>
      <w:r w:rsidR="007F5427" w:rsidRPr="00097824">
        <w:rPr>
          <w:rFonts w:eastAsia="MS Mincho"/>
          <w:shd w:val="clear" w:color="auto" w:fill="FFFFFF"/>
        </w:rPr>
        <w:fldChar w:fldCharType="end"/>
      </w:r>
      <w:r w:rsidR="007F5427" w:rsidRPr="00097824">
        <w:rPr>
          <w:rFonts w:eastAsia="MS Mincho"/>
          <w:shd w:val="clear" w:color="auto" w:fill="FFFFFF"/>
        </w:rPr>
        <w:t>.</w:t>
      </w:r>
    </w:p>
    <w:p w14:paraId="7591665E" w14:textId="2B08B67F" w:rsidR="009C26C8" w:rsidRPr="00097824" w:rsidRDefault="007F5427" w:rsidP="00AD4A9F">
      <w:pPr>
        <w:pStyle w:val="32"/>
        <w:ind w:left="397" w:firstLine="357"/>
        <w:rPr>
          <w:color w:val="auto"/>
        </w:rPr>
      </w:pPr>
      <w:r w:rsidRPr="00097824">
        <w:rPr>
          <w:color w:val="auto"/>
        </w:rPr>
        <w:t xml:space="preserve">Уровень убедительности рекомендаций – </w:t>
      </w:r>
      <w:r w:rsidR="00354706" w:rsidRPr="00097824">
        <w:rPr>
          <w:color w:val="auto"/>
        </w:rPr>
        <w:t xml:space="preserve">С </w:t>
      </w:r>
      <w:r w:rsidRPr="00097824">
        <w:rPr>
          <w:color w:val="auto"/>
        </w:rPr>
        <w:t xml:space="preserve">(уровень достоверности доказательств – </w:t>
      </w:r>
      <w:r w:rsidR="00354706" w:rsidRPr="00097824">
        <w:rPr>
          <w:color w:val="auto"/>
        </w:rPr>
        <w:t>5</w:t>
      </w:r>
      <w:r w:rsidRPr="00097824">
        <w:rPr>
          <w:color w:val="auto"/>
        </w:rPr>
        <w:t>).</w:t>
      </w:r>
    </w:p>
    <w:p w14:paraId="45435707" w14:textId="5E57D838" w:rsidR="009C26C8" w:rsidRPr="00097824" w:rsidRDefault="007F5427" w:rsidP="00AD4A9F">
      <w:pPr>
        <w:pStyle w:val="1"/>
        <w:spacing w:before="0"/>
        <w:ind w:left="397" w:firstLine="357"/>
        <w:rPr>
          <w:rFonts w:eastAsia="MS Mincho"/>
          <w:shd w:val="clear" w:color="auto" w:fill="FFFFFF"/>
        </w:rPr>
      </w:pPr>
      <w:r w:rsidRPr="00097824">
        <w:rPr>
          <w:rFonts w:eastAsia="MS Mincho"/>
          <w:shd w:val="clear" w:color="auto" w:fill="FFFFFF"/>
        </w:rPr>
        <w:t>При планировании хирургического лечения</w:t>
      </w:r>
      <w:r w:rsidR="00B62BA4" w:rsidRPr="00097824">
        <w:rPr>
          <w:rFonts w:eastAsia="MS Mincho"/>
          <w:shd w:val="clear" w:color="auto" w:fill="FFFFFF"/>
        </w:rPr>
        <w:t xml:space="preserve"> взрослым</w:t>
      </w:r>
      <w:r w:rsidRPr="00097824">
        <w:rPr>
          <w:rFonts w:eastAsia="MS Mincho"/>
          <w:shd w:val="clear" w:color="auto" w:fill="FFFFFF"/>
        </w:rPr>
        <w:t xml:space="preserve"> </w:t>
      </w:r>
      <w:r w:rsidR="00A61EBF" w:rsidRPr="00097824">
        <w:rPr>
          <w:rFonts w:eastAsia="MS Mincho"/>
          <w:shd w:val="clear" w:color="auto" w:fill="FFFFFF"/>
        </w:rPr>
        <w:t xml:space="preserve">пациентам </w:t>
      </w:r>
      <w:r w:rsidRPr="00097824">
        <w:rPr>
          <w:rFonts w:eastAsia="MS Mincho"/>
          <w:shd w:val="clear" w:color="auto" w:fill="FFFFFF"/>
        </w:rPr>
        <w:t>рекомендовано выполнить позитронную эмиссионную томографию</w:t>
      </w:r>
      <w:r w:rsidR="00733FAC" w:rsidRPr="00097824">
        <w:rPr>
          <w:rFonts w:eastAsia="MS Mincho"/>
          <w:shd w:val="clear" w:color="auto" w:fill="FFFFFF"/>
        </w:rPr>
        <w:t xml:space="preserve">, совмещенную с компьютерной томографией с </w:t>
      </w:r>
      <w:proofErr w:type="spellStart"/>
      <w:r w:rsidR="00733FAC" w:rsidRPr="00097824">
        <w:rPr>
          <w:rFonts w:eastAsia="MS Mincho"/>
          <w:shd w:val="clear" w:color="auto" w:fill="FFFFFF"/>
        </w:rPr>
        <w:t>туморотропными</w:t>
      </w:r>
      <w:proofErr w:type="spellEnd"/>
      <w:r w:rsidR="00733FAC" w:rsidRPr="00097824">
        <w:rPr>
          <w:rFonts w:eastAsia="MS Mincho"/>
          <w:shd w:val="clear" w:color="auto" w:fill="FFFFFF"/>
        </w:rPr>
        <w:t xml:space="preserve"> РФП</w:t>
      </w:r>
      <w:r w:rsidRPr="00097824">
        <w:rPr>
          <w:rFonts w:eastAsia="MS Mincho"/>
          <w:shd w:val="clear" w:color="auto" w:fill="FFFFFF"/>
        </w:rPr>
        <w:t xml:space="preserve"> (ПЭТ-КТ)</w:t>
      </w:r>
      <w:r w:rsidR="00733FAC" w:rsidRPr="00097824">
        <w:rPr>
          <w:rFonts w:eastAsia="MS Mincho"/>
          <w:shd w:val="clear" w:color="auto" w:fill="FFFFFF"/>
        </w:rPr>
        <w:t>,</w:t>
      </w:r>
      <w:r w:rsidRPr="00097824">
        <w:rPr>
          <w:rFonts w:eastAsia="MS Mincho"/>
          <w:shd w:val="clear" w:color="auto" w:fill="FFFFFF"/>
        </w:rPr>
        <w:t xml:space="preserve"> с целью исключения отдаленных метастазов в случае подозрения на их наличие по данным комплексного обследования</w:t>
      </w:r>
      <w:r w:rsidR="009A18C0" w:rsidRPr="00097824">
        <w:rPr>
          <w:rFonts w:eastAsia="MS Mincho"/>
          <w:shd w:val="clear" w:color="auto" w:fill="FFFFFF"/>
        </w:rPr>
        <w:t xml:space="preserve"> </w:t>
      </w:r>
      <w:r w:rsidRPr="00097824">
        <w:rPr>
          <w:rFonts w:eastAsia="MS Mincho"/>
          <w:shd w:val="clear" w:color="auto" w:fill="FFFFFF"/>
        </w:rPr>
        <w:fldChar w:fldCharType="begin"/>
      </w:r>
      <w:r w:rsidRPr="00097824">
        <w:rPr>
          <w:rFonts w:eastAsia="MS Mincho"/>
          <w:shd w:val="clear" w:color="auto" w:fill="FFFFFF"/>
        </w:rPr>
        <w:instrText xml:space="preserve"> ADDIN ZOTERO_ITEM CSL_CITATION {"citationID":"J9pkYzDv","properties":{"formattedCitation":"[36,37]","plainCitation":"[36,37]","noteIndex":0},"citationItems":[{"id":166641,"uris":["http://zotero.org/groups/4764298/items/64UPNNQW"],"itemData":{"id":166641,"type":"article-journal","abstract":"BACKGROUND &amp; AIMS: The role of 18F-fluorodeoxyglucose positron emission tomography (18FDG-PET) in the diagnosis and staging of patients with biliary tract cancers (BTCs) remains controversial, so we aimed to provide robust information on the utility of 18FDG-PET in the diagnosis and management of BTC.\nMETHODS: This systematic review and meta-analysis explored the diagnostic test accuracy of 18FDG-PET as a diagnostic tool for diagnosis of primary tumour, lymph node invasion, distant metastases and relapsed disease. Subgroup analysis by study quality and BTC subtype were performed. Changes in management based on 18FDG-PET and impact of maximum standardised uptake values (SUVmax) on prognosis were also assessed. A random effects model was used for meta-analyses.\nRESULTS: A total of 2,125 patients were included from 47 eligible studies. The sensitivity (Se) and specificity (Sp) of 18FDG-PET for the diagnosis of primary tumour were 91.7% (95% CI 89.8-93.2) and 51.3% (95% CI 46.4-56.2), respectively, with an area under the curve (AUC) of 0.8668. For lymph node invasion, Se was 88.4% (95% CI82.6-92.8) and Sp was 69.1% (95% CI 63.8-74.1); AUC 0.8519. For distant metastases, Se was 85.4% (95% CI 79.5-90.2) and Sp was 89.7% (95% CI86.0-92.7); AUC 0.9253. For relapse, Se was 90.1% (95% CI 84.4-94.3) and Sp was 83.5% (95% CI 74.4-90.4); AUC 0.9592. No diagnostic threshold effect was identified. Meta-regression did not identify significant sources of heterogeneity. Sensitivity analysis revealed no change in results when analyses were limited to studies with low risk of bias/concern. The pooled proportion of change in management was 15% (95% CI 11-20); the majority (78%) due to disease upstaging. Baseline high SUVmax was associated with worse survival (pooled hazard ratio of 1.79; 95% CI 1.37-2.33; p &lt;0.001).\nCONCLUSIONS: There is evidence to support the incorporation of 18FDG-PET into the current standard of care for the staging (lymph node and distant metastases) and identification of relapse in patients with BTC to guide treatment selection; especially if the identification of occult sites of disease would change management, or if diagnosis of relapse remains unclear following standard of care imaging. The role for diagnosis of the primary tumour remains controversial due to low sensitivity and 18FDG-PET should not be considered as a replacement for pathological confirmation in this setting.\nLAY SUMMARY: A positron emission tomography (PET scan), using 18F-fluorodeoxyglucose (18FDG), can help doctors identify areas of cancer in the body by highlighting \"hot spots\". These hotspots may be cancerous (true positive) but may also be non-cancerous, like inflammation (false positive). We show that PET scans are useful to assess how far advanced the cancer is (by assessing spread to lymph glands and to other organs) and also to identify if the cancer has recurred (for example after surgery), thus helping doctors to make treatment decisions. However, a biopsy is still needed for the initial diagnosis of a biliary tract cancer, because of the high chance of a \"false positive\" with PET scans.","container-title":"Journal of Hepatology","DOI":"10.1016/j.jhep.2019.01.038","ISSN":"1600-0641","issue":"1","journalAbbreviation":"J Hepatol","language":"eng","note":"PMID: 30797051","page":"115-129","source":"PubMed","title":"18F-fluorodeoxyglucose positron emission tomography (18FDG-PET) for patients with biliary tract cancer: Systematic review and meta-analysis","title-short":"18F-fluorodeoxyglucose positron emission tomography (18FDG-PET) for patients with biliary tract cancer","volume":"71","author":[{"family":"Lamarca","given":"Angela"},{"family":"Barriuso","given":"Jorge"},{"family":"Chander","given":"Amarjot"},{"family":"McNamara","given":"Mairéad G."},{"family":"Hubner","given":"Richard A."},{"family":"ÓReilly","given":"Derek"},{"family":"Manoharan","given":"Prakash"},{"family":"Valle","given":"Juan W."}],"issued":{"date-parts":[["2019",7]]}},"label":"page"},{"id":167083,"uris":["http://zotero.org/groups/4764298/items/CMGKFNM9"],"itemData":{"id":167083,"type":"article-journal","container-title":"Journal of hepatology","issue":"1","note":"publisher: Elsevier","page":"43–50","source":"Google Scholar","title":"Impact of integrated positron emission tomography and computed tomography on staging and management of gallbladder cancer and cholangiocarcinoma","volume":"45","author":[{"family":"Petrowsky","given":"Henrik"},{"family":"Wildbrett","given":"Peer"},{"family":"Husarik","given":"Daniela B."},{"family":"Hany","given":"Thomas F."},{"family":"Tam","given":"Simona"},{"family":"Jochum","given":"Wolfram"},{"family":"Clavien","given":"Pierre-Alain"}],"issued":{"date-parts":[["2006"]]}},"label":"page"}],"schema":"https://github.com/citation-style-language/schema/raw/master/csl-citation.json"} </w:instrText>
      </w:r>
      <w:r w:rsidRPr="00097824">
        <w:rPr>
          <w:rFonts w:eastAsia="MS Mincho"/>
          <w:shd w:val="clear" w:color="auto" w:fill="FFFFFF"/>
        </w:rPr>
        <w:fldChar w:fldCharType="separate"/>
      </w:r>
      <w:r w:rsidRPr="00097824">
        <w:rPr>
          <w:rFonts w:eastAsia="MS Mincho"/>
        </w:rPr>
        <w:t>[36,37]</w:t>
      </w:r>
      <w:r w:rsidRPr="00097824">
        <w:rPr>
          <w:rFonts w:eastAsia="MS Mincho"/>
          <w:shd w:val="clear" w:color="auto" w:fill="FFFFFF"/>
        </w:rPr>
        <w:fldChar w:fldCharType="end"/>
      </w:r>
      <w:r w:rsidRPr="00097824">
        <w:rPr>
          <w:rFonts w:eastAsia="MS Mincho"/>
          <w:shd w:val="clear" w:color="auto" w:fill="FFFFFF"/>
        </w:rPr>
        <w:t>.</w:t>
      </w:r>
    </w:p>
    <w:p w14:paraId="436E89A0" w14:textId="4F21389D" w:rsidR="009C26C8" w:rsidRPr="00097824" w:rsidRDefault="007F5427" w:rsidP="00AD4A9F">
      <w:pPr>
        <w:pStyle w:val="32"/>
        <w:ind w:left="397" w:firstLine="357"/>
        <w:rPr>
          <w:color w:val="auto"/>
        </w:rPr>
      </w:pPr>
      <w:r w:rsidRPr="00097824">
        <w:rPr>
          <w:color w:val="auto"/>
        </w:rPr>
        <w:t>Уровень убедительности рекомендаций – В (уровень достоверности доказательств – 2)</w:t>
      </w:r>
    </w:p>
    <w:p w14:paraId="09F6FF4D" w14:textId="77777777" w:rsidR="00D630AE" w:rsidRPr="00097824" w:rsidRDefault="00910475" w:rsidP="00CC2BE1">
      <w:pPr>
        <w:pStyle w:val="2"/>
        <w:numPr>
          <w:ilvl w:val="2"/>
          <w:numId w:val="29"/>
        </w:numPr>
        <w:spacing w:before="0"/>
        <w:ind w:left="397" w:firstLine="357"/>
        <w:jc w:val="left"/>
      </w:pPr>
      <w:bookmarkStart w:id="68" w:name="_Toc113198767"/>
      <w:bookmarkStart w:id="69" w:name="_Toc113205058"/>
      <w:bookmarkStart w:id="70" w:name="_Toc23142726"/>
      <w:r w:rsidRPr="00097824">
        <w:t>Иные диагностические исследования</w:t>
      </w:r>
      <w:bookmarkEnd w:id="68"/>
      <w:bookmarkEnd w:id="69"/>
    </w:p>
    <w:p w14:paraId="63ACECBC" w14:textId="4A5E6761" w:rsidR="00F3117E" w:rsidRPr="00097824" w:rsidRDefault="007F5427" w:rsidP="00AD4A9F">
      <w:pPr>
        <w:ind w:left="397" w:firstLine="357"/>
        <w:rPr>
          <w:shd w:val="clear" w:color="auto" w:fill="FFFFFF"/>
        </w:rPr>
      </w:pPr>
      <w:r w:rsidRPr="00097824">
        <w:rPr>
          <w:shd w:val="clear" w:color="auto" w:fill="FFFFFF"/>
        </w:rPr>
        <w:t xml:space="preserve">Большая часть внутрипеченочных </w:t>
      </w:r>
      <w:proofErr w:type="spellStart"/>
      <w:r w:rsidRPr="00097824">
        <w:rPr>
          <w:shd w:val="clear" w:color="auto" w:fill="FFFFFF"/>
        </w:rPr>
        <w:t>холангиокарцином</w:t>
      </w:r>
      <w:proofErr w:type="spellEnd"/>
      <w:r w:rsidRPr="00097824">
        <w:rPr>
          <w:shd w:val="clear" w:color="auto" w:fill="FFFFFF"/>
        </w:rPr>
        <w:t xml:space="preserve"> – умеренно-высокодифференцированные тубулярные аденокарциномы</w:t>
      </w:r>
      <w:r w:rsidRPr="00097824">
        <w:rPr>
          <w:shd w:val="clear" w:color="auto" w:fill="FFFFFF"/>
        </w:rPr>
        <w:fldChar w:fldCharType="begin"/>
      </w:r>
      <w:r w:rsidRPr="00097824">
        <w:rPr>
          <w:shd w:val="clear" w:color="auto" w:fill="FFFFFF"/>
        </w:rPr>
        <w:instrText xml:space="preserve"> ADDIN ZOTERO_ITEM CSL_CITATION {"citationID":"R0whFlJQ","properties":{"formattedCitation":"[1]","plainCitation":"[1]","noteIndex":0},"citationItems":[{"id":167067,"uris":["http://zotero.org/groups/4764298/items/YUXV4T7X"],"itemData":{"id":167067,"type":"article-journal","abstract":"The objective of this article is to review the available literature on the epidemiology, predisposing factors, and conditions associated with primary gallbladder cancer, and to discuss the role of prophylactic cholecystectomy in high-risk patient populations. Gallbladder cancer is a highly malignant tumor with a poor 5-yr-survival rate. It is a tumor of the elderly and has striking genetic, racial, and geographic characteristics, with an extremely high prevalence in Native Americans and Chileans. Cholelithiasis is a well-established risk factor for gallbladder cancer and the risk seems to correlate with stone size. Polyps that are &gt;l cm, single, sessile, and echopenic are associated with a higher risk of malignancy. Anomalous junction of pancreatico-biliary ducts (AJPBD), especially without choledochal cyst, and porcelain gallbladder are additional factors that predispose to gallbladder cancer. Lesser associations include chronic bacterial infections of the gallbladder, typhoid carrier state, certain occupational and environmental carcinogens, hormonal changes in women, and certain social, dietary, and familial factors. It is important to identify high-risk groups for gallbladder cancer because of the dismal nature of this tumor. In patients with porcelain gallbladder and anomalous junction of the pancreatic and biliary ducts, cholecystectomy is recommended provided that the patient is a good operative candidate. Patients with large solitary polyps or gallstones require close ultrasonic follow-up. With the advent of endoscopic ultrasound it is expected that early changes of malignancy in polyps will be reliably detected, and more patients will potentially be cured with a simple cholecystectomy. Through a MEDLINE/PAPERCHASE search we identified and reviewed articles regarding gallbladder cancer published in English-language journals between 1966 and 1999, using the key words biliary tract and gallbladder diseases, cancer, neoplasms, surgery, cholelithiasis, gallstones, cholecystitis, gallbladder polyps, risk factors, chemical industry, occupational diseases, typhoid, porcelain gallbladder, bacteremia, and precancerous conditions. We also used the bibliography of relevant articles to increase our search. A total of 122 publications were selected using the mentioned data source.","container-title":"The American Journal of Gastroenterology","DOI":"10.1016/S0002-9270(00)00862-5","ISSN":"0002-9270","issue":"6","journalAbbreviation":"The American Journal of Gastroenterology","language":"en","page":"1402-1410","source":"ScienceDirect","title":"Primary gallbladder cancer: recognition of risk factors and the role of prophylactic cholecystectomy","title-short":"Primary gallbladder cancer","volume":"95","author":[{"family":"Sheth","given":"Sunil"},{"family":"Bedford","given":"Andrew"},{"family":"Chopra","given":"Sanjiv"}],"issued":{"date-parts":[["2000",6,1]]}}}],"schema":"https://github.com/citation-style-language/schema/raw/master/csl-citation.json"} </w:instrText>
      </w:r>
      <w:r w:rsidRPr="00097824">
        <w:rPr>
          <w:shd w:val="clear" w:color="auto" w:fill="FFFFFF"/>
        </w:rPr>
        <w:fldChar w:fldCharType="separate"/>
      </w:r>
      <w:r w:rsidRPr="00097824">
        <w:t>[1]</w:t>
      </w:r>
      <w:r w:rsidRPr="00097824">
        <w:rPr>
          <w:shd w:val="clear" w:color="auto" w:fill="FFFFFF"/>
        </w:rPr>
        <w:fldChar w:fldCharType="end"/>
      </w:r>
      <w:r w:rsidRPr="00097824">
        <w:rPr>
          <w:shd w:val="clear" w:color="auto" w:fill="FFFFFF"/>
        </w:rPr>
        <w:t xml:space="preserve">. В последнее время </w:t>
      </w:r>
      <w:r w:rsidRPr="00097824">
        <w:rPr>
          <w:shd w:val="clear" w:color="auto" w:fill="FFFFFF"/>
        </w:rPr>
        <w:fldChar w:fldCharType="begin"/>
      </w:r>
      <w:r w:rsidRPr="00097824">
        <w:rPr>
          <w:shd w:val="clear" w:color="auto" w:fill="FFFFFF"/>
        </w:rPr>
        <w:instrText xml:space="preserve"> ADDIN ZOTERO_ITEM CSL_CITATION {"citationID":"O4wVrmH8","properties":{"formattedCitation":"[2]","plainCitation":"[2]","noteIndex":0},"citationItems":[{"id":167068,"uris":["http://zotero.org/groups/4764298/items/LLTLVBZN"],"itemData":{"id":167068,"type":"article-journal","abstract":"Gallbladder cancer is an uncommon cancer that has traditionally been associated with a poor prognosis. In the era of laparoscopic cholecystectomy, incidental gallbladder cancer has dramatically increased and now constitutes the major way patients present with gallbladder cancer. While patients with incidental gallbladder cancer have a better survival than patients with nonincidental gallbladder cancer, incidental gallbladder cancer can be associated with a varied prognosis. Imaging with computed tomography (CT), magnetic resonance imaging (MRI), and [18]F-fluorodeoxyglucose (FDG) positron emission tomography (PET), as well as diagnostic laparoscopy, all have varying roles in the workup of patients with incidental gallbladder cancer. For patients with T1b, T2, and T3 incidental gallbladder cancer re-resection is generally recommended. At re-exploration, many patients with incidental gallbladder cancer will have residual disease. Definitive oncologic management requires re-resection of the liver, portal lymphadenectomy, and attention to the common bile duct. The extent of the hepatic resection should be dictated by the ability to achieve a microscopically negative (R0) margin. Routine resection of the common bile duct is unnecessary but should be undertaken in the setting of a positive cystic duct margin. If an incidental gallbladder cancer is discovered at the time of surgery, whether the surgeon should directly proceed with a more definitive oncologic operation should depend on the surgeon’s skill-set and experience. Gallbladder cancer has a propensity to recur. Although data for adjuvant therapy following resection are limited, some data do suggest a survival benefit for adjuvant chemoradiation therapy. Management of patients with gallbladder cancer requires a multidisciplinary approach with input from a surgeon skilled in hepatobiliary surgery.","container-title":"Annals of Surgical Oncology","DOI":"10.1245/s10434-009-0538-x","ISSN":"1534-4681","issue":"8","journalAbbreviation":"Ann Surg Oncol","language":"en","page":"2101-2115","source":"Springer Link","title":"Evolving Treatment Strategies for Gallbladder Cancer","volume":"16","author":[{"family":"Hueman","given":"Matthew T."},{"family":"Vollmer","given":"Charles M."},{"family":"Pawlik","given":"Timothy M."}],"issued":{"date-parts":[["2009",8,1]]}}}],"schema":"https://github.com/citation-style-language/schema/raw/master/csl-citation.json"} </w:instrText>
      </w:r>
      <w:r w:rsidRPr="00097824">
        <w:rPr>
          <w:shd w:val="clear" w:color="auto" w:fill="FFFFFF"/>
        </w:rPr>
        <w:fldChar w:fldCharType="separate"/>
      </w:r>
      <w:r w:rsidRPr="00097824">
        <w:t>[2]</w:t>
      </w:r>
      <w:r w:rsidRPr="00097824">
        <w:rPr>
          <w:shd w:val="clear" w:color="auto" w:fill="FFFFFF"/>
        </w:rPr>
        <w:fldChar w:fldCharType="end"/>
      </w:r>
      <w:r w:rsidRPr="00097824">
        <w:rPr>
          <w:shd w:val="clear" w:color="auto" w:fill="FFFFFF"/>
        </w:rPr>
        <w:t xml:space="preserve"> ХЦР подразделен на 2 типа с учетом локализации опухоли и ее </w:t>
      </w:r>
      <w:proofErr w:type="spellStart"/>
      <w:r w:rsidRPr="00097824">
        <w:rPr>
          <w:shd w:val="clear" w:color="auto" w:fill="FFFFFF"/>
        </w:rPr>
        <w:t>иммуногистохимических</w:t>
      </w:r>
      <w:proofErr w:type="spellEnd"/>
      <w:r w:rsidRPr="00097824">
        <w:rPr>
          <w:shd w:val="clear" w:color="auto" w:fill="FFFFFF"/>
        </w:rPr>
        <w:t xml:space="preserve"> особенностей:</w:t>
      </w:r>
    </w:p>
    <w:p w14:paraId="7C02D83D" w14:textId="77777777" w:rsidR="00F3117E" w:rsidRPr="00097824" w:rsidRDefault="007F5427" w:rsidP="00AD4A9F">
      <w:pPr>
        <w:ind w:left="397" w:firstLine="357"/>
        <w:rPr>
          <w:shd w:val="clear" w:color="auto" w:fill="FFFFFF"/>
        </w:rPr>
      </w:pPr>
      <w:r w:rsidRPr="00097824">
        <w:rPr>
          <w:shd w:val="clear" w:color="auto" w:fill="FFFFFF"/>
        </w:rPr>
        <w:lastRenderedPageBreak/>
        <w:t xml:space="preserve">а) </w:t>
      </w:r>
      <w:proofErr w:type="spellStart"/>
      <w:r w:rsidRPr="00097824">
        <w:rPr>
          <w:shd w:val="clear" w:color="auto" w:fill="FFFFFF"/>
        </w:rPr>
        <w:t>билиарный</w:t>
      </w:r>
      <w:proofErr w:type="spellEnd"/>
      <w:r w:rsidRPr="00097824">
        <w:rPr>
          <w:shd w:val="clear" w:color="auto" w:fill="FFFFFF"/>
        </w:rPr>
        <w:t xml:space="preserve"> тип с выраженной экспрессией </w:t>
      </w:r>
      <w:r w:rsidRPr="00097824">
        <w:rPr>
          <w:shd w:val="clear" w:color="auto" w:fill="FFFFFF"/>
          <w:lang w:val="en-US"/>
        </w:rPr>
        <w:t>S</w:t>
      </w:r>
      <w:r w:rsidRPr="00097824">
        <w:rPr>
          <w:shd w:val="clear" w:color="auto" w:fill="FFFFFF"/>
        </w:rPr>
        <w:t>100</w:t>
      </w:r>
      <w:r w:rsidRPr="00097824">
        <w:rPr>
          <w:shd w:val="clear" w:color="auto" w:fill="FFFFFF"/>
          <w:lang w:val="en-US"/>
        </w:rPr>
        <w:t>P</w:t>
      </w:r>
      <w:r w:rsidRPr="00097824">
        <w:rPr>
          <w:shd w:val="clear" w:color="auto" w:fill="FFFFFF"/>
        </w:rPr>
        <w:t xml:space="preserve">, </w:t>
      </w:r>
      <w:r w:rsidRPr="00097824">
        <w:rPr>
          <w:shd w:val="clear" w:color="auto" w:fill="FFFFFF"/>
          <w:lang w:val="en-US"/>
        </w:rPr>
        <w:t>TFF</w:t>
      </w:r>
      <w:r w:rsidRPr="00097824">
        <w:rPr>
          <w:shd w:val="clear" w:color="auto" w:fill="FFFFFF"/>
        </w:rPr>
        <w:t xml:space="preserve">1, </w:t>
      </w:r>
      <w:r w:rsidRPr="00097824">
        <w:rPr>
          <w:shd w:val="clear" w:color="auto" w:fill="FFFFFF"/>
          <w:lang w:val="en-US"/>
        </w:rPr>
        <w:t>AGR</w:t>
      </w:r>
      <w:r w:rsidRPr="00097824">
        <w:rPr>
          <w:shd w:val="clear" w:color="auto" w:fill="FFFFFF"/>
        </w:rPr>
        <w:t xml:space="preserve">2, в 23% случаев выявляется </w:t>
      </w:r>
      <w:r w:rsidRPr="00097824">
        <w:rPr>
          <w:shd w:val="clear" w:color="auto" w:fill="FFFFFF"/>
          <w:lang w:val="en-US"/>
        </w:rPr>
        <w:t>KRAS</w:t>
      </w:r>
      <w:r w:rsidRPr="00097824">
        <w:rPr>
          <w:shd w:val="clear" w:color="auto" w:fill="FFFFFF"/>
        </w:rPr>
        <w:t>-мутация;</w:t>
      </w:r>
    </w:p>
    <w:p w14:paraId="142E843D" w14:textId="22B0C936" w:rsidR="00F3117E" w:rsidRPr="00097824" w:rsidRDefault="007F5427" w:rsidP="00AD4A9F">
      <w:pPr>
        <w:ind w:left="397" w:firstLine="357"/>
        <w:rPr>
          <w:shd w:val="clear" w:color="auto" w:fill="FFFFFF"/>
        </w:rPr>
      </w:pPr>
      <w:r w:rsidRPr="00097824">
        <w:rPr>
          <w:shd w:val="clear" w:color="auto" w:fill="FFFFFF"/>
        </w:rPr>
        <w:t xml:space="preserve">б) </w:t>
      </w:r>
      <w:proofErr w:type="spellStart"/>
      <w:r w:rsidRPr="00097824">
        <w:rPr>
          <w:shd w:val="clear" w:color="auto" w:fill="FFFFFF"/>
        </w:rPr>
        <w:t>холангиолярный</w:t>
      </w:r>
      <w:proofErr w:type="spellEnd"/>
      <w:r w:rsidRPr="00097824">
        <w:rPr>
          <w:shd w:val="clear" w:color="auto" w:fill="FFFFFF"/>
        </w:rPr>
        <w:t xml:space="preserve"> тип с выраженной экспрессией </w:t>
      </w:r>
      <w:r w:rsidRPr="00097824">
        <w:rPr>
          <w:shd w:val="clear" w:color="auto" w:fill="FFFFFF"/>
          <w:lang w:val="en-US"/>
        </w:rPr>
        <w:t>N</w:t>
      </w:r>
      <w:r w:rsidRPr="00097824">
        <w:rPr>
          <w:shd w:val="clear" w:color="auto" w:fill="FFFFFF"/>
        </w:rPr>
        <w:t>-</w:t>
      </w:r>
      <w:proofErr w:type="spellStart"/>
      <w:r w:rsidRPr="00097824">
        <w:rPr>
          <w:shd w:val="clear" w:color="auto" w:fill="FFFFFF"/>
        </w:rPr>
        <w:t>кадгерина</w:t>
      </w:r>
      <w:proofErr w:type="spellEnd"/>
      <w:r w:rsidRPr="00097824">
        <w:rPr>
          <w:shd w:val="clear" w:color="auto" w:fill="FFFFFF"/>
        </w:rPr>
        <w:t xml:space="preserve">, лишь в 1% случаев выявляется </w:t>
      </w:r>
      <w:r w:rsidRPr="00097824">
        <w:rPr>
          <w:shd w:val="clear" w:color="auto" w:fill="FFFFFF"/>
          <w:lang w:val="en-US"/>
        </w:rPr>
        <w:t>KRAS</w:t>
      </w:r>
      <w:r w:rsidRPr="00097824">
        <w:rPr>
          <w:shd w:val="clear" w:color="auto" w:fill="FFFFFF"/>
        </w:rPr>
        <w:t>-мутация.</w:t>
      </w:r>
    </w:p>
    <w:p w14:paraId="5793D72C" w14:textId="271B5C78" w:rsidR="0071351C" w:rsidRPr="00097824" w:rsidRDefault="007F5427" w:rsidP="00AD4A9F">
      <w:pPr>
        <w:ind w:left="397" w:firstLine="357"/>
        <w:contextualSpacing/>
        <w:rPr>
          <w:rFonts w:eastAsia="MS Mincho"/>
          <w:szCs w:val="24"/>
          <w:shd w:val="clear" w:color="auto" w:fill="FFFFFF"/>
        </w:rPr>
      </w:pPr>
      <w:r w:rsidRPr="00097824">
        <w:rPr>
          <w:rFonts w:eastAsia="MS Mincho"/>
          <w:szCs w:val="24"/>
          <w:shd w:val="clear" w:color="auto" w:fill="FFFFFF"/>
        </w:rPr>
        <w:t xml:space="preserve">Внутрипеченочные ХЦР имеют </w:t>
      </w:r>
      <w:proofErr w:type="spellStart"/>
      <w:r w:rsidRPr="00097824">
        <w:rPr>
          <w:rFonts w:eastAsia="MS Mincho"/>
          <w:szCs w:val="24"/>
          <w:shd w:val="clear" w:color="auto" w:fill="FFFFFF"/>
        </w:rPr>
        <w:t>иммуногистохимический</w:t>
      </w:r>
      <w:proofErr w:type="spellEnd"/>
      <w:r w:rsidRPr="00097824">
        <w:rPr>
          <w:rFonts w:eastAsia="MS Mincho"/>
          <w:szCs w:val="24"/>
          <w:shd w:val="clear" w:color="auto" w:fill="FFFFFF"/>
        </w:rPr>
        <w:t xml:space="preserve"> профиль, сходный с другими опухолями </w:t>
      </w:r>
      <w:proofErr w:type="spellStart"/>
      <w:r w:rsidRPr="00097824">
        <w:rPr>
          <w:rFonts w:eastAsia="MS Mincho"/>
          <w:szCs w:val="24"/>
          <w:shd w:val="clear" w:color="auto" w:fill="FFFFFF"/>
        </w:rPr>
        <w:t>панкреато-билиарной</w:t>
      </w:r>
      <w:proofErr w:type="spellEnd"/>
      <w:r w:rsidRPr="00097824">
        <w:rPr>
          <w:rFonts w:eastAsia="MS Mincho"/>
          <w:szCs w:val="24"/>
          <w:shd w:val="clear" w:color="auto" w:fill="FFFFFF"/>
        </w:rPr>
        <w:t xml:space="preserve"> зоны и верхнего отдела желудочно-кишечного тракта. В настоящее время не существует ни одной однозначной окраски для подтверждения ХЦР</w:t>
      </w:r>
      <w:r w:rsidR="009A18C0" w:rsidRPr="00097824">
        <w:rPr>
          <w:rFonts w:eastAsia="MS Mincho"/>
          <w:szCs w:val="24"/>
          <w:shd w:val="clear" w:color="auto" w:fill="FFFFFF"/>
        </w:rPr>
        <w:t xml:space="preserve"> </w:t>
      </w:r>
      <w:r w:rsidRPr="00097824">
        <w:rPr>
          <w:rFonts w:eastAsia="MS Mincho"/>
          <w:szCs w:val="24"/>
          <w:shd w:val="clear" w:color="auto" w:fill="FFFFFF"/>
        </w:rPr>
        <w:fldChar w:fldCharType="begin"/>
      </w:r>
      <w:r w:rsidRPr="00097824">
        <w:rPr>
          <w:rFonts w:eastAsia="MS Mincho"/>
          <w:szCs w:val="24"/>
          <w:shd w:val="clear" w:color="auto" w:fill="FFFFFF"/>
        </w:rPr>
        <w:instrText xml:space="preserve"> ADDIN ZOTERO_ITEM CSL_CITATION {"citationID":"pGEnJvKi","properties":{"formattedCitation":"[3]","plainCitation":"[3]","noteIndex":0},"citationItems":[{"id":167069,"uris":["http://zotero.org/groups/4764298/items/AG7F2FV7"],"itemData":{"id":167069,"type":"article-journal","abstract":"Gallbladder cancer, though generally considered rare, is the most common malignancy of the biliary tract, accounting for 80%–95% of biliary tract cancers. An early diagnosis is essential as this malignancy progresses silently with a late diagnosis, often proving fatal. Its carcinogenesis follows a progression through a metaplasia–dysplasia–carcinoma sequence. This comprehensive review focuses on and explores the risks, management, and outcomes for primary gallbladder carcinoma. Epidemiological studies have identified striking geographic and ethnic disparities – inordinately high occurrence in American Indians, elevated in Southeast Asia, yet quite low elsewhere in the Americas and the world. Age, female sex, congenital biliary tract anomalies, and a genetic predisposition represent important risk factors that are immutable. Environmental triggers play a critical role in eliciting cancer developing in the gallbladder, best exemplified by cholelithiasis and chronic inflammation from biliary tract and parasitic infections. Mortality rates closely follow incidence; those countries with the highest prevalence of gallstones experience the greatest mortality from gallbladder cancer. Vague symptoms often delay the diagnosis of gallbladder cancer, contributing to its overall progression and poor outcome. Surgery represents the only potential for cure. Some individuals are fortunate to be incidentally found to have gallbladder cancer at the time of cholecystectomy being performed for cholelithiasis. Such an early diagnosis is imperative as a late presentation connotes advanced staging, nodal involvement, and possible recurrence following attempted resection. Overall mean survival is a mere 6 months, while 5-year survival rate is only 5%. The dismal prognosis, in part, relates to the gallbladder lacking a serosal layer adjacent to the liver, enabling hepatic invasion and metastatic progression. Improved imaging modalities are helping to diagnose patients at an earlier stage. The last decade has witnessed improved outcomes as aggressive surgical management and preoperative adjuvant therapy has helped prolong survival in patients with gallbladder cancer. In the future, the development of potential diagnostic markers for disease will yield screening opportunities for those at risk either with ethnic susceptibility or known anatomic anomalies of the biliary tract. Meanwhile, clarification of the value of prophylactic cholecystectomy should provide an opportunity for secondary prevention. Primary prevention will arrive once the predictive biomarkers and environmental risk factors are more clearly identified.","container-title":"Clinical Epidemiology","DOI":"10.2147/CLEP.S37357","ISSN":"1179-1349","journalAbbreviation":"Clin Epidemiol","note":"PMID: 24634588\nPMCID: PMC3952897","page":"99-109","source":"PubMed Central","title":"Gallbladder cancer: epidemiology and outcome","title-short":"Gallbladder cancer","volume":"6","author":[{"family":"Hundal","given":"Rajveer"},{"family":"Shaffer","given":"Eldon A"}],"issued":{"date-parts":[["2014",3,7]]}}}],"schema":"https://github.com/citation-style-language/schema/raw/master/csl-citation.json"} </w:instrText>
      </w:r>
      <w:r w:rsidRPr="00097824">
        <w:rPr>
          <w:rFonts w:eastAsia="MS Mincho"/>
          <w:szCs w:val="24"/>
          <w:shd w:val="clear" w:color="auto" w:fill="FFFFFF"/>
        </w:rPr>
        <w:fldChar w:fldCharType="separate"/>
      </w:r>
      <w:r w:rsidRPr="00097824">
        <w:t>[3]</w:t>
      </w:r>
      <w:r w:rsidRPr="00097824">
        <w:rPr>
          <w:rFonts w:eastAsia="MS Mincho"/>
          <w:szCs w:val="24"/>
          <w:shd w:val="clear" w:color="auto" w:fill="FFFFFF"/>
        </w:rPr>
        <w:fldChar w:fldCharType="end"/>
      </w:r>
      <w:r w:rsidRPr="00097824">
        <w:rPr>
          <w:rFonts w:eastAsia="MS Mincho"/>
          <w:szCs w:val="24"/>
          <w:shd w:val="clear" w:color="auto" w:fill="FFFFFF"/>
        </w:rPr>
        <w:t>. Как правило, эти опухоли позитивны по отношению к</w:t>
      </w:r>
      <w:r w:rsidRPr="00097824">
        <w:rPr>
          <w:rFonts w:eastAsia="MS Mincho"/>
          <w:szCs w:val="24"/>
          <w:shd w:val="clear" w:color="auto" w:fill="FFFFFF"/>
          <w:lang w:val="en-US"/>
        </w:rPr>
        <w:t> </w:t>
      </w:r>
      <w:proofErr w:type="spellStart"/>
      <w:r w:rsidRPr="00097824">
        <w:rPr>
          <w:rFonts w:eastAsia="MS Mincho"/>
          <w:szCs w:val="24"/>
          <w:shd w:val="clear" w:color="auto" w:fill="FFFFFF"/>
        </w:rPr>
        <w:t>цитокератинам</w:t>
      </w:r>
      <w:proofErr w:type="spellEnd"/>
      <w:r w:rsidRPr="00097824">
        <w:rPr>
          <w:rFonts w:eastAsia="MS Mincho"/>
          <w:szCs w:val="24"/>
          <w:shd w:val="clear" w:color="auto" w:fill="FFFFFF"/>
        </w:rPr>
        <w:t xml:space="preserve"> 7,19 (90%), муцину 1 (73,8%) </w:t>
      </w:r>
      <w:r w:rsidRPr="00097824">
        <w:rPr>
          <w:rFonts w:eastAsia="MS Mincho"/>
          <w:szCs w:val="24"/>
          <w:shd w:val="clear" w:color="auto" w:fill="FFFFFF"/>
        </w:rPr>
        <w:fldChar w:fldCharType="begin"/>
      </w:r>
      <w:r w:rsidRPr="00097824">
        <w:rPr>
          <w:rFonts w:eastAsia="MS Mincho"/>
          <w:szCs w:val="24"/>
          <w:shd w:val="clear" w:color="auto" w:fill="FFFFFF"/>
        </w:rPr>
        <w:instrText xml:space="preserve"> ADDIN ZOTERO_ITEM CSL_CITATION {"citationID":"rvFtnnZD","properties":{"formattedCitation":"[4]","plainCitation":"[4]","noteIndex":0},"citationItems":[{"id":167071,"uris":["http://zotero.org/groups/4764298/items/U3MQXIM8"],"itemData":{"id":167071,"type":"article-journal","abstract":"Cholangiocarcinomas are often difficult to diagnose, their pathogenesis is poorly understood, and their dismal prognosis has resulted in a nihilistic approach to their management. This Review outlines some of the current challenges, discusses the types of cholangiocarcinoma and offers recommendations for the management of patients with cholangiocarcinomas.","container-title":"Nature Reviews Gastroenterology &amp; Hepatology","DOI":"10.1038/nrgastro.2011.20","ISSN":"1759-5053","issue":"4","journalAbbreviation":"Nat Rev Gastroenterol Hepatol","language":"en","license":"2011 Nature Publishing Group, a division of Macmillan Publishers Limited. All Rights Reserved.","note":"number: 4\npublisher: Nature Publishing Group","page":"189-200","source":"www.nature.com","title":"Cholangiocarcinoma—controversies and challenges","volume":"8","author":[{"family":"Patel","given":"Tushar"}],"issued":{"date-parts":[["2011",4]]}}}],"schema":"https://github.com/citation-style-language/schema/raw/master/csl-citation.json"} </w:instrText>
      </w:r>
      <w:r w:rsidRPr="00097824">
        <w:rPr>
          <w:rFonts w:eastAsia="MS Mincho"/>
          <w:szCs w:val="24"/>
          <w:shd w:val="clear" w:color="auto" w:fill="FFFFFF"/>
        </w:rPr>
        <w:fldChar w:fldCharType="separate"/>
      </w:r>
      <w:r w:rsidR="00C82DAA" w:rsidRPr="00097824">
        <w:t>[162</w:t>
      </w:r>
      <w:r w:rsidRPr="00097824">
        <w:t>]</w:t>
      </w:r>
      <w:r w:rsidRPr="00097824">
        <w:rPr>
          <w:rFonts w:eastAsia="MS Mincho"/>
          <w:szCs w:val="24"/>
          <w:shd w:val="clear" w:color="auto" w:fill="FFFFFF"/>
        </w:rPr>
        <w:fldChar w:fldCharType="end"/>
      </w:r>
      <w:r w:rsidRPr="00097824">
        <w:rPr>
          <w:rFonts w:eastAsia="MS Mincho"/>
          <w:szCs w:val="24"/>
          <w:shd w:val="clear" w:color="auto" w:fill="FFFFFF"/>
        </w:rPr>
        <w:t>.</w:t>
      </w:r>
    </w:p>
    <w:p w14:paraId="5DB2A9F8" w14:textId="18BC84D0" w:rsidR="0071351C" w:rsidRPr="00097824" w:rsidRDefault="007F5427" w:rsidP="00AD4A9F">
      <w:pPr>
        <w:ind w:left="397" w:firstLine="357"/>
        <w:contextualSpacing/>
        <w:rPr>
          <w:rFonts w:eastAsia="MS Mincho"/>
          <w:szCs w:val="24"/>
          <w:shd w:val="clear" w:color="auto" w:fill="FFFFFF"/>
        </w:rPr>
      </w:pPr>
      <w:r w:rsidRPr="00097824">
        <w:rPr>
          <w:rFonts w:eastAsia="MS Mincho"/>
          <w:szCs w:val="24"/>
          <w:shd w:val="clear" w:color="auto" w:fill="FFFFFF"/>
        </w:rPr>
        <w:t xml:space="preserve">Возможна фокальная экспрессия </w:t>
      </w:r>
      <w:proofErr w:type="spellStart"/>
      <w:r w:rsidRPr="00097824">
        <w:rPr>
          <w:rFonts w:eastAsia="MS Mincho"/>
          <w:szCs w:val="24"/>
          <w:shd w:val="clear" w:color="auto" w:fill="FFFFFF"/>
        </w:rPr>
        <w:t>цитокератина</w:t>
      </w:r>
      <w:proofErr w:type="spellEnd"/>
      <w:r w:rsidRPr="00097824">
        <w:rPr>
          <w:rFonts w:eastAsia="MS Mincho"/>
          <w:szCs w:val="24"/>
          <w:shd w:val="clear" w:color="auto" w:fill="FFFFFF"/>
        </w:rPr>
        <w:t xml:space="preserve"> 20 в клетках опухоли, однако в сочетании с экспрессией </w:t>
      </w:r>
      <w:proofErr w:type="spellStart"/>
      <w:r w:rsidRPr="00097824">
        <w:rPr>
          <w:rFonts w:eastAsia="MS Mincho"/>
          <w:szCs w:val="24"/>
          <w:shd w:val="clear" w:color="auto" w:fill="FFFFFF"/>
        </w:rPr>
        <w:t>цитокератинов</w:t>
      </w:r>
      <w:proofErr w:type="spellEnd"/>
      <w:r w:rsidRPr="00097824">
        <w:rPr>
          <w:rFonts w:eastAsia="MS Mincho"/>
          <w:szCs w:val="24"/>
          <w:shd w:val="clear" w:color="auto" w:fill="FFFFFF"/>
        </w:rPr>
        <w:t xml:space="preserve"> 7 и 19 необходимо исключать другие опухоли желудочно-кишечного тракта</w:t>
      </w:r>
      <w:r w:rsidRPr="00097824">
        <w:rPr>
          <w:shd w:val="clear" w:color="auto" w:fill="FFFFFF"/>
        </w:rPr>
        <w:fldChar w:fldCharType="begin"/>
      </w:r>
      <w:r w:rsidRPr="00097824">
        <w:rPr>
          <w:shd w:val="clear" w:color="auto" w:fill="FFFFFF"/>
        </w:rPr>
        <w:instrText xml:space="preserve"> ADDIN ZOTERO_ITEM CSL_CITATION {"citationID":"QDdHSI1d","properties":{"formattedCitation":"[1]","plainCitation":"[1]","noteIndex":0},"citationItems":[{"id":167067,"uris":["http://zotero.org/groups/4764298/items/YUXV4T7X"],"itemData":{"id":167067,"type":"article-journal","abstract":"The objective of this article is to review the available literature on the epidemiology, predisposing factors, and conditions associated with primary gallbladder cancer, and to discuss the role of prophylactic cholecystectomy in high-risk patient populations. Gallbladder cancer is a highly malignant tumor with a poor 5-yr-survival rate. It is a tumor of the elderly and has striking genetic, racial, and geographic characteristics, with an extremely high prevalence in Native Americans and Chileans. Cholelithiasis is a well-established risk factor for gallbladder cancer and the risk seems to correlate with stone size. Polyps that are &gt;l cm, single, sessile, and echopenic are associated with a higher risk of malignancy. Anomalous junction of pancreatico-biliary ducts (AJPBD), especially without choledochal cyst, and porcelain gallbladder are additional factors that predispose to gallbladder cancer. Lesser associations include chronic bacterial infections of the gallbladder, typhoid carrier state, certain occupational and environmental carcinogens, hormonal changes in women, and certain social, dietary, and familial factors. It is important to identify high-risk groups for gallbladder cancer because of the dismal nature of this tumor. In patients with porcelain gallbladder and anomalous junction of the pancreatic and biliary ducts, cholecystectomy is recommended provided that the patient is a good operative candidate. Patients with large solitary polyps or gallstones require close ultrasonic follow-up. With the advent of endoscopic ultrasound it is expected that early changes of malignancy in polyps will be reliably detected, and more patients will potentially be cured with a simple cholecystectomy. Through a MEDLINE/PAPERCHASE search we identified and reviewed articles regarding gallbladder cancer published in English-language journals between 1966 and 1999, using the key words biliary tract and gallbladder diseases, cancer, neoplasms, surgery, cholelithiasis, gallstones, cholecystitis, gallbladder polyps, risk factors, chemical industry, occupational diseases, typhoid, porcelain gallbladder, bacteremia, and precancerous conditions. We also used the bibliography of relevant articles to increase our search. A total of 122 publications were selected using the mentioned data source.","container-title":"The American Journal of Gastroenterology","DOI":"10.1016/S0002-9270(00)00862-5","ISSN":"0002-9270","issue":"6","journalAbbreviation":"The American Journal of Gastroenterology","language":"en","page":"1402-1410","source":"ScienceDirect","title":"Primary gallbladder cancer: recognition of risk factors and the role of prophylactic cholecystectomy","title-short":"Primary gallbladder cancer","volume":"95","author":[{"family":"Sheth","given":"Sunil"},{"family":"Bedford","given":"Andrew"},{"family":"Chopra","given":"Sanjiv"}],"issued":{"date-parts":[["2000",6,1]]}}}],"schema":"https://github.com/citation-style-language/schema/raw/master/csl-citation.json"} </w:instrText>
      </w:r>
      <w:r w:rsidRPr="00097824">
        <w:rPr>
          <w:shd w:val="clear" w:color="auto" w:fill="FFFFFF"/>
        </w:rPr>
        <w:fldChar w:fldCharType="separate"/>
      </w:r>
      <w:r w:rsidRPr="00097824">
        <w:t>[1]</w:t>
      </w:r>
      <w:r w:rsidRPr="00097824">
        <w:rPr>
          <w:shd w:val="clear" w:color="auto" w:fill="FFFFFF"/>
        </w:rPr>
        <w:fldChar w:fldCharType="end"/>
      </w:r>
      <w:r w:rsidRPr="00097824">
        <w:rPr>
          <w:shd w:val="clear" w:color="auto" w:fill="FFFFFF"/>
        </w:rPr>
        <w:t>.</w:t>
      </w:r>
    </w:p>
    <w:p w14:paraId="2A2F7A05" w14:textId="3128C51A" w:rsidR="0071351C" w:rsidRPr="00097824" w:rsidRDefault="007F5427" w:rsidP="00AD4A9F">
      <w:pPr>
        <w:ind w:left="397" w:firstLine="357"/>
        <w:contextualSpacing/>
        <w:rPr>
          <w:rFonts w:eastAsia="MS Mincho"/>
          <w:szCs w:val="24"/>
          <w:shd w:val="clear" w:color="auto" w:fill="FFFFFF"/>
        </w:rPr>
      </w:pPr>
      <w:r w:rsidRPr="00097824">
        <w:rPr>
          <w:rFonts w:eastAsia="MS Mincho"/>
          <w:szCs w:val="24"/>
          <w:shd w:val="clear" w:color="auto" w:fill="FFFFFF"/>
        </w:rPr>
        <w:t xml:space="preserve">К наиболее часто встречающимся вариантам данных опухолей относят высоко- и </w:t>
      </w:r>
      <w:r w:rsidR="00FE1DF4" w:rsidRPr="00097824">
        <w:rPr>
          <w:rFonts w:eastAsia="MS Mincho"/>
          <w:szCs w:val="24"/>
          <w:shd w:val="clear" w:color="auto" w:fill="FFFFFF"/>
        </w:rPr>
        <w:t>умеренно дифференцированные</w:t>
      </w:r>
      <w:r w:rsidR="00D462C9" w:rsidRPr="00097824">
        <w:rPr>
          <w:rFonts w:eastAsia="MS Mincho"/>
          <w:szCs w:val="24"/>
          <w:shd w:val="clear" w:color="auto" w:fill="FFFFFF"/>
        </w:rPr>
        <w:t xml:space="preserve"> </w:t>
      </w:r>
      <w:r w:rsidRPr="00097824">
        <w:rPr>
          <w:rFonts w:eastAsia="MS Mincho"/>
          <w:szCs w:val="24"/>
          <w:shd w:val="clear" w:color="auto" w:fill="FFFFFF"/>
        </w:rPr>
        <w:t>аденокарциномы</w:t>
      </w:r>
      <w:r w:rsidR="00D462C9" w:rsidRPr="00097824">
        <w:rPr>
          <w:rFonts w:eastAsia="MS Mincho"/>
          <w:szCs w:val="24"/>
          <w:shd w:val="clear" w:color="auto" w:fill="FFFFFF"/>
        </w:rPr>
        <w:t xml:space="preserve"> </w:t>
      </w:r>
      <w:proofErr w:type="spellStart"/>
      <w:r w:rsidRPr="00097824">
        <w:rPr>
          <w:rFonts w:eastAsia="MS Mincho"/>
          <w:szCs w:val="24"/>
          <w:shd w:val="clear" w:color="auto" w:fill="FFFFFF"/>
        </w:rPr>
        <w:t>билиарного</w:t>
      </w:r>
      <w:proofErr w:type="spellEnd"/>
      <w:r w:rsidRPr="00097824">
        <w:rPr>
          <w:rFonts w:eastAsia="MS Mincho"/>
          <w:szCs w:val="24"/>
          <w:shd w:val="clear" w:color="auto" w:fill="FFFFFF"/>
        </w:rPr>
        <w:t xml:space="preserve"> типа. Большая часть их </w:t>
      </w:r>
      <w:proofErr w:type="spellStart"/>
      <w:r w:rsidRPr="00097824">
        <w:rPr>
          <w:rFonts w:eastAsia="MS Mincho"/>
          <w:szCs w:val="24"/>
          <w:shd w:val="clear" w:color="auto" w:fill="FFFFFF"/>
        </w:rPr>
        <w:t>иммунопозитивна</w:t>
      </w:r>
      <w:proofErr w:type="spellEnd"/>
      <w:r w:rsidRPr="00097824">
        <w:rPr>
          <w:rFonts w:eastAsia="MS Mincho"/>
          <w:szCs w:val="24"/>
          <w:shd w:val="clear" w:color="auto" w:fill="FFFFFF"/>
        </w:rPr>
        <w:t xml:space="preserve"> по отношению к раковому эмбриональному антигену, муцинам 1 и 2, </w:t>
      </w:r>
      <w:r w:rsidRPr="00097824">
        <w:rPr>
          <w:rFonts w:eastAsia="MS Mincho"/>
          <w:szCs w:val="24"/>
          <w:shd w:val="clear" w:color="auto" w:fill="FFFFFF"/>
          <w:lang w:val="en-US"/>
        </w:rPr>
        <w:t>p</w:t>
      </w:r>
      <w:r w:rsidRPr="00097824">
        <w:rPr>
          <w:rFonts w:eastAsia="MS Mincho"/>
          <w:szCs w:val="24"/>
          <w:shd w:val="clear" w:color="auto" w:fill="FFFFFF"/>
        </w:rPr>
        <w:t xml:space="preserve">53, </w:t>
      </w:r>
      <w:proofErr w:type="spellStart"/>
      <w:r w:rsidRPr="00097824">
        <w:rPr>
          <w:rFonts w:eastAsia="MS Mincho"/>
          <w:szCs w:val="24"/>
          <w:shd w:val="clear" w:color="auto" w:fill="FFFFFF"/>
        </w:rPr>
        <w:t>цитокератину</w:t>
      </w:r>
      <w:proofErr w:type="spellEnd"/>
      <w:r w:rsidRPr="00097824">
        <w:rPr>
          <w:rFonts w:eastAsia="MS Mincho"/>
          <w:szCs w:val="24"/>
          <w:shd w:val="clear" w:color="auto" w:fill="FFFFFF"/>
        </w:rPr>
        <w:t xml:space="preserve"> 7.</w:t>
      </w:r>
    </w:p>
    <w:p w14:paraId="69A8EB01" w14:textId="2DF20E57" w:rsidR="003D5A68" w:rsidRPr="00097824" w:rsidRDefault="007F5427" w:rsidP="00E6604A">
      <w:pPr>
        <w:ind w:left="397" w:firstLine="357"/>
        <w:contextualSpacing/>
        <w:rPr>
          <w:rFonts w:eastAsia="MS Mincho"/>
          <w:szCs w:val="24"/>
          <w:shd w:val="clear" w:color="auto" w:fill="FFFFFF"/>
        </w:rPr>
      </w:pPr>
      <w:r w:rsidRPr="00097824">
        <w:rPr>
          <w:rFonts w:eastAsia="MS Mincho"/>
          <w:szCs w:val="24"/>
          <w:shd w:val="clear" w:color="auto" w:fill="FFFFFF"/>
        </w:rPr>
        <w:t>ИГХ-картина аденокарцином</w:t>
      </w:r>
      <w:r w:rsidR="00D462C9" w:rsidRPr="00097824">
        <w:rPr>
          <w:rFonts w:eastAsia="MS Mincho"/>
          <w:szCs w:val="24"/>
          <w:shd w:val="clear" w:color="auto" w:fill="FFFFFF"/>
        </w:rPr>
        <w:t xml:space="preserve"> </w:t>
      </w:r>
      <w:proofErr w:type="spellStart"/>
      <w:r w:rsidR="00C82DAA" w:rsidRPr="00097824">
        <w:rPr>
          <w:rFonts w:eastAsia="MS Mincho"/>
          <w:szCs w:val="24"/>
          <w:shd w:val="clear" w:color="auto" w:fill="FFFFFF"/>
        </w:rPr>
        <w:t>холангиолярного</w:t>
      </w:r>
      <w:proofErr w:type="spellEnd"/>
      <w:r w:rsidR="00C82DAA" w:rsidRPr="00097824">
        <w:rPr>
          <w:rFonts w:eastAsia="MS Mincho"/>
          <w:szCs w:val="24"/>
          <w:shd w:val="clear" w:color="auto" w:fill="FFFFFF"/>
        </w:rPr>
        <w:t xml:space="preserve"> </w:t>
      </w:r>
      <w:r w:rsidRPr="00097824">
        <w:rPr>
          <w:rFonts w:eastAsia="MS Mincho"/>
          <w:szCs w:val="24"/>
          <w:shd w:val="clear" w:color="auto" w:fill="FFFFFF"/>
        </w:rPr>
        <w:t>типа</w:t>
      </w:r>
      <w:r w:rsidR="00A65A98" w:rsidRPr="00097824">
        <w:rPr>
          <w:rFonts w:eastAsia="MS Mincho"/>
          <w:szCs w:val="24"/>
          <w:shd w:val="clear" w:color="auto" w:fill="FFFFFF"/>
        </w:rPr>
        <w:t xml:space="preserve"> </w:t>
      </w:r>
      <w:r w:rsidRPr="00097824">
        <w:rPr>
          <w:rFonts w:eastAsia="MS Mincho"/>
          <w:szCs w:val="24"/>
          <w:shd w:val="clear" w:color="auto" w:fill="FFFFFF"/>
        </w:rPr>
        <w:t xml:space="preserve"> отлична, характеризуется экспрессией муцина 2, ракового эмбрионального антигена и </w:t>
      </w:r>
      <w:proofErr w:type="spellStart"/>
      <w:r w:rsidRPr="00097824">
        <w:rPr>
          <w:rFonts w:eastAsia="MS Mincho"/>
          <w:szCs w:val="24"/>
          <w:shd w:val="clear" w:color="auto" w:fill="FFFFFF"/>
        </w:rPr>
        <w:t>цитокератина</w:t>
      </w:r>
      <w:proofErr w:type="spellEnd"/>
      <w:r w:rsidRPr="00097824">
        <w:rPr>
          <w:rFonts w:eastAsia="MS Mincho"/>
          <w:szCs w:val="24"/>
          <w:shd w:val="clear" w:color="auto" w:fill="FFFFFF"/>
        </w:rPr>
        <w:t xml:space="preserve"> 20</w:t>
      </w:r>
      <w:r w:rsidRPr="00097824">
        <w:rPr>
          <w:rFonts w:eastAsia="MS Mincho"/>
          <w:szCs w:val="24"/>
          <w:shd w:val="clear" w:color="auto" w:fill="FFFFFF"/>
        </w:rPr>
        <w:fldChar w:fldCharType="begin"/>
      </w:r>
      <w:r w:rsidRPr="00097824">
        <w:rPr>
          <w:rFonts w:eastAsia="MS Mincho"/>
          <w:szCs w:val="24"/>
          <w:shd w:val="clear" w:color="auto" w:fill="FFFFFF"/>
        </w:rPr>
        <w:instrText xml:space="preserve"> ADDIN ZOTERO_ITEM CSL_CITATION {"citationID":"TWUbNQTq","properties":{"formattedCitation":"[5]","plainCitation":"[5]","noteIndex":0},"citationItems":[{"id":167072,"uris":["http://zotero.org/groups/4764298/items/CCHBIB98"],"itemData":{"id":167072,"type":"article-journal","abstract":"Although hepatitis C virus (HCV)-related cirrhosis has been suggested as a risk factor for intrahepatic cholangiocarcinoma (ICC), few sizeable studies have tested this hypothesis. We investigated ICC risk factors, with special reference to HCV infection. We conducted a hospital-based case-control study including 50 ICC patients and 205 other surgical patients without primary liver cancer. HCV seropositivity was detected in 36% of ICC patients and 3% of controls. By univariate analysis, the odds ratio (OR) for association of anti-HCV antibodies with development was 16.87 (95% confidence interval (CI), 5.69 to 50.00). History of blood transfusion or diabetes mellitus, elevated serum total bilirubin, elevated aspartate aminotransferase and alanine aminotrans-ferase, decreased serum albumin and decreased platelet count were identified as other possible ICC risk factors. By multivariate analysis, anti-HCV antibodies (adjusted OR, 6.02; 95% Cl, 1.51 to 24.1), elevated alanine aminotransferase, decreased serum albumin, and decreased platelet count were found to be independent risk factors for ICC development. As liver status worsened, the adjusted OR for ICC tended to increase. HCV infection is a likely etiology of ICC in Japan.","container-title":"Cancer Science","DOI":"10.1111/j.1349-7006.2004.tb02492.x","ISSN":"1349-7006","issue":"7","language":"en","note":"_eprint: https://onlinelibrary.wiley.com/doi/pdf/10.1111/j.1349-7006.2004.tb02492.x","page":"592-595","source":"Wiley Online Library","title":"Hepatitis C virus infection as a likely etiology of intrahepatic cholangiocarcinoma","volume":"95","author":[{"family":"Yamamoto","given":"Satoshi"},{"family":"Kubo","given":"Shoji"},{"family":"Hai","given":"Seikan"},{"family":"Uenishi","given":"Takahiro"},{"family":"Yamamoto","given":"Takatsugu"},{"family":"Shuto","given":"Taichi"},{"family":"Takemura","given":"Shigekazu"},{"family":"Tanaka","given":"Hiromu"},{"family":"Yamazaki","given":"Osamu"},{"family":"Hirohashi","given":"Kazuhiro"},{"family":"Tanaka","given":"Takashi"}],"issued":{"date-parts":[["2004"]]}}}],"schema":"https://github.com/citation-style-language/schema/raw/master/csl-citation.json"} </w:instrText>
      </w:r>
      <w:r w:rsidRPr="00097824">
        <w:rPr>
          <w:rFonts w:eastAsia="MS Mincho"/>
          <w:szCs w:val="24"/>
          <w:shd w:val="clear" w:color="auto" w:fill="FFFFFF"/>
        </w:rPr>
        <w:fldChar w:fldCharType="separate"/>
      </w:r>
      <w:r w:rsidR="00C82DAA" w:rsidRPr="00097824">
        <w:t>[162</w:t>
      </w:r>
      <w:r w:rsidRPr="00097824">
        <w:t>]</w:t>
      </w:r>
      <w:r w:rsidRPr="00097824">
        <w:rPr>
          <w:rFonts w:eastAsia="MS Mincho"/>
          <w:szCs w:val="24"/>
          <w:shd w:val="clear" w:color="auto" w:fill="FFFFFF"/>
        </w:rPr>
        <w:fldChar w:fldCharType="end"/>
      </w:r>
      <w:r w:rsidRPr="00097824">
        <w:rPr>
          <w:rFonts w:eastAsia="MS Mincho"/>
          <w:szCs w:val="24"/>
          <w:shd w:val="clear" w:color="auto" w:fill="FFFFFF"/>
        </w:rPr>
        <w:t>.</w:t>
      </w:r>
      <w:bookmarkStart w:id="71" w:name="__RefHeading___doc_3"/>
      <w:bookmarkEnd w:id="70"/>
    </w:p>
    <w:p w14:paraId="607A14F4" w14:textId="7AA2B796" w:rsidR="00E54F0C" w:rsidRPr="00097824" w:rsidRDefault="007F5427" w:rsidP="00B62BA4">
      <w:pPr>
        <w:pStyle w:val="1"/>
        <w:numPr>
          <w:ilvl w:val="0"/>
          <w:numId w:val="48"/>
        </w:numPr>
        <w:spacing w:before="0"/>
        <w:rPr>
          <w:shd w:val="clear" w:color="auto" w:fill="FFFFFF"/>
        </w:rPr>
      </w:pPr>
      <w:r w:rsidRPr="00097824">
        <w:rPr>
          <w:szCs w:val="24"/>
          <w:shd w:val="clear" w:color="auto" w:fill="FFFFFF"/>
        </w:rPr>
        <w:t>Рекомендуется</w:t>
      </w:r>
      <w:r w:rsidR="00FE1DF4" w:rsidRPr="00097824">
        <w:rPr>
          <w:szCs w:val="24"/>
          <w:shd w:val="clear" w:color="auto" w:fill="FFFFFF"/>
        </w:rPr>
        <w:t xml:space="preserve"> для определения тактики лекарственного лечения </w:t>
      </w:r>
      <w:r w:rsidR="00FE1DF4" w:rsidRPr="00097824">
        <w:rPr>
          <w:shd w:val="clear" w:color="auto" w:fill="FFFFFF"/>
        </w:rPr>
        <w:fldChar w:fldCharType="begin"/>
      </w:r>
      <w:r w:rsidR="00FE1DF4" w:rsidRPr="00097824">
        <w:rPr>
          <w:shd w:val="clear" w:color="auto" w:fill="FFFFFF"/>
        </w:rPr>
        <w:instrText xml:space="preserve"> ADDIN ZOTERO_ITEM CSL_CITATION {"citationID":"lVU5oBhc","properties":{"formattedCitation":"[10,19,41,44]","plainCitation":"[10,19,41,44]","noteIndex":0},"citationItems":[{"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166644,"uris":["http://zotero.org/groups/4764298/items/6QHBBU8X"],"itemData":{"id":166644,"type":"article-journal","container-title":"JNCCN Journal of the National Comprehensive Cancer Network","issue":"8","note":"publisher: Cold Spring Publishing LLC","page":"728–750","source":"Google Scholar","title":"Hepatobiliary cancers clinical practice guidelines in oncology","volume":"4","author":[{"family":"Benson","given":"Al B."},{"family":"Bekaii-Saab","given":"Tanios"},{"family":"Ben-Josef","given":"Edgar"},{"family":"Blumgart","given":"Leslie"},{"family":"Clary","given":"Bryan M."},{"family":"Curley","given":"Steven A."},{"family":"Davila","given":"Rene"},{"family":"Earle","given":"Craig C."},{"family":"Ensminger","given":"William D."},{"family":"Gibbs","given":"John F."}],"issued":{"date-parts":[["2006"]]}},"label":"page"},{"id":167158,"uris":["http://zotero.org/groups/4764298/items/2LEZNGZ4"],"itemData":{"id":167158,"type":"article-journal","abstract":"Biliary tract cancers (intrahepatic, perihilar and extrahepatic cholangiocarcinoma, and gallbladder and cystic duct cancers) are uncommon but highly lethal malignancies. Clinical presentation is often late, precluding curative surgical resection in most cases. For advanced disease, therapeutic options are limited to systemic chemotherapy, with suboptimal outcomes. An understanding of the molecular characteristics of biliary tract cancers may allow the clinical development of therapies targeting actionable alterations with the ultimate goal of improving clinical outcomes. We present a comprehensive review of biliary tract cancer genomics and their clinical implications. Alterations in genes in the EGFR-MAPK-PI3K pathway are seen most often. KRAS alterations are highly prevalent; BRAF alterations are mutually exclusive from RAS alterations and much less frequent. PIK3CA alterations are seen mostly in extrahepatic cholangiocarcinoma and gallbladder cancers whereas HER2 amplification is most common in gallbladder cancers. Various tumor suppressor genes, such as TP53 and p16 are also altered often in biliary tract cancers; however, agents to “activate” silenced genes are currently lacking. FGF and IDH pathway alterations are potential targets for therapeutic agents. FGF alterations are typically fusions with other genes, resulting in altered proteins, and are seen most often in intrahepatic cholangiocarcinoma. IDH pathway alterations affect cellular enzymatic processes and are most common in intrahepatic cholangiocarcinoma. Ongoing clinical trials of agents targeting these pathways hold the promise of improving clinical outcomes.","container-title":"Critical Reviews in Oncology/Hematology","DOI":"10.1016/j.critrevonc.2016.08.013","ISSN":"1040-8428","journalAbbreviation":"Critical Reviews in Oncology/Hematology","language":"en","page":"111-118","source":"ScienceDirect","title":"Molecular characteristics of biliary tract cancer","volume":"107","author":[{"family":"Sohal","given":"Davendra P. S."},{"family":"Shrotriya","given":"Shiva"},{"family":"Abazeed","given":"Mohamed"},{"family":"Cruise","given":"Michael"},{"family":"Khorana","given":"Alok"}],"issued":{"date-parts":[["2016",11,1]]}},"label":"page"},{"id":167114,"uris":["http://zotero.org/groups/4764298/items/GE6JYPRF"],"itemData":{"id":167114,"type":"article-journal","abstract":"Biliary tract cancers constitute approximately 3% of gastrointestinal malignancies with poor prognosis. Surgical therapy is the main form of treatment in localised disease; however, for patients with advanced stage or unresectable disease, locoregional and systemic chemotherapeutics are primary treatment options. Although the combination of gemcitabine and cisplatin is a standard regimen of choice, there are no consensus guidelines that help in choosing an appropriate second-line therapy. Substantial progress has been made in the past decade to understand the tumorigenesis and genetic landscape of each biliary tract cancer subtype, which facilitates precision medicine for this cancer. Common genes implicated in biliary tract cancer tumorigenesis include IDH1, IDH2, FGFR1, FGFR2, FGFR3, EPHA2, BAP1, ARID1B, ELF3, PBRM1, PRKACA, PRKACB, HER2, and BRAF. With the advancements in molecular pathogenesis of biliary tract cancer, especially in an era of personalised medicine, many questions are yet to be answered in advanced stages of the cancer: what subset of patients might benefit from second-line drugs, how to choose an optimal second-line regimen, and their effects on quality of life. This Review seeks to summarise available literature and discuss the potential second-line systemic therapy options for advanced biliary tract cancer on the basis of advancements of our knowledge on molecular pathogenesis and tumorigenesis.","container-title":"The Lancet Oncology","DOI":"10.1016/S1470-2045(19)30733-8","ISSN":"1470-2045","issue":"1","journalAbbreviation":"The Lancet Oncology","language":"en","page":"e29-e41","source":"ScienceDirect","title":"Second-line therapies in advanced biliary tract cancers","volume":"21","author":[{"family":"Tella","given":"Sri Harsha"},{"family":"Kommalapati","given":"Anuhya"},{"family":"Borad","given":"Mitesh J"},{"family":"Mahipal","given":"Amit"}],"issued":{"date-parts":[["2020",1,1]]}},"label":"page"}],"schema":"https://github.com/citation-style-language/schema/raw/master/csl-citation.json"} </w:instrText>
      </w:r>
      <w:r w:rsidR="00FE1DF4" w:rsidRPr="00097824">
        <w:rPr>
          <w:shd w:val="clear" w:color="auto" w:fill="FFFFFF"/>
        </w:rPr>
        <w:fldChar w:fldCharType="separate"/>
      </w:r>
      <w:r w:rsidR="00FE1DF4" w:rsidRPr="00097824">
        <w:t>[10, 41, 44, 172]</w:t>
      </w:r>
      <w:r w:rsidR="00FE1DF4" w:rsidRPr="00097824">
        <w:rPr>
          <w:shd w:val="clear" w:color="auto" w:fill="FFFFFF"/>
        </w:rPr>
        <w:fldChar w:fldCharType="end"/>
      </w:r>
      <w:r w:rsidR="00FE1DF4" w:rsidRPr="00097824">
        <w:rPr>
          <w:szCs w:val="24"/>
          <w:shd w:val="clear" w:color="auto" w:fill="FFFFFF"/>
        </w:rPr>
        <w:t xml:space="preserve"> провести </w:t>
      </w:r>
      <w:r w:rsidR="00FE1DF4" w:rsidRPr="00097824">
        <w:rPr>
          <w:szCs w:val="24"/>
        </w:rPr>
        <w:t xml:space="preserve">в </w:t>
      </w:r>
      <w:proofErr w:type="spellStart"/>
      <w:r w:rsidR="00FE1DF4" w:rsidRPr="00097824">
        <w:rPr>
          <w:szCs w:val="24"/>
        </w:rPr>
        <w:t>биопсийном</w:t>
      </w:r>
      <w:proofErr w:type="spellEnd"/>
      <w:r w:rsidR="00FE1DF4" w:rsidRPr="00097824">
        <w:rPr>
          <w:szCs w:val="24"/>
        </w:rPr>
        <w:t xml:space="preserve"> (операционном) материале</w:t>
      </w:r>
      <w:r w:rsidR="00FE1DF4" w:rsidRPr="00097824">
        <w:rPr>
          <w:szCs w:val="24"/>
          <w:shd w:val="clear" w:color="auto" w:fill="FFFFFF"/>
        </w:rPr>
        <w:t xml:space="preserve"> (предпочтительно, методом высокопроизводительного панельного секвенирования  - ДНК/РНК) образца (биоптата или операционного материала) опухолевой ткани: </w:t>
      </w:r>
    </w:p>
    <w:p w14:paraId="24E29F40" w14:textId="5DD155AF" w:rsidR="00E54F0C" w:rsidRPr="00097824" w:rsidRDefault="00FE1DF4" w:rsidP="0096386D">
      <w:pPr>
        <w:pStyle w:val="aff5"/>
        <w:rPr>
          <w:sz w:val="24"/>
          <w:szCs w:val="24"/>
        </w:rPr>
      </w:pPr>
      <w:r w:rsidRPr="00097824">
        <w:rPr>
          <w:sz w:val="24"/>
          <w:szCs w:val="24"/>
          <w:shd w:val="clear" w:color="auto" w:fill="FFFFFF"/>
        </w:rPr>
        <w:t xml:space="preserve">- </w:t>
      </w:r>
      <w:r w:rsidRPr="00097824">
        <w:rPr>
          <w:sz w:val="24"/>
          <w:szCs w:val="24"/>
        </w:rPr>
        <w:t>м</w:t>
      </w:r>
      <w:r w:rsidR="00E54F0C" w:rsidRPr="00097824">
        <w:rPr>
          <w:sz w:val="24"/>
          <w:szCs w:val="24"/>
        </w:rPr>
        <w:t xml:space="preserve">олекулярно-генетическое исследование мутаций в гене </w:t>
      </w:r>
      <w:r w:rsidR="00E54F0C" w:rsidRPr="00097824">
        <w:rPr>
          <w:i/>
          <w:iCs/>
          <w:sz w:val="24"/>
          <w:szCs w:val="24"/>
        </w:rPr>
        <w:t>KRAS</w:t>
      </w:r>
      <w:r w:rsidR="00E54F0C" w:rsidRPr="00097824">
        <w:rPr>
          <w:sz w:val="24"/>
          <w:szCs w:val="24"/>
        </w:rPr>
        <w:t xml:space="preserve"> </w:t>
      </w:r>
      <w:r w:rsidR="00EA3CA0" w:rsidRPr="00097824">
        <w:rPr>
          <w:sz w:val="24"/>
          <w:szCs w:val="24"/>
        </w:rPr>
        <w:t xml:space="preserve">в </w:t>
      </w:r>
      <w:proofErr w:type="spellStart"/>
      <w:r w:rsidR="00EA3CA0" w:rsidRPr="00097824">
        <w:rPr>
          <w:sz w:val="24"/>
          <w:szCs w:val="24"/>
        </w:rPr>
        <w:t>биопсийном</w:t>
      </w:r>
      <w:proofErr w:type="spellEnd"/>
      <w:r w:rsidR="00EA3CA0" w:rsidRPr="00097824">
        <w:rPr>
          <w:sz w:val="24"/>
          <w:szCs w:val="24"/>
        </w:rPr>
        <w:t xml:space="preserve"> (операционном) материале</w:t>
      </w:r>
      <w:r w:rsidR="00EA3CA0" w:rsidRPr="00097824" w:rsidDel="00FE1DF4">
        <w:rPr>
          <w:sz w:val="24"/>
          <w:szCs w:val="24"/>
        </w:rPr>
        <w:t xml:space="preserve"> </w:t>
      </w:r>
    </w:p>
    <w:p w14:paraId="29CCB32D" w14:textId="54BB8695" w:rsidR="001153D4" w:rsidRPr="00097824" w:rsidRDefault="00FE1DF4" w:rsidP="0096386D">
      <w:pPr>
        <w:spacing w:line="240" w:lineRule="auto"/>
        <w:rPr>
          <w:szCs w:val="24"/>
        </w:rPr>
      </w:pPr>
      <w:r w:rsidRPr="00097824">
        <w:rPr>
          <w:szCs w:val="24"/>
        </w:rPr>
        <w:t>- м</w:t>
      </w:r>
      <w:r w:rsidR="00E54F0C" w:rsidRPr="00097824">
        <w:rPr>
          <w:szCs w:val="24"/>
        </w:rPr>
        <w:t xml:space="preserve">олекулярно-генетическое исследование мутаций в гене </w:t>
      </w:r>
      <w:r w:rsidR="00E54F0C" w:rsidRPr="00097824">
        <w:rPr>
          <w:i/>
          <w:iCs/>
          <w:szCs w:val="24"/>
        </w:rPr>
        <w:t>BRAF</w:t>
      </w:r>
      <w:r w:rsidR="00E54F0C" w:rsidRPr="00097824">
        <w:rPr>
          <w:szCs w:val="24"/>
        </w:rPr>
        <w:t xml:space="preserve"> </w:t>
      </w:r>
      <w:r w:rsidR="00EA3CA0" w:rsidRPr="00097824">
        <w:rPr>
          <w:szCs w:val="24"/>
        </w:rPr>
        <w:t xml:space="preserve">в </w:t>
      </w:r>
      <w:proofErr w:type="spellStart"/>
      <w:r w:rsidR="00EA3CA0" w:rsidRPr="00097824">
        <w:rPr>
          <w:szCs w:val="24"/>
        </w:rPr>
        <w:t>биопсийном</w:t>
      </w:r>
      <w:proofErr w:type="spellEnd"/>
      <w:r w:rsidR="00EA3CA0" w:rsidRPr="00097824">
        <w:rPr>
          <w:szCs w:val="24"/>
        </w:rPr>
        <w:t xml:space="preserve"> (операционном) материале</w:t>
      </w:r>
      <w:r w:rsidR="00EA3CA0" w:rsidRPr="00097824" w:rsidDel="00FE1DF4">
        <w:rPr>
          <w:szCs w:val="24"/>
        </w:rPr>
        <w:t xml:space="preserve"> </w:t>
      </w:r>
    </w:p>
    <w:p w14:paraId="37BAECCE" w14:textId="568DFE09" w:rsidR="00FE1DF4" w:rsidRPr="00097824" w:rsidRDefault="001153D4" w:rsidP="00FE1DF4">
      <w:pPr>
        <w:spacing w:line="240" w:lineRule="auto"/>
        <w:rPr>
          <w:szCs w:val="24"/>
        </w:rPr>
      </w:pPr>
      <w:r w:rsidRPr="00097824">
        <w:rPr>
          <w:szCs w:val="24"/>
        </w:rPr>
        <w:t xml:space="preserve">- </w:t>
      </w:r>
      <w:r w:rsidR="00FE1DF4" w:rsidRPr="00097824">
        <w:rPr>
          <w:szCs w:val="24"/>
        </w:rPr>
        <w:t>определение амплификации гена ERBB2 (HER2/</w:t>
      </w:r>
      <w:proofErr w:type="spellStart"/>
      <w:r w:rsidR="00FE1DF4" w:rsidRPr="00097824">
        <w:rPr>
          <w:szCs w:val="24"/>
        </w:rPr>
        <w:t>Neu</w:t>
      </w:r>
      <w:proofErr w:type="spellEnd"/>
      <w:r w:rsidR="00FE1DF4" w:rsidRPr="00097824">
        <w:rPr>
          <w:szCs w:val="24"/>
        </w:rPr>
        <w:t xml:space="preserve">) методом флюоресцентной гибридизации </w:t>
      </w:r>
      <w:proofErr w:type="spellStart"/>
      <w:r w:rsidR="00FE1DF4" w:rsidRPr="00097824">
        <w:rPr>
          <w:szCs w:val="24"/>
        </w:rPr>
        <w:t>in</w:t>
      </w:r>
      <w:proofErr w:type="spellEnd"/>
      <w:r w:rsidR="00FE1DF4" w:rsidRPr="00097824">
        <w:rPr>
          <w:szCs w:val="24"/>
        </w:rPr>
        <w:t xml:space="preserve"> </w:t>
      </w:r>
      <w:proofErr w:type="spellStart"/>
      <w:r w:rsidR="00FE1DF4" w:rsidRPr="00097824">
        <w:rPr>
          <w:szCs w:val="24"/>
        </w:rPr>
        <w:t>situ</w:t>
      </w:r>
      <w:proofErr w:type="spellEnd"/>
      <w:r w:rsidR="00FE1DF4" w:rsidRPr="00097824">
        <w:rPr>
          <w:szCs w:val="24"/>
        </w:rPr>
        <w:t xml:space="preserve"> (FISH)</w:t>
      </w:r>
    </w:p>
    <w:p w14:paraId="0FB881BF" w14:textId="74E4BEE0" w:rsidR="001153D4" w:rsidRPr="00097824" w:rsidRDefault="00FE1DF4" w:rsidP="0096386D">
      <w:pPr>
        <w:spacing w:line="240" w:lineRule="auto"/>
        <w:rPr>
          <w:szCs w:val="24"/>
        </w:rPr>
      </w:pPr>
      <w:r w:rsidRPr="00097824">
        <w:rPr>
          <w:szCs w:val="24"/>
        </w:rPr>
        <w:t>- о</w:t>
      </w:r>
      <w:r w:rsidR="00E54F0C" w:rsidRPr="00097824">
        <w:rPr>
          <w:szCs w:val="24"/>
        </w:rPr>
        <w:t xml:space="preserve">пределение мутаций в генах </w:t>
      </w:r>
      <w:r w:rsidR="00E54F0C" w:rsidRPr="00097824">
        <w:rPr>
          <w:i/>
          <w:iCs/>
          <w:szCs w:val="24"/>
        </w:rPr>
        <w:t>MLH1, MSH2, MSH6, PMS2</w:t>
      </w:r>
      <w:r w:rsidR="00E54F0C" w:rsidRPr="00097824">
        <w:rPr>
          <w:szCs w:val="24"/>
        </w:rPr>
        <w:t xml:space="preserve"> </w:t>
      </w:r>
      <w:proofErr w:type="spellStart"/>
      <w:r w:rsidR="00E54F0C" w:rsidRPr="00097824">
        <w:rPr>
          <w:szCs w:val="24"/>
        </w:rPr>
        <w:t>иммуногистохимическим</w:t>
      </w:r>
      <w:proofErr w:type="spellEnd"/>
      <w:r w:rsidR="00E54F0C" w:rsidRPr="00097824">
        <w:rPr>
          <w:szCs w:val="24"/>
        </w:rPr>
        <w:t xml:space="preserve"> методом</w:t>
      </w:r>
    </w:p>
    <w:p w14:paraId="51F488CC" w14:textId="77777777" w:rsidR="001153D4" w:rsidRPr="00097824" w:rsidRDefault="001153D4" w:rsidP="00E54F0C">
      <w:pPr>
        <w:spacing w:line="240" w:lineRule="auto"/>
        <w:rPr>
          <w:szCs w:val="24"/>
        </w:rPr>
      </w:pPr>
    </w:p>
    <w:p w14:paraId="5D9F578B" w14:textId="6F7F0A93" w:rsidR="001954A9" w:rsidRPr="00097824" w:rsidRDefault="007F5427" w:rsidP="0096386D">
      <w:pPr>
        <w:pStyle w:val="32"/>
        <w:ind w:firstLine="0"/>
        <w:rPr>
          <w:color w:val="auto"/>
        </w:rPr>
      </w:pPr>
      <w:r w:rsidRPr="00097824">
        <w:rPr>
          <w:color w:val="auto"/>
        </w:rPr>
        <w:t>Уровень убедительности рекомендаций – С (уровень достоверности доказательств – 5)</w:t>
      </w:r>
    </w:p>
    <w:p w14:paraId="44EE55EC" w14:textId="451C3D05" w:rsidR="001954A9" w:rsidRPr="00097824" w:rsidRDefault="001954A9" w:rsidP="0096386D">
      <w:pPr>
        <w:ind w:firstLine="0"/>
        <w:contextualSpacing/>
        <w:rPr>
          <w:b/>
        </w:rPr>
      </w:pPr>
      <w:r w:rsidRPr="00097824">
        <w:rPr>
          <w:b/>
        </w:rPr>
        <w:t xml:space="preserve">Комментарий: </w:t>
      </w:r>
      <w:r w:rsidR="00FE1DF4" w:rsidRPr="00097824">
        <w:rPr>
          <w:bCs/>
          <w:i/>
          <w:iCs/>
        </w:rPr>
        <w:t xml:space="preserve">при выявлении активирующей и </w:t>
      </w:r>
      <w:proofErr w:type="spellStart"/>
      <w:r w:rsidR="00FE1DF4" w:rsidRPr="00097824">
        <w:rPr>
          <w:bCs/>
          <w:i/>
          <w:iCs/>
        </w:rPr>
        <w:t>таргетируемой</w:t>
      </w:r>
      <w:proofErr w:type="spellEnd"/>
      <w:r w:rsidR="00FE1DF4" w:rsidRPr="00097824">
        <w:rPr>
          <w:bCs/>
          <w:i/>
          <w:iCs/>
        </w:rPr>
        <w:t xml:space="preserve"> (существует активный препарат, эффективно воздействующий на эту молекулярную альтерацию) мутации в опухоли пациента с распространенным/метастатическим процессом проведение таргетной терапии с учетом выявленного молекулярного нарушения может значимо </w:t>
      </w:r>
      <w:r w:rsidR="00FE1DF4" w:rsidRPr="00097824">
        <w:rPr>
          <w:bCs/>
          <w:i/>
          <w:iCs/>
        </w:rPr>
        <w:lastRenderedPageBreak/>
        <w:t>увеличить продолжительность жизни;</w:t>
      </w:r>
      <w:r w:rsidR="00FE1DF4" w:rsidRPr="00097824">
        <w:rPr>
          <w:b/>
        </w:rPr>
        <w:t xml:space="preserve"> </w:t>
      </w:r>
      <w:r w:rsidRPr="00097824">
        <w:rPr>
          <w:i/>
        </w:rPr>
        <w:t xml:space="preserve">активирующие мутации, определяющие чувствительность опухоли к таргетной терапии, </w:t>
      </w:r>
      <w:r w:rsidR="00784873" w:rsidRPr="00097824">
        <w:rPr>
          <w:i/>
        </w:rPr>
        <w:t>чаще всего (до 40% случаев)</w:t>
      </w:r>
      <w:r w:rsidRPr="00097824">
        <w:rPr>
          <w:i/>
        </w:rPr>
        <w:t xml:space="preserve"> </w:t>
      </w:r>
      <w:r w:rsidR="00784873" w:rsidRPr="00097824">
        <w:rPr>
          <w:i/>
        </w:rPr>
        <w:t xml:space="preserve">выявляются при внутрипеченочной </w:t>
      </w:r>
      <w:proofErr w:type="spellStart"/>
      <w:r w:rsidR="00784873" w:rsidRPr="00097824">
        <w:rPr>
          <w:i/>
        </w:rPr>
        <w:t>холангиокарциноме</w:t>
      </w:r>
      <w:proofErr w:type="spellEnd"/>
      <w:r w:rsidRPr="00097824">
        <w:rPr>
          <w:i/>
        </w:rPr>
        <w:t>.</w:t>
      </w:r>
      <w:r w:rsidR="00A47873" w:rsidRPr="00097824">
        <w:rPr>
          <w:i/>
        </w:rPr>
        <w:t xml:space="preserve"> На данный момент определение транслокации генов </w:t>
      </w:r>
      <w:r w:rsidR="00A47873" w:rsidRPr="00097824">
        <w:rPr>
          <w:i/>
          <w:lang w:val="en-US"/>
        </w:rPr>
        <w:t>NTRK</w:t>
      </w:r>
      <w:r w:rsidR="00A47873" w:rsidRPr="00097824">
        <w:rPr>
          <w:i/>
        </w:rPr>
        <w:t xml:space="preserve">, </w:t>
      </w:r>
      <w:r w:rsidR="00A47873" w:rsidRPr="00097824">
        <w:rPr>
          <w:i/>
          <w:lang w:val="en-US"/>
        </w:rPr>
        <w:t>FGFR</w:t>
      </w:r>
      <w:r w:rsidR="00A47873" w:rsidRPr="00097824">
        <w:rPr>
          <w:i/>
        </w:rPr>
        <w:t xml:space="preserve">1-4 отсутствуют в номенклатуре медицинских услуг, однако выполнение данного молекулярно-генетического тестирования для пациентов с внутрипеченочной </w:t>
      </w:r>
      <w:proofErr w:type="spellStart"/>
      <w:r w:rsidR="00A47873" w:rsidRPr="00097824">
        <w:rPr>
          <w:i/>
        </w:rPr>
        <w:t>холангиокарциномой</w:t>
      </w:r>
      <w:proofErr w:type="spellEnd"/>
      <w:r w:rsidR="00A47873" w:rsidRPr="00097824">
        <w:rPr>
          <w:i/>
        </w:rPr>
        <w:t xml:space="preserve"> с целью возможного назначения молекулярно-направленной терапии обязательно.</w:t>
      </w:r>
    </w:p>
    <w:p w14:paraId="06632431" w14:textId="77777777" w:rsidR="006C5EC5" w:rsidRPr="00097824" w:rsidRDefault="006C5EC5" w:rsidP="00AD4A9F">
      <w:pPr>
        <w:ind w:left="397" w:firstLine="357"/>
        <w:contextualSpacing/>
        <w:rPr>
          <w:i/>
        </w:rPr>
      </w:pPr>
    </w:p>
    <w:p w14:paraId="7C167C57" w14:textId="1A814C42" w:rsidR="006C5EC5" w:rsidRPr="00097824" w:rsidRDefault="006C5EC5" w:rsidP="0096386D">
      <w:pPr>
        <w:ind w:left="397" w:firstLine="357"/>
        <w:contextualSpacing/>
        <w:rPr>
          <w:rFonts w:eastAsia="MS Mincho"/>
          <w:b/>
          <w:bCs/>
          <w:szCs w:val="24"/>
          <w:shd w:val="clear" w:color="auto" w:fill="FFFFFF"/>
        </w:rPr>
      </w:pPr>
      <w:r w:rsidRPr="00097824">
        <w:rPr>
          <w:rFonts w:eastAsia="MS Mincho"/>
          <w:b/>
          <w:bCs/>
          <w:szCs w:val="24"/>
          <w:shd w:val="clear" w:color="auto" w:fill="FFFFFF"/>
        </w:rPr>
        <w:t xml:space="preserve">2.2. Внепеченочная </w:t>
      </w:r>
      <w:proofErr w:type="spellStart"/>
      <w:r w:rsidRPr="00097824">
        <w:rPr>
          <w:rFonts w:eastAsia="MS Mincho"/>
          <w:b/>
          <w:bCs/>
          <w:szCs w:val="24"/>
          <w:shd w:val="clear" w:color="auto" w:fill="FFFFFF"/>
        </w:rPr>
        <w:t>холангиокарцинома</w:t>
      </w:r>
      <w:proofErr w:type="spellEnd"/>
      <w:r w:rsidR="00076E67" w:rsidRPr="00097824">
        <w:rPr>
          <w:rFonts w:eastAsia="MS Mincho"/>
          <w:b/>
          <w:bCs/>
          <w:szCs w:val="24"/>
          <w:shd w:val="clear" w:color="auto" w:fill="FFFFFF"/>
        </w:rPr>
        <w:t xml:space="preserve"> (рак проксимального и дистального отделов внепеченочных желчных протоков)</w:t>
      </w:r>
    </w:p>
    <w:p w14:paraId="05AD1DE7" w14:textId="77777777" w:rsidR="00D630AE" w:rsidRPr="00097824" w:rsidRDefault="006C5EC5" w:rsidP="00CC2BE1">
      <w:pPr>
        <w:pStyle w:val="2"/>
        <w:numPr>
          <w:ilvl w:val="2"/>
          <w:numId w:val="30"/>
        </w:numPr>
        <w:spacing w:before="0"/>
        <w:ind w:left="397" w:firstLine="357"/>
      </w:pPr>
      <w:r w:rsidRPr="00097824">
        <w:t>Жалобы и анамнез</w:t>
      </w:r>
    </w:p>
    <w:p w14:paraId="5D60E9FA" w14:textId="77777777" w:rsidR="00D630AE" w:rsidRPr="00097824" w:rsidRDefault="006C5EC5" w:rsidP="00AD4A9F">
      <w:pPr>
        <w:pStyle w:val="1"/>
        <w:spacing w:before="0"/>
        <w:ind w:left="397" w:firstLine="357"/>
        <w:rPr>
          <w:rFonts w:eastAsia="MS Mincho"/>
          <w:b/>
          <w:szCs w:val="24"/>
          <w:shd w:val="clear" w:color="auto" w:fill="FFFFFF"/>
        </w:rPr>
      </w:pPr>
      <w:r w:rsidRPr="00097824">
        <w:rPr>
          <w:rStyle w:val="110"/>
          <w:rFonts w:eastAsia="MS Mincho"/>
        </w:rPr>
        <w:t>См. раздел 2.1.1.</w:t>
      </w:r>
    </w:p>
    <w:p w14:paraId="69FD0B76" w14:textId="77777777" w:rsidR="00D630AE" w:rsidRPr="00097824" w:rsidRDefault="006C5EC5" w:rsidP="00CC2BE1">
      <w:pPr>
        <w:pStyle w:val="2"/>
        <w:numPr>
          <w:ilvl w:val="2"/>
          <w:numId w:val="30"/>
        </w:numPr>
        <w:spacing w:before="0"/>
        <w:ind w:left="397" w:firstLine="357"/>
      </w:pPr>
      <w:proofErr w:type="spellStart"/>
      <w:r w:rsidRPr="00097824">
        <w:t>Физикальное</w:t>
      </w:r>
      <w:proofErr w:type="spellEnd"/>
      <w:r w:rsidRPr="00097824">
        <w:t xml:space="preserve"> обследование</w:t>
      </w:r>
    </w:p>
    <w:p w14:paraId="2BADA06F" w14:textId="77777777" w:rsidR="00D630AE" w:rsidRPr="00097824" w:rsidRDefault="00A05223" w:rsidP="00AD4A9F">
      <w:pPr>
        <w:pStyle w:val="1"/>
        <w:spacing w:before="0"/>
        <w:ind w:left="397" w:firstLine="357"/>
      </w:pPr>
      <w:r w:rsidRPr="00097824">
        <w:rPr>
          <w:rFonts w:eastAsia="MS Mincho"/>
          <w:shd w:val="clear" w:color="auto" w:fill="FFFFFF"/>
        </w:rPr>
        <w:t>См. раздел 2.1.2.</w:t>
      </w:r>
    </w:p>
    <w:p w14:paraId="3EF091C0" w14:textId="77777777" w:rsidR="00D630AE" w:rsidRPr="00097824" w:rsidRDefault="006C5EC5" w:rsidP="00CC2BE1">
      <w:pPr>
        <w:pStyle w:val="2"/>
        <w:numPr>
          <w:ilvl w:val="2"/>
          <w:numId w:val="30"/>
        </w:numPr>
        <w:spacing w:before="0"/>
        <w:ind w:left="397" w:firstLine="357"/>
      </w:pPr>
      <w:r w:rsidRPr="00097824">
        <w:t xml:space="preserve">Лабораторные </w:t>
      </w:r>
      <w:r w:rsidR="00A05223" w:rsidRPr="00097824">
        <w:t>диагностические исследования</w:t>
      </w:r>
    </w:p>
    <w:p w14:paraId="2E143AE8" w14:textId="77777777" w:rsidR="00D630AE" w:rsidRPr="00097824" w:rsidRDefault="00A05223" w:rsidP="00CC2BE1">
      <w:pPr>
        <w:pStyle w:val="1"/>
        <w:numPr>
          <w:ilvl w:val="0"/>
          <w:numId w:val="31"/>
        </w:numPr>
        <w:spacing w:before="0"/>
        <w:ind w:left="397" w:firstLine="357"/>
      </w:pPr>
      <w:r w:rsidRPr="00097824">
        <w:rPr>
          <w:rFonts w:eastAsia="MS Mincho"/>
          <w:shd w:val="clear" w:color="auto" w:fill="FFFFFF"/>
        </w:rPr>
        <w:t>См. раздел 2.1.3.</w:t>
      </w:r>
    </w:p>
    <w:p w14:paraId="5924AD0C" w14:textId="6A8D1418" w:rsidR="00D630AE" w:rsidRPr="00097824" w:rsidRDefault="000E3728" w:rsidP="0096386D">
      <w:pPr>
        <w:pStyle w:val="1"/>
        <w:numPr>
          <w:ilvl w:val="0"/>
          <w:numId w:val="0"/>
        </w:numPr>
        <w:spacing w:before="0"/>
        <w:ind w:left="426"/>
        <w:rPr>
          <w:rFonts w:eastAsia="MS Mincho"/>
          <w:shd w:val="clear" w:color="auto" w:fill="FFFFFF"/>
        </w:rPr>
      </w:pPr>
      <w:r w:rsidRPr="00097824">
        <w:rPr>
          <w:rFonts w:eastAsia="MS Mincho"/>
          <w:b/>
          <w:shd w:val="clear" w:color="auto" w:fill="FFFFFF"/>
        </w:rPr>
        <w:t>Комментарий</w:t>
      </w:r>
      <w:r w:rsidRPr="00097824">
        <w:rPr>
          <w:rFonts w:eastAsia="MS Mincho"/>
          <w:shd w:val="clear" w:color="auto" w:fill="FFFFFF"/>
        </w:rPr>
        <w:t xml:space="preserve">: определение уровня АФП </w:t>
      </w:r>
      <w:r w:rsidR="00082EC6" w:rsidRPr="00097824">
        <w:rPr>
          <w:rFonts w:eastAsia="MS Mincho"/>
          <w:shd w:val="clear" w:color="auto" w:fill="FFFFFF"/>
        </w:rPr>
        <w:t xml:space="preserve">у больного </w:t>
      </w:r>
      <w:r w:rsidRPr="00097824">
        <w:rPr>
          <w:rFonts w:eastAsia="MS Mincho"/>
          <w:shd w:val="clear" w:color="auto" w:fill="FFFFFF"/>
        </w:rPr>
        <w:t>при подозрени</w:t>
      </w:r>
      <w:r w:rsidR="00082EC6" w:rsidRPr="00097824">
        <w:rPr>
          <w:rFonts w:eastAsia="MS Mincho"/>
          <w:shd w:val="clear" w:color="auto" w:fill="FFFFFF"/>
        </w:rPr>
        <w:t>и</w:t>
      </w:r>
      <w:r w:rsidRPr="00097824">
        <w:rPr>
          <w:rFonts w:eastAsia="MS Mincho"/>
          <w:shd w:val="clear" w:color="auto" w:fill="FFFFFF"/>
        </w:rPr>
        <w:t xml:space="preserve"> на внепеченочную </w:t>
      </w:r>
      <w:proofErr w:type="spellStart"/>
      <w:r w:rsidRPr="00097824">
        <w:rPr>
          <w:rFonts w:eastAsia="MS Mincho"/>
          <w:shd w:val="clear" w:color="auto" w:fill="FFFFFF"/>
        </w:rPr>
        <w:t>холангиокарциному</w:t>
      </w:r>
      <w:proofErr w:type="spellEnd"/>
      <w:r w:rsidRPr="00097824">
        <w:rPr>
          <w:rFonts w:eastAsia="MS Mincho"/>
          <w:shd w:val="clear" w:color="auto" w:fill="FFFFFF"/>
        </w:rPr>
        <w:t xml:space="preserve"> не обязательно. </w:t>
      </w:r>
    </w:p>
    <w:p w14:paraId="6F0F8C3C" w14:textId="77777777" w:rsidR="00D630AE" w:rsidRPr="00097824" w:rsidRDefault="006C5EC5" w:rsidP="00CC2BE1">
      <w:pPr>
        <w:pStyle w:val="2"/>
        <w:numPr>
          <w:ilvl w:val="2"/>
          <w:numId w:val="30"/>
        </w:numPr>
        <w:spacing w:before="0"/>
        <w:ind w:left="397" w:firstLine="357"/>
      </w:pPr>
      <w:r w:rsidRPr="00097824">
        <w:t>Инструментальные диагностические исследования</w:t>
      </w:r>
    </w:p>
    <w:p w14:paraId="4283C2B2" w14:textId="1E451C49" w:rsidR="006C5EC5" w:rsidRPr="00097824" w:rsidRDefault="006C5EC5" w:rsidP="00B62BA4">
      <w:pPr>
        <w:ind w:left="397" w:firstLine="0"/>
        <w:rPr>
          <w:rFonts w:eastAsia="MS Mincho"/>
          <w:shd w:val="clear" w:color="auto" w:fill="FFFFFF"/>
        </w:rPr>
      </w:pPr>
      <w:r w:rsidRPr="00097824">
        <w:t>Ультразвуковое исследование брюшной полости</w:t>
      </w:r>
      <w:r w:rsidR="00DB1720" w:rsidRPr="00097824">
        <w:t xml:space="preserve"> в ходе </w:t>
      </w:r>
      <w:r w:rsidR="001354F1" w:rsidRPr="00097824">
        <w:t xml:space="preserve">первичной </w:t>
      </w:r>
      <w:r w:rsidR="00DB1720" w:rsidRPr="00097824">
        <w:t xml:space="preserve">диагностики у больных с внепеченочной </w:t>
      </w:r>
      <w:proofErr w:type="spellStart"/>
      <w:r w:rsidR="00DB1720" w:rsidRPr="00097824">
        <w:t>холангиокарциномой</w:t>
      </w:r>
      <w:proofErr w:type="spellEnd"/>
      <w:r w:rsidR="00DB1720" w:rsidRPr="00097824">
        <w:t xml:space="preserve"> имеет ограниченное значение.  В подавляющем большинстве случаев наличие опухолевой патологии возможно заподозрить только по косвенным</w:t>
      </w:r>
      <w:r w:rsidR="001904E0" w:rsidRPr="00097824">
        <w:t xml:space="preserve"> признакам (расширение внутри- и внепеченочных желчных пр</w:t>
      </w:r>
      <w:r w:rsidR="00124554" w:rsidRPr="00097824">
        <w:t>о</w:t>
      </w:r>
      <w:r w:rsidR="001904E0" w:rsidRPr="00097824">
        <w:t>токов, иногда утолщение стенки протоков</w:t>
      </w:r>
      <w:r w:rsidR="001369ED" w:rsidRPr="00097824">
        <w:t xml:space="preserve"> в некоторых случаях определяется лимфаденопатия в проекции малого сальника</w:t>
      </w:r>
      <w:r w:rsidR="001904E0" w:rsidRPr="00097824">
        <w:t>)</w:t>
      </w:r>
    </w:p>
    <w:p w14:paraId="15C212E1" w14:textId="76D3148B" w:rsidR="00D630AE" w:rsidRPr="00097824" w:rsidRDefault="007F5427" w:rsidP="001E03AE">
      <w:pPr>
        <w:pStyle w:val="1"/>
        <w:numPr>
          <w:ilvl w:val="0"/>
          <w:numId w:val="28"/>
        </w:numPr>
        <w:spacing w:before="0"/>
        <w:rPr>
          <w:lang w:eastAsia="ru-RU"/>
        </w:rPr>
      </w:pPr>
      <w:r w:rsidRPr="00097824">
        <w:rPr>
          <w:lang w:eastAsia="ru-RU"/>
        </w:rPr>
        <w:t xml:space="preserve">До начала лечения всем </w:t>
      </w:r>
      <w:r w:rsidR="002F4851" w:rsidRPr="00097824">
        <w:rPr>
          <w:lang w:eastAsia="ru-RU"/>
        </w:rPr>
        <w:t>больным</w:t>
      </w:r>
      <w:r w:rsidR="00082EC6" w:rsidRPr="00097824">
        <w:rPr>
          <w:lang w:eastAsia="ru-RU"/>
        </w:rPr>
        <w:t xml:space="preserve"> -</w:t>
      </w:r>
      <w:r w:rsidR="002F4851" w:rsidRPr="00097824">
        <w:rPr>
          <w:lang w:eastAsia="ru-RU"/>
        </w:rPr>
        <w:t xml:space="preserve"> </w:t>
      </w:r>
      <w:r w:rsidRPr="00097824">
        <w:rPr>
          <w:lang w:eastAsia="ru-RU"/>
        </w:rPr>
        <w:t xml:space="preserve">кандидатам на проведение не хирургических методов терапии рекомендовано морфологическое подтверждение диагноза с патолого-анатомическим исследованием </w:t>
      </w:r>
      <w:proofErr w:type="spellStart"/>
      <w:r w:rsidRPr="00097824">
        <w:rPr>
          <w:lang w:eastAsia="ru-RU"/>
        </w:rPr>
        <w:t>биопсийного</w:t>
      </w:r>
      <w:proofErr w:type="spellEnd"/>
      <w:r w:rsidR="00323A11" w:rsidRPr="00097824">
        <w:rPr>
          <w:lang w:eastAsia="ru-RU"/>
        </w:rPr>
        <w:t xml:space="preserve"> (операционного) </w:t>
      </w:r>
      <w:r w:rsidRPr="00097824">
        <w:rPr>
          <w:lang w:eastAsia="ru-RU"/>
        </w:rPr>
        <w:t xml:space="preserve">материала с применением </w:t>
      </w:r>
      <w:proofErr w:type="spellStart"/>
      <w:r w:rsidRPr="00097824">
        <w:rPr>
          <w:lang w:eastAsia="ru-RU"/>
        </w:rPr>
        <w:t>иммуногистохимических</w:t>
      </w:r>
      <w:proofErr w:type="spellEnd"/>
      <w:r w:rsidRPr="00097824">
        <w:rPr>
          <w:lang w:eastAsia="ru-RU"/>
        </w:rPr>
        <w:t xml:space="preserve"> методов</w:t>
      </w:r>
      <w:r w:rsidR="00082EC6" w:rsidRPr="00097824">
        <w:rPr>
          <w:lang w:eastAsia="ru-RU"/>
        </w:rPr>
        <w:t xml:space="preserve"> </w:t>
      </w:r>
      <w:r w:rsidRPr="00097824">
        <w:rPr>
          <w:lang w:val="en-GB" w:eastAsia="ru-RU"/>
        </w:rPr>
        <w:fldChar w:fldCharType="begin"/>
      </w:r>
      <w:r w:rsidRPr="00097824">
        <w:rPr>
          <w:lang w:eastAsia="ru-RU"/>
        </w:rPr>
        <w:instrText xml:space="preserve"> ADDIN ZOTERO_ITEM CSL_CITATION {"citationID":"uJUnErPJ","properties":{"formattedCitation":"[10,40\\uc0\\u8211{}42]","plainCitation":"[10,40–42]","noteIndex":0},"citationItems":[{"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167112,"uris":["http://zotero.org/groups/4764298/items/NNQ6MRUU"],"itemData":{"id":167112,"type":"article-journal","container-title":"Annals of Oncology","DOI":"10.1093/annonc/mdr375","ISSN":"0923-7534, 1569-8041","journalAbbreviation":"Annals of Oncology","language":"English","note":"publisher: Elsevier\nPMID: 21908502","page":"vi40-vi44","source":"www.annalsofoncology.org","title":"Biliary cancer: ESMO Clinical Practice Guidelines for diagnosis, treatment and follow-up","title-short":"Biliary cancer","volume":"22","author":[{"family":"Eckel","given":"F."},{"family":"Brunner","given":"T."},{"family":"Jelic","given":"S."}],"issued":{"date-parts":[["2011",9,1]]}},"label":"page"},{"id":167158,"uris":["http://zotero.org/groups/4764298/items/2LEZNGZ4"],"itemData":{"id":167158,"type":"article-journal","abstract":"Biliary tract cancers (intrahepatic, perihilar and extrahepatic cholangiocarcinoma, and gallbladder and cystic duct cancers) are uncommon but highly lethal malignancies. Clinical presentation is often late, precluding curative surgical resection in most cases. For advanced disease, therapeutic options are limited to systemic chemotherapy, with suboptimal outcomes. An understanding of the molecular characteristics of biliary tract cancers may allow the clinical development of therapies targeting actionable alterations with the ultimate goal of improving clinical outcomes. We present a comprehensive review of biliary tract cancer genomics and their clinical implications. Alterations in genes in the EGFR-MAPK-PI3K pathway are seen most often. KRAS alterations are highly prevalent; BRAF alterations are mutually exclusive from RAS alterations and much less frequent. PIK3CA alterations are seen mostly in extrahepatic cholangiocarcinoma and gallbladder cancers whereas HER2 amplification is most common in gallbladder cancers. Various tumor suppressor genes, such as TP53 and p16 are also altered often in biliary tract cancers; however, agents to “activate” silenced genes are currently lacking. FGF and IDH pathway alterations are potential targets for therapeutic agents. FGF alterations are typically fusions with other genes, resulting in altered proteins, and are seen most often in intrahepatic cholangiocarcinoma. IDH pathway alterations affect cellular enzymatic processes and are most common in intrahepatic cholangiocarcinoma. Ongoing clinical trials of agents targeting these pathways hold the promise of improving clinical outcomes.","container-title":"Critical Reviews in Oncology/Hematology","DOI":"10.1016/j.critrevonc.2016.08.013","ISSN":"1040-8428","journalAbbreviation":"Critical Reviews in Oncology/Hematology","language":"en","page":"111-118","source":"ScienceDirect","title":"Molecular characteristics of biliary tract cancer","volume":"107","author":[{"family":"Sohal","given":"Davendra P. S."},{"family":"Shrotriya","given":"Shiva"},{"family":"Abazeed","given":"Mohamed"},{"family":"Cruise","given":"Michael"},{"family":"Khorana","given":"Alok"}],"issued":{"date-parts":[["2016",11,1]]}},"label":"page"},{"id":167159,"uris":["http://zotero.org/groups/4764298/items/3GIQPGC4"],"itemData":{"id":167159,"type":"article-journal","abstract":"Biliary tract cancers (BTCs) consist of a group of highly heterogeneous malignancies that are characterized by genomic differences among tumors from different anatomic sites. The current treatment for BTC includes surgery, chemotherapy, target therapy, and immunotherapy. Although surgery remains the primary option for localized disease, representing the only potential curative treatment, a high risk of recurrence cannot be neglected. Chemotherapy has been considered the standard of care for both advanced and metastatic disease and in adjuvant settings. However, drug resistance is a major obstacle associated with chemotherapy. The development of genetic testing technologies, including next‐generation sequencing, has opened the door for the identification of drug targets and candidate molecules. A series of preclinical studies has demonstrated the role of gene mutations, abnormal signaling pathways, and immunosuppression in the pathogenesis of BTC, laying the foundation for the application of targeted therapy and immunotherapy. A variety of molecularly targeted agents, including pemigatinib, have shown promising survival benefits in patients with advanced disease. The rapidly evolving role of multimodal therapy represents the subject of this review., Biliary tract cancers (BTCs) consist of a group of highly heterogeneous malignancies, which are characterized by genomic differences among tumors from different anatomic sites. A series of preclinical studies have proven the role of gene mutations, abnormal signaling pathways, and immunosuppression in the pathogenesis of BTC, laying the foundation for the application of targeted therapy and immunotherapy. The disappointing response to conventional cytotoxic drugs along with the genetic heterogeneity of BTC led to both immunotherapy and targeted therapy–oriented research based on the genetic characterization of BTC.","container-title":"Cancer Science","DOI":"10.1111/cas.15139","ISSN":"1347-9032","issue":"12","journalAbbreviation":"Cancer Sci","note":"PMID: 34534382\nPMCID: PMC8645726","page":"4819-4833","source":"PubMed Central","title":"Emerging treatment evolutions and integrated molecular characteristics of biliary tract cancers","volume":"112","author":[{"family":"Zhang","given":"Ruyi"},{"family":"Puzzoni","given":"Marco"},{"family":"Mariani","given":"Stefano"},{"family":"Zheng","given":"Yi"},{"family":"Liscia","given":"Nicole"},{"family":"Guo","given":"Yixuan"},{"family":"Donisi","given":"Clelia"},{"family":"Liu","given":"Yu"},{"family":"Impera","given":"Valentino"},{"family":"Fang","given":"Weijia"},{"family":"Scartozzi","given":"Mario"}],"issued":{"date-parts":[["2021",12]]}},"label":"page"}],"schema":"https://github.com/citation-style-language/schema/raw/master/csl-citation.json"} </w:instrText>
      </w:r>
      <w:r w:rsidRPr="00097824">
        <w:rPr>
          <w:lang w:val="en-GB" w:eastAsia="ru-RU"/>
        </w:rPr>
        <w:fldChar w:fldCharType="separate"/>
      </w:r>
      <w:r w:rsidRPr="00097824">
        <w:rPr>
          <w:szCs w:val="24"/>
        </w:rPr>
        <w:t>[10,40–42]</w:t>
      </w:r>
      <w:r w:rsidRPr="00097824">
        <w:rPr>
          <w:lang w:val="en-GB" w:eastAsia="ru-RU"/>
        </w:rPr>
        <w:fldChar w:fldCharType="end"/>
      </w:r>
      <w:r w:rsidRPr="00097824">
        <w:rPr>
          <w:lang w:eastAsia="ru-RU"/>
        </w:rPr>
        <w:t>. В случаях технических сложностей и риско</w:t>
      </w:r>
      <w:r w:rsidR="00082EC6" w:rsidRPr="00097824">
        <w:rPr>
          <w:lang w:eastAsia="ru-RU"/>
        </w:rPr>
        <w:t>в</w:t>
      </w:r>
      <w:r w:rsidRPr="00097824">
        <w:rPr>
          <w:lang w:eastAsia="ru-RU"/>
        </w:rPr>
        <w:t xml:space="preserve"> осложнений</w:t>
      </w:r>
      <w:r w:rsidR="00082EC6" w:rsidRPr="00097824">
        <w:rPr>
          <w:lang w:eastAsia="ru-RU"/>
        </w:rPr>
        <w:t>,</w:t>
      </w:r>
      <w:r w:rsidRPr="00097824">
        <w:rPr>
          <w:lang w:eastAsia="ru-RU"/>
        </w:rPr>
        <w:t xml:space="preserve"> связанных со взятием </w:t>
      </w:r>
      <w:proofErr w:type="spellStart"/>
      <w:r w:rsidR="00082EC6" w:rsidRPr="00097824">
        <w:rPr>
          <w:lang w:eastAsia="ru-RU"/>
        </w:rPr>
        <w:t>биопсийного</w:t>
      </w:r>
      <w:proofErr w:type="spellEnd"/>
      <w:r w:rsidR="00082EC6" w:rsidRPr="00097824">
        <w:rPr>
          <w:lang w:eastAsia="ru-RU"/>
        </w:rPr>
        <w:t xml:space="preserve"> </w:t>
      </w:r>
      <w:r w:rsidRPr="00097824">
        <w:rPr>
          <w:lang w:eastAsia="ru-RU"/>
        </w:rPr>
        <w:t>материала возможно цитологическое подтверждение диагноза.</w:t>
      </w:r>
      <w:r w:rsidR="00784E03" w:rsidRPr="00097824">
        <w:rPr>
          <w:lang w:eastAsia="ru-RU"/>
        </w:rPr>
        <w:t xml:space="preserve"> Б</w:t>
      </w:r>
      <w:r w:rsidR="003719D2" w:rsidRPr="00097824">
        <w:rPr>
          <w:lang w:eastAsia="ru-RU"/>
        </w:rPr>
        <w:t xml:space="preserve">иопсия может выполняться чрескожным доступом под УЗКТ или РКТ при </w:t>
      </w:r>
      <w:proofErr w:type="spellStart"/>
      <w:r w:rsidR="003719D2" w:rsidRPr="00097824">
        <w:rPr>
          <w:lang w:eastAsia="ru-RU"/>
        </w:rPr>
        <w:t>нодулярной</w:t>
      </w:r>
      <w:proofErr w:type="spellEnd"/>
      <w:r w:rsidR="003719D2" w:rsidRPr="00097824">
        <w:rPr>
          <w:lang w:eastAsia="ru-RU"/>
        </w:rPr>
        <w:t xml:space="preserve"> форме роста опухоли</w:t>
      </w:r>
      <w:r w:rsidR="007E7B8D" w:rsidRPr="00097824">
        <w:rPr>
          <w:lang w:eastAsia="ru-RU"/>
        </w:rPr>
        <w:t xml:space="preserve">, в остальных случаях применяется </w:t>
      </w:r>
      <w:proofErr w:type="spellStart"/>
      <w:r w:rsidR="007E7B8D" w:rsidRPr="00097824">
        <w:rPr>
          <w:lang w:eastAsia="ru-RU"/>
        </w:rPr>
        <w:t>внутрипротоковая</w:t>
      </w:r>
      <w:proofErr w:type="spellEnd"/>
      <w:r w:rsidR="007E7B8D" w:rsidRPr="00097824">
        <w:rPr>
          <w:lang w:eastAsia="ru-RU"/>
        </w:rPr>
        <w:t xml:space="preserve"> биопсия (</w:t>
      </w:r>
      <w:proofErr w:type="spellStart"/>
      <w:r w:rsidR="007E7B8D" w:rsidRPr="00097824">
        <w:rPr>
          <w:lang w:eastAsia="ru-RU"/>
        </w:rPr>
        <w:t>антеградным</w:t>
      </w:r>
      <w:proofErr w:type="spellEnd"/>
      <w:r w:rsidR="007E7B8D" w:rsidRPr="00097824">
        <w:rPr>
          <w:lang w:eastAsia="ru-RU"/>
        </w:rPr>
        <w:t xml:space="preserve"> либо ретроградным доступом в зависимости от метода ранее </w:t>
      </w:r>
      <w:r w:rsidR="007E7B8D" w:rsidRPr="00097824">
        <w:rPr>
          <w:lang w:eastAsia="ru-RU"/>
        </w:rPr>
        <w:lastRenderedPageBreak/>
        <w:t xml:space="preserve">примененной </w:t>
      </w:r>
      <w:proofErr w:type="spellStart"/>
      <w:r w:rsidR="007E7B8D" w:rsidRPr="00097824">
        <w:rPr>
          <w:lang w:eastAsia="ru-RU"/>
        </w:rPr>
        <w:t>билиарной</w:t>
      </w:r>
      <w:proofErr w:type="spellEnd"/>
      <w:r w:rsidR="007E7B8D" w:rsidRPr="00097824">
        <w:rPr>
          <w:lang w:eastAsia="ru-RU"/>
        </w:rPr>
        <w:t xml:space="preserve"> декомпрессии</w:t>
      </w:r>
      <w:r w:rsidR="00AD1942" w:rsidRPr="00097824">
        <w:rPr>
          <w:lang w:eastAsia="ru-RU"/>
        </w:rPr>
        <w:t xml:space="preserve"> или в ходе ее осуществления</w:t>
      </w:r>
      <w:r w:rsidR="007E7B8D" w:rsidRPr="00097824">
        <w:rPr>
          <w:lang w:eastAsia="ru-RU"/>
        </w:rPr>
        <w:t>) под рентгенологическим и/</w:t>
      </w:r>
      <w:proofErr w:type="gramStart"/>
      <w:r w:rsidR="007E7B8D" w:rsidRPr="00097824">
        <w:rPr>
          <w:lang w:eastAsia="ru-RU"/>
        </w:rPr>
        <w:t xml:space="preserve">или  </w:t>
      </w:r>
      <w:proofErr w:type="spellStart"/>
      <w:r w:rsidR="007E7B8D" w:rsidRPr="00097824">
        <w:rPr>
          <w:lang w:eastAsia="ru-RU"/>
        </w:rPr>
        <w:t>видеохолангиоскопическим</w:t>
      </w:r>
      <w:proofErr w:type="spellEnd"/>
      <w:proofErr w:type="gramEnd"/>
      <w:r w:rsidR="007E7B8D" w:rsidRPr="00097824">
        <w:rPr>
          <w:lang w:eastAsia="ru-RU"/>
        </w:rPr>
        <w:t xml:space="preserve"> контролем. </w:t>
      </w:r>
      <w:r w:rsidR="003719D2" w:rsidRPr="00097824">
        <w:rPr>
          <w:lang w:eastAsia="ru-RU"/>
        </w:rPr>
        <w:t xml:space="preserve"> </w:t>
      </w:r>
    </w:p>
    <w:p w14:paraId="515B0E8A" w14:textId="04EF9B2D" w:rsidR="00124554" w:rsidRPr="00097824" w:rsidRDefault="007F5427" w:rsidP="0096386D">
      <w:pPr>
        <w:pStyle w:val="32"/>
        <w:ind w:firstLine="0"/>
        <w:rPr>
          <w:b w:val="0"/>
          <w:color w:val="auto"/>
        </w:rPr>
      </w:pPr>
      <w:r w:rsidRPr="00097824">
        <w:rPr>
          <w:color w:val="auto"/>
        </w:rPr>
        <w:t>Уровень убедительности рекомендаций – С</w:t>
      </w:r>
      <w:r w:rsidRPr="00097824">
        <w:rPr>
          <w:b w:val="0"/>
          <w:color w:val="auto"/>
        </w:rPr>
        <w:t xml:space="preserve"> (уровень достоверности доказательств –5)</w:t>
      </w:r>
    </w:p>
    <w:p w14:paraId="7D497F19" w14:textId="6C82472A" w:rsidR="00D630AE" w:rsidRPr="00097824" w:rsidRDefault="007F5427" w:rsidP="0096386D">
      <w:pPr>
        <w:spacing w:after="240"/>
        <w:ind w:left="397" w:firstLine="357"/>
        <w:contextualSpacing/>
        <w:rPr>
          <w:rFonts w:eastAsia="MS Mincho"/>
          <w:i/>
          <w:szCs w:val="24"/>
          <w:shd w:val="clear" w:color="auto" w:fill="FFFFFF"/>
        </w:rPr>
      </w:pPr>
      <w:r w:rsidRPr="00097824">
        <w:rPr>
          <w:rFonts w:eastAsia="MS Mincho"/>
          <w:b/>
          <w:szCs w:val="24"/>
          <w:shd w:val="clear" w:color="auto" w:fill="FFFFFF"/>
        </w:rPr>
        <w:t>Комментарий:</w:t>
      </w:r>
      <w:r w:rsidRPr="00097824">
        <w:rPr>
          <w:rFonts w:eastAsia="MS Mincho"/>
          <w:i/>
          <w:szCs w:val="24"/>
          <w:shd w:val="clear" w:color="auto" w:fill="FFFFFF"/>
        </w:rPr>
        <w:t xml:space="preserve"> биопсия необходима для назначения консервативных методов лечения, </w:t>
      </w:r>
      <w:r w:rsidR="008D6B49" w:rsidRPr="00097824">
        <w:rPr>
          <w:rFonts w:eastAsia="MS Mincho"/>
          <w:i/>
          <w:szCs w:val="24"/>
          <w:shd w:val="clear" w:color="auto" w:fill="FFFFFF"/>
        </w:rPr>
        <w:t xml:space="preserve">но </w:t>
      </w:r>
      <w:r w:rsidRPr="00097824">
        <w:rPr>
          <w:rFonts w:eastAsia="MS Mincho"/>
          <w:i/>
          <w:szCs w:val="24"/>
          <w:shd w:val="clear" w:color="auto" w:fill="FFFFFF"/>
        </w:rPr>
        <w:t>не обязательна при планировании хирургического вмешательства</w:t>
      </w:r>
      <w:r w:rsidR="008D6B49" w:rsidRPr="00097824">
        <w:rPr>
          <w:rFonts w:eastAsia="MS Mincho"/>
          <w:i/>
          <w:szCs w:val="24"/>
          <w:shd w:val="clear" w:color="auto" w:fill="FFFFFF"/>
        </w:rPr>
        <w:t xml:space="preserve"> в случаях явной клинико-инструментальной картины заболевания</w:t>
      </w:r>
      <w:r w:rsidR="00DC374A" w:rsidRPr="00097824">
        <w:rPr>
          <w:rFonts w:eastAsia="MS Mincho"/>
          <w:i/>
          <w:szCs w:val="24"/>
          <w:shd w:val="clear" w:color="auto" w:fill="FFFFFF"/>
        </w:rPr>
        <w:t xml:space="preserve"> </w:t>
      </w:r>
      <w:r w:rsidRPr="00097824">
        <w:rPr>
          <w:rFonts w:eastAsia="MS Mincho"/>
          <w:i/>
          <w:szCs w:val="24"/>
          <w:shd w:val="clear" w:color="auto" w:fill="FFFFFF"/>
          <w:lang w:val="en-GB"/>
        </w:rPr>
        <w:fldChar w:fldCharType="begin"/>
      </w:r>
      <w:r w:rsidRPr="00097824">
        <w:rPr>
          <w:rFonts w:eastAsia="MS Mincho"/>
          <w:i/>
          <w:szCs w:val="24"/>
          <w:shd w:val="clear" w:color="auto" w:fill="FFFFFF"/>
        </w:rPr>
        <w:instrText xml:space="preserve"> ADDIN ZOTERO_ITEM CSL_CITATION {"citationID":"9911s3yE","properties":{"formattedCitation":"[40,43]","plainCitation":"[40,43]","noteIndex":0},"citationItems":[{"id":167112,"uris":["http://zotero.org/groups/4764298/items/NNQ6MRUU"],"itemData":{"id":167112,"type":"article-journal","container-title":"Annals of Oncology","DOI":"10.1093/annonc/mdr375","ISSN":"0923-7534, 1569-8041","journalAbbreviation":"Annals of Oncology","language":"English","note":"publisher: Elsevier\nPMID: 21908502","page":"vi40-vi44","source":"www.annalsofoncology.org","title":"Biliary cancer: ESMO Clinical Practice Guidelines for diagnosis, treatment and follow-up","title-short":"Biliary cancer","volume":"22","author":[{"family":"Eckel","given":"F."},{"family":"Brunner","given":"T."},{"family":"Jelic","given":"S."}],"issued":{"date-parts":[["2011",9,1]]}},"label":"page"},{"id":166691,"uris":["http://zotero.org/groups/4764298/items/VYFPKCAQ"],"itemData":{"id":166691,"type":"document","publisher":"American Society of Clinical Oncology","source":"Google Scholar","title":"ABC-06| A randomised phase III, multi-centre, open-label study of active symptom control (ASC) alone or ASC with oxaliplatin/5-FU chemotherapy (ASC+ mFOLFOX) for patients (pts) with locally advanced/metastatic biliary tract cancers (ABC) previously-treated with cisplatin/gemcitabine (CisGem) chemotherapy.","author":[{"family":"Lamarca","given":"Angela"},{"family":"Palmer","given":"Daniel H."},{"family":"Wasan","given":"Harpreet Singh"},{"family":"Ross","given":"Paul J."},{"family":"Ma","given":"Yuk Ting"},{"family":"Arora","given":"Arvind"},{"family":"Falk","given":"Stephen"},{"family":"Gillmore","given":"Roopinder"},{"family":"Wadsley","given":"Jonathan"},{"family":"Patel","given":"Kinnari"}],"issued":{"date-parts":[["2019"]]}},"label":"page"}],"schema":"https://github.com/citation-style-language/schema/raw/master/csl-citation.json"} </w:instrText>
      </w:r>
      <w:r w:rsidRPr="00097824">
        <w:rPr>
          <w:rFonts w:eastAsia="MS Mincho"/>
          <w:i/>
          <w:szCs w:val="24"/>
          <w:shd w:val="clear" w:color="auto" w:fill="FFFFFF"/>
          <w:lang w:val="en-GB"/>
        </w:rPr>
        <w:fldChar w:fldCharType="separate"/>
      </w:r>
      <w:r w:rsidRPr="00097824">
        <w:t>[40,43]</w:t>
      </w:r>
      <w:r w:rsidRPr="00097824">
        <w:rPr>
          <w:rFonts w:eastAsia="MS Mincho"/>
          <w:i/>
          <w:szCs w:val="24"/>
          <w:shd w:val="clear" w:color="auto" w:fill="FFFFFF"/>
          <w:lang w:val="en-GB"/>
        </w:rPr>
        <w:fldChar w:fldCharType="end"/>
      </w:r>
      <w:r w:rsidRPr="00097824">
        <w:rPr>
          <w:rFonts w:eastAsia="MS Mincho"/>
          <w:i/>
          <w:szCs w:val="24"/>
          <w:shd w:val="clear" w:color="auto" w:fill="FFFFFF"/>
        </w:rPr>
        <w:t>.</w:t>
      </w:r>
    </w:p>
    <w:p w14:paraId="4EFBFC78" w14:textId="4E70838F" w:rsidR="006C5EC5" w:rsidRPr="00097824" w:rsidRDefault="006A1429" w:rsidP="00323A11">
      <w:pPr>
        <w:pStyle w:val="aff"/>
        <w:numPr>
          <w:ilvl w:val="0"/>
          <w:numId w:val="28"/>
        </w:numPr>
        <w:rPr>
          <w:shd w:val="clear" w:color="auto" w:fill="FFFFFF"/>
        </w:rPr>
      </w:pPr>
      <w:r w:rsidRPr="00097824">
        <w:rPr>
          <w:rFonts w:eastAsia="MS Mincho"/>
          <w:shd w:val="clear" w:color="auto" w:fill="FFFFFF"/>
        </w:rPr>
        <w:t xml:space="preserve">Всем пациентам с внепеченочной </w:t>
      </w:r>
      <w:proofErr w:type="spellStart"/>
      <w:r w:rsidRPr="00097824">
        <w:rPr>
          <w:rFonts w:eastAsia="MS Mincho"/>
          <w:shd w:val="clear" w:color="auto" w:fill="FFFFFF"/>
        </w:rPr>
        <w:t>холангиокарциномой</w:t>
      </w:r>
      <w:proofErr w:type="spellEnd"/>
      <w:r w:rsidRPr="00097824">
        <w:rPr>
          <w:rFonts w:eastAsia="MS Mincho"/>
          <w:shd w:val="clear" w:color="auto" w:fill="FFFFFF"/>
        </w:rPr>
        <w:t xml:space="preserve"> рекомендовано </w:t>
      </w:r>
      <w:r w:rsidR="006C5EC5" w:rsidRPr="00097824">
        <w:rPr>
          <w:shd w:val="clear" w:color="auto" w:fill="FFFFFF"/>
        </w:rPr>
        <w:t xml:space="preserve">выполнить компьютерную томографию (КТ) органов брюшной полости и малого таза  с внутривенным контрастированием и/или магнитно-резонансную томографию (МРТ) органов брюшной полости с внутривенным контрастированием с магнитно-резонансной </w:t>
      </w:r>
      <w:proofErr w:type="spellStart"/>
      <w:r w:rsidR="006C5EC5" w:rsidRPr="00097824">
        <w:rPr>
          <w:shd w:val="clear" w:color="auto" w:fill="FFFFFF"/>
        </w:rPr>
        <w:t>холангиографией</w:t>
      </w:r>
      <w:proofErr w:type="spellEnd"/>
      <w:r w:rsidR="00DC374A" w:rsidRPr="00097824">
        <w:rPr>
          <w:shd w:val="clear" w:color="auto" w:fill="FFFFFF"/>
        </w:rPr>
        <w:t xml:space="preserve"> </w:t>
      </w:r>
      <w:r w:rsidR="007F5427" w:rsidRPr="00097824">
        <w:rPr>
          <w:shd w:val="clear" w:color="auto" w:fill="FFFFFF"/>
        </w:rPr>
        <w:fldChar w:fldCharType="begin"/>
      </w:r>
      <w:r w:rsidR="007F5427" w:rsidRPr="00097824">
        <w:rPr>
          <w:shd w:val="clear" w:color="auto" w:fill="FFFFFF"/>
        </w:rPr>
        <w:instrText xml:space="preserve"> ADDIN ZOTERO_ITEM CSL_CITATION {"citationID":"cgY2X6Iw","properties":{"formattedCitation":"[10,29,30]","plainCitation":"[10,29,30]","noteIndex":0},"citationItems":[{"id":166676,"uris":["http://zotero.org/groups/4764298/items/HLCDHDCZ"],"itemData":{"id":166676,"type":"article-journal","container-title":"Annals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166635,"uris":["http://zotero.org/groups/4764298/items/KH4AKB33"],"itemData":{"id":166635,"type":"article-journal","abstract":"Objective\nTo obtain diagnostic performance values of CT, MRI, ultrasound and 18-fludeoxyglucose positron emission tomography (PET)/CT for staging of hilar cholangiocarcinoma.\n\nMethods\nA comprehensive systematic search was performed for articles published up to March 2011 that fulfilled the inclusion criteria. Study quality was assessed with the quality assessment of diagnostic accuracy studies tool.\n\nResults\n16 articles (448 patients) were included that evaluated CT (n=11), MRI (n=3), ultrasound (n=3), or PET/CT (n=1). Overall, their quality was moderate. The accuracy estimates for evaluation of CT for ductal extent of the tumour was 86%. The sensitivity and specificity estimates of CT were 89% and 92% for evaluation of portal vein involvement, 83% and 93% for hepatic artery involvement, and 61% and 88% for lymph node involvement, respectively. Data were too limited for adequate comparisons of the different techniques.\n\nConclusion\nDiagnostic accuracy studies of CT, MRI, ultrasound or PET/CT for staging of hilar cholangiocarcinoma are sparse and have moderate methodological quality. Data primarily concern CT, which has an acceptable accuracy for assessment of ductal extent, portal vein and hepatic artery involvement, but low sensitivity for nodal status.","container-title":"The British Journal of Radiology","DOI":"10.1259/bjr/88405305","ISSN":"0007-1285","issue":"1017","journalAbbreviation":"Br J Radiol","note":"PMID: 22919007\nPMCID: PMC3487057","page":"1255-1262","source":"PubMed Central","title":"Radiological staging in patients with hilar cholangiocarcinoma: a systematic review and meta-analysis","title-short":"Radiological staging in patients with hilar cholangiocarcinoma","volume":"85","author":[{"family":"Ruys","given":"A T"},{"family":"Van Beem","given":"B E"},{"family":"Engelbrecht","given":"M R W"},{"family":"Bipat","given":"S"},{"family":"Stoker","given":"J"},{"family":"Van Gulik","given":"T M"}],"issued":{"date-parts":[["2012",9]]}},"label":"page"},{"id":166637,"uris":["http://zotero.org/groups/4764298/items/WB3YC9P4"],"itemData":{"id":166637,"type":"article-journal","abstract":"PURPOSE: To retrospectively assess the accuracy of combined multiphasic computed tomography (CT) and direct cholangiography for evaluation of the resectability of hilar cholangiocarcinoma, on the basis of revised criteria for unresectability, by using surgery as the reference standard.\nMATERIALS AND METHODS: Institutional review board approval was obtained, and informed consent was waived. From 1998 to 2003, 55 patients (37 men, 18 women; mean age +/- standard deviation, 59 years +/- 12) with surgically proved hilar cholangiocarcinomas who underwent preoperative CT (single-detector row CT, n = 26; multi-detector row CT, n = 29) and cholangiography were included for study. The authors' revised criteria for unresectable tumor were contralateral hepatic artery invasion; main or contralateral portal vein invasion longer than 2 cm; biliary extension to the contralateral secondary confluence, farther than 2 cm from hepatic hilum; enlarged lymph nodes at the celiac, portacaval, and paraaortic area; and other ancillary findings. Tumor resectability based on these parameters was determined at imaging by two radiologists in consensus. Mann-Whitney U test and weighted kappa coefficient of agreement were used for accuracy determination.\nRESULTS: For depiction of portal vein invasion (in 26 patients), CT yielded an accuracy of 85.5%. Arterial invasion was found at surgery in 19 patients, with CT providing an accuracy of 92.7%. For prediction of node involvement (15 patients, 27%), CT yielded an accuracy of 83.6%. The extent of ductal involvement could be accurately predicted in 46 patients (84%) (weighted kappa = 0.767). In 30 of 42 patients with disease classified as resectable according to revised criteria, disease was found to be resectable at surgery (71.4% positive predictive value). In 11 of 13 patients with disease classified as unresectable according to revised criteria, unresectable disease was confirmed (84.6% negative predictive value). Overall accuracy of resectability was 74.5%.\nCONCLUSION: Combined interpretation of CT and direct cholangiographic images by using our revised criteria resulted in overall accuracy of 74.5% for prediction of resectability for hilar cholangiocarcinoma.","container-title":"Radiology","DOI":"10.1148/radiol.2383050419","ISSN":"0033-8419","issue":"1","journalAbbreviation":"Radiology","language":"eng","note":"PMID: 16467211","page":"113-121","source":"PubMed","title":"Preoperative assessment of resectability of hepatic hilar cholangiocarcinoma: combined CT and cholangiography with revised criteria","title-short":"Preoperative assessment of resectability of hepatic hilar cholangiocarcinoma","volume":"239","author":[{"family":"Lee","given":"Ho Yun"},{"family":"Kim","given":"Se Hyung"},{"family":"Lee","given":"Jeong Min"},{"family":"Kim","given":"Sun-Whe"},{"family":"Jang","given":"Jin-Young"},{"family":"Han","given":"Joon Koo"},{"family":"Choi","given":"Byung Ihn"}],"issued":{"date-parts":[["2006",4]]}},"label":"page"}],"schema":"https://github.com/citation-style-language/schema/raw/master/csl-citation.json"} </w:instrText>
      </w:r>
      <w:r w:rsidR="007F5427" w:rsidRPr="00097824">
        <w:rPr>
          <w:shd w:val="clear" w:color="auto" w:fill="FFFFFF"/>
        </w:rPr>
        <w:fldChar w:fldCharType="separate"/>
      </w:r>
      <w:r w:rsidR="007F5427" w:rsidRPr="00097824">
        <w:t>[10,29,30]</w:t>
      </w:r>
      <w:r w:rsidR="007F5427" w:rsidRPr="00097824">
        <w:rPr>
          <w:shd w:val="clear" w:color="auto" w:fill="FFFFFF"/>
        </w:rPr>
        <w:fldChar w:fldCharType="end"/>
      </w:r>
      <w:r w:rsidR="007F5427" w:rsidRPr="00097824">
        <w:rPr>
          <w:shd w:val="clear" w:color="auto" w:fill="FFFFFF"/>
        </w:rPr>
        <w:t>.</w:t>
      </w:r>
      <w:r w:rsidR="007F5427" w:rsidRPr="00097824">
        <w:t xml:space="preserve"> При подозрении на опухолевый процесс </w:t>
      </w:r>
      <w:r w:rsidR="00A93810" w:rsidRPr="00097824">
        <w:t xml:space="preserve">дистального отдела внепеченочных желчных протоков </w:t>
      </w:r>
      <w:r w:rsidR="007F5427" w:rsidRPr="00097824">
        <w:t>основными методами диагностики являются</w:t>
      </w:r>
      <w:r w:rsidR="00A93810" w:rsidRPr="00097824">
        <w:t xml:space="preserve"> </w:t>
      </w:r>
      <w:r w:rsidR="007F5427" w:rsidRPr="00097824">
        <w:t xml:space="preserve">МСКТ. При </w:t>
      </w:r>
      <w:r w:rsidR="00A93810" w:rsidRPr="00097824">
        <w:t xml:space="preserve">подозрении на поражение проксимального отдела желчных протоков </w:t>
      </w:r>
      <w:r w:rsidR="007F5427" w:rsidRPr="00097824">
        <w:t xml:space="preserve">необходимо выполнять МРТ и </w:t>
      </w:r>
      <w:r w:rsidR="00323A11" w:rsidRPr="00097824">
        <w:t xml:space="preserve">магнитно-резонансная </w:t>
      </w:r>
      <w:proofErr w:type="spellStart"/>
      <w:r w:rsidR="00323A11" w:rsidRPr="00097824">
        <w:t>холангиопанкреатографию</w:t>
      </w:r>
      <w:proofErr w:type="spellEnd"/>
      <w:r w:rsidR="00323A11" w:rsidRPr="00097824">
        <w:t xml:space="preserve"> (</w:t>
      </w:r>
      <w:r w:rsidR="007F5427" w:rsidRPr="00097824">
        <w:t>МРХ</w:t>
      </w:r>
      <w:r w:rsidR="00323A11" w:rsidRPr="00097824">
        <w:t>П</w:t>
      </w:r>
      <w:r w:rsidR="007F5427" w:rsidRPr="00097824">
        <w:t>Г</w:t>
      </w:r>
      <w:r w:rsidR="00323A11" w:rsidRPr="00097824">
        <w:t>)</w:t>
      </w:r>
      <w:r w:rsidR="007F5427" w:rsidRPr="00097824">
        <w:t xml:space="preserve">. МСКТ с </w:t>
      </w:r>
      <w:proofErr w:type="spellStart"/>
      <w:r w:rsidR="007F5427" w:rsidRPr="00097824">
        <w:t>болюсным</w:t>
      </w:r>
      <w:proofErr w:type="spellEnd"/>
      <w:r w:rsidR="007F5427" w:rsidRPr="00097824">
        <w:t xml:space="preserve"> контрастированием</w:t>
      </w:r>
      <w:r w:rsidR="00A93810" w:rsidRPr="00097824">
        <w:t xml:space="preserve"> в данном случае </w:t>
      </w:r>
      <w:r w:rsidR="00E06867" w:rsidRPr="00097824">
        <w:t>служит у</w:t>
      </w:r>
      <w:r w:rsidR="00A93810" w:rsidRPr="00097824">
        <w:t>точняющим способом диагностики</w:t>
      </w:r>
      <w:r w:rsidR="007F5427" w:rsidRPr="00097824">
        <w:t xml:space="preserve">. Окончательным методом </w:t>
      </w:r>
      <w:r w:rsidR="00E06867" w:rsidRPr="00097824">
        <w:t xml:space="preserve">определения </w:t>
      </w:r>
      <w:r w:rsidR="007F5427" w:rsidRPr="00097824">
        <w:t xml:space="preserve">уровня </w:t>
      </w:r>
      <w:proofErr w:type="spellStart"/>
      <w:r w:rsidR="007F5427" w:rsidRPr="00097824">
        <w:t>билиарного</w:t>
      </w:r>
      <w:proofErr w:type="spellEnd"/>
      <w:r w:rsidR="007F5427" w:rsidRPr="00097824">
        <w:t xml:space="preserve"> блока является прямая </w:t>
      </w:r>
      <w:proofErr w:type="spellStart"/>
      <w:r w:rsidR="007F5427" w:rsidRPr="00097824">
        <w:t>холангиография</w:t>
      </w:r>
      <w:proofErr w:type="spellEnd"/>
      <w:r w:rsidR="007F5427" w:rsidRPr="00097824">
        <w:t xml:space="preserve"> (ЭРХПГ или ЧЧХГ), используемая в настоящее время только в момент декомпрессии желчных потоков и непосредственно перед операцией [</w:t>
      </w:r>
      <w:r w:rsidR="00EC05DC" w:rsidRPr="00097824">
        <w:t>137-142</w:t>
      </w:r>
      <w:r w:rsidR="007F5427" w:rsidRPr="00097824">
        <w:t>].</w:t>
      </w:r>
    </w:p>
    <w:p w14:paraId="3411730B" w14:textId="7720BF19" w:rsidR="006C5EC5" w:rsidRPr="00097824" w:rsidRDefault="006C5EC5" w:rsidP="0096386D">
      <w:pPr>
        <w:ind w:firstLine="0"/>
        <w:contextualSpacing/>
        <w:rPr>
          <w:rFonts w:eastAsia="MS Mincho"/>
          <w:szCs w:val="24"/>
          <w:shd w:val="clear" w:color="auto" w:fill="FFFFFF"/>
        </w:rPr>
      </w:pPr>
      <w:r w:rsidRPr="00097824">
        <w:rPr>
          <w:rFonts w:eastAsia="MS Mincho"/>
          <w:b/>
          <w:szCs w:val="24"/>
          <w:shd w:val="clear" w:color="auto" w:fill="FFFFFF"/>
        </w:rPr>
        <w:t xml:space="preserve">Уровень убедительности рекомендаций – </w:t>
      </w:r>
      <w:r w:rsidR="00B0236F" w:rsidRPr="00097824">
        <w:rPr>
          <w:rFonts w:eastAsia="MS Mincho"/>
          <w:b/>
          <w:szCs w:val="24"/>
          <w:shd w:val="clear" w:color="auto" w:fill="FFFFFF"/>
        </w:rPr>
        <w:t xml:space="preserve">С </w:t>
      </w:r>
      <w:r w:rsidRPr="00097824">
        <w:rPr>
          <w:rFonts w:eastAsia="MS Mincho"/>
          <w:szCs w:val="24"/>
          <w:shd w:val="clear" w:color="auto" w:fill="FFFFFF"/>
        </w:rPr>
        <w:t xml:space="preserve">(уровень достоверности доказательств – </w:t>
      </w:r>
      <w:r w:rsidR="00B0236F" w:rsidRPr="00097824">
        <w:rPr>
          <w:rFonts w:eastAsia="MS Mincho"/>
          <w:szCs w:val="24"/>
          <w:shd w:val="clear" w:color="auto" w:fill="FFFFFF"/>
        </w:rPr>
        <w:t>5</w:t>
      </w:r>
      <w:r w:rsidRPr="00097824">
        <w:rPr>
          <w:rFonts w:eastAsia="MS Mincho"/>
          <w:szCs w:val="24"/>
          <w:shd w:val="clear" w:color="auto" w:fill="FFFFFF"/>
        </w:rPr>
        <w:t>)</w:t>
      </w:r>
    </w:p>
    <w:p w14:paraId="23DD3456" w14:textId="30BEEEEE" w:rsidR="006C5EC5" w:rsidRPr="00097824" w:rsidRDefault="006C5EC5" w:rsidP="00AD4A9F">
      <w:pPr>
        <w:ind w:left="397" w:firstLine="357"/>
        <w:contextualSpacing/>
        <w:rPr>
          <w:rFonts w:eastAsia="MS Mincho"/>
          <w:i/>
          <w:szCs w:val="24"/>
          <w:shd w:val="clear" w:color="auto" w:fill="FFFFFF"/>
        </w:rPr>
      </w:pPr>
      <w:r w:rsidRPr="00097824">
        <w:rPr>
          <w:rFonts w:eastAsia="MS Mincho"/>
          <w:b/>
          <w:szCs w:val="24"/>
          <w:shd w:val="clear" w:color="auto" w:fill="FFFFFF"/>
        </w:rPr>
        <w:t xml:space="preserve">Комментарий: </w:t>
      </w:r>
      <w:r w:rsidR="007F5427" w:rsidRPr="00097824">
        <w:rPr>
          <w:rFonts w:eastAsia="MS Mincho"/>
          <w:i/>
          <w:szCs w:val="24"/>
          <w:shd w:val="clear" w:color="auto" w:fill="FFFFFF"/>
        </w:rPr>
        <w:t>КТ является более специфичным, чем УЗИ, для выявления поражения лимфатических узлов, инвазии органов и отдаленных метастазов; с помощью МРТ можно проводить дифференциальную диагностику между доброкачественными опухолями и раком</w:t>
      </w:r>
      <w:r w:rsidR="00DC374A" w:rsidRPr="00097824">
        <w:rPr>
          <w:rFonts w:eastAsia="MS Mincho"/>
          <w:i/>
          <w:szCs w:val="24"/>
          <w:shd w:val="clear" w:color="auto" w:fill="FFFFFF"/>
        </w:rPr>
        <w:t xml:space="preserve"> </w:t>
      </w:r>
      <w:r w:rsidR="007F5427" w:rsidRPr="00097824">
        <w:rPr>
          <w:rFonts w:eastAsia="MS Mincho"/>
          <w:i/>
          <w:szCs w:val="24"/>
          <w:shd w:val="clear" w:color="auto" w:fill="FFFFFF"/>
        </w:rPr>
        <w:fldChar w:fldCharType="begin"/>
      </w:r>
      <w:r w:rsidR="007F5427" w:rsidRPr="00097824">
        <w:rPr>
          <w:rFonts w:eastAsia="MS Mincho"/>
          <w:i/>
          <w:szCs w:val="24"/>
          <w:shd w:val="clear" w:color="auto" w:fill="FFFFFF"/>
        </w:rPr>
        <w:instrText xml:space="preserve"> ADDIN ZOTERO_ITEM CSL_CITATION {"citationID":"MnAbcyFN","properties":{"formattedCitation":"[31]","plainCitation":"[31]","noteIndex":0},"citationItems":[{"id":167205,"uris":["http://zotero.org/groups/4764298/items/WG5XAJ62"],"itemData":{"id":167205,"type":"article-journal","abstract":"Primary carcinoma of the gallbladder is an uncommon, aggressive malignancy that affects women more frequently than men. Older age groups are most often affected, and coexisting gallstones are present in the vast majority of cases. The symptoms at presentation are vague and are most often related to adjacent organ invasion. Therefore, despite advances in cross-sectional imaging, early-stage tumors are not often encountered. Imaging studies may reveal a mass replacing the normal gallbladder, diffuse or focal thickening of the gallbladder wall, or a polypoid mass within the gallbladder lumen. Adjacent organ invasion, most commonly involving the liver, is typically present at diagnosis, as is biliary obstruction. Periportal and peripancreatic lymphadenopathy, hematogenous metastases, and peritoneal metastases may also be seen. The vast majority of gallbladder carcinomas are adenocarcinomas. Because most patients present with advanced disease, the prognosis is poor, with a reported 5-year survival rate of less than 5% in most large series. The radiologic differential diagnosis includes the more frequently encountered inflammatory conditions of the gallbladder, xanthogranulomatous cholecystitis, adenomyomatosis, other hepatobiliary malignancies, and metastatic disease.","container-title":"RadioGraphics","DOI":"10.1148/radiographics.21.2.g01mr16295","ISSN":"0271-5333","issue":"2","note":"publisher: Radiological Society of North America","page":"295-314","source":"pubs.rsna.org (Atypon)","title":"Gallbladder Carcinoma: Radiologic-Pathologic Correlation","title-short":"Gallbladder Carcinoma","volume":"21","author":[{"family":"Levy","given":"Angela D."},{"family":"Murakata","given":"Linda A."},{"family":"Rohrmann","given":"Charles A."}],"issued":{"date-parts":[["2001",3]]}}}],"schema":"https://github.com/citation-style-language/schema/raw/master/csl-citation.json"} </w:instrText>
      </w:r>
      <w:r w:rsidR="007F5427" w:rsidRPr="00097824">
        <w:rPr>
          <w:rFonts w:eastAsia="MS Mincho"/>
          <w:i/>
          <w:szCs w:val="24"/>
          <w:shd w:val="clear" w:color="auto" w:fill="FFFFFF"/>
        </w:rPr>
        <w:fldChar w:fldCharType="separate"/>
      </w:r>
      <w:r w:rsidR="007F5427" w:rsidRPr="00097824">
        <w:t>[31]</w:t>
      </w:r>
      <w:r w:rsidR="007F5427" w:rsidRPr="00097824">
        <w:rPr>
          <w:rFonts w:eastAsia="MS Mincho"/>
          <w:i/>
          <w:szCs w:val="24"/>
          <w:shd w:val="clear" w:color="auto" w:fill="FFFFFF"/>
        </w:rPr>
        <w:fldChar w:fldCharType="end"/>
      </w:r>
      <w:r w:rsidR="007F5427" w:rsidRPr="00097824">
        <w:rPr>
          <w:rFonts w:eastAsia="MS Mincho"/>
          <w:i/>
          <w:szCs w:val="24"/>
          <w:shd w:val="clear" w:color="auto" w:fill="FFFFFF"/>
        </w:rPr>
        <w:t>.</w:t>
      </w:r>
      <w:r w:rsidR="007F5427" w:rsidRPr="00097824">
        <w:t xml:space="preserve"> </w:t>
      </w:r>
      <w:r w:rsidR="007F5427" w:rsidRPr="00097824">
        <w:rPr>
          <w:i/>
        </w:rPr>
        <w:t>При раке</w:t>
      </w:r>
      <w:r w:rsidR="00A93810" w:rsidRPr="00097824">
        <w:rPr>
          <w:i/>
        </w:rPr>
        <w:t xml:space="preserve"> проксимального отдела внепеченочных желчных протоков </w:t>
      </w:r>
      <w:r w:rsidR="007F5427" w:rsidRPr="00097824">
        <w:rPr>
          <w:i/>
        </w:rPr>
        <w:t xml:space="preserve">МРТ и МРХГ проводится с целью уточнения степени разобщения внутрипеченочных желчных протоков и выявления опухолевого распространения. МСКТ с </w:t>
      </w:r>
      <w:proofErr w:type="spellStart"/>
      <w:r w:rsidR="007F5427" w:rsidRPr="00097824">
        <w:rPr>
          <w:i/>
        </w:rPr>
        <w:t>болюсным</w:t>
      </w:r>
      <w:proofErr w:type="spellEnd"/>
      <w:r w:rsidR="007F5427" w:rsidRPr="00097824">
        <w:rPr>
          <w:i/>
        </w:rPr>
        <w:t xml:space="preserve"> контрастированием проводится в случаях подозрения на вовлечение сосудов </w:t>
      </w:r>
      <w:proofErr w:type="spellStart"/>
      <w:r w:rsidR="007F5427" w:rsidRPr="00097824">
        <w:rPr>
          <w:i/>
        </w:rPr>
        <w:t>гепатопанкреатодуоденальной</w:t>
      </w:r>
      <w:proofErr w:type="spellEnd"/>
      <w:r w:rsidR="007F5427" w:rsidRPr="00097824">
        <w:rPr>
          <w:i/>
        </w:rPr>
        <w:t xml:space="preserve"> зоны.</w:t>
      </w:r>
    </w:p>
    <w:p w14:paraId="03BE3709" w14:textId="4F939002" w:rsidR="00D630AE" w:rsidRPr="00097824" w:rsidRDefault="006C5EC5" w:rsidP="0096386D">
      <w:pPr>
        <w:pStyle w:val="1"/>
        <w:ind w:left="397" w:firstLine="357"/>
        <w:rPr>
          <w:rFonts w:eastAsia="MS Mincho"/>
          <w:shd w:val="clear" w:color="auto" w:fill="FFFFFF"/>
        </w:rPr>
      </w:pPr>
      <w:r w:rsidRPr="00097824">
        <w:rPr>
          <w:rFonts w:eastAsia="MS Mincho"/>
          <w:shd w:val="clear" w:color="auto" w:fill="FFFFFF"/>
        </w:rPr>
        <w:t xml:space="preserve">Перед началом лечения всем пациентам рекомендуется выполнить КТ органов грудной </w:t>
      </w:r>
      <w:r w:rsidR="00AE1134" w:rsidRPr="00097824">
        <w:rPr>
          <w:rFonts w:eastAsia="MS Mincho"/>
          <w:shd w:val="clear" w:color="auto" w:fill="FFFFFF"/>
        </w:rPr>
        <w:t xml:space="preserve">полости </w:t>
      </w:r>
      <w:r w:rsidRPr="00097824">
        <w:rPr>
          <w:rFonts w:eastAsia="MS Mincho"/>
          <w:shd w:val="clear" w:color="auto" w:fill="FFFFFF"/>
        </w:rPr>
        <w:t>для определения распространенности опухолевого процесса</w:t>
      </w:r>
      <w:r w:rsidR="00FE1DF4" w:rsidRPr="00097824">
        <w:rPr>
          <w:rFonts w:eastAsia="MS Mincho"/>
          <w:shd w:val="clear" w:color="auto" w:fill="FFFFFF"/>
        </w:rPr>
        <w:t xml:space="preserve"> </w:t>
      </w:r>
      <w:r w:rsidR="007F5427" w:rsidRPr="00097824">
        <w:rPr>
          <w:rFonts w:eastAsia="MS Mincho"/>
          <w:shd w:val="clear" w:color="auto" w:fill="FFFFFF"/>
        </w:rPr>
        <w:fldChar w:fldCharType="begin"/>
      </w:r>
      <w:r w:rsidRPr="00097824">
        <w:rPr>
          <w:rFonts w:eastAsia="MS Mincho"/>
          <w:shd w:val="clear" w:color="auto" w:fill="FFFFFF"/>
        </w:rPr>
        <w:instrText xml:space="preserve"> ADDIN ZOTERO_ITEM CSL_CITATION {"citationID":"XUHNdTDP","properties":{"formattedCitation":"[10,32,33]","plainCitation":"[10,32,33]","noteIndex":0},"citationItems":[{"id":166676,"uris":["http://zotero.org/groups/4764298/items/HLCDHDCZ"],"itemData":{"id":166676,"type":"article-journal","container-title":"Annals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167142,"uris":["http://zotero.org/groups/4764298/items/LMWVKPKE"],"itemData":{"id":167142,"type":"article-journal","abstract":"Cholangiocarcinoma is a type of malignant tumor derived from the epithelium of the bile duct. Cases of cholangiocarcinoma metastasis to the lung are rare, especially those with imaging features of multiple cavities in bilateral lungs. Here, we report a case of a patient who had previously undergone radical resection of primary distal cholangiocarcinoma 18 months ago. Transbronchoscopic lung biopsy of the right lung and biopsy of the left supraclavicular lymph node were performed for pathology confirmation, as well as immunohistochemistry. Multiple cavity shadows in bilateral lungs and enlarged lymph nodes were found on the computed tomography (CT) scan obtained 18 months postoperatively. No obviously enlarged lymph nodes were observed under the carina and beside the aortic arch, whereas enlarged lymph nodes were found above the left clavicle. Biopsy of lung and supraclavicular lymph nodes confirmed metastatic adenocarcinoma. Immunohistochemistry showed that it originated from the digestive tract and had the same homology as cholangiocarcinoma (CK19 +, Villin +). Cholangiocarcinoma can be transferred to the lung and the left supraclavicular lymph nodes through the lymphatic pathway by characteristic jumping lymph node metastases. Diffuse cystic change is a specific CT manifestation of the lymphatic lung metasta</w:instrText>
      </w:r>
      <w:r w:rsidRPr="00097824">
        <w:rPr>
          <w:rFonts w:eastAsia="MS Mincho" w:hint="eastAsia"/>
          <w:shd w:val="clear" w:color="auto" w:fill="FFFFFF"/>
        </w:rPr>
        <w:instrText>sis of cholangiocarcinoma., \ncystic cavity</w:instrText>
      </w:r>
      <w:r w:rsidRPr="00097824">
        <w:rPr>
          <w:rFonts w:eastAsia="MS Mincho" w:hint="eastAsia"/>
          <w:shd w:val="clear" w:color="auto" w:fill="FFFFFF"/>
        </w:rPr>
        <w:instrText>‐</w:instrText>
      </w:r>
      <w:r w:rsidRPr="00097824">
        <w:rPr>
          <w:rFonts w:eastAsia="MS Mincho" w:hint="eastAsia"/>
          <w:shd w:val="clear" w:color="auto" w:fill="FFFFFF"/>
        </w:rPr>
        <w:instrText>characteristic CT signs of translymphatic pulmonary metastasis in cholangiocarcinom.","container-title":"Thoracic Cancer","DOI":"10.1111/1759-7714.13584","ISSN":"1759-7706","issue":"10","journalAbbreviation":"Th</w:instrText>
      </w:r>
      <w:r w:rsidRPr="00097824">
        <w:rPr>
          <w:rFonts w:eastAsia="MS Mincho"/>
          <w:shd w:val="clear" w:color="auto" w:fill="FFFFFF"/>
        </w:rPr>
        <w:instrText xml:space="preserve">orac Cancer","note":"PMID: 32885606\nPMCID: PMC7529578","page":"2998-3000","source":"PubMed Central","title":"Pulmonary metastasis of distal cholangiocarcinoma with multiple cavities in bilateral lungs: A case report","title-short":"Pulmonary metastasis of distal cholangiocarcinoma with multiple cavities in bilateral lungs","volume":"11","author":[{"family":"Zhai","given":"Nailiang"},{"family":"Liu","given":"Jinping"},{"family":"Xu","given":"Pan"},{"family":"Liu","given":"Bo"},{"family":"Fan","given":"Yichu"},{"family":"Lv","given":"Changjun"}],"issued":{"date-parts":[["2020",10]]}},"label":"page"},{"id":167140,"uris":["http://zotero.org/groups/4764298/items/CQAGSUHM"],"itemData":{"id":167140,"type":"article-journal","abstract":"Background\nIntraductal papillary neoplasm of the bile duct (IPNB) is considered a pre-cancerous biliary lesion and/or an early cancer lesion, although its classification remains unclear. The 2019 revised edition of the World Health Organization Classification of Tumors of the Digestive System proposed type 1 and type 2 as new classification categories, and meta-analyses and/or multi-center cohort studies are beginning to be reported. However, treatment for IPNB recurrence and metastasis remains unclear.\n\nCase presentation\nA 60-year-old man who was referred to our hospital after a suspected liver tumor was diagnosed using abdominal ultrasonography. Imaging findings revealed an irregularly shaped tumor in segment 5 (S5) of the liver (size 20 mm). The S5 lesion was suspected as IPNB, and segmentectomy was performed. The pathological findings revealed invasive carcinoma derived from IPNB, and immunohistochemistry revealed positive expression of MUC1, MUC5AC, and MUC6, but negative expression of CDX2 and MUC2. At 9 months after the surgery, computed tomography revealed a tumor in the right bile duct, which was diagnosed as liver recurrence of IPNB, and right hepatectomy was performed. The histopathological findings were the same as for the first resected specimen (i.e., IPNB). At 45 months after the second surgery, computed tomography revealed nodules in both lungs, which were diagnosed as lung metastases from IPNB and resected in two separate procedures. The pathological findings were metastatic carcinoma from IPNB for both lung lesions. The patient is currently alive and undergoing adjuvant chemotherapy (S-1), which was initiated 64 months after the first resection and 12 months after resection of the lung metastases.\n\nConclusion\nWe encountered a rare case of lung metastases from IPNB, which were diagnosed immunohistologically. Because IPNB is generally a slow-growing tumor, resection may be feasible for IPNB recurrence and/or metastasis, which may be detected during long-term follow-up. Thus, even if resection is performed for primary IPNB, additional surgical treatment may be feasible in this setting.","container-title":"World Journal of Surgical Oncology","DOI":"10.1186/s12957-020-02054-9","ISSN":"1477-7819","journalAbbreviation":"World J Surg Oncol","note":"PMID: 33097064\nPMCID: PMC7585296","page":"271","source":"PubMed Central","title":"Lung metastases from intraductal papillary neoplasm of the bile duct: a case report","title-short":"Lung metastases from intraductal papillary neoplasm of the bile duct","volume":"18","author":[{"family":"Fujino","given":"Rika"},{"family":"Masuoka","given":"Yoshihito"},{"family":"Mashiko","given":"Taro"},{"family":"Nakano","given":"Akira"},{"family":"Hirabayashi","given":"Kenichi"},{"family":"Nakagohri","given":"Toshio"}],"issued":{"date-parts":[["2020",10,23]]}},"label":"page"}],"schema":"https://github.com/citation-style-language/schema/raw/master/csl-citation.json"} </w:instrText>
      </w:r>
      <w:r w:rsidR="007F5427" w:rsidRPr="00097824">
        <w:rPr>
          <w:rFonts w:eastAsia="MS Mincho"/>
          <w:shd w:val="clear" w:color="auto" w:fill="FFFFFF"/>
        </w:rPr>
        <w:fldChar w:fldCharType="separate"/>
      </w:r>
      <w:r w:rsidRPr="00097824">
        <w:rPr>
          <w:rFonts w:eastAsia="MS Mincho"/>
        </w:rPr>
        <w:t>[10,32,33]</w:t>
      </w:r>
      <w:r w:rsidR="007F5427" w:rsidRPr="00097824">
        <w:rPr>
          <w:rFonts w:eastAsia="MS Mincho"/>
          <w:shd w:val="clear" w:color="auto" w:fill="FFFFFF"/>
        </w:rPr>
        <w:fldChar w:fldCharType="end"/>
      </w:r>
      <w:r w:rsidRPr="00097824">
        <w:rPr>
          <w:rFonts w:eastAsia="MS Mincho"/>
          <w:shd w:val="clear" w:color="auto" w:fill="FFFFFF"/>
        </w:rPr>
        <w:t>.</w:t>
      </w:r>
    </w:p>
    <w:p w14:paraId="335217EE" w14:textId="7B0F9BD6" w:rsidR="006C5EC5" w:rsidRPr="00097824" w:rsidRDefault="006C5EC5" w:rsidP="0096386D">
      <w:pPr>
        <w:pStyle w:val="32"/>
        <w:spacing w:after="240"/>
        <w:ind w:firstLine="0"/>
        <w:rPr>
          <w:color w:val="auto"/>
        </w:rPr>
      </w:pPr>
      <w:r w:rsidRPr="00097824">
        <w:rPr>
          <w:color w:val="auto"/>
        </w:rPr>
        <w:t xml:space="preserve">Уровень убедительности рекомендаций – </w:t>
      </w:r>
      <w:r w:rsidR="00B0236F" w:rsidRPr="00097824">
        <w:rPr>
          <w:color w:val="auto"/>
        </w:rPr>
        <w:t xml:space="preserve">С </w:t>
      </w:r>
      <w:r w:rsidRPr="00097824">
        <w:rPr>
          <w:color w:val="auto"/>
        </w:rPr>
        <w:t xml:space="preserve">(уровень достоверности доказательств – </w:t>
      </w:r>
      <w:r w:rsidR="00B0236F" w:rsidRPr="00097824">
        <w:rPr>
          <w:color w:val="auto"/>
        </w:rPr>
        <w:t>5</w:t>
      </w:r>
      <w:r w:rsidRPr="00097824">
        <w:rPr>
          <w:color w:val="auto"/>
        </w:rPr>
        <w:t>)</w:t>
      </w:r>
    </w:p>
    <w:p w14:paraId="6F6CE01F" w14:textId="4B780349" w:rsidR="006C5EC5" w:rsidRPr="00097824" w:rsidRDefault="006C5EC5" w:rsidP="00AD4A9F">
      <w:pPr>
        <w:pStyle w:val="1"/>
        <w:spacing w:before="0"/>
        <w:ind w:left="397" w:firstLine="357"/>
        <w:rPr>
          <w:rFonts w:eastAsia="MS Mincho"/>
          <w:shd w:val="clear" w:color="auto" w:fill="FFFFFF"/>
        </w:rPr>
      </w:pPr>
      <w:r w:rsidRPr="00097824">
        <w:rPr>
          <w:rFonts w:eastAsia="MS Mincho"/>
          <w:shd w:val="clear" w:color="auto" w:fill="FFFFFF"/>
        </w:rPr>
        <w:lastRenderedPageBreak/>
        <w:t xml:space="preserve">При планировании хирургического лечения </w:t>
      </w:r>
      <w:r w:rsidR="004B53A6" w:rsidRPr="00097824">
        <w:rPr>
          <w:rFonts w:eastAsia="MS Mincho"/>
          <w:shd w:val="clear" w:color="auto" w:fill="FFFFFF"/>
        </w:rPr>
        <w:t xml:space="preserve">у взрослых </w:t>
      </w:r>
      <w:r w:rsidRPr="00097824">
        <w:rPr>
          <w:rFonts w:eastAsia="MS Mincho"/>
          <w:shd w:val="clear" w:color="auto" w:fill="FFFFFF"/>
        </w:rPr>
        <w:t>рекомендовано выполнить позитронную эмиссионную томографию</w:t>
      </w:r>
      <w:r w:rsidR="00AE1134" w:rsidRPr="00097824">
        <w:rPr>
          <w:rFonts w:eastAsia="MS Mincho"/>
          <w:shd w:val="clear" w:color="auto" w:fill="FFFFFF"/>
        </w:rPr>
        <w:t xml:space="preserve">, совмещенная с компьютерной томографией с </w:t>
      </w:r>
      <w:proofErr w:type="spellStart"/>
      <w:r w:rsidR="00AE1134" w:rsidRPr="00097824">
        <w:rPr>
          <w:rFonts w:eastAsia="MS Mincho"/>
          <w:shd w:val="clear" w:color="auto" w:fill="FFFFFF"/>
        </w:rPr>
        <w:t>туморотропными</w:t>
      </w:r>
      <w:proofErr w:type="spellEnd"/>
      <w:r w:rsidR="00AE1134" w:rsidRPr="00097824">
        <w:rPr>
          <w:rFonts w:eastAsia="MS Mincho"/>
          <w:shd w:val="clear" w:color="auto" w:fill="FFFFFF"/>
        </w:rPr>
        <w:t xml:space="preserve"> РФП</w:t>
      </w:r>
      <w:r w:rsidRPr="00097824">
        <w:rPr>
          <w:rFonts w:eastAsia="MS Mincho"/>
          <w:shd w:val="clear" w:color="auto" w:fill="FFFFFF"/>
        </w:rPr>
        <w:t xml:space="preserve"> (ПЭТ-КТ) с целью исключения отдаленных метастазов в случае наличия подозрения на их наличие по данным комплексного обследования</w:t>
      </w:r>
      <w:r w:rsidR="00FE1DF4" w:rsidRPr="00097824">
        <w:rPr>
          <w:rFonts w:eastAsia="MS Mincho"/>
          <w:shd w:val="clear" w:color="auto" w:fill="FFFFFF"/>
        </w:rPr>
        <w:t xml:space="preserve"> </w:t>
      </w:r>
      <w:r w:rsidR="007F5427" w:rsidRPr="00097824">
        <w:rPr>
          <w:rFonts w:eastAsia="MS Mincho"/>
          <w:shd w:val="clear" w:color="auto" w:fill="FFFFFF"/>
        </w:rPr>
        <w:fldChar w:fldCharType="begin"/>
      </w:r>
      <w:r w:rsidRPr="00097824">
        <w:rPr>
          <w:rFonts w:eastAsia="MS Mincho"/>
          <w:shd w:val="clear" w:color="auto" w:fill="FFFFFF"/>
        </w:rPr>
        <w:instrText xml:space="preserve"> ADDIN ZOTERO_ITEM CSL_CITATION {"citationID":"J9pkYzDv","properties":{"formattedCitation":"[36,37]","plainCitation":"[36,37]","noteIndex":0},"citationItems":[{"id":166641,"uris":["http://zotero.org/groups/4764298/items/64UPNNQW"],"itemData":{"id":166641,"type":"article-journal","abstract":"BACKGROUND &amp; AIMS: The role of 18F-fluorodeoxyglucose positron emission tomography (18FDG-PET) in the diagnosis and staging of patients with biliary tract cancers (BTCs) remains controversial, so we aimed to provide robust information on the utility of 18FDG-PET in the diagnosis and management of BTC.\nMETHODS: This systematic review and meta-analysis explored the diagnostic test accuracy of 18FDG-PET as a diagnostic tool for diagnosis of primary tumour, lymph node invasion, distant metastases and relapsed disease. Subgroup analysis by study quality and BTC subtype were performed. Changes in management based on 18FDG-PET and impact of maximum standardised uptake values (SUVmax) on prognosis were also assessed. A random effects model was used for meta-analyses.\nRESULTS: A total of 2,125 patients were included from 47 eligible studies. The sensitivity (Se) and specificity (Sp) of 18FDG-PET for the diagnosis of primary tumour were 91.7% (95% CI 89.8-93.2) and 51.3% (95% CI 46.4-56.2), respectively, with an area under the curve (AUC) of 0.8668. For lymph node invasion, Se was 88.4% (95% CI82.6-92.8) and Sp was 69.1% (95% CI 63.8-74.1); AUC 0.8519. For distant metastases, Se was 85.4% (95% CI 79.5-90.2) and Sp was 89.7% (95% CI86.0-92.7); AUC 0.9253. For relapse, Se was 90.1% (95% CI 84.4-94.3) and Sp was 83.5% (95% CI 74.4-90.4); AUC 0.9592. No diagnostic threshold effect was identified. Meta-regression did not identify significant sources of heterogeneity. Sensitivity analysis revealed no change in results when analyses were limited to studies with low risk of bias/concern. The pooled proportion of change in management was 15% (95% CI 11-20); the majority (78%) due to disease upstaging. Baseline high SUVmax was associated with worse survival (pooled hazard ratio of 1.79; 95% CI 1.37-2.33; p &lt;0.001).\nCONCLUSIONS: There is evidence to support the incorporation of 18FDG-PET into the current standard of care for the staging (lymph node and distant metastases) and identification of relapse in patients with BTC to guide treatment selection; especially if the identification of occult sites of disease would change management, or if diagnosis of relapse remains unclear following standard of care imaging. The role for diagnosis of the primary tumour remains controversial due to low sensitivity and 18FDG-PET should not be considered as a replacement for pathological confirmation in this setting.\nLAY SUMMARY: A positron emission tomography (PET scan), using 18F-fluorodeoxyglucose (18FDG), can help doctors identify areas of cancer in the body by highlighting \"hot spots\". These hotspots may be cancerous (true positive) but may also be non-cancerous, like inflammation (false positive). We show that PET scans are useful to assess how far advanced the cancer is (by assessing spread to lymph glands and to other organs) and also to identify if the cancer has recurred (for example after surgery), thus helping doctors to make treatment decisions. However, a biopsy is still needed for the initial diagnosis of a biliary tract cancer, because of the high chance of a \"false positive\" with PET scans.","container-title":"Journal of Hepatology","DOI":"10.1016/j.jhep.2019.01.038","ISSN":"1600-0641","issue":"1","journalAbbreviation":"J Hepatol","language":"eng","note":"PMID: 30797051","page":"115-129","source":"PubMed","title":"18F-fluorodeoxyglucose positron emission tomography (18FDG-PET) for patients with biliary tract cancer: Systematic review and meta-analysis","title-short":"18F-fluorodeoxyglucose positron emission tomography (18FDG-PET) for patients with biliary tract cancer","volume":"71","author":[{"family":"Lamarca","given":"Angela"},{"family":"Barriuso","given":"Jorge"},{"family":"Chander","given":"Amarjot"},{"family":"McNamara","given":"Mairéad G."},{"family":"Hubner","given":"Richard A."},{"family":"ÓReilly","given":"Derek"},{"family":"Manoharan","given":"Prakash"},{"family":"Valle","given":"Juan W."}],"issued":{"date-parts":[["2019",7]]}},"label":"page"},{"id":167083,"uris":["http://zotero.org/groups/4764298/items/CMGKFNM9"],"itemData":{"id":167083,"type":"article-journal","container-title":"Journal of hepatology","issue":"1","note":"publisher: Elsevier","page":"43–50","source":"Google Scholar","title":"Impact of integrated positron emission tomography and computed tomography on staging and management of gallbladder cancer and cholangiocarcinoma","volume":"45","author":[{"family":"Petrowsky","given":"Henrik"},{"family":"Wildbrett","given":"Peer"},{"family":"Husarik","given":"Daniela B."},{"family":"Hany","given":"Thomas F."},{"family":"Tam","given":"Simona"},{"family":"Jochum","given":"Wolfram"},{"family":"Clavien","given":"Pierre-Alain"}],"issued":{"date-parts":[["2006"]]}},"label":"page"}],"schema":"https://github.com/citation-style-language/schema/raw/master/csl-citation.json"} </w:instrText>
      </w:r>
      <w:r w:rsidR="007F5427" w:rsidRPr="00097824">
        <w:rPr>
          <w:rFonts w:eastAsia="MS Mincho"/>
          <w:shd w:val="clear" w:color="auto" w:fill="FFFFFF"/>
        </w:rPr>
        <w:fldChar w:fldCharType="separate"/>
      </w:r>
      <w:r w:rsidRPr="00097824">
        <w:rPr>
          <w:rFonts w:eastAsia="MS Mincho"/>
        </w:rPr>
        <w:t>[36,37]</w:t>
      </w:r>
      <w:r w:rsidR="007F5427" w:rsidRPr="00097824">
        <w:rPr>
          <w:rFonts w:eastAsia="MS Mincho"/>
          <w:shd w:val="clear" w:color="auto" w:fill="FFFFFF"/>
        </w:rPr>
        <w:fldChar w:fldCharType="end"/>
      </w:r>
      <w:r w:rsidRPr="00097824">
        <w:rPr>
          <w:rFonts w:eastAsia="MS Mincho"/>
          <w:shd w:val="clear" w:color="auto" w:fill="FFFFFF"/>
        </w:rPr>
        <w:t>.</w:t>
      </w:r>
    </w:p>
    <w:p w14:paraId="3EDEFD39" w14:textId="796FFE9B" w:rsidR="006C5EC5" w:rsidRPr="00097824" w:rsidRDefault="006C5EC5" w:rsidP="0096386D">
      <w:pPr>
        <w:pStyle w:val="32"/>
        <w:ind w:firstLine="0"/>
        <w:rPr>
          <w:color w:val="auto"/>
        </w:rPr>
      </w:pPr>
      <w:r w:rsidRPr="00097824">
        <w:rPr>
          <w:color w:val="auto"/>
        </w:rPr>
        <w:t xml:space="preserve">Уровень убедительности рекомендаций – </w:t>
      </w:r>
      <w:r w:rsidR="00004BE0" w:rsidRPr="00097824">
        <w:rPr>
          <w:color w:val="auto"/>
        </w:rPr>
        <w:t>А</w:t>
      </w:r>
      <w:r w:rsidRPr="00097824">
        <w:rPr>
          <w:color w:val="auto"/>
        </w:rPr>
        <w:t xml:space="preserve"> (уровень достоверности доказательств – </w:t>
      </w:r>
      <w:r w:rsidR="00004BE0" w:rsidRPr="00097824">
        <w:rPr>
          <w:color w:val="auto"/>
        </w:rPr>
        <w:t>1</w:t>
      </w:r>
      <w:r w:rsidRPr="00097824">
        <w:rPr>
          <w:color w:val="auto"/>
        </w:rPr>
        <w:t>)</w:t>
      </w:r>
    </w:p>
    <w:p w14:paraId="0BA54635" w14:textId="790AB614" w:rsidR="006C5EC5" w:rsidRPr="00097824" w:rsidRDefault="006C5EC5" w:rsidP="00AD4A9F">
      <w:pPr>
        <w:pStyle w:val="1"/>
        <w:spacing w:before="0"/>
        <w:ind w:left="397" w:firstLine="357"/>
        <w:rPr>
          <w:lang w:eastAsia="ru-RU"/>
        </w:rPr>
      </w:pPr>
      <w:r w:rsidRPr="00097824">
        <w:rPr>
          <w:lang w:eastAsia="ru-RU"/>
        </w:rPr>
        <w:t xml:space="preserve">При планировании хирургического лечения </w:t>
      </w:r>
      <w:r w:rsidR="004B53A6" w:rsidRPr="00097824">
        <w:rPr>
          <w:lang w:eastAsia="ru-RU"/>
        </w:rPr>
        <w:t xml:space="preserve">у взрослых </w:t>
      </w:r>
      <w:r w:rsidRPr="00097824">
        <w:rPr>
          <w:lang w:eastAsia="ru-RU"/>
        </w:rPr>
        <w:t xml:space="preserve">рекомендуется выполнить лапароскопию </w:t>
      </w:r>
      <w:r w:rsidR="004B53A6" w:rsidRPr="00097824">
        <w:rPr>
          <w:lang w:eastAsia="ru-RU"/>
        </w:rPr>
        <w:t xml:space="preserve">диагностическую </w:t>
      </w:r>
      <w:r w:rsidRPr="00097824">
        <w:rPr>
          <w:lang w:eastAsia="ru-RU"/>
        </w:rPr>
        <w:t xml:space="preserve">для исключения отдаленных метастазов </w:t>
      </w:r>
      <w:r w:rsidRPr="00097824">
        <w:rPr>
          <w:rFonts w:eastAsia="MS Mincho"/>
          <w:shd w:val="clear" w:color="auto" w:fill="FFFFFF"/>
        </w:rPr>
        <w:t>в случае подозрения на их наличие по данным комплексного обследования</w:t>
      </w:r>
      <w:r w:rsidR="007F5427" w:rsidRPr="00097824">
        <w:rPr>
          <w:lang w:eastAsia="ru-RU"/>
        </w:rPr>
        <w:fldChar w:fldCharType="begin"/>
      </w:r>
      <w:r w:rsidRPr="00097824">
        <w:rPr>
          <w:lang w:eastAsia="ru-RU"/>
        </w:rPr>
        <w:instrText xml:space="preserve"> ADDIN ZOTERO_ITEM CSL_CITATION {"citationID":"tKWAnj51","properties":{"formattedCitation":"[2,3,38]","plainCitation":"[2,3,38]","noteIndex":0},"citationItems":[{"id":167068,"uris":["http://zotero.org/groups/4764298/items/LLTLVBZN"],"itemData":{"id":167068,"type":"article-journal","abstract":"Gallbladder cancer is an uncommon cancer that has traditionally been associated with a poor prognosis. In the era of laparoscopic cholecystectomy, incidental gallbladder cancer has dramatically increased and now constitutes the major way patients present with gallbladder cancer. While patients with incidental gallbladder cancer have a better survival than patients with nonincidental gallbladder cancer, incidental gallbladder cancer can be associated with a varied prognosis. Imaging with computed tomography (CT), magnetic resonance imaging (MRI), and [18]F-fluorodeoxyglucose (FDG) positron emission tomography (PET), as well as diagnostic laparoscopy, all have varying roles in the workup of patients with incidental gallbladder cancer. For patients with T1b, T2, and T3 incidental gallbladder cancer re-resection is generally recommended. At re-exploration, many patients with incidental gallbladder cancer will have residual disease. Definitive oncologic management requires re-resection of the liver, portal lymphadenectomy, and attention to the common bile duct. The extent of the hepatic resection should be dictated by the ability to achieve a microscopically negative (R0) margin. Routine resection of the common bile duct is unnecessary but should be undertaken in the setting of a positive cystic duct margin. If an incidental gallbladder cancer is discovered at the time of surgery, whether the surgeon should directly proceed with a more definitive oncologic operation should depend on the surgeon’s skill-set and experience. Gallbladder cancer has a propensity to recur. Although data for adjuvant therapy following resection are limited, some data do suggest a survival benefit for adjuvant chemoradiation therapy. Management of patients with gallbladder cancer requires a multidisciplinary approach with input from a surgeon skilled in hepatobiliary surgery.","container-title":"Annals of Surgical Oncology","DOI":"10.1245/s10434-009-0538-x","ISSN":"1534-4681","issue":"8","journalAbbreviation":"Ann Surg Oncol","language":"en","page":"2101-2115","source":"Springer Link","title":"Evolving Treatment Strategies for Gallbladder Cancer","volume":"16","author":[{"family":"Hueman","given":"Matthew T."},{"family":"Vollmer","given":"Charles M."},{"family":"Pawlik","given":"Timothy M."}],"issued":{"date-parts":[["2009",8,1]]}},"label":"page"},{"id":167069,"uris":["http://zotero.org/groups/4764298/items/AG7F2FV7"],"itemData":{"id":167069,"type":"article-journal","abstract":"Gallbladder cancer, though generally considered rare, is the most common malignancy of the biliary tract, accounting for 80%–95% of biliary tract cancers. An early diagnosis is essential as this malignancy progresses silently with a late diagnosis, often proving fatal. Its carcinogenesis follows a progression through a metaplasia–dysplasia–carcinoma sequence. This comprehensive review focuses on and explores the risks, management, and outcomes for primary gallbladder carcinoma. Epidemiological studies have identified striking geographic and ethnic disparities – inordinately high occurrence in American Indians, elevated in Southeast Asia, yet quite low elsewhere in the Americas and the world. Age, female sex, congenital biliary tract anomalies, and a genetic predisposition represent important risk factors that are immutable. Environmental triggers play a critical role in eliciting cancer developing in the gallbladder, best exemplified by cholelithiasis and chronic inflammation from biliary tract and parasitic infections. Mortality rates closely follow incidence; those countries with the highest prevalence of gallstones experience the greatest mortality from gallbladder cancer. Vague symptoms often delay the diagnosis of gallbladder cancer, contributing to its overall progression and poor outcome. Surgery represents the only potential for cure. Some individuals are fortunate to be incidentally found to have gallbladder cancer at the time of cholecystectomy being performed for cholelithiasis. Such an early diagnosis is imperative as a late presentation connotes advanced staging, nodal involvement, and possible recurrence following attempted resection. Overall mean survival is a mere 6 months, while 5-year survival rate is only 5%. The dismal prognosis, in part, relates to the gallbladder lacking a serosal layer adjacent to the liver, enabling hepatic invasion and metastatic progression. Improved imaging modalities are helping to diagnose patients at an earlier stage. The last decade has witnessed improved outcomes as aggressive surgical management and preoperative adjuvant therapy has helped prolong survival in patients with gallbladder cancer. In the future, the development of potential diagnostic markers for disease will yield screening opportunities for those at risk either with ethnic susceptibility or known anatomic anomalies of the biliary tract. Meanwhile, clarification of the value of prophylactic cholecystectomy should provide an opportunity for secondary prevention. Primary prevention will arrive once the predictive biomarkers and environmental risk factors are more clearly identified.","container-title":"Clinical Epidemiology","DOI":"10.2147/CLEP.S37357","ISSN":"1179-1349","journalAbbreviation":"Clin Epidemiol","note":"PMID: 24634588\nPMCID: PMC3952897","page":"99-109","source":"PubMed Central","title":"Gallbladder cancer: epidemiology and outcome","title-short":"Gallbladder cancer","volume":"6","author":[{"family":"Hundal","given":"Rajveer"},{"family":"Shaffer","given":"Eldon A"}],"issued":{"date-parts":[["2014",3,7]]}},"label":"page"},{"id":166639,"uris":["http://zotero.org/groups/4764298/items/5CQKNTF8"],"itemData":{"id":166639,"type":"article-journal","abstract":"Background\nDespite extensive preoperative staging, still almost half of patients with potentially resectable perihilar cholangiocarcinoma (PHC) have locally advanced or metastasized disease upon exploratory laparotomy. The value of routine staging laparoscopy (SL) in these patients remains unclear with varying results reported in the literature. The aim of the present systematic review was to provide an overview of studies on SL in PHC and to define its current role in preoperative staging.\n\nMethods\nA systematic review and meta-analysis were performed in PubMed and EMBASE regarding studies providing data on the diagnostic accuracy of SL in PHC. Primary outcome measures were the overall yield and sensitivity to detect unresectable disease. Secondary outcomes were the yield and sensitivity for recent studies (after 2010) and large study cohorts (≥100 patients) and specific (metastatic) lesions. Methodological quality of studies was assessed with the Quality Assessment of Diagnostic Accuracy Studies tool.\n\nResults\nFrom 173 records, 12 studies including 832 patients met the inclusion criteria. The yield of SL in PHC varied from 6.4 to 45.0 % with a pooled yield of 24.4 % [95 % confidence interval (CI) 16.4–33.4]. Sensitivity to detect unresectable disease ranged from 31.6 to 75 % with a pooled sensitivity of 52.2 % (95 % CI 47.1–57.2). Sensitivity was highest for peritoneal metastases (80.7 %, 95 % CI 70.9–88.3). Subgroup analysis revealed that the yield and sensitivity tended to be lower for studies after 2010. Considerable heterogeneity was detected among the studies.\n\nConclusions\nThe results of the pooled analyses suggest that one in four patients with potentially resectable PHC benefits from SL. Given considerable heterogeneity, a trend to lower yield in more recent studies and further improvement of preoperative imaging over time, the routine use of SL seems discouraging. Studies that identify predictors of unresectability, that enable selection of patients who will benefit the most from this procedure, are needed.\n\nElectronic supplementary material\nThe online version of this article (doi:10.1007/s00464-016-4788-y) contains supplementary material, which is available to authorized users.","container-title":"Surgical Endoscopy","DOI":"10.1007/s00464-016-4788-y","ISSN":"0930-2794","issue":"10","journalAbbreviation":"Surg Endosc","note":"PMID: 26895909\nPMCID: PMC5009158","page":"4163-4173","source":"PubMed Central","title":"Diagnostic accuracy of staging laparoscopy for detecting metastasized or locally advanced perihilar cholangiocarcinoma: a systematic review and meta-analysis","title-short":"Diagnostic accuracy of staging laparoscopy for detecting metastasized or locally advanced perihilar cholangiocarcinoma","volume":"30","author":[{"family":"Coelen","given":"Robert J. S."},{"family":"Ruys","given":"Anthony T."},{"family":"Besselink","given":"Marc G. H."},{"family":"Busch","given":"Olivier R. C."},{"family":"Gulik","given":"Thomas M.","non-dropping-particle":"van"}],"issued":{"date-parts":[["2016"]]}},"label":"page"}],"schema":"https://github.com/citation-style-language/schema/raw/master/csl-citation.json"} </w:instrText>
      </w:r>
      <w:r w:rsidR="007F5427" w:rsidRPr="00097824">
        <w:rPr>
          <w:lang w:eastAsia="ru-RU"/>
        </w:rPr>
        <w:fldChar w:fldCharType="separate"/>
      </w:r>
      <w:r w:rsidRPr="00097824">
        <w:t>[2,3,38]</w:t>
      </w:r>
      <w:r w:rsidR="007F5427" w:rsidRPr="00097824">
        <w:rPr>
          <w:lang w:eastAsia="ru-RU"/>
        </w:rPr>
        <w:fldChar w:fldCharType="end"/>
      </w:r>
      <w:r w:rsidRPr="00097824">
        <w:rPr>
          <w:lang w:eastAsia="ru-RU"/>
        </w:rPr>
        <w:t>.</w:t>
      </w:r>
    </w:p>
    <w:p w14:paraId="5E831234" w14:textId="6A5798E7" w:rsidR="006C5EC5" w:rsidRPr="00097824" w:rsidRDefault="006C5EC5" w:rsidP="0096386D">
      <w:pPr>
        <w:pStyle w:val="32"/>
        <w:ind w:firstLine="0"/>
        <w:rPr>
          <w:color w:val="auto"/>
        </w:rPr>
      </w:pPr>
      <w:r w:rsidRPr="00097824">
        <w:rPr>
          <w:color w:val="auto"/>
        </w:rPr>
        <w:t xml:space="preserve">Уровень убедительности рекомендаций – </w:t>
      </w:r>
      <w:r w:rsidR="00992B08" w:rsidRPr="00097824">
        <w:rPr>
          <w:color w:val="auto"/>
        </w:rPr>
        <w:t>А</w:t>
      </w:r>
      <w:r w:rsidRPr="00097824">
        <w:rPr>
          <w:color w:val="auto"/>
        </w:rPr>
        <w:t xml:space="preserve"> (уровень достоверности доказательств</w:t>
      </w:r>
      <w:r w:rsidR="006E31AA" w:rsidRPr="00097824">
        <w:rPr>
          <w:color w:val="auto"/>
        </w:rPr>
        <w:t xml:space="preserve"> - </w:t>
      </w:r>
      <w:r w:rsidR="00992B08" w:rsidRPr="00097824">
        <w:rPr>
          <w:color w:val="auto"/>
        </w:rPr>
        <w:t>1</w:t>
      </w:r>
      <w:r w:rsidRPr="00097824">
        <w:rPr>
          <w:color w:val="auto"/>
        </w:rPr>
        <w:t>).</w:t>
      </w:r>
    </w:p>
    <w:p w14:paraId="655E4282" w14:textId="50A4CEDB" w:rsidR="00D630AE" w:rsidRPr="00097824" w:rsidRDefault="007F5427" w:rsidP="00CC2BE1">
      <w:pPr>
        <w:pStyle w:val="32"/>
        <w:numPr>
          <w:ilvl w:val="0"/>
          <w:numId w:val="32"/>
        </w:numPr>
        <w:ind w:left="397" w:firstLine="357"/>
        <w:rPr>
          <w:b w:val="0"/>
          <w:color w:val="auto"/>
        </w:rPr>
      </w:pPr>
      <w:r w:rsidRPr="00097824">
        <w:rPr>
          <w:b w:val="0"/>
        </w:rPr>
        <w:t xml:space="preserve">Пациентам с </w:t>
      </w:r>
      <w:r w:rsidR="004E61A0" w:rsidRPr="00097824">
        <w:rPr>
          <w:b w:val="0"/>
        </w:rPr>
        <w:t xml:space="preserve">раком дистального отдела внепеченочных желчных протоков </w:t>
      </w:r>
      <w:r w:rsidRPr="00097824">
        <w:rPr>
          <w:b w:val="0"/>
        </w:rPr>
        <w:t>рекомендуется</w:t>
      </w:r>
      <w:r w:rsidR="004E61A0" w:rsidRPr="00097824">
        <w:rPr>
          <w:b w:val="0"/>
        </w:rPr>
        <w:t xml:space="preserve"> </w:t>
      </w:r>
      <w:r w:rsidRPr="00097824">
        <w:rPr>
          <w:b w:val="0"/>
        </w:rPr>
        <w:t xml:space="preserve">выполнить </w:t>
      </w:r>
      <w:proofErr w:type="spellStart"/>
      <w:r w:rsidRPr="00097824">
        <w:rPr>
          <w:b w:val="0"/>
        </w:rPr>
        <w:t>эндосонографию</w:t>
      </w:r>
      <w:proofErr w:type="spellEnd"/>
      <w:r w:rsidR="004E61A0" w:rsidRPr="00097824">
        <w:rPr>
          <w:b w:val="0"/>
        </w:rPr>
        <w:t xml:space="preserve"> </w:t>
      </w:r>
      <w:proofErr w:type="spellStart"/>
      <w:r w:rsidRPr="00097824">
        <w:rPr>
          <w:b w:val="0"/>
        </w:rPr>
        <w:t>панкреатобилиарной</w:t>
      </w:r>
      <w:proofErr w:type="spellEnd"/>
      <w:r w:rsidRPr="00097824">
        <w:rPr>
          <w:b w:val="0"/>
        </w:rPr>
        <w:t xml:space="preserve"> зоны</w:t>
      </w:r>
      <w:r w:rsidR="004E61A0" w:rsidRPr="00097824">
        <w:rPr>
          <w:b w:val="0"/>
        </w:rPr>
        <w:t xml:space="preserve"> для </w:t>
      </w:r>
      <w:r w:rsidRPr="00097824">
        <w:rPr>
          <w:b w:val="0"/>
        </w:rPr>
        <w:t>дополнительной оценки местной распространенности опухоли</w:t>
      </w:r>
      <w:r w:rsidR="004E61A0" w:rsidRPr="00097824">
        <w:rPr>
          <w:b w:val="0"/>
        </w:rPr>
        <w:t xml:space="preserve"> и дифференциальной диагностики с опухолевым поражением головки поджелудочной </w:t>
      </w:r>
      <w:proofErr w:type="gramStart"/>
      <w:r w:rsidR="004E61A0" w:rsidRPr="00097824">
        <w:rPr>
          <w:b w:val="0"/>
        </w:rPr>
        <w:t>железы.</w:t>
      </w:r>
      <w:r w:rsidR="00B62BA4" w:rsidRPr="00097824">
        <w:rPr>
          <w:b w:val="0"/>
        </w:rPr>
        <w:t>[</w:t>
      </w:r>
      <w:proofErr w:type="gramEnd"/>
      <w:r w:rsidR="00B62BA4" w:rsidRPr="00097824">
        <w:rPr>
          <w:b w:val="0"/>
        </w:rPr>
        <w:t>195</w:t>
      </w:r>
      <w:r w:rsidR="00AA52DF" w:rsidRPr="00097824">
        <w:rPr>
          <w:b w:val="0"/>
        </w:rPr>
        <w:t>, 198</w:t>
      </w:r>
      <w:r w:rsidR="00B62BA4" w:rsidRPr="00097824">
        <w:rPr>
          <w:b w:val="0"/>
        </w:rPr>
        <w:t>]</w:t>
      </w:r>
    </w:p>
    <w:p w14:paraId="74C7AA76" w14:textId="13E567C5" w:rsidR="00E36137" w:rsidRPr="00097824" w:rsidRDefault="00E36137" w:rsidP="00B62BA4">
      <w:pPr>
        <w:pStyle w:val="32"/>
        <w:ind w:firstLine="0"/>
        <w:rPr>
          <w:b w:val="0"/>
          <w:color w:val="auto"/>
        </w:rPr>
      </w:pPr>
      <w:r w:rsidRPr="00097824">
        <w:rPr>
          <w:b w:val="0"/>
          <w:color w:val="auto"/>
        </w:rPr>
        <w:t>Уровень убедительности рекомендаций – С (уровень достоверности доказательств - 5).</w:t>
      </w:r>
    </w:p>
    <w:p w14:paraId="6C2A6B76" w14:textId="77777777" w:rsidR="00076E67" w:rsidRPr="00097824" w:rsidRDefault="00076E67" w:rsidP="00AD4A9F">
      <w:pPr>
        <w:ind w:left="397" w:firstLine="357"/>
        <w:contextualSpacing/>
        <w:rPr>
          <w:rFonts w:eastAsia="MS Mincho"/>
          <w:b/>
          <w:bCs/>
          <w:szCs w:val="24"/>
          <w:shd w:val="clear" w:color="auto" w:fill="FFFFFF"/>
        </w:rPr>
      </w:pPr>
      <w:r w:rsidRPr="00097824">
        <w:rPr>
          <w:rFonts w:eastAsia="MS Mincho"/>
          <w:b/>
          <w:bCs/>
          <w:szCs w:val="24"/>
          <w:shd w:val="clear" w:color="auto" w:fill="FFFFFF"/>
        </w:rPr>
        <w:t>2.3. Рак желчного пузыря</w:t>
      </w:r>
    </w:p>
    <w:p w14:paraId="32697FD6" w14:textId="77777777" w:rsidR="00D630AE" w:rsidRPr="00097824" w:rsidRDefault="00076E67" w:rsidP="00CC2BE1">
      <w:pPr>
        <w:pStyle w:val="2"/>
        <w:numPr>
          <w:ilvl w:val="2"/>
          <w:numId w:val="34"/>
        </w:numPr>
        <w:spacing w:before="0"/>
        <w:ind w:left="397" w:firstLine="357"/>
      </w:pPr>
      <w:r w:rsidRPr="00097824">
        <w:t>Жалобы и анамнез</w:t>
      </w:r>
    </w:p>
    <w:p w14:paraId="1459F2DC" w14:textId="77777777" w:rsidR="00076E67" w:rsidRPr="00097824" w:rsidRDefault="00076E67" w:rsidP="00AD4A9F">
      <w:pPr>
        <w:pStyle w:val="1"/>
        <w:spacing w:before="0"/>
        <w:ind w:left="397" w:firstLine="357"/>
        <w:rPr>
          <w:rFonts w:eastAsia="MS Mincho"/>
          <w:b/>
          <w:szCs w:val="24"/>
          <w:shd w:val="clear" w:color="auto" w:fill="FFFFFF"/>
        </w:rPr>
      </w:pPr>
      <w:r w:rsidRPr="00097824">
        <w:rPr>
          <w:rStyle w:val="110"/>
          <w:rFonts w:eastAsia="MS Mincho"/>
        </w:rPr>
        <w:t>См. раздел 2.1.1.</w:t>
      </w:r>
    </w:p>
    <w:p w14:paraId="59C6ABA6" w14:textId="77777777" w:rsidR="00D630AE" w:rsidRPr="00097824" w:rsidRDefault="00076E67" w:rsidP="00CC2BE1">
      <w:pPr>
        <w:pStyle w:val="2"/>
        <w:numPr>
          <w:ilvl w:val="2"/>
          <w:numId w:val="33"/>
        </w:numPr>
        <w:spacing w:before="0"/>
        <w:ind w:left="397" w:firstLine="357"/>
      </w:pPr>
      <w:proofErr w:type="spellStart"/>
      <w:r w:rsidRPr="00097824">
        <w:t>Физикальное</w:t>
      </w:r>
      <w:proofErr w:type="spellEnd"/>
      <w:r w:rsidRPr="00097824">
        <w:t xml:space="preserve"> обследование</w:t>
      </w:r>
    </w:p>
    <w:p w14:paraId="35B3F551" w14:textId="77777777" w:rsidR="00076E67" w:rsidRPr="00097824" w:rsidRDefault="00076E67" w:rsidP="00AD4A9F">
      <w:pPr>
        <w:pStyle w:val="1"/>
        <w:spacing w:before="0"/>
        <w:ind w:left="397" w:firstLine="357"/>
      </w:pPr>
      <w:r w:rsidRPr="00097824">
        <w:rPr>
          <w:rFonts w:eastAsia="MS Mincho"/>
          <w:shd w:val="clear" w:color="auto" w:fill="FFFFFF"/>
        </w:rPr>
        <w:t>См. раздел 2.1.2.</w:t>
      </w:r>
    </w:p>
    <w:p w14:paraId="53D7017C" w14:textId="77777777" w:rsidR="00D630AE" w:rsidRPr="00097824" w:rsidRDefault="00076E67" w:rsidP="00CC2BE1">
      <w:pPr>
        <w:pStyle w:val="2"/>
        <w:numPr>
          <w:ilvl w:val="2"/>
          <w:numId w:val="33"/>
        </w:numPr>
        <w:spacing w:before="0"/>
        <w:ind w:left="397" w:firstLine="357"/>
      </w:pPr>
      <w:r w:rsidRPr="00097824">
        <w:t>Лабораторные диагностические исследования</w:t>
      </w:r>
    </w:p>
    <w:p w14:paraId="7A60E2D0" w14:textId="77777777" w:rsidR="00076E67" w:rsidRPr="00097824" w:rsidRDefault="00076E67" w:rsidP="00CC2BE1">
      <w:pPr>
        <w:pStyle w:val="1"/>
        <w:numPr>
          <w:ilvl w:val="0"/>
          <w:numId w:val="31"/>
        </w:numPr>
        <w:spacing w:before="0"/>
        <w:ind w:left="397" w:firstLine="357"/>
      </w:pPr>
      <w:r w:rsidRPr="00097824">
        <w:rPr>
          <w:rFonts w:eastAsia="MS Mincho"/>
          <w:shd w:val="clear" w:color="auto" w:fill="FFFFFF"/>
        </w:rPr>
        <w:t>См. раздел 2.1.3.</w:t>
      </w:r>
    </w:p>
    <w:p w14:paraId="71EA2D8F" w14:textId="77777777" w:rsidR="00076E67" w:rsidRPr="00097824" w:rsidRDefault="00076E67" w:rsidP="00AD4A9F">
      <w:pPr>
        <w:pStyle w:val="1"/>
        <w:numPr>
          <w:ilvl w:val="0"/>
          <w:numId w:val="0"/>
        </w:numPr>
        <w:spacing w:before="0"/>
        <w:ind w:left="397" w:firstLine="357"/>
        <w:rPr>
          <w:rFonts w:eastAsia="MS Mincho"/>
          <w:shd w:val="clear" w:color="auto" w:fill="FFFFFF"/>
        </w:rPr>
      </w:pPr>
      <w:r w:rsidRPr="00097824">
        <w:rPr>
          <w:rFonts w:eastAsia="MS Mincho"/>
          <w:b/>
          <w:shd w:val="clear" w:color="auto" w:fill="FFFFFF"/>
        </w:rPr>
        <w:t>Комментарий</w:t>
      </w:r>
      <w:r w:rsidRPr="00097824">
        <w:rPr>
          <w:rFonts w:eastAsia="MS Mincho"/>
          <w:shd w:val="clear" w:color="auto" w:fill="FFFFFF"/>
        </w:rPr>
        <w:t xml:space="preserve">: определение уровня АФП при наличии подозрения у больного на </w:t>
      </w:r>
      <w:r w:rsidR="00111A1C" w:rsidRPr="00097824">
        <w:rPr>
          <w:rFonts w:eastAsia="MS Mincho"/>
          <w:shd w:val="clear" w:color="auto" w:fill="FFFFFF"/>
        </w:rPr>
        <w:t xml:space="preserve">рак желчного пузыря </w:t>
      </w:r>
      <w:r w:rsidRPr="00097824">
        <w:rPr>
          <w:rFonts w:eastAsia="MS Mincho"/>
          <w:shd w:val="clear" w:color="auto" w:fill="FFFFFF"/>
        </w:rPr>
        <w:t xml:space="preserve">не обязательно. </w:t>
      </w:r>
    </w:p>
    <w:p w14:paraId="3FE2CBA6" w14:textId="77777777" w:rsidR="00D630AE" w:rsidRPr="00097824" w:rsidRDefault="00076E67" w:rsidP="00CC2BE1">
      <w:pPr>
        <w:pStyle w:val="2"/>
        <w:numPr>
          <w:ilvl w:val="2"/>
          <w:numId w:val="33"/>
        </w:numPr>
        <w:spacing w:before="0"/>
        <w:ind w:left="397" w:firstLine="357"/>
      </w:pPr>
      <w:r w:rsidRPr="00097824">
        <w:t>Инструментальные диагностические исследования</w:t>
      </w:r>
    </w:p>
    <w:p w14:paraId="7AAB6D27" w14:textId="53F623D5" w:rsidR="00D630AE" w:rsidRPr="00097824" w:rsidRDefault="002410CF" w:rsidP="00CC2BE1">
      <w:pPr>
        <w:pStyle w:val="aff"/>
        <w:numPr>
          <w:ilvl w:val="0"/>
          <w:numId w:val="31"/>
        </w:numPr>
        <w:ind w:left="397" w:firstLine="357"/>
      </w:pPr>
      <w:r w:rsidRPr="00097824">
        <w:t>У</w:t>
      </w:r>
      <w:r w:rsidR="00076E67" w:rsidRPr="00097824">
        <w:t xml:space="preserve">льтразвуковое исследование брюшной полости </w:t>
      </w:r>
      <w:r w:rsidRPr="00097824">
        <w:t xml:space="preserve">рекомендуется </w:t>
      </w:r>
      <w:r w:rsidR="00076E67" w:rsidRPr="00097824">
        <w:t xml:space="preserve">в ходе первичной диагностики у больных с </w:t>
      </w:r>
      <w:r w:rsidR="00B00E88" w:rsidRPr="00097824">
        <w:t>подозрением на рак желчного пузыря имеет важное значение</w:t>
      </w:r>
      <w:r w:rsidR="00AD1942" w:rsidRPr="00097824">
        <w:t xml:space="preserve"> и может использоваться для скрининга</w:t>
      </w:r>
      <w:r w:rsidR="007F5427" w:rsidRPr="00097824">
        <w:t xml:space="preserve">. С его помощью можно выявить наличие инфильтрата в области желчного пузыря или рост ранее выявленного полипа, а также признаки </w:t>
      </w:r>
      <w:proofErr w:type="spellStart"/>
      <w:r w:rsidR="007F5427" w:rsidRPr="00097824">
        <w:t>билиарной</w:t>
      </w:r>
      <w:proofErr w:type="spellEnd"/>
      <w:r w:rsidR="007F5427" w:rsidRPr="00097824">
        <w:t xml:space="preserve"> гипертензии осложнённых </w:t>
      </w:r>
      <w:proofErr w:type="gramStart"/>
      <w:r w:rsidR="007F5427" w:rsidRPr="00097824">
        <w:t>формах.</w:t>
      </w:r>
      <w:r w:rsidR="00B62BA4" w:rsidRPr="00097824">
        <w:t>[</w:t>
      </w:r>
      <w:proofErr w:type="gramEnd"/>
      <w:r w:rsidR="00B62BA4" w:rsidRPr="00097824">
        <w:t>196, 197]</w:t>
      </w:r>
    </w:p>
    <w:p w14:paraId="1D8766CF" w14:textId="77777777" w:rsidR="00076E67" w:rsidRPr="00097824" w:rsidRDefault="00076E67" w:rsidP="00A37046">
      <w:pPr>
        <w:pStyle w:val="32"/>
        <w:ind w:firstLine="0"/>
      </w:pPr>
      <w:r w:rsidRPr="00097824">
        <w:rPr>
          <w:color w:val="auto"/>
        </w:rPr>
        <w:t>Уровень убедительности рекомендаций – С</w:t>
      </w:r>
      <w:r w:rsidRPr="00097824">
        <w:rPr>
          <w:b w:val="0"/>
          <w:color w:val="auto"/>
        </w:rPr>
        <w:t xml:space="preserve"> (уровень достоверности доказательств –5).</w:t>
      </w:r>
    </w:p>
    <w:p w14:paraId="5DECD760" w14:textId="67C26538" w:rsidR="00076E67" w:rsidRPr="00097824" w:rsidRDefault="00076E67" w:rsidP="00A37046">
      <w:pPr>
        <w:pStyle w:val="1"/>
        <w:numPr>
          <w:ilvl w:val="0"/>
          <w:numId w:val="0"/>
        </w:numPr>
        <w:spacing w:before="0"/>
        <w:rPr>
          <w:i/>
          <w:iCs/>
          <w:lang w:eastAsia="ru-RU"/>
        </w:rPr>
      </w:pPr>
      <w:r w:rsidRPr="00097824">
        <w:rPr>
          <w:rFonts w:eastAsia="MS Mincho"/>
          <w:b/>
          <w:szCs w:val="24"/>
          <w:shd w:val="clear" w:color="auto" w:fill="FFFFFF"/>
        </w:rPr>
        <w:lastRenderedPageBreak/>
        <w:t>Комментарий:</w:t>
      </w:r>
      <w:r w:rsidRPr="00097824">
        <w:rPr>
          <w:rFonts w:eastAsia="MS Mincho"/>
          <w:i/>
          <w:szCs w:val="24"/>
          <w:shd w:val="clear" w:color="auto" w:fill="FFFFFF"/>
        </w:rPr>
        <w:t xml:space="preserve"> </w:t>
      </w:r>
      <w:r w:rsidR="00D843A3" w:rsidRPr="00097824">
        <w:rPr>
          <w:i/>
          <w:iCs/>
          <w:lang w:eastAsia="ru-RU"/>
        </w:rPr>
        <w:t xml:space="preserve">Морфологическая верификация болезни крайне сложна на ранних стадиях и в большинстве случаев становится возможной только при распространении опухолевого процесса на паренхиму печени либо заполнении опухолевыми массами полости желчного пузыря [188, 189].  </w:t>
      </w:r>
      <w:r w:rsidR="00A37046" w:rsidRPr="00097824">
        <w:rPr>
          <w:rFonts w:eastAsia="MS Mincho"/>
          <w:i/>
          <w:szCs w:val="24"/>
          <w:shd w:val="clear" w:color="auto" w:fill="FFFFFF"/>
        </w:rPr>
        <w:t>Б</w:t>
      </w:r>
      <w:r w:rsidRPr="00097824">
        <w:rPr>
          <w:rFonts w:eastAsia="MS Mincho"/>
          <w:i/>
          <w:szCs w:val="24"/>
          <w:shd w:val="clear" w:color="auto" w:fill="FFFFFF"/>
        </w:rPr>
        <w:t>иопсия необходима для назначения консервативных методов лечения, но не обязательна при планировании хирургического вмешательства в случаях явной клинико-инструментальной картины заболевания</w:t>
      </w:r>
      <w:r w:rsidR="007F5427" w:rsidRPr="00097824">
        <w:rPr>
          <w:rFonts w:eastAsia="MS Mincho"/>
          <w:i/>
          <w:szCs w:val="24"/>
          <w:shd w:val="clear" w:color="auto" w:fill="FFFFFF"/>
          <w:lang w:val="en-GB"/>
        </w:rPr>
        <w:fldChar w:fldCharType="begin"/>
      </w:r>
      <w:r w:rsidRPr="00097824">
        <w:rPr>
          <w:rFonts w:eastAsia="MS Mincho"/>
          <w:i/>
          <w:szCs w:val="24"/>
          <w:shd w:val="clear" w:color="auto" w:fill="FFFFFF"/>
        </w:rPr>
        <w:instrText xml:space="preserve"> ADDIN ZOTERO_ITEM CSL_CITATION {"citationID":"9911s3yE","properties":{"formattedCitation":"[40,43]","plainCitation":"[40,43]","noteIndex":0},"citationItems":[{"id":167112,"uris":["http://zotero.org/groups/4764298/items/NNQ6MRUU"],"itemData":{"id":167112,"type":"article-journal","container-title":"Annals of Oncology","DOI":"10.1093/annonc/mdr375","ISSN":"0923-7534, 1569-8041","journalAbbreviation":"Annals of Oncology","language":"English","note":"publisher: Elsevier\nPMID: 21908502","page":"vi40-vi44","source":"www.annalsofoncology.org","title":"Biliary cancer: ESMO Clinical Practice Guidelines for diagnosis, treatment and follow-up","title-short":"Biliary cancer","volume":"22","author":[{"family":"Eckel","given":"F."},{"family":"Brunner","given":"T."},{"family":"Jelic","given":"S."}],"issued":{"date-parts":[["2011",9,1]]}},"label":"page"},{"id":166691,"uris":["http://zotero.org/groups/4764298/items/VYFPKCAQ"],"itemData":{"id":166691,"type":"document","publisher":"American Society of Clinical Oncology","source":"Google Scholar","title":"ABC-06| A randomised phase III, multi-centre, open-label study of active symptom control (ASC) alone or ASC with oxaliplatin/5-FU chemotherapy (ASC+ mFOLFOX) for patients (pts) with locally advanced/metastatic biliary tract cancers (ABC) previously-treated with cisplatin/gemcitabine (CisGem) chemotherapy.","author":[{"family":"Lamarca","given":"Angela"},{"family":"Palmer","given":"Daniel H."},{"family":"Wasan","given":"Harpreet Singh"},{"family":"Ross","given":"Paul J."},{"family":"Ma","given":"Yuk Ting"},{"family":"Arora","given":"Arvind"},{"family":"Falk","given":"Stephen"},{"family":"Gillmore","given":"Roopinder"},{"family":"Wadsley","given":"Jonathan"},{"family":"Patel","given":"Kinnari"}],"issued":{"date-parts":[["2019"]]}},"label":"page"}],"schema":"https://github.com/citation-style-language/schema/raw/master/csl-citation.json"} </w:instrText>
      </w:r>
      <w:r w:rsidR="007F5427" w:rsidRPr="00097824">
        <w:rPr>
          <w:rFonts w:eastAsia="MS Mincho"/>
          <w:i/>
          <w:szCs w:val="24"/>
          <w:shd w:val="clear" w:color="auto" w:fill="FFFFFF"/>
          <w:lang w:val="en-GB"/>
        </w:rPr>
        <w:fldChar w:fldCharType="separate"/>
      </w:r>
      <w:r w:rsidRPr="00097824">
        <w:t>[40,43]</w:t>
      </w:r>
      <w:r w:rsidR="007F5427" w:rsidRPr="00097824">
        <w:rPr>
          <w:rFonts w:eastAsia="MS Mincho"/>
          <w:i/>
          <w:szCs w:val="24"/>
          <w:shd w:val="clear" w:color="auto" w:fill="FFFFFF"/>
          <w:lang w:val="en-GB"/>
        </w:rPr>
        <w:fldChar w:fldCharType="end"/>
      </w:r>
      <w:r w:rsidRPr="00097824">
        <w:rPr>
          <w:rFonts w:eastAsia="MS Mincho"/>
          <w:i/>
          <w:szCs w:val="24"/>
          <w:shd w:val="clear" w:color="auto" w:fill="FFFFFF"/>
        </w:rPr>
        <w:t>.</w:t>
      </w:r>
    </w:p>
    <w:p w14:paraId="017C9AF8" w14:textId="6F0538AE" w:rsidR="00D630AE" w:rsidRPr="00097824" w:rsidRDefault="007F5427" w:rsidP="00D843A3">
      <w:pPr>
        <w:pStyle w:val="aff"/>
        <w:numPr>
          <w:ilvl w:val="0"/>
          <w:numId w:val="28"/>
        </w:numPr>
        <w:spacing w:before="240"/>
        <w:rPr>
          <w:rFonts w:eastAsia="MS Mincho"/>
          <w:shd w:val="clear" w:color="auto" w:fill="FFFFFF"/>
        </w:rPr>
      </w:pPr>
      <w:r w:rsidRPr="00097824">
        <w:rPr>
          <w:rFonts w:eastAsia="MS Mincho"/>
          <w:shd w:val="clear" w:color="auto" w:fill="FFFFFF"/>
        </w:rPr>
        <w:t xml:space="preserve">Всем пациентам с раком желчного пузыря для определения тактики лечения рекомендовано </w:t>
      </w:r>
      <w:r w:rsidRPr="00097824">
        <w:rPr>
          <w:shd w:val="clear" w:color="auto" w:fill="FFFFFF"/>
        </w:rPr>
        <w:t>выполн</w:t>
      </w:r>
      <w:r w:rsidR="00784E03" w:rsidRPr="00097824">
        <w:rPr>
          <w:shd w:val="clear" w:color="auto" w:fill="FFFFFF"/>
        </w:rPr>
        <w:t xml:space="preserve">ить </w:t>
      </w:r>
      <w:r w:rsidR="00005B53" w:rsidRPr="00097824">
        <w:rPr>
          <w:shd w:val="clear" w:color="auto" w:fill="FFFFFF"/>
        </w:rPr>
        <w:t xml:space="preserve">компьютерную томографию органов брюшной полости с внутривенным </w:t>
      </w:r>
      <w:proofErr w:type="spellStart"/>
      <w:r w:rsidR="00005B53" w:rsidRPr="00097824">
        <w:rPr>
          <w:shd w:val="clear" w:color="auto" w:fill="FFFFFF"/>
        </w:rPr>
        <w:t>болюсным</w:t>
      </w:r>
      <w:proofErr w:type="spellEnd"/>
      <w:r w:rsidR="00005B53" w:rsidRPr="00097824">
        <w:rPr>
          <w:shd w:val="clear" w:color="auto" w:fill="FFFFFF"/>
        </w:rPr>
        <w:t xml:space="preserve"> контрастированием</w:t>
      </w:r>
      <w:r w:rsidR="00FE1DF4" w:rsidRPr="00097824">
        <w:rPr>
          <w:shd w:val="clear" w:color="auto" w:fill="FFFFFF"/>
        </w:rPr>
        <w:t xml:space="preserve"> </w:t>
      </w:r>
      <w:r w:rsidRPr="00097824">
        <w:rPr>
          <w:shd w:val="clear" w:color="auto" w:fill="FFFFFF"/>
        </w:rPr>
        <w:t xml:space="preserve">и </w:t>
      </w:r>
      <w:r w:rsidR="00005B53" w:rsidRPr="00097824">
        <w:rPr>
          <w:shd w:val="clear" w:color="auto" w:fill="FFFFFF"/>
        </w:rPr>
        <w:t xml:space="preserve">компьютерную томографию </w:t>
      </w:r>
      <w:r w:rsidRPr="00097824">
        <w:rPr>
          <w:shd w:val="clear" w:color="auto" w:fill="FFFFFF"/>
        </w:rPr>
        <w:t>малого таза с внутривенным контрастированием и/или магни</w:t>
      </w:r>
      <w:r w:rsidR="00784E03" w:rsidRPr="00097824">
        <w:rPr>
          <w:shd w:val="clear" w:color="auto" w:fill="FFFFFF"/>
        </w:rPr>
        <w:t>тно-резонансную томографию</w:t>
      </w:r>
      <w:r w:rsidRPr="00097824">
        <w:rPr>
          <w:shd w:val="clear" w:color="auto" w:fill="FFFFFF"/>
        </w:rPr>
        <w:t xml:space="preserve"> органов брюшной полости</w:t>
      </w:r>
      <w:r w:rsidR="00005B53" w:rsidRPr="00097824">
        <w:rPr>
          <w:shd w:val="clear" w:color="auto" w:fill="FFFFFF"/>
        </w:rPr>
        <w:t xml:space="preserve">, </w:t>
      </w:r>
      <w:r w:rsidR="00655AF6" w:rsidRPr="00097824">
        <w:rPr>
          <w:shd w:val="clear" w:color="auto" w:fill="FFFFFF"/>
        </w:rPr>
        <w:t xml:space="preserve">магнитно-резонансную томографию </w:t>
      </w:r>
      <w:r w:rsidR="00005B53" w:rsidRPr="00097824">
        <w:rPr>
          <w:shd w:val="clear" w:color="auto" w:fill="FFFFFF"/>
        </w:rPr>
        <w:t>забрюшинного пространства</w:t>
      </w:r>
      <w:r w:rsidRPr="00097824">
        <w:rPr>
          <w:shd w:val="clear" w:color="auto" w:fill="FFFFFF"/>
        </w:rPr>
        <w:t xml:space="preserve"> с внутривенным контрастированием с магнитно-резонансной </w:t>
      </w:r>
      <w:proofErr w:type="spellStart"/>
      <w:r w:rsidRPr="00097824">
        <w:rPr>
          <w:shd w:val="clear" w:color="auto" w:fill="FFFFFF"/>
        </w:rPr>
        <w:t>холангио</w:t>
      </w:r>
      <w:r w:rsidR="00005B53" w:rsidRPr="00097824">
        <w:rPr>
          <w:shd w:val="clear" w:color="auto" w:fill="FFFFFF"/>
        </w:rPr>
        <w:t>панкреато</w:t>
      </w:r>
      <w:r w:rsidRPr="00097824">
        <w:rPr>
          <w:shd w:val="clear" w:color="auto" w:fill="FFFFFF"/>
        </w:rPr>
        <w:t>графией</w:t>
      </w:r>
      <w:proofErr w:type="spellEnd"/>
      <w:r w:rsidRPr="00097824">
        <w:rPr>
          <w:shd w:val="clear" w:color="auto" w:fill="FFFFFF"/>
        </w:rPr>
        <w:fldChar w:fldCharType="begin"/>
      </w:r>
      <w:r w:rsidRPr="00097824">
        <w:rPr>
          <w:shd w:val="clear" w:color="auto" w:fill="FFFFFF"/>
        </w:rPr>
        <w:instrText xml:space="preserve"> ADDIN ZOTERO_ITEM CSL_CITATION {"citationID":"cgY2X6Iw","properties":{"formattedCitation":"[10,29,30]","plainCitation":"[10,29,30]","noteIndex":0},"citationItems":[{"id":166676,"uris":["http://zotero.org/groups/4764298/items/HLCDHDCZ"],"itemData":{"id":166676,"type":"article-journal","container-title":"Annals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166635,"uris":["http://zotero.org/groups/4764298/items/KH4AKB33"],"itemData":{"id":166635,"type":"article-journal","abstract":"Objective\nTo obtain diagnostic performance values of CT, MRI, ultrasound and 18-fludeoxyglucose positron emission tomography (PET)/CT for staging of hilar cholangiocarcinoma.\n\nMethods\nA comprehensive systematic search was performed for articles published up to March 2011 that fulfilled the inclusion criteria. Study quality was assessed with the quality assessment of diagnostic accuracy studies tool.\n\nResults\n16 articles (448 patients) were included that evaluated CT (n=11), MRI (n=3), ultrasound (n=3), or PET/CT (n=1). Overall, their quality was moderate. The accuracy estimates for evaluation of CT for ductal extent of the tumour was 86%. The sensitivity and specificity estimates of CT were 89% and 92% for evaluation of portal vein involvement, 83% and 93% for hepatic artery involvement, and 61% and 88% for lymph node involvement, respectively. Data were too limited for adequate comparisons of the different techniques.\n\nConclusion\nDiagnostic accuracy studies of CT, MRI, ultrasound or PET/CT for staging of hilar cholangiocarcinoma are sparse and have moderate methodological quality. Data primarily concern CT, which has an acceptable accuracy for assessment of ductal extent, portal vein and hepatic artery involvement, but low sensitivity for nodal status.","container-title":"The British Journal of Radiology","DOI":"10.1259/bjr/88405305","ISSN":"0007-1285","issue":"1017","journalAbbreviation":"Br J Radiol","note":"PMID: 22919007\nPMCID: PMC3487057","page":"1255-1262","source":"PubMed Central","title":"Radiological staging in patients with hilar cholangiocarcinoma: a systematic review and meta-analysis","title-short":"Radiological staging in patients with hilar cholangiocarcinoma","volume":"85","author":[{"family":"Ruys","given":"A T"},{"family":"Van Beem","given":"B E"},{"family":"Engelbrecht","given":"M R W"},{"family":"Bipat","given":"S"},{"family":"Stoker","given":"J"},{"family":"Van Gulik","given":"T M"}],"issued":{"date-parts":[["2012",9]]}},"label":"page"},{"id":166637,"uris":["http://zotero.org/groups/4764298/items/WB3YC9P4"],"itemData":{"id":166637,"type":"article-journal","abstract":"PURPOSE: To retrospectively assess the accuracy of combined multiphasic computed tomography (CT) and direct cholangiography for evaluation of the resectability of hilar cholangiocarcinoma, on the basis of revised criteria for unresectability, by using surgery as the reference standard.\nMATERIALS AND METHODS: Institutional review board approval was obtained, and informed consent was waived. From 1998 to 2003, 55 patients (37 men, 18 women; mean age +/- standard deviation, 59 years +/- 12) with surgically proved hilar cholangiocarcinomas who underwent preoperative CT (single-detector row CT, n = 26; multi-detector row CT, n = 29) and cholangiography were included for study. The authors' revised criteria for unresectable tumor were contralateral hepatic artery invasion; main or contralateral portal vein invasion longer than 2 cm; biliary extension to the contralateral secondary confluence, farther than 2 cm from hepatic hilum; enlarged lymph nodes at the celiac, portacaval, and paraaortic area; and other ancillary findings. Tumor resectability based on these parameters was determined at imaging by two radiologists in consensus. Mann-Whitney U test and weighted kappa coefficient of agreement were used for accuracy determination.\nRESULTS: For depiction of portal vein invasion (in 26 patients), CT yielded an accuracy of 85.5%. Arterial invasion was found at surgery in 19 patients, with CT providing an accuracy of 92.7%. For prediction of node involvement (15 patients, 27%), CT yielded an accuracy of 83.6%. The extent of ductal involvement could be accurately predicted in 46 patients (84%) (weighted kappa = 0.767). In 30 of 42 patients with disease classified as resectable according to revised criteria, disease was found to be resectable at surgery (71.4% positive predictive value). In 11 of 13 patients with disease classified as unresectable according to revised criteria, unresectable disease was confirmed (84.6% negative predictive value). Overall accuracy of resectability was 74.5%.\nCONCLUSION: Combined interpretation of CT and direct cholangiographic images by using our revised criteria resulted in overall accuracy of 74.5% for prediction of resectability for hilar cholangiocarcinoma.","container-title":"Radiology","DOI":"10.1148/radiol.2383050419","ISSN":"0033-8419","issue":"1","journalAbbreviation":"Radiology","language":"eng","note":"PMID: 16467211","page":"113-121","source":"PubMed","title":"Preoperative assessment of resectability of hepatic hilar cholangiocarcinoma: combined CT and cholangiography with revised criteria","title-short":"Preoperative assessment of resectability of hepatic hilar cholangiocarcinoma","volume":"239","author":[{"family":"Lee","given":"Ho Yun"},{"family":"Kim","given":"Se Hyung"},{"family":"Lee","given":"Jeong Min"},{"family":"Kim","given":"Sun-Whe"},{"family":"Jang","given":"Jin-Young"},{"family":"Han","given":"Joon Koo"},{"family":"Choi","given":"Byung Ihn"}],"issued":{"date-parts":[["2006",4]]}},"label":"page"}],"schema":"https://github.com/citation-style-language/schema/raw/master/csl-citation.json"} </w:instrText>
      </w:r>
      <w:r w:rsidRPr="00097824">
        <w:rPr>
          <w:shd w:val="clear" w:color="auto" w:fill="FFFFFF"/>
        </w:rPr>
        <w:fldChar w:fldCharType="separate"/>
      </w:r>
      <w:r w:rsidR="00076E67" w:rsidRPr="00097824">
        <w:t>[10,29,30]</w:t>
      </w:r>
      <w:r w:rsidRPr="00097824">
        <w:rPr>
          <w:shd w:val="clear" w:color="auto" w:fill="FFFFFF"/>
        </w:rPr>
        <w:fldChar w:fldCharType="end"/>
      </w:r>
      <w:r w:rsidRPr="00097824">
        <w:rPr>
          <w:shd w:val="clear" w:color="auto" w:fill="FFFFFF"/>
        </w:rPr>
        <w:t>.</w:t>
      </w:r>
      <w:r w:rsidR="00076E67" w:rsidRPr="00097824">
        <w:t xml:space="preserve"> </w:t>
      </w:r>
    </w:p>
    <w:p w14:paraId="6EA98756" w14:textId="37E64C9F" w:rsidR="00076E67" w:rsidRPr="00097824" w:rsidRDefault="007F5427" w:rsidP="00D843A3">
      <w:pPr>
        <w:ind w:firstLine="0"/>
        <w:contextualSpacing/>
        <w:rPr>
          <w:rFonts w:eastAsia="MS Mincho"/>
          <w:szCs w:val="24"/>
          <w:shd w:val="clear" w:color="auto" w:fill="FFFFFF"/>
        </w:rPr>
      </w:pPr>
      <w:r w:rsidRPr="00097824">
        <w:rPr>
          <w:rFonts w:eastAsia="MS Mincho"/>
          <w:b/>
          <w:szCs w:val="24"/>
          <w:shd w:val="clear" w:color="auto" w:fill="FFFFFF"/>
        </w:rPr>
        <w:t xml:space="preserve">Уровень убедительности рекомендаций – </w:t>
      </w:r>
      <w:r w:rsidR="005B6334" w:rsidRPr="00097824">
        <w:rPr>
          <w:rFonts w:eastAsia="MS Mincho"/>
          <w:b/>
          <w:szCs w:val="24"/>
          <w:shd w:val="clear" w:color="auto" w:fill="FFFFFF"/>
        </w:rPr>
        <w:t xml:space="preserve">С </w:t>
      </w:r>
      <w:r w:rsidRPr="00097824">
        <w:rPr>
          <w:rFonts w:eastAsia="MS Mincho"/>
          <w:szCs w:val="24"/>
          <w:shd w:val="clear" w:color="auto" w:fill="FFFFFF"/>
        </w:rPr>
        <w:t xml:space="preserve">(уровень достоверности доказательств – </w:t>
      </w:r>
      <w:r w:rsidR="005B6334" w:rsidRPr="00097824">
        <w:rPr>
          <w:rFonts w:eastAsia="MS Mincho"/>
          <w:szCs w:val="24"/>
          <w:shd w:val="clear" w:color="auto" w:fill="FFFFFF"/>
        </w:rPr>
        <w:t>5</w:t>
      </w:r>
      <w:r w:rsidRPr="00097824">
        <w:rPr>
          <w:rFonts w:eastAsia="MS Mincho"/>
          <w:szCs w:val="24"/>
          <w:shd w:val="clear" w:color="auto" w:fill="FFFFFF"/>
        </w:rPr>
        <w:t>).</w:t>
      </w:r>
    </w:p>
    <w:p w14:paraId="0E3FF893" w14:textId="08475FCE" w:rsidR="00C82DAA" w:rsidRPr="00097824" w:rsidRDefault="00C82DAA" w:rsidP="00D843A3">
      <w:pPr>
        <w:ind w:firstLine="0"/>
        <w:contextualSpacing/>
        <w:rPr>
          <w:rFonts w:eastAsia="MS Mincho"/>
          <w:i/>
          <w:szCs w:val="24"/>
          <w:shd w:val="clear" w:color="auto" w:fill="FFFFFF"/>
        </w:rPr>
      </w:pPr>
      <w:r w:rsidRPr="00097824">
        <w:rPr>
          <w:rFonts w:eastAsia="MS Mincho"/>
          <w:b/>
          <w:szCs w:val="24"/>
          <w:shd w:val="clear" w:color="auto" w:fill="FFFFFF"/>
        </w:rPr>
        <w:t>Комментарий:</w:t>
      </w:r>
      <w:r w:rsidRPr="00097824">
        <w:rPr>
          <w:rFonts w:eastAsia="MS Mincho"/>
          <w:szCs w:val="24"/>
          <w:shd w:val="clear" w:color="auto" w:fill="FFFFFF"/>
        </w:rPr>
        <w:t xml:space="preserve"> </w:t>
      </w:r>
      <w:r w:rsidR="00D843A3" w:rsidRPr="00097824">
        <w:rPr>
          <w:rFonts w:eastAsia="MS Mincho"/>
          <w:i/>
          <w:szCs w:val="24"/>
          <w:shd w:val="clear" w:color="auto" w:fill="FFFFFF"/>
        </w:rPr>
        <w:t>п</w:t>
      </w:r>
      <w:r w:rsidRPr="00097824">
        <w:rPr>
          <w:rFonts w:eastAsia="MS Mincho"/>
          <w:i/>
          <w:szCs w:val="24"/>
          <w:shd w:val="clear" w:color="auto" w:fill="FFFFFF"/>
        </w:rPr>
        <w:t xml:space="preserve">ри наличии подозрения по данным лучевых методов обследования на вовлечение в опухолевый процесс желудка и/или ободочной кишки больному необходимо выполнить </w:t>
      </w:r>
      <w:proofErr w:type="spellStart"/>
      <w:r w:rsidRPr="00097824">
        <w:rPr>
          <w:rFonts w:eastAsia="MS Mincho"/>
          <w:i/>
          <w:szCs w:val="24"/>
          <w:shd w:val="clear" w:color="auto" w:fill="FFFFFF"/>
        </w:rPr>
        <w:t>эзофагогастродуоденоскопию</w:t>
      </w:r>
      <w:proofErr w:type="spellEnd"/>
      <w:r w:rsidRPr="00097824">
        <w:rPr>
          <w:rFonts w:eastAsia="MS Mincho"/>
          <w:i/>
          <w:szCs w:val="24"/>
          <w:shd w:val="clear" w:color="auto" w:fill="FFFFFF"/>
        </w:rPr>
        <w:t xml:space="preserve"> и колоноскопию.</w:t>
      </w:r>
    </w:p>
    <w:p w14:paraId="0B7E20FF" w14:textId="2B0CEA37" w:rsidR="00076E67" w:rsidRPr="00097824" w:rsidRDefault="00076E67" w:rsidP="00CC2BE1">
      <w:pPr>
        <w:pStyle w:val="1"/>
        <w:numPr>
          <w:ilvl w:val="0"/>
          <w:numId w:val="35"/>
        </w:numPr>
        <w:spacing w:before="0"/>
        <w:ind w:left="397" w:firstLine="357"/>
        <w:rPr>
          <w:rFonts w:eastAsia="MS Mincho"/>
          <w:shd w:val="clear" w:color="auto" w:fill="FFFFFF"/>
        </w:rPr>
      </w:pPr>
      <w:r w:rsidRPr="00097824">
        <w:rPr>
          <w:rFonts w:eastAsia="MS Mincho"/>
          <w:shd w:val="clear" w:color="auto" w:fill="FFFFFF"/>
        </w:rPr>
        <w:t xml:space="preserve">Перед началом лечения всем пациентам рекомендуется выполнить КТ органов грудной </w:t>
      </w:r>
      <w:r w:rsidR="00F42C3F" w:rsidRPr="00097824">
        <w:rPr>
          <w:rFonts w:eastAsia="MS Mincho"/>
          <w:shd w:val="clear" w:color="auto" w:fill="FFFFFF"/>
        </w:rPr>
        <w:t xml:space="preserve">полости </w:t>
      </w:r>
      <w:r w:rsidRPr="00097824">
        <w:rPr>
          <w:rFonts w:eastAsia="MS Mincho"/>
          <w:shd w:val="clear" w:color="auto" w:fill="FFFFFF"/>
        </w:rPr>
        <w:t>для определения распространенности опухолевого процесса</w:t>
      </w:r>
      <w:r w:rsidR="00C430E8" w:rsidRPr="00097824">
        <w:rPr>
          <w:rFonts w:eastAsia="MS Mincho"/>
          <w:shd w:val="clear" w:color="auto" w:fill="FFFFFF"/>
        </w:rPr>
        <w:t xml:space="preserve"> </w:t>
      </w:r>
      <w:r w:rsidR="007F5427" w:rsidRPr="00097824">
        <w:rPr>
          <w:rFonts w:eastAsia="MS Mincho"/>
          <w:shd w:val="clear" w:color="auto" w:fill="FFFFFF"/>
        </w:rPr>
        <w:fldChar w:fldCharType="begin"/>
      </w:r>
      <w:r w:rsidRPr="00097824">
        <w:rPr>
          <w:rFonts w:eastAsia="MS Mincho"/>
          <w:shd w:val="clear" w:color="auto" w:fill="FFFFFF"/>
        </w:rPr>
        <w:instrText xml:space="preserve"> ADDIN ZOTERO_ITEM CSL_CITATION {"citationID":"XUHNdTDP","properties":{"formattedCitation":"[10,32,33]","plainCitation":"[10,32,33]","noteIndex":0},"citationItems":[{"id":166676,"uris":["http://zotero.org/groups/4764298/items/HLCDHDCZ"],"itemData":{"id":166676,"type":"article-journal","container-title":"Annals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167142,"uris":["http://zotero.org/groups/4764298/items/LMWVKPKE"],"itemData":{"id":167142,"type":"article-journal","abstract":"Cholangiocarcinoma is a type of malignant tumor derived from the epithelium of the bile duct. Cases of cholangiocarcinoma metastasis to the lung are rare, especially those with imaging features of multiple cavities in bilateral lungs. Here, we report a case of a patient who had previously undergone radical resection of primary distal cholangiocarcinoma 18 months ago. Transbronchoscopic lung biopsy of the right lung and biopsy of the left supraclavicular lymph node were performed for pathology confirmation, as well as immunohistochemistry. Multiple cavity shadows in bilateral lungs and enlarged lymph nodes were found on the computed tomography (CT) scan obtained 18 months postoperatively. No obviously enlarged lymph nodes were observed under the carina and beside the aortic arch, whereas enlarged lymph nodes were found above the left clavicle. Biopsy of lung and supraclavicular lymph nodes confirmed metastatic adenocarcinoma. Immunohistochemistry showed that it originated from the digestive tract and had the same homology as cholangiocarcinoma (CK19 +, Villin +). Cholangiocarcinoma can be transferred to the lung and the left supraclavicular lymph nodes through the lymphatic pathway by characteristic jumping lymph node metastases. Diffuse cystic change is a specific CT manifestation of the lymphatic lung metasta</w:instrText>
      </w:r>
      <w:r w:rsidRPr="00097824">
        <w:rPr>
          <w:rFonts w:eastAsia="MS Mincho" w:hint="eastAsia"/>
          <w:shd w:val="clear" w:color="auto" w:fill="FFFFFF"/>
        </w:rPr>
        <w:instrText>sis of cholangiocarcinoma., \ncystic cavity</w:instrText>
      </w:r>
      <w:r w:rsidRPr="00097824">
        <w:rPr>
          <w:rFonts w:eastAsia="MS Mincho" w:hint="eastAsia"/>
          <w:shd w:val="clear" w:color="auto" w:fill="FFFFFF"/>
        </w:rPr>
        <w:instrText>‐</w:instrText>
      </w:r>
      <w:r w:rsidRPr="00097824">
        <w:rPr>
          <w:rFonts w:eastAsia="MS Mincho" w:hint="eastAsia"/>
          <w:shd w:val="clear" w:color="auto" w:fill="FFFFFF"/>
        </w:rPr>
        <w:instrText>characteristic CT signs of translymphatic pulmonary metastasis in cholangiocarcinom.","container-title":"Thoracic Cancer","DOI":"10.1111/1759-7714.13584","ISSN":"1759-7706","issue":"10","journalAbbreviation":"Th</w:instrText>
      </w:r>
      <w:r w:rsidRPr="00097824">
        <w:rPr>
          <w:rFonts w:eastAsia="MS Mincho"/>
          <w:shd w:val="clear" w:color="auto" w:fill="FFFFFF"/>
        </w:rPr>
        <w:instrText xml:space="preserve">orac Cancer","note":"PMID: 32885606\nPMCID: PMC7529578","page":"2998-3000","source":"PubMed Central","title":"Pulmonary metastasis of distal cholangiocarcinoma with multiple cavities in bilateral lungs: A case report","title-short":"Pulmonary metastasis of distal cholangiocarcinoma with multiple cavities in bilateral lungs","volume":"11","author":[{"family":"Zhai","given":"Nailiang"},{"family":"Liu","given":"Jinping"},{"family":"Xu","given":"Pan"},{"family":"Liu","given":"Bo"},{"family":"Fan","given":"Yichu"},{"family":"Lv","given":"Changjun"}],"issued":{"date-parts":[["2020",10]]}},"label":"page"},{"id":167140,"uris":["http://zotero.org/groups/4764298/items/CQAGSUHM"],"itemData":{"id":167140,"type":"article-journal","abstract":"Background\nIntraductal papillary neoplasm of the bile duct (IPNB) is considered a pre-cancerous biliary lesion and/or an early cancer lesion, although its classification remains unclear. The 2019 revised edition of the World Health Organization Classification of Tumors of the Digestive System proposed type 1 and type 2 as new classification categories, and meta-analyses and/or multi-center cohort studies are beginning to be reported. However, treatment for IPNB recurrence and metastasis remains unclear.\n\nCase presentation\nA 60-year-old man who was referred to our hospital after a suspected liver tumor was diagnosed using abdominal ultrasonography. Imaging findings revealed an irregularly shaped tumor in segment 5 (S5) of the liver (size 20 mm). The S5 lesion was suspected as IPNB, and segmentectomy was performed. The pathological findings revealed invasive carcinoma derived from IPNB, and immunohistochemistry revealed positive expression of MUC1, MUC5AC, and MUC6, but negative expression of CDX2 and MUC2. At 9 months after the surgery, computed tomography revealed a tumor in the right bile duct, which was diagnosed as liver recurrence of IPNB, and right hepatectomy was performed. The histopathological findings were the same as for the first resected specimen (i.e., IPNB). At 45 months after the second surgery, computed tomography revealed nodules in both lungs, which were diagnosed as lung metastases from IPNB and resected in two separate procedures. The pathological findings were metastatic carcinoma from IPNB for both lung lesions. The patient is currently alive and undergoing adjuvant chemotherapy (S-1), which was initiated 64 months after the first resection and 12 months after resection of the lung metastases.\n\nConclusion\nWe encountered a rare case of lung metastases from IPNB, which were diagnosed immunohistologically. Because IPNB is generally a slow-growing tumor, resection may be feasible for IPNB recurrence and/or metastasis, which may be detected during long-term follow-up. Thus, even if resection is performed for primary IPNB, additional surgical treatment may be feasible in this setting.","container-title":"World Journal of Surgical Oncology","DOI":"10.1186/s12957-020-02054-9","ISSN":"1477-7819","journalAbbreviation":"World J Surg Oncol","note":"PMID: 33097064\nPMCID: PMC7585296","page":"271","source":"PubMed Central","title":"Lung metastases from intraductal papillary neoplasm of the bile duct: a case report","title-short":"Lung metastases from intraductal papillary neoplasm of the bile duct","volume":"18","author":[{"family":"Fujino","given":"Rika"},{"family":"Masuoka","given":"Yoshihito"},{"family":"Mashiko","given":"Taro"},{"family":"Nakano","given":"Akira"},{"family":"Hirabayashi","given":"Kenichi"},{"family":"Nakagohri","given":"Toshio"}],"issued":{"date-parts":[["2020",10,23]]}},"label":"page"}],"schema":"https://github.com/citation-style-language/schema/raw/master/csl-citation.json"} </w:instrText>
      </w:r>
      <w:r w:rsidR="007F5427" w:rsidRPr="00097824">
        <w:rPr>
          <w:rFonts w:eastAsia="MS Mincho"/>
          <w:shd w:val="clear" w:color="auto" w:fill="FFFFFF"/>
        </w:rPr>
        <w:fldChar w:fldCharType="separate"/>
      </w:r>
      <w:r w:rsidRPr="00097824">
        <w:rPr>
          <w:rFonts w:eastAsia="MS Mincho"/>
        </w:rPr>
        <w:t>[10,32,33]</w:t>
      </w:r>
      <w:r w:rsidR="007F5427" w:rsidRPr="00097824">
        <w:rPr>
          <w:rFonts w:eastAsia="MS Mincho"/>
          <w:shd w:val="clear" w:color="auto" w:fill="FFFFFF"/>
        </w:rPr>
        <w:fldChar w:fldCharType="end"/>
      </w:r>
      <w:r w:rsidRPr="00097824">
        <w:rPr>
          <w:rFonts w:eastAsia="MS Mincho"/>
          <w:shd w:val="clear" w:color="auto" w:fill="FFFFFF"/>
        </w:rPr>
        <w:t>.</w:t>
      </w:r>
    </w:p>
    <w:p w14:paraId="00C4950E" w14:textId="4142107D" w:rsidR="00076E67" w:rsidRPr="00097824" w:rsidRDefault="00076E67" w:rsidP="00D843A3">
      <w:pPr>
        <w:pStyle w:val="32"/>
        <w:spacing w:after="240"/>
        <w:ind w:firstLine="0"/>
        <w:rPr>
          <w:b w:val="0"/>
          <w:color w:val="auto"/>
        </w:rPr>
      </w:pPr>
      <w:r w:rsidRPr="00097824">
        <w:rPr>
          <w:color w:val="auto"/>
        </w:rPr>
        <w:t xml:space="preserve">Уровень убедительности рекомендаций – </w:t>
      </w:r>
      <w:r w:rsidR="005B6334" w:rsidRPr="00097824">
        <w:rPr>
          <w:color w:val="auto"/>
        </w:rPr>
        <w:t xml:space="preserve">С </w:t>
      </w:r>
      <w:r w:rsidR="007F5427" w:rsidRPr="00097824">
        <w:rPr>
          <w:b w:val="0"/>
          <w:color w:val="auto"/>
        </w:rPr>
        <w:t xml:space="preserve">(уровень достоверности доказательств – </w:t>
      </w:r>
      <w:r w:rsidR="005B6334" w:rsidRPr="00097824">
        <w:rPr>
          <w:b w:val="0"/>
          <w:color w:val="auto"/>
        </w:rPr>
        <w:t>5</w:t>
      </w:r>
      <w:r w:rsidR="007F5427" w:rsidRPr="00097824">
        <w:rPr>
          <w:b w:val="0"/>
          <w:color w:val="auto"/>
        </w:rPr>
        <w:t>).</w:t>
      </w:r>
    </w:p>
    <w:p w14:paraId="1096F954" w14:textId="62BE88D7" w:rsidR="00076E67" w:rsidRPr="00097824" w:rsidRDefault="00076E67" w:rsidP="00AD4A9F">
      <w:pPr>
        <w:pStyle w:val="1"/>
        <w:spacing w:before="0"/>
        <w:ind w:left="397" w:firstLine="357"/>
        <w:rPr>
          <w:rFonts w:eastAsia="MS Mincho"/>
          <w:shd w:val="clear" w:color="auto" w:fill="FFFFFF"/>
        </w:rPr>
      </w:pPr>
      <w:r w:rsidRPr="00097824">
        <w:rPr>
          <w:rFonts w:eastAsia="MS Mincho"/>
          <w:shd w:val="clear" w:color="auto" w:fill="FFFFFF"/>
        </w:rPr>
        <w:t>При планировании хирургического лечения рекомендовано выполнить позитронную эмиссионную томографию</w:t>
      </w:r>
      <w:r w:rsidR="00733FAC" w:rsidRPr="00097824">
        <w:rPr>
          <w:rFonts w:eastAsia="MS Mincho"/>
          <w:shd w:val="clear" w:color="auto" w:fill="FFFFFF"/>
        </w:rPr>
        <w:t xml:space="preserve">, совмещенная с компьютерной томографией с </w:t>
      </w:r>
      <w:proofErr w:type="spellStart"/>
      <w:r w:rsidR="00733FAC" w:rsidRPr="00097824">
        <w:rPr>
          <w:rFonts w:eastAsia="MS Mincho"/>
          <w:shd w:val="clear" w:color="auto" w:fill="FFFFFF"/>
        </w:rPr>
        <w:t>туморотропными</w:t>
      </w:r>
      <w:proofErr w:type="spellEnd"/>
      <w:r w:rsidR="00733FAC" w:rsidRPr="00097824">
        <w:rPr>
          <w:rFonts w:eastAsia="MS Mincho"/>
          <w:shd w:val="clear" w:color="auto" w:fill="FFFFFF"/>
        </w:rPr>
        <w:t xml:space="preserve"> РФП,</w:t>
      </w:r>
      <w:r w:rsidRPr="00097824">
        <w:rPr>
          <w:rFonts w:eastAsia="MS Mincho"/>
          <w:shd w:val="clear" w:color="auto" w:fill="FFFFFF"/>
        </w:rPr>
        <w:t xml:space="preserve"> с целью исключения отдаленных метастазов в случае подозрения на их наличие по данным комплексного обследования</w:t>
      </w:r>
      <w:r w:rsidR="007F5427" w:rsidRPr="00097824">
        <w:rPr>
          <w:rFonts w:eastAsia="MS Mincho"/>
          <w:shd w:val="clear" w:color="auto" w:fill="FFFFFF"/>
        </w:rPr>
        <w:fldChar w:fldCharType="begin"/>
      </w:r>
      <w:r w:rsidRPr="00097824">
        <w:rPr>
          <w:rFonts w:eastAsia="MS Mincho"/>
          <w:shd w:val="clear" w:color="auto" w:fill="FFFFFF"/>
        </w:rPr>
        <w:instrText xml:space="preserve"> ADDIN ZOTERO_ITEM CSL_CITATION {"citationID":"J9pkYzDv","properties":{"formattedCitation":"[36,37]","plainCitation":"[36,37]","noteIndex":0},"citationItems":[{"id":166641,"uris":["http://zotero.org/groups/4764298/items/64UPNNQW"],"itemData":{"id":166641,"type":"article-journal","abstract":"BACKGROUND &amp; AIMS: The role of 18F-fluorodeoxyglucose positron emission tomography (18FDG-PET) in the diagnosis and staging of patients with biliary tract cancers (BTCs) remains controversial, so we aimed to provide robust information on the utility of 18FDG-PET in the diagnosis and management of BTC.\nMETHODS: This systematic review and meta-analysis explored the diagnostic test accuracy of 18FDG-PET as a diagnostic tool for diagnosis of primary tumour, lymph node invasion, distant metastases and relapsed disease. Subgroup analysis by study quality and BTC subtype were performed. Changes in management based on 18FDG-PET and impact of maximum standardised uptake values (SUVmax) on prognosis were also assessed. A random effects model was used for meta-analyses.\nRESULTS: A total of 2,125 patients were included from 47 eligible studies. The sensitivity (Se) and specificity (Sp) of 18FDG-PET for the diagnosis of primary tumour were 91.7% (95% CI 89.8-93.2) and 51.3% (95% CI 46.4-56.2), respectively, with an area under the curve (AUC) of 0.8668. For lymph node invasion, Se was 88.4% (95% CI82.6-92.8) and Sp was 69.1% (95% CI 63.8-74.1); AUC 0.8519. For distant metastases, Se was 85.4% (95% CI 79.5-90.2) and Sp was 89.7% (95% CI86.0-92.7); AUC 0.9253. For relapse, Se was 90.1% (95% CI 84.4-94.3) and Sp was 83.5% (95% CI 74.4-90.4); AUC 0.9592. No diagnostic threshold effect was identified. Meta-regression did not identify significant sources of heterogeneity. Sensitivity analysis revealed no change in results when analyses were limited to studies with low risk of bias/concern. The pooled proportion of change in management was 15% (95% CI 11-20); the majority (78%) due to disease upstaging. Baseline high SUVmax was associated with worse survival (pooled hazard ratio of 1.79; 95% CI 1.37-2.33; p &lt;0.001).\nCONCLUSIONS: There is evidence to support the incorporation of 18FDG-PET into the current standard of care for the staging (lymph node and distant metastases) and identification of relapse in patients with BTC to guide treatment selection; especially if the identification of occult sites of disease would change management, or if diagnosis of relapse remains unclear following standard of care imaging. The role for diagnosis of the primary tumour remains controversial due to low sensitivity and 18FDG-PET should not be considered as a replacement for pathological confirmation in this setting.\nLAY SUMMARY: A positron emission tomography (PET scan), using 18F-fluorodeoxyglucose (18FDG), can help doctors identify areas of cancer in the body by highlighting \"hot spots\". These hotspots may be cancerous (true positive) but may also be non-cancerous, like inflammation (false positive). We show that PET scans are useful to assess how far advanced the cancer is (by assessing spread to lymph glands and to other organs) and also to identify if the cancer has recurred (for example after surgery), thus helping doctors to make treatment decisions. However, a biopsy is still needed for the initial diagnosis of a biliary tract cancer, because of the high chance of a \"false positive\" with PET scans.","container-title":"Journal of Hepatology","DOI":"10.1016/j.jhep.2019.01.038","ISSN":"1600-0641","issue":"1","journalAbbreviation":"J Hepatol","language":"eng","note":"PMID: 30797051","page":"115-129","source":"PubMed","title":"18F-fluorodeoxyglucose positron emission tomography (18FDG-PET) for patients with biliary tract cancer: Systematic review and meta-analysis","title-short":"18F-fluorodeoxyglucose positron emission tomography (18FDG-PET) for patients with biliary tract cancer","volume":"71","author":[{"family":"Lamarca","given":"Angela"},{"family":"Barriuso","given":"Jorge"},{"family":"Chander","given":"Amarjot"},{"family":"McNamara","given":"Mairéad G."},{"family":"Hubner","given":"Richard A."},{"family":"ÓReilly","given":"Derek"},{"family":"Manoharan","given":"Prakash"},{"family":"Valle","given":"Juan W."}],"issued":{"date-parts":[["2019",7]]}},"label":"page"},{"id":167083,"uris":["http://zotero.org/groups/4764298/items/CMGKFNM9"],"itemData":{"id":167083,"type":"article-journal","container-title":"Journal of hepatology","issue":"1","note":"publisher: Elsevier","page":"43–50","source":"Google Scholar","title":"Impact of integrated positron emission tomography and computed tomography on staging and management of gallbladder cancer and cholangiocarcinoma","volume":"45","author":[{"family":"Petrowsky","given":"Henrik"},{"family":"Wildbrett","given":"Peer"},{"family":"Husarik","given":"Daniela B."},{"family":"Hany","given":"Thomas F."},{"family":"Tam","given":"Simona"},{"family":"Jochum","given":"Wolfram"},{"family":"Clavien","given":"Pierre-Alain"}],"issued":{"date-parts":[["2006"]]}},"label":"page"}],"schema":"https://github.com/citation-style-language/schema/raw/master/csl-citation.json"} </w:instrText>
      </w:r>
      <w:r w:rsidR="007F5427" w:rsidRPr="00097824">
        <w:rPr>
          <w:rFonts w:eastAsia="MS Mincho"/>
          <w:shd w:val="clear" w:color="auto" w:fill="FFFFFF"/>
        </w:rPr>
        <w:fldChar w:fldCharType="separate"/>
      </w:r>
      <w:r w:rsidRPr="00097824">
        <w:rPr>
          <w:rFonts w:eastAsia="MS Mincho"/>
        </w:rPr>
        <w:t>[36,37]</w:t>
      </w:r>
      <w:r w:rsidR="007F5427" w:rsidRPr="00097824">
        <w:rPr>
          <w:rFonts w:eastAsia="MS Mincho"/>
          <w:shd w:val="clear" w:color="auto" w:fill="FFFFFF"/>
        </w:rPr>
        <w:fldChar w:fldCharType="end"/>
      </w:r>
      <w:r w:rsidRPr="00097824">
        <w:rPr>
          <w:rFonts w:eastAsia="MS Mincho"/>
          <w:shd w:val="clear" w:color="auto" w:fill="FFFFFF"/>
        </w:rPr>
        <w:t>.</w:t>
      </w:r>
    </w:p>
    <w:p w14:paraId="0AE7CAAF" w14:textId="77777777" w:rsidR="00076E67" w:rsidRPr="00097824" w:rsidRDefault="00076E67" w:rsidP="00D843A3">
      <w:pPr>
        <w:pStyle w:val="32"/>
        <w:ind w:firstLine="0"/>
        <w:rPr>
          <w:color w:val="auto"/>
        </w:rPr>
      </w:pPr>
      <w:r w:rsidRPr="00097824">
        <w:rPr>
          <w:color w:val="auto"/>
        </w:rPr>
        <w:t>Уровень убедительности рекомендаций – В (уровень достоверности доказательств – 2)</w:t>
      </w:r>
    </w:p>
    <w:p w14:paraId="79575F45" w14:textId="32F077CC" w:rsidR="00076E67" w:rsidRPr="00097824" w:rsidRDefault="00076E67" w:rsidP="00AD4A9F">
      <w:pPr>
        <w:pStyle w:val="1"/>
        <w:spacing w:before="0"/>
        <w:ind w:left="397" w:firstLine="357"/>
        <w:rPr>
          <w:lang w:eastAsia="ru-RU"/>
        </w:rPr>
      </w:pPr>
      <w:r w:rsidRPr="00097824">
        <w:rPr>
          <w:lang w:eastAsia="ru-RU"/>
        </w:rPr>
        <w:t xml:space="preserve">При планировании хирургического лечения рекомендуется выполнить лапароскопию </w:t>
      </w:r>
      <w:r w:rsidR="00095AD0" w:rsidRPr="00097824">
        <w:rPr>
          <w:lang w:eastAsia="ru-RU"/>
        </w:rPr>
        <w:t xml:space="preserve">диагностическую </w:t>
      </w:r>
      <w:r w:rsidRPr="00097824">
        <w:rPr>
          <w:lang w:eastAsia="ru-RU"/>
        </w:rPr>
        <w:t xml:space="preserve">для исключения отдаленных метастазов </w:t>
      </w:r>
      <w:r w:rsidRPr="00097824">
        <w:rPr>
          <w:rFonts w:eastAsia="MS Mincho"/>
          <w:shd w:val="clear" w:color="auto" w:fill="FFFFFF"/>
        </w:rPr>
        <w:t>в случае подозрения на их наличие по данным комплексного обследования</w:t>
      </w:r>
      <w:r w:rsidR="007F5427" w:rsidRPr="00097824">
        <w:rPr>
          <w:lang w:eastAsia="ru-RU"/>
        </w:rPr>
        <w:fldChar w:fldCharType="begin"/>
      </w:r>
      <w:r w:rsidRPr="00097824">
        <w:rPr>
          <w:lang w:eastAsia="ru-RU"/>
        </w:rPr>
        <w:instrText xml:space="preserve"> ADDIN ZOTERO_ITEM CSL_CITATION {"citationID":"tKWAnj51","properties":{"formattedCitation":"[2,3,38]","plainCitation":"[2,3,38]","noteIndex":0},"citationItems":[{"id":167068,"uris":["http://zotero.org/groups/4764298/items/LLTLVBZN"],"itemData":{"id":167068,"type":"article-journal","abstract":"Gallbladder cancer is an uncommon cancer that has traditionally been associated with a poor prognosis. In the era of laparoscopic cholecystectomy, incidental gallbladder cancer has dramatically increased and now constitutes the major way patients present with gallbladder cancer. While patients with incidental gallbladder cancer have a better survival than patients with nonincidental gallbladder cancer, incidental gallbladder cancer can be associated with a varied prognosis. Imaging with computed tomography (CT), magnetic resonance imaging (MRI), and [18]F-fluorodeoxyglucose (FDG) positron emission tomography (PET), as well as diagnostic laparoscopy, all have varying roles in the workup of patients with incidental gallbladder cancer. For patients with T1b, T2, and T3 incidental gallbladder cancer re-resection is generally recommended. At re-exploration, many patients with incidental gallbladder cancer will have residual disease. Definitive oncologic management requires re-resection of the liver, portal lymphadenectomy, and attention to the common bile duct. The extent of the hepatic resection should be dictated by the ability to achieve a microscopically negative (R0) margin. Routine resection of the common bile duct is unnecessary but should be undertaken in the setting of a positive cystic duct margin. If an incidental gallbladder cancer is discovered at the time of surgery, whether the surgeon should directly proceed with a more definitive oncologic operation should depend on the surgeon’s skill-set and experience. Gallbladder cancer has a propensity to recur. Although data for adjuvant therapy following resection are limited, some data do suggest a survival benefit for adjuvant chemoradiation therapy. Management of patients with gallbladder cancer requires a multidisciplinary approach with input from a surgeon skilled in hepatobiliary surgery.","container-title":"Annals of Surgical Oncology","DOI":"10.1245/s10434-009-0538-x","ISSN":"1534-4681","issue":"8","journalAbbreviation":"Ann Surg Oncol","language":"en","page":"2101-2115","source":"Springer Link","title":"Evolving Treatment Strategies for Gallbladder Cancer","volume":"16","author":[{"family":"Hueman","given":"Matthew T."},{"family":"Vollmer","given":"Charles M."},{"family":"Pawlik","given":"Timothy M."}],"issued":{"date-parts":[["2009",8,1]]}},"label":"page"},{"id":167069,"uris":["http://zotero.org/groups/4764298/items/AG7F2FV7"],"itemData":{"id":167069,"type":"article-journal","abstract":"Gallbladder cancer, though generally considered rare, is the most common malignancy of the biliary tract, accounting for 80%–95% of biliary tract cancers. An early diagnosis is essential as this malignancy progresses silently with a late diagnosis, often proving fatal. Its carcinogenesis follows a progression through a metaplasia–dysplasia–carcinoma sequence. This comprehensive review focuses on and explores the risks, management, and outcomes for primary gallbladder carcinoma. Epidemiological studies have identified striking geographic and ethnic disparities – inordinately high occurrence in American Indians, elevated in Southeast Asia, yet quite low elsewhere in the Americas and the world. Age, female sex, congenital biliary tract anomalies, and a genetic predisposition represent important risk factors that are immutable. Environmental triggers play a critical role in eliciting cancer developing in the gallbladder, best exemplified by cholelithiasis and chronic inflammation from biliary tract and parasitic infections. Mortality rates closely follow incidence; those countries with the highest prevalence of gallstones experience the greatest mortality from gallbladder cancer. Vague symptoms often delay the diagnosis of gallbladder cancer, contributing to its overall progression and poor outcome. Surgery represents the only potential for cure. Some individuals are fortunate to be incidentally found to have gallbladder cancer at the time of cholecystectomy being performed for cholelithiasis. Such an early diagnosis is imperative as a late presentation connotes advanced staging, nodal involvement, and possible recurrence following attempted resection. Overall mean survival is a mere 6 months, while 5-year survival rate is only 5%. The dismal prognosis, in part, relates to the gallbladder lacking a serosal layer adjacent to the liver, enabling hepatic invasion and metastatic progression. Improved imaging modalities are helping to diagnose patients at an earlier stage. The last decade has witnessed improved outcomes as aggressive surgical management and preoperative adjuvant therapy has helped prolong survival in patients with gallbladder cancer. In the future, the development of potential diagnostic markers for disease will yield screening opportunities for those at risk either with ethnic susceptibility or known anatomic anomalies of the biliary tract. Meanwhile, clarification of the value of prophylactic cholecystectomy should provide an opportunity for secondary prevention. Primary prevention will arrive once the predictive biomarkers and environmental risk factors are more clearly identified.","container-title":"Clinical Epidemiology","DOI":"10.2147/CLEP.S37357","ISSN":"1179-1349","journalAbbreviation":"Clin Epidemiol","note":"PMID: 24634588\nPMCID: PMC3952897","page":"99-109","source":"PubMed Central","title":"Gallbladder cancer: epidemiology and outcome","title-short":"Gallbladder cancer","volume":"6","author":[{"family":"Hundal","given":"Rajveer"},{"family":"Shaffer","given":"Eldon A"}],"issued":{"date-parts":[["2014",3,7]]}},"label":"page"},{"id":166639,"uris":["http://zotero.org/groups/4764298/items/5CQKNTF8"],"itemData":{"id":166639,"type":"article-journal","abstract":"Background\nDespite extensive preoperative staging, still almost half of patients with potentially resectable perihilar cholangiocarcinoma (PHC) have locally advanced or metastasized disease upon exploratory laparotomy. The value of routine staging laparoscopy (SL) in these patients remains unclear with varying results reported in the literature. The aim of the present systematic review was to provide an overview of studies on SL in PHC and to define its current role in preoperative staging.\n\nMethods\nA systematic review and meta-analysis were performed in PubMed and EMBASE regarding studies providing data on the diagnostic accuracy of SL in PHC. Primary outcome measures were the overall yield and sensitivity to detect unresectable disease. Secondary outcomes were the yield and sensitivity for recent studies (after 2010) and large study cohorts (≥100 patients) and specific (metastatic) lesions. Methodological quality of studies was assessed with the Quality Assessment of Diagnostic Accuracy Studies tool.\n\nResults\nFrom 173 records, 12 studies including 832 patients met the inclusion criteria. The yield of SL in PHC varied from 6.4 to 45.0 % with a pooled yield of 24.4 % [95 % confidence interval (CI) 16.4–33.4]. Sensitivity to detect unresectable disease ranged from 31.6 to 75 % with a pooled sensitivity of 52.2 % (95 % CI 47.1–57.2). Sensitivity was highest for peritoneal metastases (80.7 %, 95 % CI 70.9–88.3). Subgroup analysis revealed that the yield and sensitivity tended to be lower for studies after 2010. Considerable heterogeneity was detected among the studies.\n\nConclusions\nThe results of the pooled analyses suggest that one in four patients with potentially resectable PHC benefits from SL. Given considerable heterogeneity, a trend to lower yield in more recent studies and further improvement of preoperative imaging over time, the routine use of SL seems discouraging. Studies that identify predictors of unresectability, that enable selection of patients who will benefit the most from this procedure, are needed.\n\nElectronic supplementary material\nThe online version of this article (doi:10.1007/s00464-016-4788-y) contains supplementary material, which is available to authorized users.","container-title":"Surgical Endoscopy","DOI":"10.1007/s00464-016-4788-y","ISSN":"0930-2794","issue":"10","journalAbbreviation":"Surg Endosc","note":"PMID: 26895909\nPMCID: PMC5009158","page":"4163-4173","source":"PubMed Central","title":"Diagnostic accuracy of staging laparoscopy for detecting metastasized or locally advanced perihilar cholangiocarcinoma: a systematic review and meta-analysis","title-short":"Diagnostic accuracy of staging laparoscopy for detecting metastasized or locally advanced perihilar cholangiocarcinoma","volume":"30","author":[{"family":"Coelen","given":"Robert J. S."},{"family":"Ruys","given":"Anthony T."},{"family":"Besselink","given":"Marc G. H."},{"family":"Busch","given":"Olivier R. C."},{"family":"Gulik","given":"Thomas M.","non-dropping-particle":"van"}],"issued":{"date-parts":[["2016"]]}},"label":"page"}],"schema":"https://github.com/citation-style-language/schema/raw/master/csl-citation.json"} </w:instrText>
      </w:r>
      <w:r w:rsidR="007F5427" w:rsidRPr="00097824">
        <w:rPr>
          <w:lang w:eastAsia="ru-RU"/>
        </w:rPr>
        <w:fldChar w:fldCharType="separate"/>
      </w:r>
      <w:r w:rsidRPr="00097824">
        <w:t>[2,3,38]</w:t>
      </w:r>
      <w:r w:rsidR="007F5427" w:rsidRPr="00097824">
        <w:rPr>
          <w:lang w:eastAsia="ru-RU"/>
        </w:rPr>
        <w:fldChar w:fldCharType="end"/>
      </w:r>
      <w:r w:rsidRPr="00097824">
        <w:rPr>
          <w:lang w:eastAsia="ru-RU"/>
        </w:rPr>
        <w:t>.</w:t>
      </w:r>
    </w:p>
    <w:p w14:paraId="27EECB66" w14:textId="0A1F2B6A" w:rsidR="00076E67" w:rsidRPr="00097824" w:rsidRDefault="00076E67" w:rsidP="00D843A3">
      <w:pPr>
        <w:pStyle w:val="32"/>
        <w:ind w:firstLine="0"/>
        <w:rPr>
          <w:b w:val="0"/>
          <w:color w:val="auto"/>
        </w:rPr>
      </w:pPr>
      <w:r w:rsidRPr="00097824">
        <w:rPr>
          <w:color w:val="auto"/>
        </w:rPr>
        <w:t xml:space="preserve">Уровень убедительности рекомендаций – </w:t>
      </w:r>
      <w:r w:rsidRPr="00097824">
        <w:rPr>
          <w:color w:val="auto"/>
          <w:lang w:val="en-GB"/>
        </w:rPr>
        <w:t>B</w:t>
      </w:r>
      <w:r w:rsidRPr="00097824">
        <w:rPr>
          <w:color w:val="auto"/>
        </w:rPr>
        <w:t xml:space="preserve"> </w:t>
      </w:r>
      <w:r w:rsidR="007F5427" w:rsidRPr="00097824">
        <w:rPr>
          <w:b w:val="0"/>
          <w:color w:val="auto"/>
        </w:rPr>
        <w:t>(уровень достоверности доказательств - 2)</w:t>
      </w:r>
    </w:p>
    <w:p w14:paraId="5881BD96" w14:textId="1FBEAD13" w:rsidR="001954A9" w:rsidRPr="00097824" w:rsidRDefault="007F5427" w:rsidP="00D843A3">
      <w:pPr>
        <w:widowControl w:val="0"/>
        <w:autoSpaceDE w:val="0"/>
        <w:autoSpaceDN w:val="0"/>
        <w:adjustRightInd w:val="0"/>
        <w:ind w:firstLine="0"/>
        <w:rPr>
          <w:rFonts w:eastAsia="Times New Roman"/>
          <w:i/>
          <w:noProof/>
          <w:szCs w:val="24"/>
          <w:lang w:eastAsia="ru-RU"/>
        </w:rPr>
      </w:pPr>
      <w:r w:rsidRPr="00097824">
        <w:rPr>
          <w:rFonts w:eastAsia="Times New Roman"/>
          <w:b/>
          <w:szCs w:val="24"/>
          <w:lang w:eastAsia="ru-RU"/>
        </w:rPr>
        <w:t xml:space="preserve">Комментарий: </w:t>
      </w:r>
      <w:r w:rsidRPr="00097824">
        <w:rPr>
          <w:rFonts w:eastAsia="Times New Roman"/>
          <w:i/>
          <w:noProof/>
          <w:szCs w:val="24"/>
          <w:lang w:eastAsia="ru-RU"/>
        </w:rPr>
        <w:t xml:space="preserve">В связи с высокой частотой перитонеального диссеминирования у больных раком жечного пузыря данный метод позволяет отказаться от неоправданной </w:t>
      </w:r>
      <w:r w:rsidR="00784E03" w:rsidRPr="00097824">
        <w:rPr>
          <w:rFonts w:eastAsia="Times New Roman"/>
          <w:i/>
          <w:noProof/>
          <w:szCs w:val="24"/>
          <w:lang w:eastAsia="ru-RU"/>
        </w:rPr>
        <w:lastRenderedPageBreak/>
        <w:t xml:space="preserve">лапаротомии </w:t>
      </w:r>
      <w:r w:rsidRPr="00097824">
        <w:rPr>
          <w:rFonts w:eastAsia="Times New Roman"/>
          <w:i/>
          <w:noProof/>
          <w:szCs w:val="24"/>
          <w:lang w:eastAsia="ru-RU"/>
        </w:rPr>
        <w:t>у трети пациентов, которые по результатам МРТ/КТ/ПЭТ-КТ представляются  резектабельными</w:t>
      </w:r>
      <w:r w:rsidRPr="00097824">
        <w:rPr>
          <w:rFonts w:eastAsia="Times New Roman"/>
          <w:i/>
          <w:szCs w:val="24"/>
          <w:lang w:eastAsia="ru-RU"/>
        </w:rPr>
        <w:fldChar w:fldCharType="begin"/>
      </w:r>
      <w:r w:rsidRPr="00097824">
        <w:rPr>
          <w:rFonts w:eastAsia="Times New Roman"/>
          <w:i/>
          <w:szCs w:val="24"/>
          <w:lang w:eastAsia="ru-RU"/>
        </w:rPr>
        <w:instrText xml:space="preserve"> ADDIN ZOTERO_ITEM CSL_CITATION {"citationID":"yHp8DzAT","properties":{"formattedCitation":"[2,39]","plainCitation":"[2,39]","noteIndex":0},"citationItems":[{"id":167068,"uris":["http://zotero.org/groups/4764298/items/LLTLVBZN"],"itemData":{"id":167068,"type":"article-journal","abstract":"Gallbladder cancer is an uncommon cancer that has traditionally been associated with a poor prognosis. In the era of laparoscopic cholecystectomy, incidental gallbladder cancer has dramatically increased and now constitutes the major way patients present with gallbladder cancer. While patients with incidental gallbladder cancer have a better survival than patients with nonincidental gallbladder cancer, incidental gallbladder cancer can be associated with a varied prognosis. Imaging with computed tomography (CT), magnetic resonance imaging (MRI), and [18]F-fluorodeoxyglucose (FDG) positron emission tomography (PET), as well as diagnostic laparoscopy, all have varying roles in the workup of patients with incidental gallbladder cancer. For patients with T1b, T2, and T3 incidental gallbladder cancer re-resection is generally recommended. At re-exploration, many patients with incidental gallbladder cancer will have residual disease. Definitive oncologic management requires re-resection of the liver, portal lymphadenectomy, and attention to the common bile duct. The extent of the hepatic resection should be dictated by the ability to achieve a microscopically negative (R0) margin. Routine resection of the common bile duct is unnecessary but should be undertaken in the setting of a positive cystic duct margin. If an incidental gallbladder cancer is discovered at the time of surgery, whether the surgeon should directly proceed with a more definitive oncologic operation should depend on the surgeon’s skill-set and experience. Gallbladder cancer has a propensity to recur. Although data for adjuvant therapy following resection are limited, some data do suggest a survival benefit for adjuvant chemoradiation therapy. Management of patients with gallbladder cancer requires a multidisciplinary approach with input from a surgeon skilled in hepatobiliary surgery.","container-title":"Annals of Surgical Oncology","DOI":"10.1245/s10434-009-0538-x","ISSN":"1534-4681","issue":"8","journalAbbreviation":"Ann Surg Oncol","language":"en","page":"2101-2115","source":"Springer Link","title":"Evolving Treatment Strategies for Gallbladder Cancer","volume":"16","author":[{"family":"Hueman","given":"Matthew T."},{"family":"Vollmer","given":"Charles M."},{"family":"Pawlik","given":"Timothy M."}],"issued":{"date-parts":[["2009",8,1]]}}},{"id":167084,"uris":["http://zotero.org/groups/4764298/items/EGWL3LMX"],"itemData":{"id":167084,"type":"article-journal","container-title":"Archives of Surgery","issue":"10","note":"publisher: American Medical Association","page":"1143–1147","source":"Google Scholar","title":"Reassessing the need for prophylactic surgery in patients with porcelain gallbladder: case series and systematic review of the literature","title-short":"Reassessing the need for prophylactic surgery in patients with porcelain gallbladder","volume":"146","author":[{"family":"Khan","given":"Zarrish S."},{"family":"Livingston","given":"Edward H."},{"family":"Huerta","given":"Sergio"}],"issued":{"date-parts":[["2011"]]}}}],"schema":"https://github.com/citation-style-language/schema/raw/master/csl-citation.json"} </w:instrText>
      </w:r>
      <w:r w:rsidRPr="00097824">
        <w:rPr>
          <w:rFonts w:eastAsia="Times New Roman"/>
          <w:i/>
          <w:szCs w:val="24"/>
          <w:lang w:eastAsia="ru-RU"/>
        </w:rPr>
        <w:fldChar w:fldCharType="separate"/>
      </w:r>
      <w:r w:rsidRPr="00097824">
        <w:t>[2,39]</w:t>
      </w:r>
      <w:r w:rsidRPr="00097824">
        <w:rPr>
          <w:rFonts w:eastAsia="Times New Roman"/>
          <w:i/>
          <w:szCs w:val="24"/>
          <w:lang w:eastAsia="ru-RU"/>
        </w:rPr>
        <w:fldChar w:fldCharType="end"/>
      </w:r>
      <w:r w:rsidRPr="00097824">
        <w:rPr>
          <w:rFonts w:eastAsia="Times New Roman"/>
          <w:i/>
          <w:noProof/>
          <w:szCs w:val="24"/>
          <w:lang w:eastAsia="ru-RU"/>
        </w:rPr>
        <w:t>.</w:t>
      </w:r>
    </w:p>
    <w:p w14:paraId="7ACFCCB3" w14:textId="77777777" w:rsidR="00E6604A" w:rsidRPr="00097824" w:rsidRDefault="00E6604A" w:rsidP="00AD4A9F">
      <w:pPr>
        <w:widowControl w:val="0"/>
        <w:autoSpaceDE w:val="0"/>
        <w:autoSpaceDN w:val="0"/>
        <w:adjustRightInd w:val="0"/>
        <w:ind w:left="397" w:firstLine="357"/>
        <w:rPr>
          <w:rFonts w:eastAsia="MS Mincho"/>
          <w:szCs w:val="24"/>
          <w:shd w:val="clear" w:color="auto" w:fill="FFFFFF"/>
        </w:rPr>
      </w:pPr>
    </w:p>
    <w:p w14:paraId="04531503" w14:textId="77777777" w:rsidR="00CD17D7" w:rsidRPr="00097824" w:rsidRDefault="00CD17D7" w:rsidP="00AD4A9F">
      <w:pPr>
        <w:pStyle w:val="10"/>
        <w:spacing w:before="0"/>
        <w:ind w:left="397" w:firstLine="357"/>
      </w:pPr>
      <w:bookmarkStart w:id="72" w:name="_Toc11747742"/>
      <w:bookmarkStart w:id="73" w:name="_Toc23142730"/>
      <w:bookmarkStart w:id="74" w:name="_Toc113198768"/>
      <w:bookmarkStart w:id="75" w:name="_Toc113205059"/>
      <w:r w:rsidRPr="00097824">
        <w:t xml:space="preserve">3. </w:t>
      </w:r>
      <w:bookmarkEnd w:id="71"/>
      <w:bookmarkEnd w:id="72"/>
      <w:bookmarkEnd w:id="73"/>
      <w:r w:rsidR="00F75E46" w:rsidRPr="00097824">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74"/>
      <w:bookmarkEnd w:id="75"/>
    </w:p>
    <w:p w14:paraId="0259CEB0" w14:textId="55B9612C" w:rsidR="00275615" w:rsidRPr="00097824" w:rsidRDefault="00275615" w:rsidP="00AD4A9F">
      <w:pPr>
        <w:pStyle w:val="1"/>
        <w:spacing w:before="0"/>
        <w:ind w:left="397" w:firstLine="357"/>
      </w:pPr>
      <w:bookmarkStart w:id="76" w:name="_Toc469402341"/>
      <w:bookmarkStart w:id="77" w:name="_Toc468273538"/>
      <w:bookmarkStart w:id="78" w:name="_Toc468273456"/>
      <w:bookmarkEnd w:id="76"/>
      <w:bookmarkEnd w:id="77"/>
      <w:bookmarkEnd w:id="78"/>
      <w:r w:rsidRPr="00097824">
        <w:t>Рекомендуется рассматривать хирургическое вмешательство</w:t>
      </w:r>
      <w:r w:rsidR="00E06867" w:rsidRPr="00097824">
        <w:t>,</w:t>
      </w:r>
      <w:r w:rsidRPr="00097824">
        <w:t xml:space="preserve"> как основной метод радикального лечения </w:t>
      </w:r>
      <w:r w:rsidR="00C41C25" w:rsidRPr="00097824">
        <w:t xml:space="preserve">больных </w:t>
      </w:r>
      <w:r w:rsidR="007F5427" w:rsidRPr="00097824">
        <w:t xml:space="preserve">раком </w:t>
      </w:r>
      <w:proofErr w:type="spellStart"/>
      <w:r w:rsidR="007F5427" w:rsidRPr="00097824">
        <w:t>билиарного</w:t>
      </w:r>
      <w:proofErr w:type="spellEnd"/>
      <w:r w:rsidR="007F5427" w:rsidRPr="00097824">
        <w:t xml:space="preserve"> тракта</w:t>
      </w:r>
      <w:r w:rsidR="007F5427" w:rsidRPr="00097824">
        <w:rPr>
          <w:lang w:val="en-GB"/>
        </w:rPr>
        <w:fldChar w:fldCharType="begin"/>
      </w:r>
      <w:r w:rsidR="00D529A9" w:rsidRPr="00097824">
        <w:instrText xml:space="preserve"> ADDIN ZOTERO_ITEM CSL_CITATION {"citationID":"kCaFrnwZ","properties":{"formattedCitation":"[10,45,46]","plainCitation":"[10,45,46]","noteIndex":0},"citationItems":[{"id":166676,"uris":["http://zotero.org/groups/4764298/items/HLCDHDCZ"],"itemData":{"id":166676,"type":"article-journal","container-title":"Annals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166831,"uris":["http://zotero.org/groups/4764298/items/IT742NCS"],"itemData":{"id":166831,"type":"article-journal","container-title":"Hepatobiliary &amp; Pancreatic Diseases International","issue":"1","note":"publisher: Elsevier","page":"10–20","source":"Google Scholar","title":"Cholangiocarcinoma: principles and current trends","title-short":"Cholangiocarcinoma","volume":"10","author":[{"family":"Zografos","given":"George N."},{"family":"Farfaras","given":"Athanasios"},{"family":"Zagouri","given":"Flora"},{"family":"Chrysikos","given":"Dimosthenis"},{"family":"Karaliotas","given":"Kostas"}],"issued":{"date-parts":[["2011"]]}},"label":"page"},{"id":167029,"uris":["http://zotero.org/groups/4764298/items/GCY965NJ"],"itemData":{"id":167029,"type":"article-journal","abstract":"Objective: To evaluate existing evidence regarding surgical treatments for gallbladder cancer in a Health Technology Assessment. A specific aim was to evaluate whether extended surgery regarding liver, lymph nodes, bile duct, and adjacent organs compared with cholecystectomy alone in the adult patient with gallbladder cancer in early and late stages implies improved survival.Methods: In April 2015 and updated in June 2016, a systematic literature search was conducted in PubMed, Embase, and the Cochrane Library. Two authors independently screened titles, abstracts, and full-text articles. The certainty of evidence was evaluated according to GRADE.Main results: Forty-four observational studies (non-randomised, controlled studies) and seven case series were included. Radical resection, including liver and lymph node resection, compared with cholecystectomy alone showed significantly better survival for patients with stages T1b and above. All studies had serious study limitations and the certainty of evidence was very low (GRADE </w:instrText>
      </w:r>
      <w:r w:rsidR="00D529A9" w:rsidRPr="00097824">
        <w:rPr>
          <w:rFonts w:ascii="Cambria Math" w:hAnsi="Cambria Math" w:cs="Cambria Math"/>
        </w:rPr>
        <w:instrText>⊕</w:instrText>
      </w:r>
      <w:r w:rsidR="00D529A9" w:rsidRPr="00097824">
        <w:instrText xml:space="preserve">○○○). A survival benefit seen in patients with stage T1b or higher with lymph node resection, was most evident in stage T2, but the certainty of evidence was low (GRADE </w:instrText>
      </w:r>
      <w:r w:rsidR="00D529A9" w:rsidRPr="00097824">
        <w:rPr>
          <w:rFonts w:ascii="Cambria Math" w:hAnsi="Cambria Math" w:cs="Cambria Math"/>
        </w:rPr>
        <w:instrText>⊕⊕</w:instrText>
      </w:r>
      <w:r w:rsidR="00D529A9" w:rsidRPr="00097824">
        <w:instrText xml:space="preserve">○○). It is uncertain whether routine bile duct resections improve overall survival in patients with gallbladder cancer stage T2–T4 (GRADE </w:instrText>
      </w:r>
      <w:r w:rsidR="00D529A9" w:rsidRPr="00097824">
        <w:rPr>
          <w:rFonts w:ascii="Cambria Math" w:hAnsi="Cambria Math" w:cs="Cambria Math"/>
        </w:rPr>
        <w:instrText>⊕</w:instrText>
      </w:r>
      <w:r w:rsidR="00D529A9" w:rsidRPr="00097824">
        <w:instrText xml:space="preserve">○○○).Conclusion: Data indicate that prognosis can be improved if liver resection and lymph node resection is performed in patients with tumour stage T1b or higher. There is no evidence supporting resection of the bile duct or adjacent organs if it is not necessary in order to achieve radicality.","container-title":"Scandinavian Journal of Gastroenterology","DOI":"10.1080/00365521.2017.1284895","ISSN":"0036-5521","issue":"5","note":"publisher: Taylor &amp; Francis\n_eprint: https://doi.org/10.1080/00365521.2017.1284895\nPMID: 28270039","page":"505-514","source":"Taylor and Francis+NEJM","title":"Surgical treatment for gallbladder cancer – a systematic literature review","volume":"52","author":[{"family":"Sternby Eilard","given":"Malin"},{"family":"Lundgren","given":"Linda"},{"family":"Cahlin","given":"Christian"},{"family":"Strandell","given":"Annika"},{"family":"Svanberg","given":"Therese"},{"family":"Sandström","given":"Per"}],"issued":{"date-parts":[["2017",5,4]]}},"label":"page"}],"schema":"https://github.com/citation-style-language/schema/raw/master/csl-citation.json"} </w:instrText>
      </w:r>
      <w:r w:rsidR="007F5427" w:rsidRPr="00097824">
        <w:rPr>
          <w:lang w:val="en-GB"/>
        </w:rPr>
        <w:fldChar w:fldCharType="separate"/>
      </w:r>
      <w:r w:rsidR="00D529A9" w:rsidRPr="00097824">
        <w:t>[10,45,46]</w:t>
      </w:r>
      <w:r w:rsidR="007F5427" w:rsidRPr="00097824">
        <w:rPr>
          <w:lang w:val="en-GB"/>
        </w:rPr>
        <w:fldChar w:fldCharType="end"/>
      </w:r>
      <w:r w:rsidRPr="00097824">
        <w:t>.</w:t>
      </w:r>
    </w:p>
    <w:p w14:paraId="4A5AEB10" w14:textId="267C2412" w:rsidR="00275615" w:rsidRPr="00097824" w:rsidRDefault="007F5427" w:rsidP="00A37046">
      <w:pPr>
        <w:pStyle w:val="32"/>
        <w:spacing w:after="240"/>
        <w:ind w:firstLine="0"/>
        <w:rPr>
          <w:color w:val="auto"/>
        </w:rPr>
      </w:pPr>
      <w:r w:rsidRPr="00097824">
        <w:rPr>
          <w:color w:val="auto"/>
        </w:rPr>
        <w:t xml:space="preserve">Уровень убедительности рекомендаций – </w:t>
      </w:r>
      <w:r w:rsidR="005B6334" w:rsidRPr="00097824">
        <w:rPr>
          <w:color w:val="auto"/>
        </w:rPr>
        <w:t xml:space="preserve">С </w:t>
      </w:r>
      <w:r w:rsidRPr="00097824">
        <w:rPr>
          <w:color w:val="auto"/>
        </w:rPr>
        <w:t xml:space="preserve">(уровень достоверности доказательств – </w:t>
      </w:r>
      <w:r w:rsidR="005B6334" w:rsidRPr="00097824">
        <w:rPr>
          <w:color w:val="auto"/>
        </w:rPr>
        <w:t>5</w:t>
      </w:r>
      <w:r w:rsidRPr="00097824">
        <w:rPr>
          <w:color w:val="auto"/>
        </w:rPr>
        <w:t>)</w:t>
      </w:r>
    </w:p>
    <w:p w14:paraId="1CF89657" w14:textId="77777777" w:rsidR="00B51369" w:rsidRPr="00097824" w:rsidRDefault="00E26B66" w:rsidP="00CC2BE1">
      <w:pPr>
        <w:pStyle w:val="2"/>
        <w:numPr>
          <w:ilvl w:val="0"/>
          <w:numId w:val="8"/>
        </w:numPr>
        <w:spacing w:before="0"/>
        <w:ind w:left="397" w:firstLine="357"/>
      </w:pPr>
      <w:bookmarkStart w:id="79" w:name="_Toc23142731"/>
      <w:bookmarkStart w:id="80" w:name="_Toc113198769"/>
      <w:bookmarkStart w:id="81" w:name="_Toc113205060"/>
      <w:r w:rsidRPr="00097824">
        <w:t>Предоперационное лечение</w:t>
      </w:r>
      <w:bookmarkEnd w:id="79"/>
      <w:bookmarkEnd w:id="80"/>
      <w:bookmarkEnd w:id="81"/>
    </w:p>
    <w:p w14:paraId="3449D254" w14:textId="78051E3C" w:rsidR="00D630AE" w:rsidRPr="00097824" w:rsidRDefault="00C52E66" w:rsidP="00CC2BE1">
      <w:pPr>
        <w:pStyle w:val="-12"/>
        <w:numPr>
          <w:ilvl w:val="0"/>
          <w:numId w:val="35"/>
        </w:numPr>
        <w:ind w:left="397" w:firstLine="357"/>
      </w:pPr>
      <w:r w:rsidRPr="00097824">
        <w:t>П</w:t>
      </w:r>
      <w:r w:rsidR="00275615" w:rsidRPr="00097824">
        <w:t>ри наличии явлений механической желтухи рекомендуется провести предоперационную декомпрессию желчевыводящих путей (чрескожная</w:t>
      </w:r>
      <w:r w:rsidR="00611BE5" w:rsidRPr="00097824">
        <w:t xml:space="preserve"> </w:t>
      </w:r>
      <w:proofErr w:type="spellStart"/>
      <w:r w:rsidR="00275615" w:rsidRPr="00097824">
        <w:t>чре</w:t>
      </w:r>
      <w:r w:rsidR="0096105F" w:rsidRPr="00097824">
        <w:t>с</w:t>
      </w:r>
      <w:r w:rsidR="00275615" w:rsidRPr="00097824">
        <w:t>печеночная</w:t>
      </w:r>
      <w:proofErr w:type="spellEnd"/>
      <w:r w:rsidR="00EF33E5" w:rsidRPr="00097824">
        <w:t xml:space="preserve"> </w:t>
      </w:r>
      <w:proofErr w:type="spellStart"/>
      <w:r w:rsidR="00275615" w:rsidRPr="00097824">
        <w:t>холангиостомия</w:t>
      </w:r>
      <w:proofErr w:type="spellEnd"/>
      <w:r w:rsidR="00275615" w:rsidRPr="00097824">
        <w:t xml:space="preserve">, </w:t>
      </w:r>
      <w:r w:rsidR="00FE1DF4" w:rsidRPr="00097824">
        <w:t>эндоскопическое</w:t>
      </w:r>
      <w:r w:rsidR="00095AD0" w:rsidRPr="00097824">
        <w:t xml:space="preserve"> </w:t>
      </w:r>
      <w:proofErr w:type="spellStart"/>
      <w:r w:rsidR="00275615" w:rsidRPr="00097824">
        <w:t>назобилиарное</w:t>
      </w:r>
      <w:proofErr w:type="spellEnd"/>
      <w:r w:rsidR="00275615" w:rsidRPr="00097824">
        <w:t xml:space="preserve"> дренирование, </w:t>
      </w:r>
      <w:r w:rsidR="00DC6DF6" w:rsidRPr="00097824">
        <w:t>ретрогр</w:t>
      </w:r>
      <w:r w:rsidR="007E19DA" w:rsidRPr="00097824">
        <w:t>а</w:t>
      </w:r>
      <w:r w:rsidR="00DC6DF6" w:rsidRPr="00097824">
        <w:t>дное</w:t>
      </w:r>
      <w:r w:rsidR="00EF33E5" w:rsidRPr="00097824">
        <w:t xml:space="preserve"> </w:t>
      </w:r>
      <w:r w:rsidR="00275615" w:rsidRPr="00097824">
        <w:t>стентирование)</w:t>
      </w:r>
      <w:r w:rsidR="00EF33E5" w:rsidRPr="00097824">
        <w:t xml:space="preserve"> </w:t>
      </w:r>
      <w:r w:rsidR="00FA7634" w:rsidRPr="00097824">
        <w:t xml:space="preserve">с целью </w:t>
      </w:r>
      <w:r w:rsidR="00A720BF" w:rsidRPr="00097824">
        <w:t>купирования механической желтухи</w:t>
      </w:r>
      <w:r w:rsidR="00C430E8" w:rsidRPr="00097824">
        <w:t xml:space="preserve"> </w:t>
      </w:r>
      <w:r w:rsidR="007F5427" w:rsidRPr="00097824">
        <w:fldChar w:fldCharType="begin"/>
      </w:r>
      <w:r w:rsidR="00D529A9" w:rsidRPr="00097824">
        <w:instrText xml:space="preserve"> ADDIN ZOTERO_ITEM CSL_CITATION {"citationID":"eE7lOS6o","properties":{"unsorted":true,"formattedCitation":"[51\\uc0\\u8211{}53]","plainCitation":"[51–53]","noteIndex":0},"citationItems":[{"id":166634,"uris":["http://zotero.org/groups/4764298/items/CXM5R8TV"],"itemData":{"id":166634,"type":"article-journal","abstract":"Although percutaneous transhepatic biliary drainage has previously been recommended as a primary preoperative step, endoscopic nasobiliary drainage (ENBD) is prevalent as an alternative procedure. Few reports assess the efficacy and safety of ENBD in a substantial patient cohort.","container-title":"Journal of Hepato-Biliary-Pancreatic Surgery","DOI":"10.1007/s00534-009-0076-8","ISSN":"1436-0691","issue":"4","journalAbbreviation":"J Hepatobiliary Pancreat Surg","language":"en","page":"473-477","source":"Springer Link","title":"Efficacy of preoperative endoscopic nasobiliary drainage for hilar cholangiocarcinoma","volume":"16","author":[{"family":"Arakura","given":"Norikazu"},{"family":"Takayama","given":"Mari"},{"family":"Ozaki","given":"Yayoi"},{"family":"Maruyama","given":"Masafumi"},{"family":"Chou","given":"Yoshimi"},{"family":"Kodama","given":"Ryou"},{"family":"Ochi","given":"Yasuhide"},{"family":"Hamano","given":"Hideaki"},{"family":"Nakata","given":"Takenari"},{"family":"Kajikawa","given":"Shouji"},{"family":"Tanaka","given":"Eiji"},{"family":"Kawa","given":"Shigeyuki"}],"issued":{"date-parts":[["2009",7,1]]}},"label":"page"},{"id":167115,"uris":["http://zotero.org/groups/4764298/items/8XITI2RV"],"itemData":{"id":167115,"type":"article-journal","container-title":"Журнал им. НВ Склифосовского Неотложная медицинская помощь","issue":"2","note":"publisher: Межрегиональная общественная организация «Научно-практическое общество …","page":"54–58","source":"Google Scholar","title":"Значение малоинвазивных методов декомпрессии желчных протоков в лечении больных с механической желтухой","author":[{"family":"Завражнов","given":"Анатолий Анатольевич"},{"family":"Попов","given":"А. Ю."},{"family":"Петровский","given":"А. Н."},{"family":"Лищенко","given":"А. Н."},{"family":"Быков","given":"М. И."},{"family":"Попов","given":"П. В."},{"family":"Лищишин","given":"В. Я."}],"issued":{"date-parts":[["2012"]]}},"label":"page"},{"id":167196,"uris":["http://zotero.org/groups/4764298/items/885YFB9N"],"itemData":{"id":167196,"type":"article-journal","abstract":"In patients requiring surgical resection for malignant biliary jaundice, it is unclear if preoperative biliary drainage (PBD) would improve mortality and morbidity by restoration of biliary flow prior to operation. This is a meta-analysis to pool the evidence and assess the utility of PBD in patients with malignant obstructive jaundice. The primary outcome is comparing mortality outcomes in patients with malignant obstructive jaundice undergoing direct surgery (DS) versus PBD. The secondary outcomes include major adverse events and length of hospital stay in both the groups.","container-title":"World Journal of Surgical Oncology","DOI":"10.1186/s12957-016-0933-2","ISSN":"1477-7819","issue":"1","journalAbbreviation":"World Journal of Surgical Oncology","page":"182","source":"BioMed Central","title":"Efficacy of preoperative biliary drainage in malignant obstructive jaundice: a meta-analysis and systematic review","title-short":"Efficacy of preoperative biliary drainage in malignant obstructive jaundice","volume":"14","author":[{"family":"Moole","given":"Harsha"},{"family":"Bechtold","given":"Matthew"},{"family":"Puli","given":"Srinivas R."}],"issued":{"date-parts":[["2016",7,11]]}}}],"schema":"https://github.com/citation-style-language/schema/raw/master/csl-citation.json"} </w:instrText>
      </w:r>
      <w:r w:rsidR="007F5427" w:rsidRPr="00097824">
        <w:fldChar w:fldCharType="separate"/>
      </w:r>
      <w:r w:rsidR="00D529A9" w:rsidRPr="00097824">
        <w:t>[51–53]</w:t>
      </w:r>
      <w:r w:rsidR="007F5427" w:rsidRPr="00097824">
        <w:fldChar w:fldCharType="end"/>
      </w:r>
      <w:r w:rsidR="00EF6ADA" w:rsidRPr="00097824">
        <w:t>.</w:t>
      </w:r>
      <w:r w:rsidR="00EF6ADA" w:rsidRPr="00097824">
        <w:rPr>
          <w:i/>
        </w:rPr>
        <w:t xml:space="preserve"> </w:t>
      </w:r>
      <w:r w:rsidR="007F5427" w:rsidRPr="00097824">
        <w:t>В клинической практике рекомендуется выбирать вид дренирования, исходя из уровня блока желчных протоков, цели дренирования (для последующего хирургического или паллиативного лечения)</w:t>
      </w:r>
      <w:r w:rsidR="007B033B" w:rsidRPr="00097824">
        <w:t>,</w:t>
      </w:r>
      <w:r w:rsidR="007F5427" w:rsidRPr="00097824">
        <w:t xml:space="preserve"> технологических возможностей клиники и опыта персонала [143].</w:t>
      </w:r>
    </w:p>
    <w:p w14:paraId="40D72F49" w14:textId="14C7AB6E" w:rsidR="00D630AE" w:rsidRPr="00097824" w:rsidRDefault="007F5427" w:rsidP="0096386D">
      <w:pPr>
        <w:pStyle w:val="32"/>
        <w:spacing w:after="240"/>
        <w:ind w:firstLine="0"/>
        <w:rPr>
          <w:color w:val="auto"/>
        </w:rPr>
      </w:pPr>
      <w:r w:rsidRPr="00097824">
        <w:rPr>
          <w:color w:val="auto"/>
        </w:rPr>
        <w:t>Уровень убедительности рекомендаций – С (уровень достоверности доказательств –2)</w:t>
      </w:r>
    </w:p>
    <w:p w14:paraId="1A3DDF62" w14:textId="316888A1" w:rsidR="00D630AE" w:rsidRPr="00097824" w:rsidRDefault="00EF6ADA" w:rsidP="00CC2BE1">
      <w:pPr>
        <w:pStyle w:val="-12"/>
        <w:numPr>
          <w:ilvl w:val="0"/>
          <w:numId w:val="35"/>
        </w:numPr>
        <w:ind w:left="397" w:firstLine="357"/>
        <w:rPr>
          <w:i/>
        </w:rPr>
      </w:pPr>
      <w:r w:rsidRPr="00097824">
        <w:t>П</w:t>
      </w:r>
      <w:r w:rsidR="00C725C0" w:rsidRPr="00097824">
        <w:t xml:space="preserve">ри I и II типе блока по </w:t>
      </w:r>
      <w:proofErr w:type="spellStart"/>
      <w:r w:rsidR="00E06867" w:rsidRPr="00097824">
        <w:t>Bismuth</w:t>
      </w:r>
      <w:proofErr w:type="spellEnd"/>
      <w:r w:rsidR="00E06867" w:rsidRPr="00097824" w:rsidDel="00E06867">
        <w:t xml:space="preserve"> </w:t>
      </w:r>
      <w:r w:rsidR="007B033B" w:rsidRPr="00097824">
        <w:t>у больных раком проксимального отдела внепеченочных желчных протоков</w:t>
      </w:r>
      <w:r w:rsidR="00C725C0" w:rsidRPr="00097824">
        <w:t xml:space="preserve"> </w:t>
      </w:r>
      <w:r w:rsidR="00F3183E" w:rsidRPr="00097824">
        <w:t>рекомендуется</w:t>
      </w:r>
      <w:r w:rsidR="00C725C0" w:rsidRPr="00097824">
        <w:t xml:space="preserve"> отдавать предпочтение эндоскопическому ретроградному доступу для </w:t>
      </w:r>
      <w:proofErr w:type="spellStart"/>
      <w:r w:rsidR="00C725C0" w:rsidRPr="00097824">
        <w:t>билиарной</w:t>
      </w:r>
      <w:proofErr w:type="spellEnd"/>
      <w:r w:rsidR="00EF33E5" w:rsidRPr="00097824">
        <w:t xml:space="preserve"> </w:t>
      </w:r>
      <w:r w:rsidR="00AC3207" w:rsidRPr="00097824">
        <w:t>декомпрессии</w:t>
      </w:r>
      <w:r w:rsidR="00C725C0" w:rsidRPr="00097824">
        <w:t xml:space="preserve"> при условии соответствующего оснащения лечебного учреждения аппаратурой и опытными специалистами по оперативной эндоскопии</w:t>
      </w:r>
      <w:r w:rsidR="001F2C2A" w:rsidRPr="00097824">
        <w:t xml:space="preserve"> [190]</w:t>
      </w:r>
      <w:r w:rsidR="00C725C0" w:rsidRPr="00097824">
        <w:t xml:space="preserve">. </w:t>
      </w:r>
    </w:p>
    <w:p w14:paraId="75FCED03" w14:textId="77777777" w:rsidR="00A37046" w:rsidRPr="00097824" w:rsidRDefault="00A37046" w:rsidP="00A37046">
      <w:pPr>
        <w:pStyle w:val="-12"/>
        <w:ind w:left="754" w:firstLine="0"/>
        <w:rPr>
          <w:i/>
        </w:rPr>
      </w:pPr>
    </w:p>
    <w:p w14:paraId="31E57128" w14:textId="624E7E15" w:rsidR="00D630AE" w:rsidRPr="00097824" w:rsidRDefault="007F5427" w:rsidP="00D843A3">
      <w:pPr>
        <w:pStyle w:val="-12"/>
        <w:spacing w:after="240"/>
        <w:ind w:left="0" w:firstLine="0"/>
        <w:rPr>
          <w:b/>
          <w:i/>
        </w:rPr>
      </w:pPr>
      <w:r w:rsidRPr="00097824">
        <w:rPr>
          <w:b/>
        </w:rPr>
        <w:t xml:space="preserve">Уровень убедительности рекомендаций – </w:t>
      </w:r>
      <w:r w:rsidR="00127883" w:rsidRPr="00097824">
        <w:rPr>
          <w:b/>
        </w:rPr>
        <w:t>С</w:t>
      </w:r>
      <w:r w:rsidR="00C725C0" w:rsidRPr="00097824">
        <w:rPr>
          <w:b/>
        </w:rPr>
        <w:t xml:space="preserve"> (уровень достоверности доказательств - </w:t>
      </w:r>
      <w:r w:rsidR="00127883" w:rsidRPr="00097824">
        <w:rPr>
          <w:b/>
        </w:rPr>
        <w:t>5</w:t>
      </w:r>
      <w:r w:rsidR="00C725C0" w:rsidRPr="00097824">
        <w:rPr>
          <w:b/>
        </w:rPr>
        <w:t>).</w:t>
      </w:r>
    </w:p>
    <w:p w14:paraId="1D5CC1C6" w14:textId="02E94C89" w:rsidR="00D630AE" w:rsidRPr="00097824" w:rsidRDefault="007B033B" w:rsidP="00D843A3">
      <w:pPr>
        <w:pStyle w:val="-12"/>
        <w:numPr>
          <w:ilvl w:val="0"/>
          <w:numId w:val="35"/>
        </w:numPr>
        <w:spacing w:before="240"/>
        <w:rPr>
          <w:i/>
        </w:rPr>
      </w:pPr>
      <w:r w:rsidRPr="00097824">
        <w:t>П</w:t>
      </w:r>
      <w:r w:rsidR="00DC6DF6" w:rsidRPr="00097824">
        <w:t>ри III—IV тип</w:t>
      </w:r>
      <w:r w:rsidRPr="00097824">
        <w:t xml:space="preserve">е блока по </w:t>
      </w:r>
      <w:proofErr w:type="spellStart"/>
      <w:r w:rsidR="00E06867" w:rsidRPr="00097824">
        <w:t>Bismuth</w:t>
      </w:r>
      <w:proofErr w:type="spellEnd"/>
      <w:r w:rsidRPr="00097824">
        <w:t xml:space="preserve"> больны</w:t>
      </w:r>
      <w:r w:rsidR="0077218C" w:rsidRPr="00097824">
        <w:t>м</w:t>
      </w:r>
      <w:r w:rsidRPr="00097824">
        <w:t xml:space="preserve"> раком проксимального отдела внепеченочных желчных протоков</w:t>
      </w:r>
      <w:r w:rsidR="00DC6DF6" w:rsidRPr="00097824">
        <w:t xml:space="preserve"> и </w:t>
      </w:r>
      <w:r w:rsidRPr="00097824">
        <w:t>с</w:t>
      </w:r>
      <w:r w:rsidR="003352E7" w:rsidRPr="00097824">
        <w:t xml:space="preserve"> </w:t>
      </w:r>
      <w:r w:rsidRPr="00097824">
        <w:t xml:space="preserve">внутрипеченочной </w:t>
      </w:r>
      <w:proofErr w:type="spellStart"/>
      <w:r w:rsidRPr="00097824">
        <w:t>холангиокарциномой</w:t>
      </w:r>
      <w:proofErr w:type="spellEnd"/>
      <w:r w:rsidR="00DC6DF6" w:rsidRPr="00097824">
        <w:t>, осложненн</w:t>
      </w:r>
      <w:r w:rsidR="00E06867" w:rsidRPr="00097824">
        <w:t>ой механической желтухой</w:t>
      </w:r>
      <w:r w:rsidR="00DC6DF6" w:rsidRPr="00097824">
        <w:t xml:space="preserve">, предпочтительным методом желчной </w:t>
      </w:r>
      <w:r w:rsidR="00DC6DF6" w:rsidRPr="00097824">
        <w:lastRenderedPageBreak/>
        <w:t>декомпрессии</w:t>
      </w:r>
      <w:r w:rsidR="0077218C" w:rsidRPr="00097824">
        <w:t xml:space="preserve"> рекомендуется </w:t>
      </w:r>
      <w:r w:rsidR="00C65463" w:rsidRPr="00097824">
        <w:t xml:space="preserve">рентгенохирургическое чрескожное наружное дренирование желчных протоков </w:t>
      </w:r>
      <w:proofErr w:type="gramStart"/>
      <w:r w:rsidR="00C65463" w:rsidRPr="00097824">
        <w:t>печени</w:t>
      </w:r>
      <w:r w:rsidR="00C65463" w:rsidRPr="00097824" w:rsidDel="00C65463">
        <w:t xml:space="preserve"> </w:t>
      </w:r>
      <w:r w:rsidR="0077218C" w:rsidRPr="00097824">
        <w:t xml:space="preserve"> [</w:t>
      </w:r>
      <w:proofErr w:type="gramEnd"/>
      <w:r w:rsidR="0077218C" w:rsidRPr="00097824">
        <w:t>190, 191]</w:t>
      </w:r>
      <w:r w:rsidR="00DC6DF6" w:rsidRPr="00097824">
        <w:t>.</w:t>
      </w:r>
    </w:p>
    <w:p w14:paraId="0A8281A7" w14:textId="4EE8DCED" w:rsidR="00D630AE" w:rsidRPr="00097824" w:rsidRDefault="007F5427" w:rsidP="00D843A3">
      <w:pPr>
        <w:pStyle w:val="-12"/>
        <w:ind w:left="0" w:firstLine="0"/>
        <w:rPr>
          <w:b/>
          <w:i/>
        </w:rPr>
      </w:pPr>
      <w:r w:rsidRPr="00097824">
        <w:rPr>
          <w:b/>
        </w:rPr>
        <w:t xml:space="preserve">Уровень убедительности </w:t>
      </w:r>
      <w:r w:rsidRPr="00097824">
        <w:t xml:space="preserve">рекомендаций – </w:t>
      </w:r>
      <w:r w:rsidR="0077218C" w:rsidRPr="00097824">
        <w:rPr>
          <w:b/>
        </w:rPr>
        <w:t>С</w:t>
      </w:r>
      <w:r w:rsidR="00DC6DF6" w:rsidRPr="00097824">
        <w:rPr>
          <w:b/>
        </w:rPr>
        <w:t xml:space="preserve"> (уровень достоверности доказательств - </w:t>
      </w:r>
      <w:r w:rsidR="0077218C" w:rsidRPr="00097824">
        <w:rPr>
          <w:b/>
        </w:rPr>
        <w:t>3</w:t>
      </w:r>
      <w:r w:rsidR="00DC6DF6" w:rsidRPr="00097824">
        <w:rPr>
          <w:b/>
        </w:rPr>
        <w:t>).</w:t>
      </w:r>
    </w:p>
    <w:p w14:paraId="4BB4AA66" w14:textId="55915702" w:rsidR="00D630AE" w:rsidRPr="00097824" w:rsidRDefault="007F5427" w:rsidP="00AD4A9F">
      <w:pPr>
        <w:pStyle w:val="1"/>
        <w:numPr>
          <w:ilvl w:val="0"/>
          <w:numId w:val="0"/>
        </w:numPr>
        <w:spacing w:before="0"/>
        <w:ind w:left="397" w:firstLine="357"/>
        <w:rPr>
          <w:i/>
          <w:szCs w:val="24"/>
        </w:rPr>
      </w:pPr>
      <w:r w:rsidRPr="00097824">
        <w:rPr>
          <w:b/>
          <w:szCs w:val="24"/>
        </w:rPr>
        <w:t>Комментарий:</w:t>
      </w:r>
      <w:r w:rsidR="003352E7" w:rsidRPr="00097824">
        <w:rPr>
          <w:b/>
          <w:szCs w:val="24"/>
        </w:rPr>
        <w:t xml:space="preserve"> </w:t>
      </w:r>
      <w:r w:rsidRPr="00097824">
        <w:rPr>
          <w:i/>
        </w:rPr>
        <w:t xml:space="preserve">у больных раком проксимального отдела внепеченочных желчных протоков и больных с внутрипеченочной </w:t>
      </w:r>
      <w:proofErr w:type="spellStart"/>
      <w:r w:rsidRPr="00097824">
        <w:rPr>
          <w:i/>
        </w:rPr>
        <w:t>холангиокарциномой</w:t>
      </w:r>
      <w:proofErr w:type="spellEnd"/>
      <w:r w:rsidRPr="00097824">
        <w:rPr>
          <w:i/>
          <w:szCs w:val="24"/>
        </w:rPr>
        <w:t xml:space="preserve">, </w:t>
      </w:r>
      <w:r w:rsidR="003352E7" w:rsidRPr="00097824">
        <w:rPr>
          <w:i/>
          <w:szCs w:val="24"/>
        </w:rPr>
        <w:t xml:space="preserve">течение болезни у которых </w:t>
      </w:r>
      <w:r w:rsidR="00784E03" w:rsidRPr="00097824">
        <w:rPr>
          <w:i/>
          <w:szCs w:val="24"/>
        </w:rPr>
        <w:t>ослож</w:t>
      </w:r>
      <w:r w:rsidRPr="00097824">
        <w:rPr>
          <w:i/>
          <w:szCs w:val="24"/>
        </w:rPr>
        <w:t>н</w:t>
      </w:r>
      <w:r w:rsidR="003352E7" w:rsidRPr="00097824">
        <w:rPr>
          <w:i/>
          <w:szCs w:val="24"/>
        </w:rPr>
        <w:t>илось</w:t>
      </w:r>
      <w:r w:rsidRPr="00097824">
        <w:rPr>
          <w:i/>
          <w:szCs w:val="24"/>
        </w:rPr>
        <w:t xml:space="preserve"> </w:t>
      </w:r>
      <w:r w:rsidR="003352E7" w:rsidRPr="00097824">
        <w:rPr>
          <w:i/>
          <w:szCs w:val="24"/>
        </w:rPr>
        <w:t>механической желтухой</w:t>
      </w:r>
      <w:r w:rsidRPr="00097824">
        <w:rPr>
          <w:i/>
          <w:szCs w:val="24"/>
        </w:rPr>
        <w:t>, необходимо адекватное дренирование обеих долей печени для купирования холангита и подготовки к радикальной операции, этого не могут дать ре</w:t>
      </w:r>
      <w:r w:rsidR="00D63AB0" w:rsidRPr="00097824">
        <w:rPr>
          <w:i/>
          <w:szCs w:val="24"/>
        </w:rPr>
        <w:t xml:space="preserve">троградные методы </w:t>
      </w:r>
      <w:proofErr w:type="gramStart"/>
      <w:r w:rsidR="00D63AB0" w:rsidRPr="00097824">
        <w:rPr>
          <w:i/>
          <w:szCs w:val="24"/>
        </w:rPr>
        <w:t>дренирования.</w:t>
      </w:r>
      <w:r w:rsidRPr="00097824">
        <w:rPr>
          <w:i/>
          <w:szCs w:val="24"/>
        </w:rPr>
        <w:t>[</w:t>
      </w:r>
      <w:proofErr w:type="gramEnd"/>
      <w:r w:rsidRPr="00097824">
        <w:rPr>
          <w:i/>
          <w:szCs w:val="24"/>
        </w:rPr>
        <w:t>1</w:t>
      </w:r>
      <w:r w:rsidR="00AE35EB" w:rsidRPr="00097824">
        <w:rPr>
          <w:i/>
          <w:szCs w:val="24"/>
        </w:rPr>
        <w:t>44</w:t>
      </w:r>
      <w:r w:rsidRPr="00097824">
        <w:rPr>
          <w:i/>
          <w:szCs w:val="24"/>
        </w:rPr>
        <w:t>, 1</w:t>
      </w:r>
      <w:r w:rsidR="00AE35EB" w:rsidRPr="00097824">
        <w:rPr>
          <w:i/>
          <w:szCs w:val="24"/>
        </w:rPr>
        <w:t>45</w:t>
      </w:r>
      <w:r w:rsidRPr="00097824">
        <w:rPr>
          <w:i/>
          <w:szCs w:val="24"/>
        </w:rPr>
        <w:t>].</w:t>
      </w:r>
    </w:p>
    <w:p w14:paraId="6CF9F6E0" w14:textId="52727D71" w:rsidR="00D630AE" w:rsidRPr="00097824" w:rsidRDefault="007F5427" w:rsidP="0096386D">
      <w:pPr>
        <w:pStyle w:val="-12"/>
        <w:numPr>
          <w:ilvl w:val="0"/>
          <w:numId w:val="36"/>
        </w:numPr>
        <w:spacing w:before="240"/>
        <w:ind w:left="397" w:firstLine="357"/>
      </w:pPr>
      <w:r w:rsidRPr="00097824">
        <w:t xml:space="preserve">Методом выбора </w:t>
      </w:r>
      <w:proofErr w:type="spellStart"/>
      <w:r w:rsidRPr="00097824">
        <w:t>билиарной</w:t>
      </w:r>
      <w:proofErr w:type="spellEnd"/>
      <w:r w:rsidRPr="00097824">
        <w:t xml:space="preserve"> декомпрессии при опухолевом поражении дистального отдела внепеченочных желчных протоков являются эндоскопическое </w:t>
      </w:r>
      <w:proofErr w:type="spellStart"/>
      <w:r w:rsidRPr="00097824">
        <w:t>назобилиарное</w:t>
      </w:r>
      <w:proofErr w:type="spellEnd"/>
      <w:r w:rsidRPr="00097824">
        <w:t xml:space="preserve"> дренирование или ретроградная установка</w:t>
      </w:r>
      <w:r w:rsidR="0035726C" w:rsidRPr="00097824">
        <w:t xml:space="preserve"> </w:t>
      </w:r>
      <w:r w:rsidRPr="00097824">
        <w:t>стента</w:t>
      </w:r>
      <w:r w:rsidR="00C430E8" w:rsidRPr="00097824">
        <w:t xml:space="preserve"> </w:t>
      </w:r>
      <w:r w:rsidR="000E5B89" w:rsidRPr="00097824">
        <w:t>[</w:t>
      </w:r>
      <w:r w:rsidRPr="00097824">
        <w:t>146</w:t>
      </w:r>
      <w:r w:rsidR="00B35573" w:rsidRPr="00097824">
        <w:t>,147</w:t>
      </w:r>
      <w:r w:rsidR="000E5B89" w:rsidRPr="00097824">
        <w:t>]</w:t>
      </w:r>
      <w:r w:rsidRPr="00097824">
        <w:t xml:space="preserve">. </w:t>
      </w:r>
      <w:r w:rsidR="00072BBC" w:rsidRPr="00097824">
        <w:t xml:space="preserve">Установка </w:t>
      </w:r>
      <w:proofErr w:type="spellStart"/>
      <w:r w:rsidR="00072BBC" w:rsidRPr="00097824">
        <w:t>саморасширяющихся</w:t>
      </w:r>
      <w:proofErr w:type="spellEnd"/>
      <w:r w:rsidR="00072BBC" w:rsidRPr="00097824">
        <w:t xml:space="preserve"> металлических стентов перед радикальной операций недопустима, и может иметь место только при подтверждении </w:t>
      </w:r>
      <w:proofErr w:type="spellStart"/>
      <w:r w:rsidR="00072BBC" w:rsidRPr="00097824">
        <w:t>нерезектабельности</w:t>
      </w:r>
      <w:proofErr w:type="spellEnd"/>
      <w:r w:rsidR="00072BBC" w:rsidRPr="00097824">
        <w:t xml:space="preserve"> опухолевого процесса [163]. </w:t>
      </w:r>
      <w:r w:rsidRPr="00097824">
        <w:t>В случае невозможности выполнения эндоскопических ретроградных вмешательств следует отдать предпочтение чрескожной</w:t>
      </w:r>
      <w:r w:rsidR="0035726C" w:rsidRPr="00097824">
        <w:t xml:space="preserve"> </w:t>
      </w:r>
      <w:proofErr w:type="spellStart"/>
      <w:r w:rsidRPr="00097824">
        <w:t>чреспеченочной</w:t>
      </w:r>
      <w:proofErr w:type="spellEnd"/>
      <w:r w:rsidR="0035726C" w:rsidRPr="00097824">
        <w:t xml:space="preserve"> </w:t>
      </w:r>
      <w:proofErr w:type="spellStart"/>
      <w:r w:rsidRPr="00097824">
        <w:t>холангиостомии</w:t>
      </w:r>
      <w:proofErr w:type="spellEnd"/>
      <w:r w:rsidR="00C430E8" w:rsidRPr="00097824">
        <w:t xml:space="preserve"> </w:t>
      </w:r>
      <w:r w:rsidRPr="00097824">
        <w:t>[148,149</w:t>
      </w:r>
      <w:bookmarkStart w:id="82" w:name="_Hlk129553627"/>
      <w:r w:rsidRPr="00097824">
        <w:t>]</w:t>
      </w:r>
      <w:bookmarkEnd w:id="82"/>
    </w:p>
    <w:p w14:paraId="4C80D7D3" w14:textId="1A18D3A5" w:rsidR="00D630AE" w:rsidRPr="00097824" w:rsidRDefault="00EF33E5" w:rsidP="00CC2BE1">
      <w:pPr>
        <w:pStyle w:val="1"/>
        <w:numPr>
          <w:ilvl w:val="0"/>
          <w:numId w:val="36"/>
        </w:numPr>
        <w:spacing w:before="0"/>
        <w:ind w:left="397" w:firstLine="357"/>
      </w:pPr>
      <w:r w:rsidRPr="00097824">
        <w:t xml:space="preserve">При объеме предполагаемой остающейся паренхимы печени </w:t>
      </w:r>
      <w:r w:rsidR="00964484" w:rsidRPr="00097824">
        <w:t>&lt;40</w:t>
      </w:r>
      <w:r w:rsidRPr="00097824">
        <w:t xml:space="preserve">%, в качестве предоперационной подготовки </w:t>
      </w:r>
      <w:r w:rsidR="00F3183E" w:rsidRPr="00097824">
        <w:t xml:space="preserve">взрослых </w:t>
      </w:r>
      <w:r w:rsidRPr="00097824">
        <w:t xml:space="preserve">пациентов с внутрипеченочной </w:t>
      </w:r>
      <w:proofErr w:type="spellStart"/>
      <w:r w:rsidRPr="00097824">
        <w:t>холангиокарциномой</w:t>
      </w:r>
      <w:proofErr w:type="spellEnd"/>
      <w:r w:rsidRPr="00097824">
        <w:t xml:space="preserve"> или раком проксимального отдела внепеченочных желчных протоков рекомендуется рассмотреть селективную эндоваскулярную эмболизацию ветвей воротной вены (как правило, правой, иногда в сочетании с эмболизацией ветвей четвёртого сегмента</w:t>
      </w:r>
      <w:r w:rsidR="00E06867" w:rsidRPr="00097824">
        <w:t xml:space="preserve"> печени</w:t>
      </w:r>
      <w:r w:rsidRPr="00097824">
        <w:t>), что позволяет снизить риск развития</w:t>
      </w:r>
      <w:r w:rsidR="00E06867" w:rsidRPr="00097824">
        <w:t xml:space="preserve"> </w:t>
      </w:r>
      <w:r w:rsidRPr="00097824">
        <w:t>печеночной недостаточности</w:t>
      </w:r>
      <w:r w:rsidR="00E06867" w:rsidRPr="00097824">
        <w:t xml:space="preserve"> в послеоперационном периоде</w:t>
      </w:r>
      <w:r w:rsidRPr="00097824">
        <w:t xml:space="preserve"> </w:t>
      </w:r>
      <w:r w:rsidR="007F5427" w:rsidRPr="00097824">
        <w:fldChar w:fldCharType="begin"/>
      </w:r>
      <w:r w:rsidRPr="00097824">
        <w:instrText xml:space="preserve"> ADDIN ZOTERO_ITEM CSL_CITATION {"citationID":"bn415SDX","properties":{"formattedCitation":"[47\\uc0\\u8211{}50]","plainCitation":"[47–50]","noteIndex":0},"citationItems":[{"id":166631,"uris":["http://zotero.org/groups/4764298/items/TLV2JLBM"],"itemData":{"id":166631,"type":"article-journal","container-title":"Annals of surgery","issue":"3","note":"publisher: Lippincott, Williams, and Wilkins","page":"364","source":"Google Scholar","title":"Two hundred forty consecutive portal vein embolizations before extended hepatectomy for biliary cancer: surgical outcome and long-term follow-up","title-short":"Two hundred forty consecutive portal vein embolizations before extended hepatectomy for biliary cancer","volume":"243","author":[{"family":"Nagino","given":"Masato"},{"family":"Kamiya","given":"Junichi"},{"family":"Nishio","given":"Hideki"},{"family":"Ebata","given":"Tomoki"},{"family":"Arai","given":"Toshiyuki"},{"family":"Nimura","given":"Yuji"}],"issued":{"date-parts":[["2006"]]}},"label":"page"},{"id":166627,"uris":["http://zotero.org/groups/4764298/items/C8ZZ8348"],"itemData":{"id":166627,"type":"article-journal","abstract":"Efficacy of preoperative portal vein embolization (PVE) has been established; however, differences of outcomes among diseases, including hepatocellular carcinoma (HCC), biliary tract cancer (BTC), and colorectal liver metastases (CLM), are unclear.","container-title":"Annals of Surgical Oncology","DOI":"10.1245/s10434-017-5800-z","ISSN":"1534-4681","issue":"6","journalAbbreviation":"Ann Surg Oncol","language":"en","page":"1557-1568","source":"Springer Link","title":"Efficacy of Preoperative Portal Vein Embolization Among Patients with Hepatocellular Carcinoma, Biliary Tract Cancer, and Colorectal Liver Metastases: A Comparative Study Based on Single-Center Experience of 319 Cases","title-short":"Efficacy of Preoperative Portal Vein Embolization Among Patients with Hepatocellular Carcinoma, Biliary Tract Cancer, and Colorectal Liver Metastases","volume":"24","author":[{"family":"Yamashita","given":"Suguru"},{"family":"Sakamoto","given":"Yoshihiro"},{"family":"Yamamoto","given":"Satoshi"},{"family":"Takemura","given":"Nobuyuki"},{"family":"Omichi","given":"Kiyohiko"},{"family":"Shinkawa","given":"Hiroji"},{"family":"Mori","given":"Kazuhiro"},{"family":"Kaneko","given":"Junichi"},{"family":"Akamatsu","given":"Nobuhisa"},{"family":"Arita","given":"Junichi"},{"family":"Hasegawa","given":"Kiyoshi"},{"family":"Kokudo","given":"Norihiro"}],"issued":{"date-parts":[["2017",6,1]]}},"label":"page"},{"id":167183,"uris":["http://zotero.org/groups/4764298/items/FNTTW558"],"itemData":{"id":167183,"type":"article-journal","container-title":"HPB","issue":"12","note":"publisher: Elsevier","page":"805–811","source":"Google Scholar","title":"Role of radical surgery in patients with stage IV gallbladder cancer","volume":"14","author":[{"family":"Kang","given":"Mee Joo"},{"family":"Song","given":"Youngpeck"},{"family":"Jang","given":"Jin-Young"},{"family":"Han","given":"In Woong"},{"family":"Kim","given":"Sun-Whe"}],"issued":{"date-parts":[["2012"]]}},"label":"page"},{"id":167189,"uris":["http://zotero.org/groups/4764298/items/3F98TGT9"],"itemData":{"id":167189,"type":"article-journal","abstract":"Background: Portal vein embolization (PVE) is performed before major liver resection to increase liver volume remnant, controversy remains on the adverse effect of PVE on liver tumor patients. The current study highlighted the effect of PVE on the degree of hypertrophy of future liver remnant (FLR) and summarized PVE-related complications, aiming to provide a guideline for surgeons., Methods: A search of current published studies on PVE was performed. Meta-analysis was conducted to assess the effect of PVE on hypertrophy of FLR and summarized PVE-related complications., Results: 26 studies including 2335 patients were enrolled in the meta-analysis. All enrolled studies reported data regarding FLR hypertrophy rate, pooled effect size (ES) for FLR hypertrophy rate using a fixed-effect model was 0.105 (95%CI: 0.094-0.117, p=0.000), indicating PVE is favored in inducing FLR hypertrophy. Metatrim method indicated no obvious evidence of publication bias in the present meta-analysis. 247 (10.6%) patients exhibited PVE-related complications, receiving expectant treatment without affecting planned liver resection. Total 1782 patients (76%) underwent a subsequent liver resection after PVE, which is an encouraging result comparing with traditional resection rate in liver tumor patients., Conclusions: PVE is a safe and effective procedure with a low occurrence of related complications for inducing sufficient hypertrophy of FLR in liver tumor patients, which could elevate the resection rate of liver tumor patients. Careful patient cohort selection is crucial to avoid overuse of PVE in technically resectable patients. Further multiple central clinical trials are conducive to select optimal patient cohorts and provide a guideline for surgeons.","container-title":"Journal of Cancer","DOI":"10.7150/jca.50371","ISSN":"1837-9664","issue":"6","journalAbbreviation":"J Cancer","note":"PMID: 33613766\nPMCID: PMC7890316","page":"1770-1778","source":"PubMed Central","title":"Preoperative Portal Vein Embolization for Liver Resection: An updated meta-analysis","title-short":"Preoperative Portal Vein Embolization for Liver Resection","volume":"12","author":[{"family":"Huang","given":"Yu"},{"family":"Ge","given":"Wenhao"},{"family":"Kong","given":"Yang"},{"family":"Ding","given":"Yuan"},{"family":"Gao","given":"Bingqiang"},{"family":"Qian","given":"Xiaohui"},{"family":"Wang","given":"Weilin"}],"issued":{"date-parts":[["2021",1,21]]}},"label":"page"}],"schema":"https://github.com/citation-style-language/schema/raw/master/csl-citation.json"} </w:instrText>
      </w:r>
      <w:r w:rsidR="007F5427" w:rsidRPr="00097824">
        <w:fldChar w:fldCharType="separate"/>
      </w:r>
      <w:r w:rsidRPr="00097824">
        <w:rPr>
          <w:szCs w:val="24"/>
        </w:rPr>
        <w:t>[47–50]</w:t>
      </w:r>
      <w:r w:rsidR="007F5427" w:rsidRPr="00097824">
        <w:fldChar w:fldCharType="end"/>
      </w:r>
      <w:r w:rsidRPr="00097824">
        <w:t>.</w:t>
      </w:r>
    </w:p>
    <w:p w14:paraId="05E49B96" w14:textId="451290DE" w:rsidR="00EF33E5" w:rsidRPr="00097824" w:rsidRDefault="00EF33E5" w:rsidP="00A37046">
      <w:pPr>
        <w:pStyle w:val="1"/>
        <w:numPr>
          <w:ilvl w:val="0"/>
          <w:numId w:val="0"/>
        </w:numPr>
        <w:spacing w:before="0"/>
        <w:ind w:left="360" w:hanging="360"/>
        <w:rPr>
          <w:b/>
        </w:rPr>
      </w:pPr>
      <w:r w:rsidRPr="00097824">
        <w:rPr>
          <w:b/>
        </w:rPr>
        <w:t xml:space="preserve">Уровень убедительности рекомендаций – </w:t>
      </w:r>
      <w:r w:rsidRPr="00097824">
        <w:rPr>
          <w:b/>
          <w:lang w:val="en-GB"/>
        </w:rPr>
        <w:t>B</w:t>
      </w:r>
      <w:r w:rsidR="00E06867" w:rsidRPr="00097824">
        <w:rPr>
          <w:b/>
        </w:rPr>
        <w:t xml:space="preserve"> </w:t>
      </w:r>
      <w:r w:rsidRPr="00097824">
        <w:rPr>
          <w:b/>
        </w:rPr>
        <w:t>(уровень достоверности доказательств</w:t>
      </w:r>
      <w:r w:rsidR="00D843A3" w:rsidRPr="00097824">
        <w:rPr>
          <w:b/>
        </w:rPr>
        <w:t xml:space="preserve"> </w:t>
      </w:r>
      <w:r w:rsidRPr="00097824">
        <w:rPr>
          <w:b/>
        </w:rPr>
        <w:t>2)</w:t>
      </w:r>
    </w:p>
    <w:p w14:paraId="4C19F4EC" w14:textId="1FEE5BDB" w:rsidR="00E6604A" w:rsidRPr="00097824" w:rsidRDefault="00EF33E5" w:rsidP="00D843A3">
      <w:pPr>
        <w:pStyle w:val="-12"/>
        <w:ind w:left="0" w:firstLine="0"/>
        <w:rPr>
          <w:i/>
        </w:rPr>
      </w:pPr>
      <w:r w:rsidRPr="00097824">
        <w:rPr>
          <w:b/>
        </w:rPr>
        <w:t>Комментарий:</w:t>
      </w:r>
      <w:r w:rsidRPr="00097824">
        <w:rPr>
          <w:i/>
        </w:rPr>
        <w:t xml:space="preserve"> предоперационная эмболизация ветвей воротной вены повышает объем предполагаемой остающейся паренхимы. Хирургическое </w:t>
      </w:r>
      <w:r w:rsidR="00233285" w:rsidRPr="00097824">
        <w:rPr>
          <w:i/>
        </w:rPr>
        <w:t xml:space="preserve">лечение </w:t>
      </w:r>
      <w:r w:rsidRPr="00097824">
        <w:rPr>
          <w:i/>
        </w:rPr>
        <w:t>выполняется</w:t>
      </w:r>
      <w:r w:rsidR="00233285" w:rsidRPr="00097824">
        <w:rPr>
          <w:i/>
        </w:rPr>
        <w:t xml:space="preserve"> по мере достижения целевого объема</w:t>
      </w:r>
      <w:r w:rsidR="009C2CE9" w:rsidRPr="00097824">
        <w:rPr>
          <w:i/>
        </w:rPr>
        <w:t xml:space="preserve"> предполагаемой остающейся паренхимы печени (</w:t>
      </w:r>
      <w:r w:rsidR="003B551D" w:rsidRPr="00097824">
        <w:rPr>
          <w:i/>
        </w:rPr>
        <w:t>≥</w:t>
      </w:r>
      <w:r w:rsidR="009C2CE9" w:rsidRPr="00097824">
        <w:rPr>
          <w:i/>
        </w:rPr>
        <w:t xml:space="preserve"> 40%)</w:t>
      </w:r>
      <w:r w:rsidR="0019127A" w:rsidRPr="00097824">
        <w:rPr>
          <w:i/>
        </w:rPr>
        <w:t>, оценка</w:t>
      </w:r>
      <w:r w:rsidR="009C2CE9" w:rsidRPr="00097824">
        <w:rPr>
          <w:i/>
        </w:rPr>
        <w:t xml:space="preserve"> </w:t>
      </w:r>
      <w:r w:rsidR="0019127A" w:rsidRPr="00097824">
        <w:rPr>
          <w:i/>
        </w:rPr>
        <w:t xml:space="preserve">динамики его </w:t>
      </w:r>
      <w:r w:rsidR="009C2CE9" w:rsidRPr="00097824">
        <w:rPr>
          <w:i/>
        </w:rPr>
        <w:t xml:space="preserve">увеличения </w:t>
      </w:r>
      <w:r w:rsidR="0019127A" w:rsidRPr="00097824">
        <w:rPr>
          <w:i/>
        </w:rPr>
        <w:t>производится</w:t>
      </w:r>
      <w:r w:rsidR="009C2CE9" w:rsidRPr="00097824">
        <w:rPr>
          <w:i/>
        </w:rPr>
        <w:t xml:space="preserve"> не ране</w:t>
      </w:r>
      <w:r w:rsidR="0019127A" w:rsidRPr="00097824">
        <w:rPr>
          <w:i/>
        </w:rPr>
        <w:t>е чем через 3-5 недель после эмболизации</w:t>
      </w:r>
      <w:r w:rsidR="009C2CE9" w:rsidRPr="00097824">
        <w:rPr>
          <w:i/>
        </w:rPr>
        <w:t xml:space="preserve">.  </w:t>
      </w:r>
    </w:p>
    <w:p w14:paraId="3DE70CFF" w14:textId="1AD5EF22" w:rsidR="00D630AE" w:rsidRPr="00097824" w:rsidRDefault="00EF33E5" w:rsidP="00AD4A9F">
      <w:pPr>
        <w:pStyle w:val="-12"/>
        <w:ind w:left="397" w:firstLine="357"/>
        <w:rPr>
          <w:i/>
        </w:rPr>
      </w:pPr>
      <w:r w:rsidRPr="00097824">
        <w:rPr>
          <w:i/>
        </w:rPr>
        <w:t xml:space="preserve"> </w:t>
      </w:r>
    </w:p>
    <w:p w14:paraId="63EA62F5" w14:textId="77777777" w:rsidR="00E26B66" w:rsidRPr="00097824" w:rsidRDefault="00E26B66" w:rsidP="00CC2BE1">
      <w:pPr>
        <w:pStyle w:val="2"/>
        <w:numPr>
          <w:ilvl w:val="0"/>
          <w:numId w:val="9"/>
        </w:numPr>
        <w:spacing w:before="0"/>
        <w:ind w:left="397" w:firstLine="357"/>
      </w:pPr>
      <w:bookmarkStart w:id="83" w:name="_Toc23142732"/>
      <w:bookmarkStart w:id="84" w:name="_Toc113198770"/>
      <w:bookmarkStart w:id="85" w:name="_Toc113205061"/>
      <w:r w:rsidRPr="00097824">
        <w:t>Хирургическое лечение</w:t>
      </w:r>
      <w:bookmarkEnd w:id="83"/>
      <w:bookmarkEnd w:id="84"/>
      <w:bookmarkEnd w:id="85"/>
    </w:p>
    <w:p w14:paraId="31E3466B" w14:textId="77777777" w:rsidR="00D630AE" w:rsidRPr="00097824" w:rsidRDefault="00E0532B" w:rsidP="00CC2BE1">
      <w:pPr>
        <w:pStyle w:val="2"/>
        <w:numPr>
          <w:ilvl w:val="2"/>
          <w:numId w:val="27"/>
        </w:numPr>
        <w:spacing w:before="0"/>
        <w:ind w:left="397" w:firstLine="357"/>
        <w:rPr>
          <w:u w:val="none"/>
        </w:rPr>
      </w:pPr>
      <w:r w:rsidRPr="00097824">
        <w:rPr>
          <w:u w:val="none"/>
        </w:rPr>
        <w:t xml:space="preserve">Внутрипеченочная </w:t>
      </w:r>
      <w:proofErr w:type="spellStart"/>
      <w:r w:rsidRPr="00097824">
        <w:rPr>
          <w:u w:val="none"/>
        </w:rPr>
        <w:t>холангиокарцинома</w:t>
      </w:r>
      <w:proofErr w:type="spellEnd"/>
    </w:p>
    <w:p w14:paraId="728F97FA" w14:textId="4E9A0FFE" w:rsidR="00D630AE" w:rsidRPr="00097824" w:rsidRDefault="00275615" w:rsidP="00CC2BE1">
      <w:pPr>
        <w:pStyle w:val="1"/>
        <w:numPr>
          <w:ilvl w:val="0"/>
          <w:numId w:val="38"/>
        </w:numPr>
        <w:spacing w:before="0"/>
        <w:ind w:left="397" w:firstLine="357"/>
      </w:pPr>
      <w:r w:rsidRPr="00097824">
        <w:lastRenderedPageBreak/>
        <w:t xml:space="preserve">При </w:t>
      </w:r>
      <w:proofErr w:type="spellStart"/>
      <w:r w:rsidRPr="00097824">
        <w:t>резектабельно</w:t>
      </w:r>
      <w:r w:rsidR="005B6EE4" w:rsidRPr="00097824">
        <w:t>й</w:t>
      </w:r>
      <w:proofErr w:type="spellEnd"/>
      <w:r w:rsidRPr="00097824">
        <w:t xml:space="preserve"> внутрипеченочно</w:t>
      </w:r>
      <w:r w:rsidR="00BB73DD" w:rsidRPr="00097824">
        <w:t xml:space="preserve">й </w:t>
      </w:r>
      <w:proofErr w:type="spellStart"/>
      <w:r w:rsidR="00BB73DD" w:rsidRPr="00097824">
        <w:t>холангиокарциноме</w:t>
      </w:r>
      <w:proofErr w:type="spellEnd"/>
      <w:r w:rsidR="00E0532B" w:rsidRPr="00097824">
        <w:t xml:space="preserve"> </w:t>
      </w:r>
      <w:r w:rsidR="00F3183E" w:rsidRPr="00097824">
        <w:t xml:space="preserve">у взрослых пациентов </w:t>
      </w:r>
      <w:r w:rsidRPr="00097824">
        <w:t>рекомендуется выполнение</w:t>
      </w:r>
      <w:r w:rsidR="004B35D9" w:rsidRPr="00097824">
        <w:t xml:space="preserve"> радикального вмешательства в объеме</w:t>
      </w:r>
      <w:r w:rsidR="00E0532B" w:rsidRPr="00097824">
        <w:t xml:space="preserve"> </w:t>
      </w:r>
      <w:r w:rsidRPr="00097824">
        <w:t>резекции</w:t>
      </w:r>
      <w:r w:rsidR="00E0532B" w:rsidRPr="00097824">
        <w:t xml:space="preserve"> </w:t>
      </w:r>
      <w:r w:rsidRPr="00097824">
        <w:t>печени</w:t>
      </w:r>
      <w:r w:rsidR="00E0532B" w:rsidRPr="00097824">
        <w:t xml:space="preserve"> </w:t>
      </w:r>
      <w:r w:rsidRPr="00097824">
        <w:t xml:space="preserve">в сочетании с </w:t>
      </w:r>
      <w:r w:rsidR="00BB73DD" w:rsidRPr="00097824">
        <w:t xml:space="preserve">регионарной </w:t>
      </w:r>
      <w:proofErr w:type="spellStart"/>
      <w:r w:rsidRPr="00097824">
        <w:t>лимфодиссекцией</w:t>
      </w:r>
      <w:proofErr w:type="spellEnd"/>
      <w:r w:rsidR="00DC6207" w:rsidRPr="00097824">
        <w:t>.</w:t>
      </w:r>
      <w:r w:rsidR="00D630AE" w:rsidRPr="00097824">
        <w:t xml:space="preserve"> Целью хирургического лечения является удаление опухолевого</w:t>
      </w:r>
      <w:r w:rsidR="00BB73DD" w:rsidRPr="00097824">
        <w:t xml:space="preserve"> узла с</w:t>
      </w:r>
      <w:r w:rsidR="00D630AE" w:rsidRPr="00097824">
        <w:t xml:space="preserve"> </w:t>
      </w:r>
      <w:r w:rsidR="005B6EE4" w:rsidRPr="00097824">
        <w:t>достижением отрицательных краев</w:t>
      </w:r>
      <w:r w:rsidR="00BB73DD" w:rsidRPr="00097824">
        <w:t xml:space="preserve"> резекции</w:t>
      </w:r>
      <w:r w:rsidR="00D630AE" w:rsidRPr="00097824">
        <w:t xml:space="preserve">. </w:t>
      </w:r>
      <w:r w:rsidR="00BB73DD" w:rsidRPr="00097824">
        <w:t>В случае инвазии внепеченочных желчных протоков целесообразна их резекция с последующей реконструкцией</w:t>
      </w:r>
      <w:r w:rsidR="00C430E8" w:rsidRPr="00097824">
        <w:t xml:space="preserve"> </w:t>
      </w:r>
      <w:r w:rsidR="00BB73DD" w:rsidRPr="00097824">
        <w:fldChar w:fldCharType="begin"/>
      </w:r>
      <w:r w:rsidR="00BB73DD" w:rsidRPr="00097824">
        <w:instrText xml:space="preserve"> ADDIN ZOTERO_ITEM CSL_CITATION {"citationID":"XsbUcG3q","properties":{"formattedCitation":"[70]","plainCitation":"[70]","noteIndex":0},"citationItems":[{"id":166645,"uris":["http://zotero.org/groups/4764298/items/5TX93H7G"],"itemData":{"id":166645,"type":"article-journal","abstract":"The prognosis of patients with cholangiocarcinoma is unsatisfactory. Therefore, evaluation of prognostic factors and establishment of new therapeutic strategies are needed to improve their long-term survival. The aim of this study was to identify useful prognostic factors for patients with intrahepatic, hilar, and distal cholangiocarcinoma.","container-title":"Annals of Surgical Oncology","DOI":"10.1245/s10434-010-1325-4","ISSN":"1534-4681","issue":"3","journalAbbreviation":"Ann Surg Oncol","language":"en","page":"651-658","source":"Springer Link","title":"Prognostic Factors After Surgical Resection for Intrahepatic, Hilar, and Distal Cholangiocarcinoma","volume":"18","author":[{"family":"Murakami","given":"Yoshiaki"},{"family":"Uemura","given":"Kenichiro"},{"family":"Sudo","given":"Takeshi"},{"family":"Hashimoto","given":"Yasushi"},{"family":"Nakashima","given":"Akira"},{"family":"Kondo","given":"Naru"},{"family":"Sakabe","given":"Ryutaro"},{"family":"Ohge","given":"Hiroki"},{"family":"Sueda","given":"Taijiro"}],"issued":{"date-parts":[["2011",3,1]]}}}],"schema":"https://github.com/citation-style-language/schema/raw/master/csl-citation.json"} </w:instrText>
      </w:r>
      <w:r w:rsidR="00BB73DD" w:rsidRPr="00097824">
        <w:fldChar w:fldCharType="separate"/>
      </w:r>
      <w:r w:rsidR="00BB73DD" w:rsidRPr="00097824">
        <w:t>[70]</w:t>
      </w:r>
      <w:r w:rsidR="00BB73DD" w:rsidRPr="00097824">
        <w:fldChar w:fldCharType="end"/>
      </w:r>
      <w:r w:rsidR="00BB73DD" w:rsidRPr="00097824">
        <w:t>.</w:t>
      </w:r>
    </w:p>
    <w:p w14:paraId="18E95A7C" w14:textId="1FB9FC77" w:rsidR="00275615" w:rsidRPr="00097824" w:rsidRDefault="007F5427" w:rsidP="00D843A3">
      <w:pPr>
        <w:pStyle w:val="32"/>
        <w:ind w:firstLine="0"/>
        <w:rPr>
          <w:color w:val="auto"/>
        </w:rPr>
      </w:pPr>
      <w:r w:rsidRPr="00097824">
        <w:rPr>
          <w:color w:val="auto"/>
        </w:rPr>
        <w:t>Уровень убедительности рекомендаций –</w:t>
      </w:r>
      <w:r w:rsidR="00E0532B" w:rsidRPr="00097824">
        <w:rPr>
          <w:color w:val="auto"/>
        </w:rPr>
        <w:t xml:space="preserve"> </w:t>
      </w:r>
      <w:r w:rsidRPr="00097824">
        <w:rPr>
          <w:color w:val="auto"/>
        </w:rPr>
        <w:t>С</w:t>
      </w:r>
      <w:r w:rsidR="00E0532B" w:rsidRPr="00097824">
        <w:rPr>
          <w:color w:val="auto"/>
        </w:rPr>
        <w:t xml:space="preserve"> </w:t>
      </w:r>
      <w:r w:rsidRPr="00097824">
        <w:rPr>
          <w:color w:val="auto"/>
        </w:rPr>
        <w:t>(уровень достоверности доказательств –4)</w:t>
      </w:r>
    </w:p>
    <w:p w14:paraId="4B40F55A" w14:textId="77777777" w:rsidR="00BB73DD" w:rsidRPr="00097824" w:rsidRDefault="00275615" w:rsidP="00D843A3">
      <w:pPr>
        <w:ind w:firstLine="0"/>
        <w:rPr>
          <w:i/>
          <w:szCs w:val="28"/>
        </w:rPr>
      </w:pPr>
      <w:r w:rsidRPr="00097824">
        <w:rPr>
          <w:b/>
        </w:rPr>
        <w:t>Комментарий:</w:t>
      </w:r>
      <w:r w:rsidR="00E0532B" w:rsidRPr="00097824">
        <w:rPr>
          <w:b/>
        </w:rPr>
        <w:t xml:space="preserve"> </w:t>
      </w:r>
      <w:r w:rsidR="00BB73DD" w:rsidRPr="00097824">
        <w:rPr>
          <w:i/>
          <w:szCs w:val="28"/>
        </w:rPr>
        <w:t xml:space="preserve">Основным условием, которое должно выполняться при планировании резекции печени является сохранение в предполагаемой остающейся части паренхимы печени адекватного кровоснабжения, крово- и </w:t>
      </w:r>
      <w:proofErr w:type="spellStart"/>
      <w:r w:rsidR="00BB73DD" w:rsidRPr="00097824">
        <w:rPr>
          <w:i/>
          <w:szCs w:val="28"/>
        </w:rPr>
        <w:t>желчеоттока</w:t>
      </w:r>
      <w:proofErr w:type="spellEnd"/>
      <w:r w:rsidR="00BB73DD" w:rsidRPr="00097824">
        <w:rPr>
          <w:i/>
          <w:szCs w:val="28"/>
        </w:rPr>
        <w:t xml:space="preserve">. Объем предполагаемой остающейся паренхимы печени должен составлять при отсутствии лабораторных и инструментальных признаков цирроза не менее 25% (от не пораженной паренхимы), при их наличии не менее 40%. Так же при наличии цирроза, следует учитывать степень нарушения печено-клеточной функции (резекция печени целесообразна у больных соответствующих классу А по шкале </w:t>
      </w:r>
      <w:r w:rsidR="00BB73DD" w:rsidRPr="00097824">
        <w:rPr>
          <w:i/>
          <w:szCs w:val="28"/>
          <w:lang w:val="en-US"/>
        </w:rPr>
        <w:t>Child</w:t>
      </w:r>
      <w:r w:rsidR="00BB73DD" w:rsidRPr="00097824">
        <w:rPr>
          <w:i/>
          <w:szCs w:val="28"/>
        </w:rPr>
        <w:t>-</w:t>
      </w:r>
      <w:r w:rsidR="00BB73DD" w:rsidRPr="00097824">
        <w:rPr>
          <w:i/>
          <w:szCs w:val="28"/>
          <w:lang w:val="en-US"/>
        </w:rPr>
        <w:t>Pugh</w:t>
      </w:r>
      <w:r w:rsidR="00BB73DD" w:rsidRPr="00097824">
        <w:rPr>
          <w:i/>
          <w:szCs w:val="28"/>
        </w:rPr>
        <w:t>) и выраженность портальной гипертензии (клинически значимые проявления: наличие варикозно-расширенных вен пищевода, тромбоцитопения менее 100</w:t>
      </w:r>
      <w:r w:rsidR="00BB73DD" w:rsidRPr="00097824">
        <w:rPr>
          <w:i/>
          <w:szCs w:val="28"/>
          <w:lang w:val="en-US"/>
        </w:rPr>
        <w:t>x</w:t>
      </w:r>
      <w:r w:rsidR="00BB73DD" w:rsidRPr="00097824">
        <w:rPr>
          <w:i/>
          <w:szCs w:val="28"/>
        </w:rPr>
        <w:t>10</w:t>
      </w:r>
      <w:r w:rsidR="00BB73DD" w:rsidRPr="00097824">
        <w:rPr>
          <w:i/>
          <w:szCs w:val="28"/>
          <w:vertAlign w:val="superscript"/>
        </w:rPr>
        <w:t>9</w:t>
      </w:r>
      <w:r w:rsidR="00BB73DD" w:rsidRPr="00097824">
        <w:rPr>
          <w:i/>
          <w:szCs w:val="28"/>
        </w:rPr>
        <w:t xml:space="preserve">/л). </w:t>
      </w:r>
    </w:p>
    <w:p w14:paraId="16116147" w14:textId="58F6AD8B" w:rsidR="00BB73DD" w:rsidRPr="00097824" w:rsidRDefault="00BB73DD" w:rsidP="00D843A3">
      <w:pPr>
        <w:ind w:firstLine="0"/>
        <w:contextualSpacing/>
      </w:pPr>
      <w:r w:rsidRPr="00097824">
        <w:rPr>
          <w:i/>
          <w:szCs w:val="28"/>
        </w:rPr>
        <w:t xml:space="preserve">В условиях специализированных центров (при наличии подготовленного персонала и оборудования) возможно выполнение резекций печени мини-инвазивным доступом под </w:t>
      </w:r>
      <w:proofErr w:type="spellStart"/>
      <w:r w:rsidRPr="00097824">
        <w:rPr>
          <w:i/>
          <w:szCs w:val="28"/>
        </w:rPr>
        <w:t>видеоэдоскопическим</w:t>
      </w:r>
      <w:proofErr w:type="spellEnd"/>
      <w:r w:rsidRPr="00097824">
        <w:rPr>
          <w:i/>
          <w:szCs w:val="28"/>
        </w:rPr>
        <w:t xml:space="preserve"> контролем. Предпочтительным для планирования применения данного доступа являются </w:t>
      </w:r>
      <w:proofErr w:type="spellStart"/>
      <w:r w:rsidRPr="00097824">
        <w:rPr>
          <w:i/>
          <w:szCs w:val="28"/>
        </w:rPr>
        <w:t>подкапсульно</w:t>
      </w:r>
      <w:proofErr w:type="spellEnd"/>
      <w:r w:rsidRPr="00097824">
        <w:rPr>
          <w:i/>
          <w:szCs w:val="28"/>
        </w:rPr>
        <w:t xml:space="preserve"> расположенные образования, а также узлы, располагающиеся в латеральных секторах печени</w:t>
      </w:r>
      <w:r w:rsidR="008D284A" w:rsidRPr="00097824">
        <w:rPr>
          <w:i/>
          <w:szCs w:val="28"/>
        </w:rPr>
        <w:t xml:space="preserve"> </w:t>
      </w:r>
      <w:r w:rsidR="001D1361" w:rsidRPr="00097824">
        <w:fldChar w:fldCharType="begin"/>
      </w:r>
      <w:r w:rsidR="001D1361" w:rsidRPr="00097824">
        <w:instrText xml:space="preserve"> ADDIN ZOTERO_ITEM CSL_CITATION {"citationID":"AcTQCM84","properties":{"formattedCitation":"[75]","plainCitation":"[75]","noteIndex":0},"citationItems":[{"id":166939,"uris":["http://zotero.org/groups/4764298/items/AEMJYGJ4"],"itemData":{"id":166939,"type":"article-journal","abstract":"Background\nWe compared the outcomes of laparoscopic hepatectomy (LH) vs. open hepatectomy (OH) for intrahepatic cholangiocarcinoma (iCCA).\nMethods\nA systematic review of the MEDLINE, EMBASE, Scopus, and Cochrane Library databases was performed using PRISMA guidelines (end-of-search date: 08-June-2020). Individual patient data on overall survival (OS) and recurrence-free survival (RFS) were extracted. Random-effects meta-analyses, and one- and two-stage survival analyses were conducted.\nResults\nEight retrospective cohort studies comparing LH (n = 544) vs. OH (n = 2256) were identified. LH demonstrated lower overall complication (Risk ratio [RR] = 0.64, 95% confidence interval [CI]: 0.46–0.90; p = 0.01), surgical lymphadenectomy (RR = 0.74, 95% CI: 0.58–0.93; p = 0.01) and margin-positive resection (RR = 0.78, 95% CI: 0.62–0.99; p = 0.04) rates, and higher recurrence-free rate (RR = 1.24, 95% CI: 1.01–1.51; p = 0.04) vs. OH. In Cox regression, no difference was observed regarding OS (Hazard Ratio [HR] = 1.11, 95% CI: 0.65–1.91; p = 0.70) and RFS (HR = 1.19, 95% CI: 0.74–1.90; p = 0.47).\nConclusion\nThe use of LH should be considered when feasible in well-selected iCCA patients by hepatobiliary surgeons with experience in minimally-invasive surgery.","container-title":"The American Journal of Surgery","DOI":"10.1016/j.amjsurg.2021.03.052","ISSN":"0002-9610","issue":"4","journalAbbreviation":"The American Journal of Surgery","language":"en","page":"731-738","source":"ScienceDirect","title":"Laparoscopic versus open hepatectomy for intrahepatic cholangiocarcinoma: An individual patient data survival meta-analysis","title-short":"Laparoscopic versus open hepatectomy for intrahepatic cholangiocarcinoma","volume":"222","author":[{"family":"Ziogas","given":"Ioannis A."},{"family":"Esagian","given":"Stepan M."},{"family":"Giannis","given":"Dimitrios"},{"family":"Hayat","given":"Muhammad H."},{"family":"Kosmidis","given":"Dimitrios"},{"family":"Matsuoka","given":"Lea K."},{"family":"Montenovo","given":"Martin I."},{"family":"Tsoulfas","given":"Georgios"},{"family":"Geller","given":"David A."},{"family":"Alexopoulos","given":"Sophoclis P."}],"issued":{"date-parts":[["2021",10,1]]}}}],"schema":"https://github.com/citation-style-language/schema/raw/master/csl-citation.json"} </w:instrText>
      </w:r>
      <w:r w:rsidR="001D1361" w:rsidRPr="00097824">
        <w:fldChar w:fldCharType="separate"/>
      </w:r>
      <w:r w:rsidR="001D1361" w:rsidRPr="00097824">
        <w:t>[75]</w:t>
      </w:r>
      <w:r w:rsidR="001D1361" w:rsidRPr="00097824">
        <w:fldChar w:fldCharType="end"/>
      </w:r>
      <w:r w:rsidR="001D1361" w:rsidRPr="00097824">
        <w:t>.</w:t>
      </w:r>
    </w:p>
    <w:p w14:paraId="33CDA3A1" w14:textId="0A6C9CB1" w:rsidR="00275615" w:rsidRPr="00097824" w:rsidRDefault="00BB73DD" w:rsidP="00D843A3">
      <w:pPr>
        <w:autoSpaceDE w:val="0"/>
        <w:autoSpaceDN w:val="0"/>
        <w:adjustRightInd w:val="0"/>
        <w:ind w:firstLine="0"/>
        <w:rPr>
          <w:i/>
        </w:rPr>
      </w:pPr>
      <w:r w:rsidRPr="00097824">
        <w:rPr>
          <w:i/>
        </w:rPr>
        <w:t>Следует учитывать, что большой размер опухоли и/или множественное внутриорганное поражение, наличие инвазии магистральных сосудов, соседних органов, метастатическое поражение регионарных лимфатических узлов не являются абсолютным противо</w:t>
      </w:r>
      <w:r w:rsidRPr="00097824">
        <w:rPr>
          <w:i/>
        </w:rPr>
        <w:softHyphen/>
        <w:t>показанием к резекции печени, однако результаты хирургического лечения в этих случаях предсказуемо хуже</w:t>
      </w:r>
      <w:r w:rsidR="008D284A" w:rsidRPr="00097824">
        <w:rPr>
          <w:i/>
        </w:rPr>
        <w:t xml:space="preserve"> </w:t>
      </w:r>
      <w:r w:rsidR="007F5427" w:rsidRPr="00097824">
        <w:rPr>
          <w:i/>
        </w:rPr>
        <w:fldChar w:fldCharType="begin"/>
      </w:r>
      <w:r w:rsidR="00D529A9" w:rsidRPr="00097824">
        <w:rPr>
          <w:i/>
        </w:rPr>
        <w:instrText xml:space="preserve"> ADDIN ZOTERO_ITEM CSL_CITATION {"citationID":"DQfpe4Z3","properties":{"formattedCitation":"[72]","plainCitation":"[72]","noteIndex":0},"citationItems":[{"id":166942,"uris":["http://zotero.org/groups/4764298/items/7MLG38UI"],"itemData":{"id":166942,"type":"article-journal","abstract":"Background\nWith the advances in multimodality treatment, an analysis of the outcome of arterial resections (AR) in surgery of cholangiocarcinoma is lacking. The aim of this meta-analysis was to summarize the currently available evidence onof AR for the treatment of cholangiocarcinoma.\nMethods\nA systematic literature search was carried out according to PRISMA guidelines.\nResults\n10 retrospective cohort studies published from 2007 to 2020 with 2530 patients (408 AR group and 2122 control group) were identified. Higher in-hospital mortality rates (6.8% vs 3.3%, OR 2.65, 95% CI [1.27; 5.32], p = 0.009), higher morbidity rates (Clavien-Dindo classification ≥3 ) (52% vs 47%, OR 1.44, 95% CI [1.02; 1.75], p = 0.04) and lower 1-year, 3-year and 5-year survival rates (54% vs 69%, OR 0.55, 95% CI [0.34; 0.91 p = 0.02), (34% vs 38%, OR 0.74, 95% CI [0.55; 0.98, p = 0.03), (18% vs 29%, OR 0.54, 95% CI [0.39; 0.75, p = 0.0002) were observed in the AR group when compared to the control group.\nConclusion\nEvidence from non-randomized studies shows a higher morbidity and mortality and shorter long-term survival in patients undergoing AR. However, the results are prone to selection bias, and only randomized trials comparing AR and palliative treatments AR might reveal a possible benefit of AR.\nSystematic review registration\nPROSPERO ID 223396.","container-title":"HPB","DOI":"10.1016/j.hpb.2022.04.002","ISSN":"1365-182X","journalAbbreviation":"HPB","language":"en","source":"ScienceDirect","title":"Systematic review and meta-analysis of surgery for hilar cholangiocarcinoma with arterial resection","URL":"https://www.sciencedirect.com/science/article/pii/S1365182X22000971","author":[{"family":"Rebelo","given":"Artur"},{"family":"Friedrichs","given":"Juliane"},{"family":"Grilli","given":"Maurizio"},{"family":"Wahbeh","given":"Nour"},{"family":"Partsakhashvili","given":"Jumber"},{"family":"Ukkat","given":"Jörg"},{"family":"Klose","given":"Johannes"},{"family":"Ronellenfitsch","given":"Ulrich"},{"family":"Kleeff","given":"Jörg"}],"accessed":{"date-parts":[["2022",9,3]]},"issued":{"date-parts":[["2022",4,14]]}}}],"schema":"https://github.com/citation-style-language/schema/raw/master/csl-citation.json"} </w:instrText>
      </w:r>
      <w:r w:rsidR="007F5427" w:rsidRPr="00097824">
        <w:rPr>
          <w:i/>
        </w:rPr>
        <w:fldChar w:fldCharType="separate"/>
      </w:r>
      <w:r w:rsidR="00D529A9" w:rsidRPr="00097824">
        <w:t>[72]</w:t>
      </w:r>
      <w:r w:rsidR="007F5427" w:rsidRPr="00097824">
        <w:rPr>
          <w:i/>
        </w:rPr>
        <w:fldChar w:fldCharType="end"/>
      </w:r>
      <w:r w:rsidR="00275615" w:rsidRPr="00097824">
        <w:rPr>
          <w:i/>
        </w:rPr>
        <w:t>.</w:t>
      </w:r>
    </w:p>
    <w:p w14:paraId="730B3239" w14:textId="03C3FB0F" w:rsidR="00D630AE" w:rsidRPr="00097824" w:rsidRDefault="0022720F" w:rsidP="00D843A3">
      <w:pPr>
        <w:pStyle w:val="1"/>
        <w:ind w:left="397" w:firstLine="357"/>
      </w:pPr>
      <w:r w:rsidRPr="00097824">
        <w:t xml:space="preserve">При </w:t>
      </w:r>
      <w:r w:rsidR="001D1361" w:rsidRPr="00097824">
        <w:t xml:space="preserve">локальном </w:t>
      </w:r>
      <w:r w:rsidRPr="00097824">
        <w:t xml:space="preserve">рецидиве </w:t>
      </w:r>
      <w:r w:rsidR="00333D8C" w:rsidRPr="00097824">
        <w:t>внутрипеченочной</w:t>
      </w:r>
      <w:r w:rsidR="001D1361" w:rsidRPr="00097824">
        <w:t xml:space="preserve"> </w:t>
      </w:r>
      <w:proofErr w:type="spellStart"/>
      <w:r w:rsidR="00333D8C" w:rsidRPr="00097824">
        <w:t>холангиокарциномы</w:t>
      </w:r>
      <w:proofErr w:type="spellEnd"/>
      <w:r w:rsidR="00C72A99" w:rsidRPr="00097824">
        <w:t xml:space="preserve"> </w:t>
      </w:r>
      <w:r w:rsidR="00333D8C" w:rsidRPr="00097824">
        <w:t>рекомендуется повторная резекция печени</w:t>
      </w:r>
      <w:r w:rsidR="001D1361" w:rsidRPr="00097824">
        <w:t>, в случаях</w:t>
      </w:r>
      <w:r w:rsidR="007E19DA" w:rsidRPr="00097824">
        <w:t>,</w:t>
      </w:r>
      <w:r w:rsidR="001D1361" w:rsidRPr="00097824">
        <w:t xml:space="preserve"> когда результаты предоперационного обследования указывают на возможность достижения отрицательного края резекции</w:t>
      </w:r>
      <w:r w:rsidR="008D284A" w:rsidRPr="00097824">
        <w:t xml:space="preserve"> </w:t>
      </w:r>
      <w:r w:rsidR="007F5427" w:rsidRPr="00097824">
        <w:rPr>
          <w:lang w:val="en-GB"/>
        </w:rPr>
        <w:fldChar w:fldCharType="begin"/>
      </w:r>
      <w:r w:rsidR="00D529A9" w:rsidRPr="00097824">
        <w:instrText xml:space="preserve"> ADDIN ZOTERO_ITEM CSL_CITATION {"citationID":"My4sTOmw","properties":{"formattedCitation":"[73,74]","plainCitation":"[73,74]","noteIndex":0},"citationItems":[{"id":166951,"uris":["http://zotero.org/groups/4764298/items/4IYLP2DV"],"itemData":{"id":166951,"type":"article-journal","abstract":"BACKGROUND: Intrahepatic cholangiocarcinoma (ICC) is a relatively rare malignancy. The aim of this meta-analysis was to evaluate outcomes of repeat liver resection and non-surgical approaches for treatment of recurrent ICC.\nMETHODS: PubMed, Embase, and Web of Science databases were searched from their inception until March 2021 for studies of patients with recurrent ICC. Studies not published in English were excluded. Two meta-analyses were performed: a single-arm meta-analysis of studies reporting pooled short- and long-term outcomes after repeat liver resection for recurrent ICC (meta-analysis A), and a meta-analysis of studies comparing 1-, 3-, and 5-year overall survival (OS) rates after repeat liver resection and non-surgical approaches for recurrent ICC (meta-analysis B).\nRESULTS: Of 543 articles retrieved in the search, 28 were eligible for inclusion. Twenty-four studies (390 patients) were included in meta-analysis A and nine studies (591 patients) in meta-analysis B. After repeat liver resection, 1-, 3-, and 5-year OS rates were 87 (95 per cent c.i. 81 to 91), 58 (48 to 68), and 39 (29 to 50) per cent respectively. The 1-, 3-, and 5-year OS rates were higher after repeat liver resection than without surgery: odds ratio 2.70 (95 per cent c.i. 1.28 to 5.68), 2.89 (1.15 to 7.27), and 5.91 (1.59, 21.90) respectively.\nCONCLUSION: Repeat liver resection is a suitable strategy for recurrent ICC in selected patients. It improves short- and long-term outcomes compared with non-surgical treatments.","container-title":"The British Journal of Surgery","DOI":"10.1093/bjs/znac075","ISSN":"1365-2168","issue":"7","journalAbbreviation":"Br J Surg","language":"eng","note":"PMID: 35482020","page":"580-587","source":"PubMed","title":"Repeat liver resection for recurrent intrahepatic cholangiocarcinoma: meta-analysis","title-short":"Repeat liver resection for recurrent intrahepatic cholangiocarcinoma","volume":"109","author":[{"family":"Ramouz","given":"Ali"},{"family":"Ali-Hasan-Al-Saegh","given":"Sadeq"},{"family":"Shafiei","given":"Saeed"},{"family":"Fakour","given":"Sanam"},{"family":"Khajeh","given":"Elias"},{"family":"Majlesara","given":"Ali"},{"family":"Adeliansedehi","given":"Ali"},{"family":"Probst","given":"Pascal"},{"family":"Springfeld","given":"Christoph"},{"family":"Chang","given":"De-Hua"},{"family":"Rupp","given":"Christian"},{"family":"Carvalho","given":"Carlos"},{"family":"Golriz","given":"Mohammad"},{"family":"Hoffmann","given":"Katrin"},{"family":"Mehrabi","given":"Arianeb"}],"issued":{"date-parts":[["2022",6,14]]}},"label":"page"},{"id":167032,"uris":["http://zotero.org/groups/4764298/items/TQR7MLGK"],"itemData":{"id":167032,"type":"article-journal","abstract":"For recurrent biliary tract cancer, chemotherapy is the standard treatment. However, the efficacy of surgery is unknown. Here, the prognostic benefit of surgery for recurrent biliary tract cancer was investigated.Data of 206 patients who underwent surgery for biliary tract cancer between 2005 and 2015 were retrospectively analyzed. Of these, 107 recurrent patients were divided into two groups, surgery (n = 14) and non-surgery (n = 93) groups. In the latter group, 45 patients received chemotherapy and 48 received best supportive care.Of the total 121 sites of recurrence, the liver was the most common (n = 41), followed by locoregional recurrence (n = 32) and lymph nodes (n = 18). Surgery was performed in the 14 patients with recurrence, comprising nine patients with intrahepatic cholangiocarcinoma, three with perihilar cholangiocarcinoma, one with distal cholangiocarcinoma and one with gallbladder carcinoma. Survival after recurrence was significantly better after surgery than after chemotherapy or best supportive care (38% vs. 5.3% vs. 0% at 3 years and 19% vs. 5.3% vs. 0% at 5 years; P &amp;lt; 0.0001). Multivariate analysis identified the residual status of the primary tumor (hazard ratio = 1.58, 95% confidence interval = 1.00–2.44; P = 0.047), time to recurrence ≥1 year (hazard ratio = 0.62, 95% confidence interval = 0.39–0.97; P = 0.037) and surgery for recurrence (hazard ratio = 0.32, 95% confidence interval = 0.14–0.62; P &amp;lt; 0.001) as independent prognostic factors.Surgery for recurrent biliary tract cancer may prolong survival in patients with time to recurrence ≥1 year.","container-title":"Japanese Journal of Clinical Oncology","DOI":"10.1093/jjco/hyw182","ISSN":"0368-2811","issue":"3","journalAbbreviation":"Japanese Journal of Clinical Oncology","page":"206-212","source":"Silverchair","title":"Survival of surgery for recurrent biliary tract cancer: a single-center experience and systematic review of literature","title-short":"Survival of surgery for recurrent biliary tract cancer","volume":"47","author":[{"family":"Miyazaki","given":"Yoshihiro"},{"family":"Kokudo","given":"Takashi"},{"family":"Amikura","given":"Katsumi"},{"family":"Kageyama","given":"Yumiko"},{"family":"Takahashi","given":"Amane"},{"family":"Ohkohchi","given":"Nobuhiro"},{"family":"Sakamoto","given":"Hirohiko"}],"issued":{"date-parts":[["2017",3,1]]}},"label":"page"}],"schema":"https://github.com/citation-style-language/schema/raw/master/csl-citation.json"} </w:instrText>
      </w:r>
      <w:r w:rsidR="007F5427" w:rsidRPr="00097824">
        <w:rPr>
          <w:lang w:val="en-GB"/>
        </w:rPr>
        <w:fldChar w:fldCharType="separate"/>
      </w:r>
      <w:r w:rsidR="00D529A9" w:rsidRPr="00097824">
        <w:t>[73,74]</w:t>
      </w:r>
      <w:r w:rsidR="007F5427" w:rsidRPr="00097824">
        <w:rPr>
          <w:lang w:val="en-GB"/>
        </w:rPr>
        <w:fldChar w:fldCharType="end"/>
      </w:r>
      <w:r w:rsidR="00333D8C" w:rsidRPr="00097824">
        <w:t>.</w:t>
      </w:r>
    </w:p>
    <w:p w14:paraId="0F92B3A4" w14:textId="2FDA78BC" w:rsidR="00623DB6" w:rsidRPr="00097824" w:rsidRDefault="007F5427" w:rsidP="00D843A3">
      <w:pPr>
        <w:pStyle w:val="32"/>
        <w:ind w:firstLine="0"/>
        <w:rPr>
          <w:color w:val="auto"/>
        </w:rPr>
      </w:pPr>
      <w:r w:rsidRPr="00097824">
        <w:rPr>
          <w:color w:val="auto"/>
        </w:rPr>
        <w:t xml:space="preserve">Уровень убедительности рекомендаций – </w:t>
      </w:r>
      <w:r w:rsidRPr="00097824">
        <w:rPr>
          <w:color w:val="auto"/>
          <w:lang w:val="en-GB"/>
        </w:rPr>
        <w:t>A</w:t>
      </w:r>
      <w:r w:rsidRPr="00097824">
        <w:rPr>
          <w:color w:val="auto"/>
        </w:rPr>
        <w:t xml:space="preserve"> (уровень достоверности доказательств 2)</w:t>
      </w:r>
    </w:p>
    <w:p w14:paraId="62DDCA0A" w14:textId="54322A12" w:rsidR="00D630AE" w:rsidRPr="00097824" w:rsidRDefault="00623DB6" w:rsidP="00A37046">
      <w:pPr>
        <w:ind w:firstLine="0"/>
        <w:contextualSpacing/>
        <w:rPr>
          <w:bCs/>
        </w:rPr>
      </w:pPr>
      <w:r w:rsidRPr="00097824">
        <w:rPr>
          <w:b/>
        </w:rPr>
        <w:lastRenderedPageBreak/>
        <w:t>Комментарий:</w:t>
      </w:r>
      <w:r w:rsidR="00B51369" w:rsidRPr="00097824">
        <w:rPr>
          <w:b/>
        </w:rPr>
        <w:t xml:space="preserve"> </w:t>
      </w:r>
      <w:r w:rsidR="007F5427" w:rsidRPr="00097824">
        <w:rPr>
          <w:bCs/>
          <w:i/>
          <w:iCs/>
        </w:rPr>
        <w:t>повторная резекция печени</w:t>
      </w:r>
      <w:r w:rsidR="000B3C1A" w:rsidRPr="00097824">
        <w:rPr>
          <w:bCs/>
          <w:i/>
          <w:iCs/>
        </w:rPr>
        <w:t xml:space="preserve"> у пациентов после рецидива</w:t>
      </w:r>
      <w:r w:rsidR="00B51369" w:rsidRPr="00097824">
        <w:rPr>
          <w:bCs/>
          <w:i/>
          <w:iCs/>
        </w:rPr>
        <w:t xml:space="preserve"> </w:t>
      </w:r>
      <w:r w:rsidR="000B3C1A" w:rsidRPr="00097824">
        <w:rPr>
          <w:bCs/>
          <w:i/>
          <w:iCs/>
        </w:rPr>
        <w:t>внутрипеченочной</w:t>
      </w:r>
      <w:r w:rsidR="00B51369" w:rsidRPr="00097824">
        <w:rPr>
          <w:bCs/>
          <w:i/>
          <w:iCs/>
        </w:rPr>
        <w:t xml:space="preserve"> </w:t>
      </w:r>
      <w:proofErr w:type="spellStart"/>
      <w:r w:rsidR="000B3C1A" w:rsidRPr="00097824">
        <w:rPr>
          <w:bCs/>
          <w:i/>
          <w:iCs/>
        </w:rPr>
        <w:t>холангиокарциномы</w:t>
      </w:r>
      <w:proofErr w:type="spellEnd"/>
      <w:r w:rsidR="000B3C1A" w:rsidRPr="00097824">
        <w:rPr>
          <w:bCs/>
          <w:i/>
          <w:iCs/>
        </w:rPr>
        <w:t xml:space="preserve"> ассоциирована со статистически значимым увеличение одно-, трех- и пятилетней</w:t>
      </w:r>
      <w:r w:rsidR="001D1361" w:rsidRPr="00097824">
        <w:rPr>
          <w:bCs/>
          <w:i/>
          <w:iCs/>
        </w:rPr>
        <w:t xml:space="preserve"> </w:t>
      </w:r>
      <w:r w:rsidR="00E67517" w:rsidRPr="00097824">
        <w:rPr>
          <w:bCs/>
          <w:i/>
          <w:iCs/>
        </w:rPr>
        <w:t>общей</w:t>
      </w:r>
      <w:r w:rsidR="001D1361" w:rsidRPr="00097824">
        <w:rPr>
          <w:bCs/>
          <w:i/>
          <w:iCs/>
        </w:rPr>
        <w:t xml:space="preserve"> </w:t>
      </w:r>
      <w:r w:rsidR="00E67517" w:rsidRPr="00097824">
        <w:rPr>
          <w:bCs/>
          <w:i/>
          <w:iCs/>
        </w:rPr>
        <w:t>выживаем</w:t>
      </w:r>
      <w:r w:rsidR="00A54079" w:rsidRPr="00097824">
        <w:rPr>
          <w:bCs/>
          <w:i/>
          <w:iCs/>
        </w:rPr>
        <w:t>о</w:t>
      </w:r>
      <w:r w:rsidR="00E67517" w:rsidRPr="00097824">
        <w:rPr>
          <w:bCs/>
          <w:i/>
          <w:iCs/>
        </w:rPr>
        <w:t>сти</w:t>
      </w:r>
      <w:r w:rsidR="008D284A" w:rsidRPr="00097824">
        <w:rPr>
          <w:bCs/>
          <w:i/>
          <w:iCs/>
        </w:rPr>
        <w:t xml:space="preserve"> </w:t>
      </w:r>
      <w:r w:rsidR="00A54079" w:rsidRPr="00097824">
        <w:rPr>
          <w:bCs/>
          <w:i/>
          <w:iCs/>
        </w:rPr>
        <w:t>(</w:t>
      </w:r>
      <w:r w:rsidR="000B3C1A" w:rsidRPr="00097824">
        <w:rPr>
          <w:bCs/>
          <w:i/>
          <w:iCs/>
        </w:rPr>
        <w:t>ОВ</w:t>
      </w:r>
      <w:r w:rsidR="00A54079" w:rsidRPr="00097824">
        <w:rPr>
          <w:bCs/>
          <w:i/>
          <w:iCs/>
        </w:rPr>
        <w:t>)</w:t>
      </w:r>
      <w:r w:rsidR="00107102" w:rsidRPr="00097824">
        <w:rPr>
          <w:bCs/>
          <w:i/>
          <w:iCs/>
        </w:rPr>
        <w:t>: отношение шансов (</w:t>
      </w:r>
      <w:proofErr w:type="spellStart"/>
      <w:r w:rsidR="007F5427" w:rsidRPr="00097824">
        <w:rPr>
          <w:bCs/>
          <w:i/>
          <w:iCs/>
        </w:rPr>
        <w:t>odds</w:t>
      </w:r>
      <w:proofErr w:type="spellEnd"/>
      <w:r w:rsidR="007B70A4" w:rsidRPr="00097824">
        <w:rPr>
          <w:bCs/>
          <w:i/>
          <w:iCs/>
        </w:rPr>
        <w:t xml:space="preserve"> </w:t>
      </w:r>
      <w:proofErr w:type="spellStart"/>
      <w:r w:rsidR="007F5427" w:rsidRPr="00097824">
        <w:rPr>
          <w:bCs/>
          <w:i/>
          <w:iCs/>
        </w:rPr>
        <w:t>ratio</w:t>
      </w:r>
      <w:proofErr w:type="spellEnd"/>
      <w:r w:rsidR="007F5427" w:rsidRPr="00097824">
        <w:rPr>
          <w:bCs/>
          <w:i/>
          <w:iCs/>
        </w:rPr>
        <w:t xml:space="preserve">, </w:t>
      </w:r>
      <w:r w:rsidR="007F5427" w:rsidRPr="00097824">
        <w:rPr>
          <w:bCs/>
          <w:i/>
          <w:iCs/>
          <w:lang w:val="en-GB"/>
        </w:rPr>
        <w:t>OR</w:t>
      </w:r>
      <w:r w:rsidR="007F5427" w:rsidRPr="00097824">
        <w:rPr>
          <w:bCs/>
          <w:i/>
          <w:iCs/>
        </w:rPr>
        <w:t>) и 95%</w:t>
      </w:r>
      <w:r w:rsidR="001D1361" w:rsidRPr="00097824">
        <w:rPr>
          <w:bCs/>
          <w:i/>
          <w:iCs/>
        </w:rPr>
        <w:t xml:space="preserve"> </w:t>
      </w:r>
      <w:r w:rsidR="00A54079" w:rsidRPr="00097824">
        <w:rPr>
          <w:bCs/>
          <w:i/>
          <w:iCs/>
        </w:rPr>
        <w:t>доверительный интервал</w:t>
      </w:r>
      <w:r w:rsidR="008D284A" w:rsidRPr="00097824">
        <w:rPr>
          <w:bCs/>
          <w:i/>
          <w:iCs/>
        </w:rPr>
        <w:t xml:space="preserve"> </w:t>
      </w:r>
      <w:r w:rsidR="00A54079" w:rsidRPr="00097824">
        <w:rPr>
          <w:bCs/>
          <w:i/>
          <w:iCs/>
        </w:rPr>
        <w:t>(</w:t>
      </w:r>
      <w:r w:rsidR="007F5427" w:rsidRPr="00097824">
        <w:rPr>
          <w:bCs/>
          <w:i/>
          <w:iCs/>
        </w:rPr>
        <w:t>ДИ</w:t>
      </w:r>
      <w:r w:rsidR="00A54079" w:rsidRPr="00097824">
        <w:rPr>
          <w:bCs/>
          <w:i/>
          <w:iCs/>
        </w:rPr>
        <w:t>)</w:t>
      </w:r>
      <w:r w:rsidR="007F5427" w:rsidRPr="00097824">
        <w:rPr>
          <w:bCs/>
          <w:i/>
          <w:iCs/>
        </w:rPr>
        <w:t xml:space="preserve"> соответственно были равны</w:t>
      </w:r>
      <w:r w:rsidR="008D284A" w:rsidRPr="00097824">
        <w:rPr>
          <w:bCs/>
          <w:i/>
          <w:iCs/>
        </w:rPr>
        <w:t xml:space="preserve"> </w:t>
      </w:r>
      <w:r w:rsidR="007F5427" w:rsidRPr="00097824">
        <w:rPr>
          <w:bCs/>
          <w:i/>
          <w:iCs/>
        </w:rPr>
        <w:t>2,70 (1,28–5,68), 2,89 (1,15–7,27) и 5,91 (1,59–21,90)</w:t>
      </w:r>
      <w:r w:rsidR="007F5427" w:rsidRPr="00097824">
        <w:rPr>
          <w:bCs/>
          <w:i/>
          <w:iCs/>
        </w:rPr>
        <w:fldChar w:fldCharType="begin"/>
      </w:r>
      <w:r w:rsidR="00D529A9" w:rsidRPr="00097824">
        <w:rPr>
          <w:bCs/>
          <w:i/>
          <w:iCs/>
        </w:rPr>
        <w:instrText xml:space="preserve"> ADDIN ZOTERO_ITEM CSL_CITATION {"citationID":"SkZeQN0v","properties":{"formattedCitation":"[73]","plainCitation":"[73]","noteIndex":0},"citationItems":[{"id":166951,"uris":["http://zotero.org/groups/4764298/items/4IYLP2DV"],"itemData":{"id":166951,"type":"article-journal","abstract":"BACKGROUND: Intrahepatic cholangiocarcinoma (ICC) is a relatively rare malignancy. The aim of this meta-analysis was to evaluate outcomes of repeat liver resection and non-surgical approaches for treatment of recurrent ICC.\nMETHODS: PubMed, Embase, and Web of Science databases were searched from their inception until March 2021 for studies of patients with recurrent ICC. Studies not published in English were excluded. Two meta-analyses were performed: a single-arm meta-analysis of studies reporting pooled short- and long-term outcomes after repeat liver resection for recurrent ICC (meta-analysis A), and a meta-analysis of studies comparing 1-, 3-, and 5-year overall survival (OS) rates after repeat liver resection and non-surgical approaches for recurrent ICC (meta-analysis B).\nRESULTS: Of 543 articles retrieved in the search, 28 were eligible for inclusion. Twenty-four studies (390 patients) were included in meta-analysis A and nine studies (591 patients) in meta-analysis B. After repeat liver resection, 1-, 3-, and 5-year OS rates were 87 (95 per cent c.i. 81 to 91), 58 (48 to 68), and 39 (29 to 50) per cent respectively. The 1-, 3-, and 5-year OS rates were higher after repeat liver resection than without surgery: odds ratio 2.70 (95 per cent c.i. 1.28 to 5.68), 2.89 (1.15 to 7.27), and 5.91 (1.59, 21.90) respectively.\nCONCLUSION: Repeat liver resection is a suitable strategy for recurrent ICC in selected patients. It improves short- and long-term outcomes compared with non-surgical treatments.","container-title":"The British Journal of Surgery","DOI":"10.1093/bjs/znac075","ISSN":"1365-2168","issue":"7","journalAbbreviation":"Br J Surg","language":"eng","note":"PMID: 35482020","page":"580-587","source":"PubMed","title":"Repeat liver resection for recurrent intrahepatic cholangiocarcinoma: meta-analysis","title-short":"Repeat liver resection for recurrent intrahepatic cholangiocarcinoma","volume":"109","author":[{"family":"Ramouz","given":"Ali"},{"family":"Ali-Hasan-Al-Saegh","given":"Sadeq"},{"family":"Shafiei","given":"Saeed"},{"family":"Fakour","given":"Sanam"},{"family":"Khajeh","given":"Elias"},{"family":"Majlesara","given":"Ali"},{"family":"Adeliansedehi","given":"Ali"},{"family":"Probst","given":"Pascal"},{"family":"Springfeld","given":"Christoph"},{"family":"Chang","given":"De-Hua"},{"family":"Rupp","given":"Christian"},{"family":"Carvalho","given":"Carlos"},{"family":"Golriz","given":"Mohammad"},{"family":"Hoffmann","given":"Katrin"},{"family":"Mehrabi","given":"Arianeb"}],"issued":{"date-parts":[["2022",6,14]]}}}],"schema":"https://github.com/citation-style-language/schema/raw/master/csl-citation.json"} </w:instrText>
      </w:r>
      <w:r w:rsidR="007F5427" w:rsidRPr="00097824">
        <w:rPr>
          <w:bCs/>
          <w:i/>
          <w:iCs/>
        </w:rPr>
        <w:fldChar w:fldCharType="separate"/>
      </w:r>
      <w:r w:rsidR="00D529A9" w:rsidRPr="00097824">
        <w:t>[73]</w:t>
      </w:r>
      <w:r w:rsidR="007F5427" w:rsidRPr="00097824">
        <w:rPr>
          <w:bCs/>
          <w:i/>
          <w:iCs/>
        </w:rPr>
        <w:fldChar w:fldCharType="end"/>
      </w:r>
      <w:r w:rsidR="007F5427" w:rsidRPr="00097824">
        <w:rPr>
          <w:bCs/>
          <w:i/>
          <w:iCs/>
        </w:rPr>
        <w:t xml:space="preserve">. </w:t>
      </w:r>
    </w:p>
    <w:p w14:paraId="719CC62F" w14:textId="30FB7382" w:rsidR="00275615" w:rsidRPr="00097824" w:rsidRDefault="00275615" w:rsidP="0096386D">
      <w:pPr>
        <w:pStyle w:val="1"/>
      </w:pPr>
      <w:r w:rsidRPr="00097824">
        <w:t>При внутрипеченочн</w:t>
      </w:r>
      <w:r w:rsidR="001D1361" w:rsidRPr="00097824">
        <w:t xml:space="preserve">ой </w:t>
      </w:r>
      <w:proofErr w:type="spellStart"/>
      <w:r w:rsidR="001D1361" w:rsidRPr="00097824">
        <w:t>холангиокарциноме</w:t>
      </w:r>
      <w:proofErr w:type="spellEnd"/>
      <w:r w:rsidR="00F3183E" w:rsidRPr="00097824">
        <w:t xml:space="preserve"> у взрослых пациентов </w:t>
      </w:r>
      <w:r w:rsidR="00B51369" w:rsidRPr="00097824">
        <w:t xml:space="preserve"> </w:t>
      </w:r>
      <w:r w:rsidRPr="00097824">
        <w:t>трансплантация</w:t>
      </w:r>
      <w:r w:rsidR="00B51369" w:rsidRPr="00097824">
        <w:t xml:space="preserve"> </w:t>
      </w:r>
      <w:r w:rsidRPr="00097824">
        <w:t>печени</w:t>
      </w:r>
      <w:r w:rsidR="00B51369" w:rsidRPr="00097824">
        <w:t xml:space="preserve"> </w:t>
      </w:r>
      <w:r w:rsidRPr="00097824">
        <w:t>рутинно</w:t>
      </w:r>
      <w:r w:rsidR="00B51369" w:rsidRPr="00097824">
        <w:t xml:space="preserve"> </w:t>
      </w:r>
      <w:r w:rsidRPr="00097824">
        <w:t>не</w:t>
      </w:r>
      <w:r w:rsidR="001D1361" w:rsidRPr="00097824">
        <w:t xml:space="preserve"> </w:t>
      </w:r>
      <w:r w:rsidRPr="00097824">
        <w:t>рекомендуется в связи с высокой вероятностью</w:t>
      </w:r>
      <w:r w:rsidR="00B51369" w:rsidRPr="00097824">
        <w:t xml:space="preserve"> </w:t>
      </w:r>
      <w:r w:rsidRPr="00097824">
        <w:t xml:space="preserve">раннего </w:t>
      </w:r>
      <w:r w:rsidR="007E19DA" w:rsidRPr="00097824">
        <w:t xml:space="preserve">прогрессирования </w:t>
      </w:r>
      <w:r w:rsidRPr="00097824">
        <w:t>заболевания</w:t>
      </w:r>
      <w:r w:rsidR="009A6666" w:rsidRPr="00097824">
        <w:t xml:space="preserve"> </w:t>
      </w:r>
      <w:r w:rsidR="007F5427" w:rsidRPr="00097824">
        <w:fldChar w:fldCharType="begin"/>
      </w:r>
      <w:r w:rsidR="00D529A9" w:rsidRPr="00097824">
        <w:instrText xml:space="preserve"> ADDIN ZOTERO_ITEM CSL_CITATION {"citationID":"akRrlKtT","properties":{"formattedCitation":"[76\\uc0\\u8211{}78]","plainCitation":"[76–78]","noteIndex":0},"citationItems":[{"id":166834,"uris":["http://zotero.org/groups/4764298/items/U4UQHWT7"],"itemData":{"id":166834,"type":"article-journal","container-title":"Transplantation","issue":"8","note":"publisher: LWW","page":"1633–1637","source":"Google Scholar","title":"Liver transplantation for cholangiocarcinoma: results in 207 patients1","title-short":"Liver transplantation for cholangiocarcinoma","volume":"69","author":[{"family":"Meyer","given":"Christopher G."},{"family":"Penn","given":"Israel"},{"family":"James","given":"Laura"}],"issued":{"date-parts":[["2000"]]}},"label":"page"},{"id":167025,"uris":["http://zotero.org/groups/4764298/items/IZQWJRR3"],"itemData":{"id":167025,"type":"article-journal","abstract":"Liver transplantation for unresectable primary liver cancer has met with skepticism due to early aggressive recurrences occurring in early series from many centers. The primary tumors for which transplantation has been performed have been hepatocellular carcinoma and cholangiocarcinoma. In an attempt to improve these poor results, we instituted a protocol with adjuvant chemotherapy and radiotherapy after liver transplantation for cholangiocarcinoma. Between December 1984 and December 1992, 701 patients underwent 795 liver transplants. Seventeen patients had a diagnosis of cholangiocarcinoma and form the basis of this review. Three patients were excluded from the study, two because of early postoperative deaths, and one because of an unknown bony metastasis present at the time of transplant. Eleven patients have experienced a recurrence, and 7 of these died secondary to their recurrence. Three patients are alive with no evidence of disease 44 months, 31 months, and 28 months, respectively, after transplant. The 1-year survival rate in these patients is 53%, and the disease-free survival rate is 40%. Patients were able to tolerate the adjuvant chemotherapy and radiotherapy without apparent morbidity or mortality. Unfortunately, this protocol does not appear to provide significant benefit. Until a better adjuvant therapy protocol is developed, it is questionable whether unresectable cholangiocarcinoma should be considered an indication for liver transplantation.","container-title":"American Journal of Surgery","DOI":"10.1016/s0002-9610(05)80696-8","ISSN":"0002-9610","issue":"6","journalAbbreviation":"Am J Surg","language":"eng","note":"PMID: 8273866","page":"768-771; discussion 771-772","source":"PubMed","title":"Is liver transplantation indicated for cholangiocarcinoma?","volume":"166","author":[{"family":"Goldstein","given":"R. M."},{"family":"Stone","given":"M."},{"family":"Tillery","given":"G. W."},{"family":"Senzer","given":"N."},{"family":"Levy","given":"M."},{"family":"Husberg","given":"B. S."},{"family":"Gonwa","given":"T."},{"family":"Klintmalm","given":"G."}],"issued":{"date-parts":[["1993",12]]}},"label":"page"},{"id":167027,"uris":["http://zotero.org/groups/4764298/items/625XX5KN"],"itemData":{"id":167027,"type":"article-journal","abstract":"Background\nCombined hepatocellular-cholangiocarcinoma (cHCC-CC) is a rare primary liver malignancy. We conducted a systematic review and meta-analysis to assess the evidence available on the long-term outcomes of cHCC-CC patients after either hepatectomy or liver transplantation (LT).\nData Sources\nRelevant studies published between January 2000 and January 2018 were identified by searching PubMed and Embase and reviewed systematically. Data were pooled using a random-effects model.\nResults\nA total of 42 observational studies involving 1691 patients (1390 for partial hepatectomy and 301 for LT) were included in the analysis. The median tumor recurrence and 5-year overall survival (OS) rates were 65% (range 38%–100%) and 29% (range 0–63%) after hepatectomy versus 54% (range 14%–93%) and 41% (range 16%–73%) after LT, respectively. Meta-analysis found no significant difference in OS and tumor recurrence between LT and hepatectomy groups.\nConclusion\nHepatectomy rather than LT should be considered as the prior treatment option for cHCC-CC.","container-title":"Hepatobiliary &amp; Pancreatic Diseases International","DOI":"10.1016/j.hbpd.2018.10.001","ISSN":"1499-3872","issue":"1","journalAbbreviation":"Hepatobiliary &amp; Pancreatic Diseases International","language":"en","page":"12-18","source":"ScienceDirect","title":"Long-term outcomes of combined hepatocellular-cholangiocarcinoma after hepatectomy or liver transplantation: A systematic review and meta-analysis","title-short":"Long-term outcomes of combined hepatocellular-cholangiocarcinoma after hepatectomy or liver transplantation","volume":"18","author":[{"family":"Li","given":"De-Bang"},{"family":"Si","given":"Xiao-Ying"},{"family":"Wang","given":"Shi-Jie"},{"family":"Zhou","given":"Yan-Ming"}],"issued":{"date-parts":[["2019",2,1]]}},"label":"page"}],"schema":"https://github.com/citation-style-language/schema/raw/master/csl-citation.json"} </w:instrText>
      </w:r>
      <w:r w:rsidR="007F5427" w:rsidRPr="00097824">
        <w:fldChar w:fldCharType="separate"/>
      </w:r>
      <w:r w:rsidR="00D529A9" w:rsidRPr="00097824">
        <w:rPr>
          <w:szCs w:val="24"/>
        </w:rPr>
        <w:t>[76–78]</w:t>
      </w:r>
      <w:r w:rsidR="007F5427" w:rsidRPr="00097824">
        <w:fldChar w:fldCharType="end"/>
      </w:r>
      <w:r w:rsidRPr="00097824">
        <w:t>.</w:t>
      </w:r>
    </w:p>
    <w:p w14:paraId="266BF023" w14:textId="07726731" w:rsidR="00275615" w:rsidRPr="00097824" w:rsidRDefault="007F5427" w:rsidP="00D843A3">
      <w:pPr>
        <w:pStyle w:val="32"/>
        <w:ind w:firstLine="0"/>
        <w:rPr>
          <w:color w:val="auto"/>
        </w:rPr>
      </w:pPr>
      <w:r w:rsidRPr="00097824">
        <w:rPr>
          <w:color w:val="auto"/>
        </w:rPr>
        <w:t>Уровень убедительности рекомендаций –</w:t>
      </w:r>
      <w:r w:rsidR="00C471DE" w:rsidRPr="00097824">
        <w:rPr>
          <w:color w:val="auto"/>
        </w:rPr>
        <w:t xml:space="preserve"> </w:t>
      </w:r>
      <w:r w:rsidRPr="00097824">
        <w:rPr>
          <w:color w:val="auto"/>
          <w:lang w:val="en-GB"/>
        </w:rPr>
        <w:t>B</w:t>
      </w:r>
      <w:r w:rsidR="00B51369" w:rsidRPr="00097824">
        <w:rPr>
          <w:color w:val="auto"/>
        </w:rPr>
        <w:t xml:space="preserve"> </w:t>
      </w:r>
      <w:r w:rsidRPr="00097824">
        <w:rPr>
          <w:color w:val="auto"/>
        </w:rPr>
        <w:t>(уровень достоверности доказательств 2)</w:t>
      </w:r>
    </w:p>
    <w:p w14:paraId="1675C325" w14:textId="4A12A724" w:rsidR="00D630AE" w:rsidRPr="00097824" w:rsidRDefault="0009495C" w:rsidP="00A37046">
      <w:pPr>
        <w:pStyle w:val="1"/>
        <w:numPr>
          <w:ilvl w:val="0"/>
          <w:numId w:val="0"/>
        </w:numPr>
        <w:spacing w:before="0"/>
        <w:rPr>
          <w:i/>
        </w:rPr>
      </w:pPr>
      <w:r w:rsidRPr="00097824">
        <w:rPr>
          <w:b/>
        </w:rPr>
        <w:t>Комментарий:</w:t>
      </w:r>
      <w:r w:rsidR="007B70A4" w:rsidRPr="00097824">
        <w:rPr>
          <w:b/>
        </w:rPr>
        <w:t xml:space="preserve"> </w:t>
      </w:r>
      <w:r w:rsidR="00C471DE" w:rsidRPr="00097824">
        <w:rPr>
          <w:i/>
        </w:rPr>
        <w:t xml:space="preserve">При внутрипеченочной </w:t>
      </w:r>
      <w:proofErr w:type="spellStart"/>
      <w:r w:rsidR="00C471DE" w:rsidRPr="00097824">
        <w:rPr>
          <w:i/>
        </w:rPr>
        <w:t>холангиок</w:t>
      </w:r>
      <w:r w:rsidR="00A37046" w:rsidRPr="00097824">
        <w:rPr>
          <w:i/>
        </w:rPr>
        <w:t>а</w:t>
      </w:r>
      <w:r w:rsidR="00C471DE" w:rsidRPr="00097824">
        <w:rPr>
          <w:i/>
        </w:rPr>
        <w:t>рциноме</w:t>
      </w:r>
      <w:proofErr w:type="spellEnd"/>
      <w:r w:rsidR="00C471DE" w:rsidRPr="00097824">
        <w:rPr>
          <w:i/>
        </w:rPr>
        <w:t xml:space="preserve"> трансплантация печени может быть рассмотрена как метод лечения у пациентов с выраженным циррозом и ранней стадией опухолевого процесса</w:t>
      </w:r>
      <w:r w:rsidR="00E418E4" w:rsidRPr="00097824">
        <w:rPr>
          <w:i/>
        </w:rPr>
        <w:t>,</w:t>
      </w:r>
      <w:r w:rsidR="00C471DE" w:rsidRPr="00097824">
        <w:rPr>
          <w:i/>
        </w:rPr>
        <w:t xml:space="preserve"> </w:t>
      </w:r>
      <w:r w:rsidR="00F56C2C" w:rsidRPr="00097824">
        <w:rPr>
          <w:i/>
        </w:rPr>
        <w:t xml:space="preserve">а так же </w:t>
      </w:r>
      <w:r w:rsidR="00C471DE" w:rsidRPr="00097824">
        <w:rPr>
          <w:i/>
        </w:rPr>
        <w:t xml:space="preserve">отдельным пациентам с мультифокальным поражением печени после курса </w:t>
      </w:r>
      <w:proofErr w:type="spellStart"/>
      <w:r w:rsidR="00C471DE" w:rsidRPr="00097824">
        <w:rPr>
          <w:i/>
        </w:rPr>
        <w:t>неоадъювантной</w:t>
      </w:r>
      <w:proofErr w:type="spellEnd"/>
      <w:r w:rsidR="00C471DE" w:rsidRPr="00097824">
        <w:rPr>
          <w:i/>
        </w:rPr>
        <w:t xml:space="preserve"> терапии</w:t>
      </w:r>
      <w:r w:rsidR="00C471DE" w:rsidRPr="00097824">
        <w:rPr>
          <w:i/>
        </w:rPr>
        <w:fldChar w:fldCharType="begin"/>
      </w:r>
      <w:r w:rsidR="00C471DE" w:rsidRPr="00097824">
        <w:rPr>
          <w:i/>
        </w:rPr>
        <w:instrText xml:space="preserve"> ADDIN ZOTERO_ITEM CSL_CITATION {"citationID":"n9PzQCmz","properties":{"formattedCitation":"[79]","plainCitation":"[79]","noteIndex":0},"citationItems":[{"id":166957,"uris":["http://zotero.org/groups/4764298/items/P97KNZW4"],"itemData":{"id":166957,"type":"article-journal","abstract":"BACKGROUND: Intrahepatic cholangiocarcinoma (iCCA) is a contraindication to liver transplantation in most centers worldwide. Therefore, only a few such cases have been performed in each individual center, and the need for a systematic review and meta-analysis to cumulatively pool these results is apparent.\nMETHODS: A systematic literature review was conducted using the MEDLINE and Cochrane Library databases according to the Preferred Reporting Items for Systematic Reviews and Meta-analyses statement (end-of-search date: May 29, 2020). Meta-analyses of proportions were conducted to pool the overall survival (OS), recurrence-free survival (RFS), and overall recurrence rates using the random-effects model. Meta-regression was used to examine cirrhosis and incidental diagnosis as confounders on OS and RFS.\nRESULTS: Eighteen studies comprising 355 patients and a registry study of 385 patients were included. The pooled 1-, 3-, and 5-y OS rates were 75% (95% CI, 64%-84%), 56% (95% CI, 46%-67%), and 42% (95% CI, 29%-55%), respectively. The pooled 1-, 3-, and 5-y RFS rates were 70% (95% CI, 63%-75%), 49% (95% CI, 41%-57%), and 38% (95% CI, 27%-50%), respectively. Cirrhosis was positively associated with RFS, while incidental diagnosis was not. Neither cirrhosis nor incidental diagnosis was associated with OS. The pooled overall recurrence rate was 43% (95% CI, 33%-53%) over a mean follow-up of 40.6 ± 37.7 mo. Patients with very early (single ≤2 cm) iCCA exhibited superior pooled 5-y RFS (67%; 95% CI, 47%-86%) versus advanced iCCA (34%; 95% CI, 23%-46%).\nCONCLUSIONS: Cirrhotics with very early iCCA or carefully selected patients with advanced iCCA after neoadjuvant therapy may benefit from liver transplantation under research protocols.","container-title":"Transplantation","DOI":"10.1097/TP.0000000000003539","ISSN":"1534-6080","issue":"10","journalAbbreviation":"Transplantation","language":"eng","note":"PMID: 33196623","page":"2263-2271","source":"PubMed","title":"Liver Transplantation for Intrahepatic Cholangiocarcinoma: A Meta-analysis and Meta-regression of Survival Rates","title-short":"Liver Transplantation for Intrahepatic Cholangiocarcinoma","volume":"105","author":[{"family":"Ziogas","given":"Ioannis A."},{"family":"Giannis","given":"Dimitrios"},{"family":"Economopoulos","given":"Konstantinos P."},{"family":"Hayat","given":"Muhammad H."},{"family":"Montenovo","given":"Martin I."},{"family":"Matsuoka","given":"Lea K."},{"family":"Alexopoulos","given":"Sophoclis P."}],"issued":{"date-parts":[["2021",10,1]]}}}],"schema":"https://github.com/citation-style-language/schema/raw/master/csl-citation.json"} </w:instrText>
      </w:r>
      <w:r w:rsidR="00C471DE" w:rsidRPr="00097824">
        <w:rPr>
          <w:i/>
        </w:rPr>
        <w:fldChar w:fldCharType="separate"/>
      </w:r>
      <w:r w:rsidR="00C471DE" w:rsidRPr="00097824">
        <w:rPr>
          <w:i/>
        </w:rPr>
        <w:t>[79]</w:t>
      </w:r>
      <w:r w:rsidR="00C471DE" w:rsidRPr="00097824">
        <w:rPr>
          <w:i/>
        </w:rPr>
        <w:fldChar w:fldCharType="end"/>
      </w:r>
      <w:r w:rsidR="00C471DE" w:rsidRPr="00097824">
        <w:rPr>
          <w:i/>
        </w:rPr>
        <w:t xml:space="preserve">. </w:t>
      </w:r>
      <w:r w:rsidR="00F56C2C" w:rsidRPr="00097824">
        <w:rPr>
          <w:i/>
        </w:rPr>
        <w:t xml:space="preserve">Использование данного подхода </w:t>
      </w:r>
      <w:r w:rsidR="007F5427" w:rsidRPr="00097824">
        <w:rPr>
          <w:i/>
          <w:iCs/>
        </w:rPr>
        <w:t xml:space="preserve">было ассоциировано с более длительной </w:t>
      </w:r>
      <w:proofErr w:type="spellStart"/>
      <w:r w:rsidR="007F5427" w:rsidRPr="00097824">
        <w:rPr>
          <w:i/>
          <w:iCs/>
        </w:rPr>
        <w:t>безрецидивной</w:t>
      </w:r>
      <w:proofErr w:type="spellEnd"/>
      <w:r w:rsidR="001D1361" w:rsidRPr="00097824">
        <w:rPr>
          <w:i/>
          <w:iCs/>
        </w:rPr>
        <w:t xml:space="preserve"> </w:t>
      </w:r>
      <w:r w:rsidR="007F5427" w:rsidRPr="00097824">
        <w:rPr>
          <w:i/>
          <w:iCs/>
        </w:rPr>
        <w:t xml:space="preserve">выживаемостью, но не влияло на ОВ. После трансплантации печени у пациентов с очень ранней стадией внутрипеченочной </w:t>
      </w:r>
      <w:proofErr w:type="spellStart"/>
      <w:r w:rsidR="00F3183E" w:rsidRPr="00097824">
        <w:rPr>
          <w:i/>
          <w:iCs/>
        </w:rPr>
        <w:t>холангиокарцином</w:t>
      </w:r>
      <w:r w:rsidR="00FE1DF4" w:rsidRPr="00097824">
        <w:rPr>
          <w:i/>
          <w:iCs/>
        </w:rPr>
        <w:t>ы</w:t>
      </w:r>
      <w:proofErr w:type="spellEnd"/>
      <w:r w:rsidR="00F3183E" w:rsidRPr="00097824">
        <w:rPr>
          <w:i/>
          <w:iCs/>
        </w:rPr>
        <w:t xml:space="preserve"> </w:t>
      </w:r>
      <w:r w:rsidR="007F5427" w:rsidRPr="00097824">
        <w:rPr>
          <w:i/>
          <w:iCs/>
        </w:rPr>
        <w:t xml:space="preserve">(один очаг ≤ 2 см) отмечали более высокую пятилетнюю </w:t>
      </w:r>
      <w:proofErr w:type="spellStart"/>
      <w:r w:rsidR="007F5427" w:rsidRPr="00097824">
        <w:rPr>
          <w:i/>
          <w:iCs/>
        </w:rPr>
        <w:t>безрецидивную</w:t>
      </w:r>
      <w:proofErr w:type="spellEnd"/>
      <w:r w:rsidR="007F5427" w:rsidRPr="00097824">
        <w:rPr>
          <w:i/>
          <w:iCs/>
        </w:rPr>
        <w:t xml:space="preserve"> выживаемость (67%, 95% ДИ 47–86%), чем у пациентов с распространенным раком (34%, 95% ДИ 23–46%)</w:t>
      </w:r>
      <w:r w:rsidR="007F5427" w:rsidRPr="00097824">
        <w:rPr>
          <w:i/>
          <w:iCs/>
        </w:rPr>
        <w:fldChar w:fldCharType="begin"/>
      </w:r>
      <w:r w:rsidR="00D529A9" w:rsidRPr="00097824">
        <w:rPr>
          <w:i/>
          <w:iCs/>
        </w:rPr>
        <w:instrText xml:space="preserve"> ADDIN ZOTERO_ITEM CSL_CITATION {"citationID":"Yf5fksZh","properties":{"formattedCitation":"[79]","plainCitation":"[79]","noteIndex":0},"citationItems":[{"id":166957,"uris":["http://zotero.org/groups/4764298/items/P97KNZW4"],"itemData":{"id":166957,"type":"article-journal","abstract":"BACKGROUND: Intrahepatic cholangiocarcinoma (iCCA) is a contraindication to liver transplantation in most centers worldwide. Therefore, only a few such cases have been performed in each individual center, and the need for a systematic review and meta-analysis to cumulatively pool these results is apparent.\nMETHODS: A systematic literature review was conducted using the MEDLINE and Cochrane Library databases according to the Preferred Reporting Items for Systematic Reviews and Meta-analyses statement (end-of-search date: May 29, 2020). Meta-analyses of proportions were conducted to pool the overall survival (OS), recurrence-free survival (RFS), and overall recurrence rates using the random-effects model. Meta-regression was used to examine cirrhosis and incidental diagnosis as confounders on OS and RFS.\nRESULTS: Eighteen studies comprising 355 patients and a registry study of 385 patients were included. The pooled 1-, 3-, and 5-y OS rates were 75% (95% CI, 64%-84%), 56% (95% CI, 46%-67%), and 42% (95% CI, 29%-55%), respectively. The pooled 1-, 3-, and 5-y RFS rates were 70% (95% CI, 63%-75%), 49% (95% CI, 41%-57%), and 38% (95% CI, 27%-50%), respectively. Cirrhosis was positively associated with RFS, while incidental diagnosis was not. Neither cirrhosis nor incidental diagnosis was associated with OS. The pooled overall recurrence rate was 43% (95% CI, 33%-53%) over a mean follow-up of 40.6 ± 37.7 mo. Patients with very early (single ≤2 cm) iCCA exhibited superior pooled 5-y RFS (67%; 95% CI, 47%-86%) versus advanced iCCA (34%; 95% CI, 23%-46%).\nCONCLUSIONS: Cirrhotics with very early iCCA or carefully selected patients with advanced iCCA after neoadjuvant therapy may benefit from liver transplantation under research protocols.","container-title":"Transplantation","DOI":"10.1097/TP.0000000000003539","ISSN":"1534-6080","issue":"10","journalAbbreviation":"Transplantation","language":"eng","note":"PMID: 33196623","page":"2263-2271","source":"PubMed","title":"Liver Transplantation for Intrahepatic Cholangiocarcinoma: A Meta-analysis and Meta-regression of Survival Rates","title-short":"Liver Transplantation for Intrahepatic Cholangiocarcinoma","volume":"105","author":[{"family":"Ziogas","given":"Ioannis A."},{"family":"Giannis","given":"Dimitrios"},{"family":"Economopoulos","given":"Konstantinos P."},{"family":"Hayat","given":"Muhammad H."},{"family":"Montenovo","given":"Martin I."},{"family":"Matsuoka","given":"Lea K."},{"family":"Alexopoulos","given":"Sophoclis P."}],"issued":{"date-parts":[["2021",10,1]]}}}],"schema":"https://github.com/citation-style-language/schema/raw/master/csl-citation.json"} </w:instrText>
      </w:r>
      <w:r w:rsidR="007F5427" w:rsidRPr="00097824">
        <w:rPr>
          <w:i/>
          <w:iCs/>
        </w:rPr>
        <w:fldChar w:fldCharType="separate"/>
      </w:r>
      <w:r w:rsidR="00D529A9" w:rsidRPr="00097824">
        <w:rPr>
          <w:i/>
        </w:rPr>
        <w:t>[79]</w:t>
      </w:r>
      <w:r w:rsidR="007F5427" w:rsidRPr="00097824">
        <w:rPr>
          <w:i/>
          <w:iCs/>
        </w:rPr>
        <w:fldChar w:fldCharType="end"/>
      </w:r>
      <w:r w:rsidR="007F5427" w:rsidRPr="00097824">
        <w:rPr>
          <w:i/>
          <w:iCs/>
        </w:rPr>
        <w:t>.</w:t>
      </w:r>
    </w:p>
    <w:p w14:paraId="7489A47C" w14:textId="77777777" w:rsidR="00D630AE" w:rsidRPr="00097824" w:rsidRDefault="00D630AE" w:rsidP="00AD4A9F">
      <w:pPr>
        <w:ind w:left="397" w:firstLine="357"/>
        <w:contextualSpacing/>
        <w:rPr>
          <w:i/>
          <w:iCs/>
        </w:rPr>
      </w:pPr>
    </w:p>
    <w:p w14:paraId="5F782128" w14:textId="77777777" w:rsidR="00D630AE" w:rsidRPr="00097824" w:rsidRDefault="007F5427" w:rsidP="00CC2BE1">
      <w:pPr>
        <w:pStyle w:val="aff"/>
        <w:numPr>
          <w:ilvl w:val="2"/>
          <w:numId w:val="27"/>
        </w:numPr>
        <w:ind w:left="397" w:firstLine="357"/>
        <w:contextualSpacing/>
        <w:rPr>
          <w:b/>
          <w:iCs/>
        </w:rPr>
      </w:pPr>
      <w:r w:rsidRPr="00097824">
        <w:rPr>
          <w:b/>
          <w:iCs/>
        </w:rPr>
        <w:t>Рак проксимального отела внепеченочных желчных протоко</w:t>
      </w:r>
      <w:r w:rsidR="00FD7455" w:rsidRPr="00097824">
        <w:rPr>
          <w:b/>
          <w:iCs/>
        </w:rPr>
        <w:t>в</w:t>
      </w:r>
    </w:p>
    <w:p w14:paraId="1E9CDBF7" w14:textId="62AA3F56" w:rsidR="00D630AE" w:rsidRPr="00097824" w:rsidRDefault="00FD7455" w:rsidP="00B62BA4">
      <w:pPr>
        <w:pStyle w:val="1"/>
        <w:numPr>
          <w:ilvl w:val="0"/>
          <w:numId w:val="37"/>
        </w:numPr>
      </w:pPr>
      <w:r w:rsidRPr="00097824">
        <w:t xml:space="preserve">При </w:t>
      </w:r>
      <w:proofErr w:type="spellStart"/>
      <w:r w:rsidRPr="00097824">
        <w:t>резектабел</w:t>
      </w:r>
      <w:r w:rsidR="009A6666" w:rsidRPr="00097824">
        <w:t>ьном</w:t>
      </w:r>
      <w:proofErr w:type="spellEnd"/>
      <w:r w:rsidR="009A6666" w:rsidRPr="00097824">
        <w:t xml:space="preserve"> раке проксимального отдела внепеченочных желчных прот</w:t>
      </w:r>
      <w:r w:rsidR="00E418E4" w:rsidRPr="00097824">
        <w:t>о</w:t>
      </w:r>
      <w:r w:rsidR="009A6666" w:rsidRPr="00097824">
        <w:t xml:space="preserve">ков </w:t>
      </w:r>
      <w:r w:rsidRPr="00097824">
        <w:t>рекомендуется хирургическое лечение</w:t>
      </w:r>
      <w:r w:rsidR="00BF45F4" w:rsidRPr="00097824">
        <w:t xml:space="preserve">. Объем вмешательства определяется с учетом местной распространенности опухолевого процесса. </w:t>
      </w:r>
      <w:r w:rsidR="0064115C" w:rsidRPr="00097824">
        <w:t xml:space="preserve">В большинстве случаев </w:t>
      </w:r>
      <w:r w:rsidR="002872F8" w:rsidRPr="00097824">
        <w:t xml:space="preserve">необходимо </w:t>
      </w:r>
      <w:r w:rsidR="00BF45F4" w:rsidRPr="00097824">
        <w:t xml:space="preserve">выполнение расширенной право- или левосторонней </w:t>
      </w:r>
      <w:proofErr w:type="spellStart"/>
      <w:r w:rsidR="00BF45F4" w:rsidRPr="00097824">
        <w:t>гемигепатэктомии</w:t>
      </w:r>
      <w:proofErr w:type="spellEnd"/>
      <w:r w:rsidR="00BF45F4" w:rsidRPr="00097824">
        <w:t xml:space="preserve"> с резекцией пораженных опухолью желчных протоков</w:t>
      </w:r>
      <w:r w:rsidR="00C84911" w:rsidRPr="00097824">
        <w:t xml:space="preserve"> с </w:t>
      </w:r>
      <w:r w:rsidR="00F3183E" w:rsidRPr="00097824">
        <w:t>резекцией сегмента печени</w:t>
      </w:r>
      <w:r w:rsidR="005C7F68" w:rsidRPr="00097824">
        <w:t xml:space="preserve"> S1</w:t>
      </w:r>
      <w:r w:rsidR="00F3183E" w:rsidRPr="00097824">
        <w:t xml:space="preserve"> </w:t>
      </w:r>
      <w:r w:rsidR="0064115C" w:rsidRPr="00097824">
        <w:t xml:space="preserve">с последующим формированием </w:t>
      </w:r>
      <w:proofErr w:type="spellStart"/>
      <w:r w:rsidR="0064115C" w:rsidRPr="00097824">
        <w:t>гепатикоеюноанастомоза</w:t>
      </w:r>
      <w:proofErr w:type="spellEnd"/>
      <w:r w:rsidR="00E418E4" w:rsidRPr="00097824">
        <w:t>. О</w:t>
      </w:r>
      <w:r w:rsidR="003B550F" w:rsidRPr="00097824">
        <w:t>бязательным</w:t>
      </w:r>
      <w:r w:rsidR="00E418E4" w:rsidRPr="00097824">
        <w:t xml:space="preserve"> условием при выполнении оперативного вмешательства является срочное </w:t>
      </w:r>
      <w:proofErr w:type="spellStart"/>
      <w:r w:rsidR="00E418E4" w:rsidRPr="00097824">
        <w:t>интраоперационное</w:t>
      </w:r>
      <w:proofErr w:type="spellEnd"/>
      <w:r w:rsidR="00E418E4" w:rsidRPr="00097824">
        <w:t xml:space="preserve"> изучение </w:t>
      </w:r>
      <w:r w:rsidR="003B550F" w:rsidRPr="00097824">
        <w:t>краев резекции</w:t>
      </w:r>
      <w:r w:rsidR="00E418E4" w:rsidRPr="00097824">
        <w:t xml:space="preserve"> </w:t>
      </w:r>
      <w:r w:rsidR="00F3183E" w:rsidRPr="00097824">
        <w:t xml:space="preserve">внепеченочных </w:t>
      </w:r>
      <w:r w:rsidR="00E418E4" w:rsidRPr="00097824">
        <w:t>желчных протоков</w:t>
      </w:r>
      <w:r w:rsidR="00C84911" w:rsidRPr="00097824">
        <w:t xml:space="preserve"> для достижения гистологически отрицательного результата</w:t>
      </w:r>
      <w:r w:rsidR="00E418E4" w:rsidRPr="00097824">
        <w:t>.</w:t>
      </w:r>
      <w:r w:rsidR="0064115C" w:rsidRPr="00097824">
        <w:t xml:space="preserve"> Изолированная резекция внепеченочных желчных протоков возможна при опухоли </w:t>
      </w:r>
      <w:r w:rsidR="0070018F" w:rsidRPr="00097824">
        <w:rPr>
          <w:lang w:val="en-US"/>
        </w:rPr>
        <w:t>I</w:t>
      </w:r>
      <w:r w:rsidR="0070018F" w:rsidRPr="00097824">
        <w:t>-</w:t>
      </w:r>
      <w:r w:rsidR="0070018F" w:rsidRPr="00097824">
        <w:rPr>
          <w:lang w:val="en-US"/>
        </w:rPr>
        <w:t>II</w:t>
      </w:r>
      <w:r w:rsidR="0064115C" w:rsidRPr="00097824">
        <w:t xml:space="preserve"> типа по </w:t>
      </w:r>
      <w:proofErr w:type="spellStart"/>
      <w:r w:rsidR="0064115C" w:rsidRPr="00097824">
        <w:t>Bismuth</w:t>
      </w:r>
      <w:proofErr w:type="spellEnd"/>
      <w:r w:rsidRPr="00097824">
        <w:t xml:space="preserve"> </w:t>
      </w:r>
      <w:r w:rsidR="007F5427" w:rsidRPr="00097824">
        <w:fldChar w:fldCharType="begin"/>
      </w:r>
      <w:r w:rsidRPr="00097824">
        <w:instrText xml:space="preserve"> ADDIN ZOTERO_ITEM CSL_CITATION {"citationID":"QNrlCtlQ","properties":{"formattedCitation":"[45,80,81]","plainCitation":"[45,80,81]","noteIndex":0},"citationItems":[{"id":166831,"uris":["http://zotero.org/groups/4764298/items/IT742NCS"],"itemData":{"id":166831,"type":"article-journal","container-title":"Hepatobiliary &amp; Pancreatic Diseases International","issue":"1","note":"publisher: Elsevier","page":"10–20","source":"Google Scholar","title":"Cholangiocarcinoma: principles and current trends","title-short":"Cholangiocarcinoma","volume":"10","author":[{"family":"Zografos","given":"George N."},{"family":"Farfaras","given":"Athanasios"},{"family":"Zagouri","given":"Flora"},{"family":"Chrysikos","given":"Dimosthenis"},{"family":"Karaliotas","given":"Kostas"}],"issued":{"date-parts":[["2011"]]}},"label":"page"},{"id":167033,"uris":["http://zotero.org/groups/4764298/items/H5HJM75F"],"itemData":{"id":167033,"type":"article-journal","abstract":"OBJECTIVES: The authors evaluated the experience and results of a single center in surgical treatment of proximal bile duct carcinoma. SUMMARY BACKGROUND DATA: Whenever feasible, surgery is the appropriate treatment in proximal bile duct carcinoma. To improve survival rates and with special regard to liver transplantation, the extent of surgical radicalness remains an open issue. PATIENTS AND METHODS: Retrospective analysis of 249 patients who underwent surgery for proximal bile duct carcinoma via the following procedures: resection (n = 125), liver transplantation (n = 25), and exploratory laparotomy (n = 99). Survival rates were calculated according to the Kaplan-Meier method, uni- and multivariate analysis of prognostic factors, and log rank test (p &lt; 0.05). RESULTS: Survival rates after resection and liver transplantation are correlated with international Union Against Cancer (UICC) tumor stage (resection: overall 5-year, 27.1%; stage I and II, 41.9%; stage IV, 20.7%; liver transplantation: overall 5-year, 17.1%; stage I and II, 37.8%; stage IV, 5.8%). Significant univariate prognostic factors for survival after liver resection were lymph node involvement (N category), tumor stage, tumor-free margins, and vascular invasion; for transplantation, they were local tumor extent, N category, tumor stage, and infiltration of liver parenchyma. For resection and transplantation, a multivariate analysis showed prognostic significance of tumor stage and tumor-free margins. CONCLUSION: Resection remains the treatment of choice in proximal bile duct carcinoma. Whenever possible, decisions about resectability should be made during laparotomy. With regard to the observation of long-term survivors, liver transplantation still can be justified in selected patients with stage II carcinoma. It is unknown whether more radical procedures, such as liver transplantation combined with multivisceral resections, will lead to better outcome in advanced stages. With regard to palliation, surgical drainage of the biliary system performed as hepatojejunostomy can be recommended.","container-title":"Annals of Surgery","ISSN":"0003-4932","issue":"5","journalAbbreviation":"Ann Surg","note":"PMID: 8916878\nPMCID: PMC1235440","page":"628-638","source":"PubMed Central","title":"Surgical treatment in proximal bile duct cancer. A single-center experience.","volume":"224","author":[{"family":"Pichlmayr","given":"R"},{"family":"Weimann","given":"A"},{"family":"Klempnauer","given":"J"},{"family":"Oldhafer","given":"K J"},{"family":"Maschek","given":"H"},{"family":"Tusch","given":"G"},{"family":"Ringe","given":"B"}],"issued":{"date-parts":[["1996",11]]}},"label":"page"},{"id":167035,"uris":["http://zotero.org/groups/4764298/items/CSSYLE95"],"itemData":{"id":167035,"type":"article-journal","abstract":"Objective\nTo review and update the authors’ experience with resectional surgery for proximal bile duct carcinoma (Klatskin tumor) and assess the role of liver resection over the past 25 years.\n\nBackground\nUntil recently, resection of proximal bile duct carcinoma was uncommon, with most patients undergoing palliative procedures. The authors adopted a radical surgical approach aimed at definitive cure in 1974. Recent reports suggest that resection improves outcome.\n\nMethods\nThe records of 40 of 94 patients (23 men, 17 women, age range 34–81 years) diagnosed with proximal bile duct carcinoma who underwent resection between 1968 and 1993 were reviewed. According to the Bismuth classification, there were five type I, four type II, 25 type III, and six type IV lesions; 11 patients underwent tumor resection alone, and 25 patients had combined tumor and liver resection (seven of these also underwent an associated regional vascular resection). In 3 patients, venous allografts were harvested from cadaveric donors and used to reconstruct the portal vein. Four patients underwent liver transplantation; in two, organ cluster-type resections including the liver with porta hepatitis and pancreas were performed.\n\nResults\nThe resectability rate in the more recent period of the study was 49.4%. Most type I, three (of four) type II, T in situ, T1a, T1b, and all stage 0 tumors were resected without hepatectomy. In the other subgroups of tumors, the main surgical procedure was hepatectomy. Thirty-day mortality was 12.5%. After tumor resection alone, survival at 1, 3, and 5 years was 81.8%, 45.5%, and 27.3%, respectively. After tumor resection and hepatectomy without vascular resection, 1-, 3-, and 5-year survival was 66.7%, 16.7%, and 6%, respectively. With vascular resection, survival rates were similar: 64%, 20%, and 4%, respectively.\n\nConclusion\nThe type of surgery required to achieve cure is closely related to tumor location, TNM classification, and staging. Increasing resectability through the use of hepatectomy improves survival and offers a chance of cure in patients with more advanced disease.","container-title":"Annals of Surgery","ISSN":"0003-4932","issue":"2","journalAbbreviation":"Ann Surg","note":"PMID: 10450742\nPMCID: PMC1420870","page":"266","source":"PubMed Central","title":"Proximal Bile Duct Cancer: High Resectability Rate and 5-Year Survival","title-short":"Proximal Bile Duct Cancer","volume":"230","author":[{"family":"Launois","given":"Bernard"},{"family":"Terblanche","given":"John"},{"family":"Lakehal","given":"Mohamed"},{"family":"Catheline","given":"Jean Marc"},{"family":"Bardaxoglou","given":"Eustathios"},{"family":"Landen","given":"Serge"},{"family":"Campion","given":"Jean Pierre"},{"family":"Sutherland","given":"Francis"},{"family":"Meunier","given":"Bernard"}],"issued":{"date-parts":[["1999",8]]}},"label":"page"}],"schema":"https://github.com/citation-style-language/schema/raw/master/csl-citation.json"} </w:instrText>
      </w:r>
      <w:r w:rsidR="007F5427" w:rsidRPr="00097824">
        <w:fldChar w:fldCharType="separate"/>
      </w:r>
      <w:r w:rsidRPr="00097824">
        <w:t>[45,80,81</w:t>
      </w:r>
      <w:r w:rsidR="0070018F" w:rsidRPr="00097824">
        <w:t>,</w:t>
      </w:r>
      <w:r w:rsidR="0077218C" w:rsidRPr="00097824">
        <w:t xml:space="preserve"> 192, 193</w:t>
      </w:r>
      <w:r w:rsidRPr="00097824">
        <w:t>]</w:t>
      </w:r>
      <w:r w:rsidR="007F5427" w:rsidRPr="00097824">
        <w:fldChar w:fldCharType="end"/>
      </w:r>
      <w:r w:rsidRPr="00097824">
        <w:t>.</w:t>
      </w:r>
    </w:p>
    <w:p w14:paraId="02AF63CF" w14:textId="2F4196FA" w:rsidR="00FD7455" w:rsidRPr="00097824" w:rsidRDefault="00FD7455" w:rsidP="00D843A3">
      <w:pPr>
        <w:pStyle w:val="32"/>
        <w:ind w:firstLine="0"/>
        <w:rPr>
          <w:color w:val="auto"/>
        </w:rPr>
      </w:pPr>
      <w:r w:rsidRPr="00097824">
        <w:rPr>
          <w:color w:val="auto"/>
        </w:rPr>
        <w:t xml:space="preserve">Уровень убедительности рекомендаций – </w:t>
      </w:r>
      <w:r w:rsidRPr="00097824">
        <w:rPr>
          <w:color w:val="auto"/>
          <w:lang w:val="en-GB"/>
        </w:rPr>
        <w:t>B</w:t>
      </w:r>
      <w:r w:rsidRPr="00097824">
        <w:rPr>
          <w:color w:val="auto"/>
        </w:rPr>
        <w:t xml:space="preserve"> (уровень достоверности доказательств </w:t>
      </w:r>
      <w:r w:rsidR="00EF292F" w:rsidRPr="00097824">
        <w:rPr>
          <w:color w:val="auto"/>
        </w:rPr>
        <w:t>3</w:t>
      </w:r>
      <w:r w:rsidR="00D843A3" w:rsidRPr="00097824">
        <w:rPr>
          <w:color w:val="auto"/>
        </w:rPr>
        <w:t>)</w:t>
      </w:r>
    </w:p>
    <w:p w14:paraId="1D949DD8" w14:textId="4851195F" w:rsidR="00D630AE" w:rsidRPr="00097824" w:rsidRDefault="00FD7455" w:rsidP="00A37046">
      <w:pPr>
        <w:ind w:firstLine="0"/>
        <w:contextualSpacing/>
        <w:rPr>
          <w:b/>
          <w:iCs/>
        </w:rPr>
      </w:pPr>
      <w:r w:rsidRPr="00097824">
        <w:rPr>
          <w:b/>
        </w:rPr>
        <w:lastRenderedPageBreak/>
        <w:t xml:space="preserve">Комментарий: </w:t>
      </w:r>
      <w:r w:rsidRPr="00097824">
        <w:rPr>
          <w:i/>
        </w:rPr>
        <w:t xml:space="preserve">при инвазии воротной вены целесообразна ее резекция с последующей пластикой. </w:t>
      </w:r>
      <w:r w:rsidR="007F5427" w:rsidRPr="00097824">
        <w:rPr>
          <w:i/>
          <w:lang w:val="en-GB"/>
        </w:rPr>
        <w:fldChar w:fldCharType="begin"/>
      </w:r>
      <w:r w:rsidRPr="00097824">
        <w:rPr>
          <w:i/>
        </w:rPr>
        <w:instrText xml:space="preserve"> ADDIN ZOTERO_ITEM CSL_CITATION {"citationID":"Y5d68OZ3","properties":{"formattedCitation":"[82,83]","plainCitation":"[82,83]","noteIndex":0},"citationItems":[{"id":166835,"uris":["http://zotero.org/groups/4764298/items/RHELGNII"],"itemData":{"id":166835,"type":"article-journal","container-title":"Langenbeck's archives of surgery","issue":"3","note":"publisher: Springer","page":"194–200","source":"Google Scholar","title":"Surgical management of proximal bile duct cancer: extended right lobe resection increases resectability and radicality","title-short":"Surgical management of proximal bile duct cancer","volume":"388","author":[{"family":"Neuhaus","given":"Peter"},{"family":"Jonas","given":"Sven"},{"family":"Settmacher","given":"Utz"},{"family":"Thelen","given":"Armin"},{"family":"Benckert","given":"Christoph"},{"family":"Lopez-Hänninen","given":"Enrique"},{"family":"Hintze","given":"Rainer E."}],"issued":{"date-parts":[["2003"]]}},"label":"page"},{"id":166836,"uris":["http://zotero.org/groups/4764298/items/2U6B9H26"],"itemData":{"id":166836,"type":"article-journal","container-title":"Annals of surgery","issue":"1","note":"publisher: Lippincott, Williams, and Wilkins","page":"28","source":"Google Scholar","title":"“Anatomic” right hepatic trisectionectomy (extended right hepatectomy) with caudate lobectomy for hilar cholangiocarcinoma","volume":"243","author":[{"family":"Nagino","given":"Masato"},{"family":"Kamiya","given":"Junichi"},{"family":"Arai","given":"Toshiyuki"},{"family":"Nishio","given":"Hideki"},{"family":"Ebata","given":"Tomoki"},{"family":"Nimura","given":"Yuji"}],"issued":{"date-parts":[["2006"]]}},"label":"page"}],"schema":"https://github.com/citation-style-language/schema/raw/master/csl-citation.json"} </w:instrText>
      </w:r>
      <w:r w:rsidR="007F5427" w:rsidRPr="00097824">
        <w:rPr>
          <w:i/>
          <w:lang w:val="en-GB"/>
        </w:rPr>
        <w:fldChar w:fldCharType="separate"/>
      </w:r>
      <w:r w:rsidRPr="00097824">
        <w:t>[82,83]</w:t>
      </w:r>
      <w:r w:rsidR="007F5427" w:rsidRPr="00097824">
        <w:rPr>
          <w:i/>
          <w:lang w:val="en-GB"/>
        </w:rPr>
        <w:fldChar w:fldCharType="end"/>
      </w:r>
    </w:p>
    <w:p w14:paraId="6978304D" w14:textId="77777777" w:rsidR="00D630AE" w:rsidRPr="00097824" w:rsidRDefault="00D630AE" w:rsidP="00AD4A9F">
      <w:pPr>
        <w:ind w:left="397" w:firstLine="357"/>
        <w:contextualSpacing/>
        <w:rPr>
          <w:b/>
          <w:iCs/>
        </w:rPr>
      </w:pPr>
    </w:p>
    <w:p w14:paraId="42E1D9BB" w14:textId="77777777" w:rsidR="00D630AE" w:rsidRPr="00097824" w:rsidRDefault="007F5427" w:rsidP="00CC2BE1">
      <w:pPr>
        <w:pStyle w:val="aff"/>
        <w:numPr>
          <w:ilvl w:val="2"/>
          <w:numId w:val="27"/>
        </w:numPr>
        <w:ind w:left="397" w:firstLine="357"/>
        <w:contextualSpacing/>
        <w:rPr>
          <w:b/>
          <w:iCs/>
        </w:rPr>
      </w:pPr>
      <w:r w:rsidRPr="00097824">
        <w:rPr>
          <w:b/>
          <w:iCs/>
        </w:rPr>
        <w:t>Рак дистального отдела внепеченочных желчных протоков</w:t>
      </w:r>
    </w:p>
    <w:p w14:paraId="326F188D" w14:textId="6D6163F6" w:rsidR="00275615" w:rsidRPr="00097824" w:rsidRDefault="00275615" w:rsidP="00AD4A9F">
      <w:pPr>
        <w:pStyle w:val="1"/>
        <w:spacing w:before="0"/>
        <w:ind w:left="397" w:firstLine="357"/>
      </w:pPr>
      <w:r w:rsidRPr="00097824">
        <w:t xml:space="preserve">При раке </w:t>
      </w:r>
      <w:proofErr w:type="spellStart"/>
      <w:r w:rsidRPr="00097824">
        <w:t>холедоха</w:t>
      </w:r>
      <w:proofErr w:type="spellEnd"/>
      <w:r w:rsidR="007B70A4" w:rsidRPr="00097824">
        <w:t xml:space="preserve"> </w:t>
      </w:r>
      <w:r w:rsidRPr="00097824">
        <w:t>рекомендуется</w:t>
      </w:r>
      <w:r w:rsidR="007B70A4" w:rsidRPr="00097824">
        <w:t xml:space="preserve"> </w:t>
      </w:r>
      <w:r w:rsidR="002064A3" w:rsidRPr="00097824">
        <w:t xml:space="preserve">радикальная операция в объеме </w:t>
      </w:r>
      <w:proofErr w:type="spellStart"/>
      <w:r w:rsidRPr="00097824">
        <w:t>панкреатодуоденаль</w:t>
      </w:r>
      <w:r w:rsidR="00E5745B" w:rsidRPr="00097824">
        <w:t>н</w:t>
      </w:r>
      <w:r w:rsidR="002064A3" w:rsidRPr="00097824">
        <w:t>ой</w:t>
      </w:r>
      <w:proofErr w:type="spellEnd"/>
      <w:r w:rsidRPr="00097824">
        <w:t xml:space="preserve"> резекция с</w:t>
      </w:r>
      <w:r w:rsidR="00DC6207" w:rsidRPr="00097824">
        <w:t> </w:t>
      </w:r>
      <w:r w:rsidRPr="00097824">
        <w:t>удалением региона</w:t>
      </w:r>
      <w:r w:rsidR="00DC6207" w:rsidRPr="00097824">
        <w:t>р</w:t>
      </w:r>
      <w:r w:rsidRPr="00097824">
        <w:t>ных лимфоузлов единым блоком со срочным</w:t>
      </w:r>
      <w:r w:rsidR="00692CD0" w:rsidRPr="00097824">
        <w:t xml:space="preserve"> </w:t>
      </w:r>
      <w:proofErr w:type="spellStart"/>
      <w:r w:rsidR="00692CD0" w:rsidRPr="00097824">
        <w:t>интраоперационным</w:t>
      </w:r>
      <w:proofErr w:type="spellEnd"/>
      <w:r w:rsidRPr="00097824">
        <w:t xml:space="preserve"> гистологическим исследованием края отсечения протока с последующим формированием анастомозов </w:t>
      </w:r>
      <w:r w:rsidR="007F5427" w:rsidRPr="00097824">
        <w:fldChar w:fldCharType="begin"/>
      </w:r>
      <w:r w:rsidR="00D529A9" w:rsidRPr="00097824">
        <w:instrText xml:space="preserve"> ADDIN ZOTERO_ITEM CSL_CITATION {"citationID":"pQAZVrFI","properties":{"formattedCitation":"[45]","plainCitation":"[45]","noteIndex":0},"citationItems":[{"id":166831,"uris":["http://zotero.org/groups/4764298/items/IT742NCS"],"itemData":{"id":166831,"type":"article-journal","container-title":"Hepatobiliary &amp; Pancreatic Diseases International","issue":"1","note":"publisher: Elsevier","page":"10–20","source":"Google Scholar","title":"Cholangiocarcinoma: principles and current trends","title-short":"Cholangiocarcinoma","volume":"10","author":[{"family":"Zografos","given":"George N."},{"family":"Farfaras","given":"Athanasios"},{"family":"Zagouri","given":"Flora"},{"family":"Chrysikos","given":"Dimosthenis"},{"family":"Karaliotas","given":"Kostas"}],"issued":{"date-parts":[["2011"]]}}}],"schema":"https://github.com/citation-style-language/schema/raw/master/csl-citation.json"} </w:instrText>
      </w:r>
      <w:r w:rsidR="007F5427" w:rsidRPr="00097824">
        <w:fldChar w:fldCharType="separate"/>
      </w:r>
      <w:r w:rsidR="00D529A9" w:rsidRPr="00097824">
        <w:t>[45]</w:t>
      </w:r>
      <w:r w:rsidR="007F5427" w:rsidRPr="00097824">
        <w:fldChar w:fldCharType="end"/>
      </w:r>
      <w:r w:rsidRPr="00097824">
        <w:t xml:space="preserve">. </w:t>
      </w:r>
    </w:p>
    <w:p w14:paraId="6B0D9EAE" w14:textId="7BB92C78" w:rsidR="00275615" w:rsidRPr="00097824" w:rsidRDefault="007F5427" w:rsidP="00A37046">
      <w:pPr>
        <w:pStyle w:val="32"/>
        <w:ind w:firstLine="0"/>
        <w:rPr>
          <w:color w:val="auto"/>
        </w:rPr>
      </w:pPr>
      <w:r w:rsidRPr="00097824">
        <w:rPr>
          <w:color w:val="auto"/>
        </w:rPr>
        <w:t>Уровень убедительности рекомендаций –</w:t>
      </w:r>
      <w:r w:rsidR="00FD7455" w:rsidRPr="00097824">
        <w:rPr>
          <w:color w:val="auto"/>
        </w:rPr>
        <w:t xml:space="preserve"> </w:t>
      </w:r>
      <w:r w:rsidRPr="00097824">
        <w:rPr>
          <w:color w:val="auto"/>
        </w:rPr>
        <w:t>С</w:t>
      </w:r>
      <w:r w:rsidR="00FD7455" w:rsidRPr="00097824">
        <w:rPr>
          <w:color w:val="auto"/>
        </w:rPr>
        <w:t xml:space="preserve"> </w:t>
      </w:r>
      <w:r w:rsidRPr="00097824">
        <w:rPr>
          <w:color w:val="auto"/>
        </w:rPr>
        <w:t>(уровень достоверности доказательств –</w:t>
      </w:r>
      <w:r w:rsidR="00EF292F" w:rsidRPr="00097824">
        <w:rPr>
          <w:color w:val="auto"/>
        </w:rPr>
        <w:t>3</w:t>
      </w:r>
      <w:r w:rsidRPr="00097824">
        <w:rPr>
          <w:color w:val="auto"/>
        </w:rPr>
        <w:t>)</w:t>
      </w:r>
    </w:p>
    <w:p w14:paraId="048D61AA" w14:textId="4C44BE04" w:rsidR="003B550F" w:rsidRPr="00097824" w:rsidRDefault="003B550F" w:rsidP="00A37046">
      <w:pPr>
        <w:pStyle w:val="32"/>
        <w:ind w:firstLine="0"/>
        <w:rPr>
          <w:b w:val="0"/>
          <w:color w:val="auto"/>
        </w:rPr>
      </w:pPr>
      <w:r w:rsidRPr="00097824">
        <w:t>Комментарий:</w:t>
      </w:r>
      <w:r w:rsidRPr="00097824">
        <w:rPr>
          <w:b w:val="0"/>
        </w:rPr>
        <w:t xml:space="preserve"> </w:t>
      </w:r>
      <w:r w:rsidRPr="00097824">
        <w:rPr>
          <w:b w:val="0"/>
          <w:i/>
        </w:rPr>
        <w:t xml:space="preserve">в случае опухолевого поражения </w:t>
      </w:r>
      <w:proofErr w:type="spellStart"/>
      <w:r w:rsidRPr="00097824">
        <w:rPr>
          <w:b w:val="0"/>
          <w:i/>
        </w:rPr>
        <w:t>супрапанкреатического</w:t>
      </w:r>
      <w:proofErr w:type="spellEnd"/>
      <w:r w:rsidRPr="00097824">
        <w:rPr>
          <w:b w:val="0"/>
          <w:i/>
        </w:rPr>
        <w:t xml:space="preserve"> отдела общего желчного протока (без вовлечения в опухолевый процесс головки поджелудочной железы) радикальным объемом операции </w:t>
      </w:r>
      <w:r w:rsidR="0007368C" w:rsidRPr="00097824">
        <w:rPr>
          <w:b w:val="0"/>
          <w:i/>
        </w:rPr>
        <w:t xml:space="preserve">так же </w:t>
      </w:r>
      <w:r w:rsidRPr="00097824">
        <w:rPr>
          <w:b w:val="0"/>
          <w:i/>
        </w:rPr>
        <w:t>является резекция пораженной части желчных прот</w:t>
      </w:r>
      <w:r w:rsidR="0007368C" w:rsidRPr="00097824">
        <w:rPr>
          <w:b w:val="0"/>
          <w:i/>
        </w:rPr>
        <w:t>о</w:t>
      </w:r>
      <w:r w:rsidRPr="00097824">
        <w:rPr>
          <w:b w:val="0"/>
          <w:i/>
        </w:rPr>
        <w:t>ков</w:t>
      </w:r>
      <w:r w:rsidR="00692CD0" w:rsidRPr="00097824">
        <w:rPr>
          <w:b w:val="0"/>
          <w:i/>
        </w:rPr>
        <w:t xml:space="preserve"> с регионарной </w:t>
      </w:r>
      <w:proofErr w:type="spellStart"/>
      <w:r w:rsidR="00692CD0" w:rsidRPr="00097824">
        <w:rPr>
          <w:b w:val="0"/>
          <w:i/>
        </w:rPr>
        <w:t>лимфодиссекцией</w:t>
      </w:r>
      <w:proofErr w:type="spellEnd"/>
      <w:r w:rsidRPr="00097824">
        <w:rPr>
          <w:b w:val="0"/>
          <w:i/>
        </w:rPr>
        <w:t xml:space="preserve"> при условии достижения отрицательного края резекции подтвержденного в ходе срочного </w:t>
      </w:r>
      <w:proofErr w:type="spellStart"/>
      <w:r w:rsidRPr="00097824">
        <w:rPr>
          <w:b w:val="0"/>
          <w:i/>
        </w:rPr>
        <w:t>интраоперационного</w:t>
      </w:r>
      <w:proofErr w:type="spellEnd"/>
      <w:r w:rsidRPr="00097824">
        <w:rPr>
          <w:b w:val="0"/>
          <w:i/>
        </w:rPr>
        <w:t xml:space="preserve"> гистологического исследования. </w:t>
      </w:r>
    </w:p>
    <w:p w14:paraId="4536EE2D" w14:textId="7F08114C" w:rsidR="00275615" w:rsidRPr="00097824" w:rsidRDefault="00275615" w:rsidP="00AD4A9F">
      <w:pPr>
        <w:pStyle w:val="-12"/>
        <w:ind w:left="397" w:firstLine="357"/>
        <w:rPr>
          <w:i/>
        </w:rPr>
      </w:pPr>
    </w:p>
    <w:p w14:paraId="675C04BE" w14:textId="77777777" w:rsidR="00D630AE" w:rsidRPr="00097824" w:rsidRDefault="007F5427" w:rsidP="00CC2BE1">
      <w:pPr>
        <w:pStyle w:val="-12"/>
        <w:numPr>
          <w:ilvl w:val="2"/>
          <w:numId w:val="27"/>
        </w:numPr>
        <w:ind w:left="397" w:firstLine="357"/>
        <w:rPr>
          <w:b/>
        </w:rPr>
      </w:pPr>
      <w:r w:rsidRPr="00097824">
        <w:rPr>
          <w:b/>
        </w:rPr>
        <w:t>Рак желчного пузыря</w:t>
      </w:r>
    </w:p>
    <w:p w14:paraId="502EE967" w14:textId="07372C35" w:rsidR="00E0532B" w:rsidRPr="00097824" w:rsidRDefault="00E0532B" w:rsidP="00AD4A9F">
      <w:pPr>
        <w:pStyle w:val="1"/>
        <w:spacing w:before="0"/>
        <w:ind w:left="397" w:firstLine="357"/>
      </w:pPr>
      <w:r w:rsidRPr="00097824">
        <w:t xml:space="preserve">При стадии </w:t>
      </w:r>
      <w:r w:rsidRPr="00097824">
        <w:rPr>
          <w:lang w:val="en-GB"/>
        </w:rPr>
        <w:t>T</w:t>
      </w:r>
      <w:r w:rsidRPr="00097824">
        <w:rPr>
          <w:vertAlign w:val="subscript"/>
        </w:rPr>
        <w:t>1</w:t>
      </w:r>
      <w:r w:rsidRPr="00097824">
        <w:rPr>
          <w:vertAlign w:val="subscript"/>
          <w:lang w:val="en-GB"/>
        </w:rPr>
        <w:t>A</w:t>
      </w:r>
      <w:r w:rsidR="003B550F" w:rsidRPr="00097824">
        <w:t xml:space="preserve"> рака желчного пузыря</w:t>
      </w:r>
      <w:r w:rsidR="00692CD0" w:rsidRPr="00097824">
        <w:t xml:space="preserve"> рекомендуется выполнение </w:t>
      </w:r>
      <w:r w:rsidRPr="00097824">
        <w:t xml:space="preserve"> холецистэктомии</w:t>
      </w:r>
      <w:r w:rsidR="008D284A" w:rsidRPr="00097824">
        <w:t xml:space="preserve"> </w:t>
      </w:r>
      <w:r w:rsidR="007F5427" w:rsidRPr="00097824">
        <w:fldChar w:fldCharType="begin"/>
      </w:r>
      <w:r w:rsidRPr="00097824">
        <w:instrText xml:space="preserve"> ADDIN ZOTERO_ITEM CSL_CITATION {"citationID":"lXDkVExL","properties":{"formattedCitation":"[57]","plainCitation":"[57]","noteIndex":0},"citationItems":[{"id":166816,"uris":["http://zotero.org/groups/4764298/items/NDZYEQW4"],"itemData":{"id":166816,"type":"article-journal","abstract":"AIM: To evaluate the efficacy of simple and extended cholecystectomy for mucosa (T1a) or muscularis (T1b) gallbladder (GB) cancer., METHODS: Original studies on simple and extended cholecystectomy for T1a or T1b GB cancer were searched from MEDLINE (PubMed), Cochrane Library, EMBase, and CancerLit using the search terms of GB, cancer/carcinoma/tumor/neoplasm., RESULTS: Twenty-nine out of the 2312 potentially relevant publications met the eligibility criteria. Of the 1266 patients with GB cancer included in the publications, 706 (55.8%) and 560 (44.2%) had T1a and T1b GB cancer, respectively. Simple cholecystectomy for T1a and T1b GB cancer was performed in 590 (83.6%) and 375 (67.0%) patients, respectively (P &lt; 0.01). In most series, the treatment of choice was simple cholecystectomy for T1a GB cancer patients with a 5-year survival rate of 100%. Lymph node metastasis was detected in 10.9% of the T1b GB cancer patients and in 1.8% of the T1a GB cancer patients, respectively (P &lt; 0.01). Eight patients (1.1%) with T1a GB cancer and 52 patients (9.3%) with T1b GB cancer died of recurrent GB cancer (P &lt; 0.01)., CONCLUSION: Simple cholecystectomy represents the adequate treatment of T1a GB cancer. There is no definite evidence that extended cholecystectomy is advantageous over simple cholecystectomy for T1b GB cancer.","container-title":"World Journal of Gastroenterology : WJG","DOI":"10.3748/wjg.v17.i2.174","ISSN":"1007-9327","issue":"2","journalAbbreviation":"World J Gastroenterol","note":"PMID: 21245989\nPMCID: PMC3020370","page":"174-180","source":"PubMed Central","title":"Systematic review on the surgical treatment for T1 gallbladder cancer","volume":"17","author":[{"family":"Lee","given":"Seung Eun"},{"family":"Jang","given":"Jin-Young"},{"family":"Lim","given":"Chang-Sup"},{"family":"Kang","given":"Mee Joo"},{"family":"Kim","given":"Sun-Whe"}],"issued":{"date-parts":[["2011",1,14]]}}}],"schema":"https://github.com/citation-style-language/schema/raw/master/csl-citation.json"} </w:instrText>
      </w:r>
      <w:r w:rsidR="007F5427" w:rsidRPr="00097824">
        <w:fldChar w:fldCharType="separate"/>
      </w:r>
      <w:r w:rsidRPr="00097824">
        <w:t>[57]</w:t>
      </w:r>
      <w:r w:rsidR="007F5427" w:rsidRPr="00097824">
        <w:fldChar w:fldCharType="end"/>
      </w:r>
      <w:r w:rsidRPr="00097824">
        <w:t xml:space="preserve">. </w:t>
      </w:r>
    </w:p>
    <w:p w14:paraId="32BD0257" w14:textId="4196AF9A" w:rsidR="00E0532B" w:rsidRPr="00097824" w:rsidRDefault="00E0532B" w:rsidP="00D843A3">
      <w:pPr>
        <w:pStyle w:val="1"/>
        <w:numPr>
          <w:ilvl w:val="0"/>
          <w:numId w:val="0"/>
        </w:numPr>
        <w:spacing w:before="0" w:after="240"/>
        <w:rPr>
          <w:b/>
          <w:bCs/>
        </w:rPr>
      </w:pPr>
      <w:r w:rsidRPr="00097824">
        <w:rPr>
          <w:b/>
          <w:bCs/>
        </w:rPr>
        <w:t xml:space="preserve">Уровень убедительности рекомендаций – </w:t>
      </w:r>
      <w:r w:rsidR="00703E49" w:rsidRPr="00097824">
        <w:rPr>
          <w:b/>
          <w:bCs/>
        </w:rPr>
        <w:t>В</w:t>
      </w:r>
      <w:r w:rsidR="003B550F" w:rsidRPr="00097824">
        <w:rPr>
          <w:b/>
          <w:bCs/>
        </w:rPr>
        <w:t xml:space="preserve"> </w:t>
      </w:r>
      <w:r w:rsidRPr="00097824">
        <w:rPr>
          <w:b/>
          <w:bCs/>
        </w:rPr>
        <w:t>(уровень достоверности доказательств</w:t>
      </w:r>
      <w:r w:rsidR="00D843A3" w:rsidRPr="00097824">
        <w:rPr>
          <w:b/>
          <w:bCs/>
        </w:rPr>
        <w:t xml:space="preserve"> </w:t>
      </w:r>
      <w:r w:rsidR="00EF292F" w:rsidRPr="00097824">
        <w:rPr>
          <w:b/>
          <w:bCs/>
        </w:rPr>
        <w:t>3</w:t>
      </w:r>
      <w:r w:rsidRPr="00097824">
        <w:rPr>
          <w:b/>
          <w:bCs/>
        </w:rPr>
        <w:t>).</w:t>
      </w:r>
    </w:p>
    <w:p w14:paraId="180F88FE" w14:textId="6AA79437" w:rsidR="00E0532B" w:rsidRPr="00097824" w:rsidRDefault="00E0532B" w:rsidP="00AD4A9F">
      <w:pPr>
        <w:pStyle w:val="1"/>
        <w:spacing w:before="0"/>
        <w:ind w:left="397" w:firstLine="357"/>
      </w:pPr>
      <w:r w:rsidRPr="00097824">
        <w:t xml:space="preserve">При </w:t>
      </w:r>
      <w:proofErr w:type="spellStart"/>
      <w:r w:rsidRPr="00097824">
        <w:t>резектабельном</w:t>
      </w:r>
      <w:proofErr w:type="spellEnd"/>
      <w:r w:rsidRPr="00097824">
        <w:t xml:space="preserve"> </w:t>
      </w:r>
      <w:r w:rsidR="003B550F" w:rsidRPr="00097824">
        <w:t xml:space="preserve">раке желчного пузыря </w:t>
      </w:r>
      <w:r w:rsidRPr="00097824">
        <w:t>рекомендуется выполнение</w:t>
      </w:r>
      <w:r w:rsidR="003B550F" w:rsidRPr="00097824">
        <w:t xml:space="preserve"> </w:t>
      </w:r>
      <w:r w:rsidRPr="00097824">
        <w:t>расширенной</w:t>
      </w:r>
      <w:r w:rsidR="003B550F" w:rsidRPr="00097824">
        <w:t xml:space="preserve"> </w:t>
      </w:r>
      <w:r w:rsidRPr="00097824">
        <w:t xml:space="preserve">холецистэктомии с резекцией S </w:t>
      </w:r>
      <w:r w:rsidRPr="00097824">
        <w:rPr>
          <w:lang w:val="en-US"/>
        </w:rPr>
        <w:t>IV</w:t>
      </w:r>
      <w:r w:rsidRPr="00097824">
        <w:t>–</w:t>
      </w:r>
      <w:r w:rsidRPr="00097824">
        <w:rPr>
          <w:lang w:val="en-US"/>
        </w:rPr>
        <w:t>V</w:t>
      </w:r>
      <w:r w:rsidRPr="00097824">
        <w:t xml:space="preserve"> сегментов печени с</w:t>
      </w:r>
      <w:r w:rsidR="00692CD0" w:rsidRPr="00097824">
        <w:t xml:space="preserve"> удалением клетчатки</w:t>
      </w:r>
      <w:r w:rsidRPr="00097824">
        <w:t xml:space="preserve"> и </w:t>
      </w:r>
      <w:r w:rsidR="00692CD0" w:rsidRPr="00097824">
        <w:t>регионарных</w:t>
      </w:r>
      <w:r w:rsidR="003B550F" w:rsidRPr="00097824">
        <w:t xml:space="preserve"> </w:t>
      </w:r>
      <w:r w:rsidR="00692CD0" w:rsidRPr="00097824">
        <w:t>лимфоузлов с или без резекции</w:t>
      </w:r>
      <w:r w:rsidRPr="00097824">
        <w:t xml:space="preserve"> желчных протоков в зависимости от </w:t>
      </w:r>
      <w:r w:rsidR="00692CD0" w:rsidRPr="00097824">
        <w:t xml:space="preserve">их вовлечения </w:t>
      </w:r>
      <w:r w:rsidR="005C6F96" w:rsidRPr="00097824">
        <w:t>в опухолевый процесс</w:t>
      </w:r>
      <w:r w:rsidR="008D284A" w:rsidRPr="00097824">
        <w:t xml:space="preserve"> </w:t>
      </w:r>
      <w:r w:rsidR="007F5427" w:rsidRPr="00097824">
        <w:fldChar w:fldCharType="begin"/>
      </w:r>
      <w:r w:rsidRPr="00097824">
        <w:instrText xml:space="preserve"> ADDIN ZOTERO_ITEM CSL_CITATION {"citationID":"kizma4h2","properties":{"formattedCitation":"[58\\uc0\\u8211{}64]","plainCitation":"[58–64]","noteIndex":0},"citationItems":[{"id":166788,"uris":["http://zotero.org/groups/4764298/items/5AA6TD73"],"itemData":{"id":166788,"type":"article-journal","container-title":"Journal of the American College of Surgeons","issue":"3","note":"publisher: Elsevier","page":"371–382","source":"Google Scholar","title":"Surgery for gallbladder cancer: a population-based analysis","title-short":"Surgery for gallbladder cancer","volume":"207","author":[{"family":"Coburn","given":"Natalie G."},{"family":"Cleary","given":"Sean P."},{"family":"Tan","given":"Jensen CC"},{"family":"Law","given":"Calvin HL"}],"issued":{"date-parts":[["2008"]]}},"label":"page"},{"id":166789,"uris":["http://zotero.org/groups/4764298/items/JWBV6RPI"],"itemData":{"id":166789,"type":"article-journal","container-title":"Archives of surgery","issue":"6","note":"publisher: American Medical Association","page":"734–738","source":"Google Scholar","title":"Early-stage gallbladder cancer in the Surveillance, Epidemiology, and End Results database: effect of extended surgical resection","title-short":"Early-stage gallbladder cancer in the Surveillance, Epidemiology, and End Results database","volume":"146","author":[{"family":"Downing","given":"Stephanie R."},{"family":"Cadogan","given":"Kerry-Ann"},{"family":"Ortega","given":"Gezzer"},{"family":"Oyetunji","given":"Tolulope A."},{"family":"Siram","given":"Suryanarayana M."},{"family":"Chang","given":"David C."},{"family":"Ahuja","given":"Nita"},{"family":"Leffall","given":"LaSalle D."},{"family":"Frederick","given":"Wayne AI"}],"issued":{"date-parts":[["2011"]]}},"label":"page"},{"id":166785,"uris":["http://zotero.org/groups/4764298/items/46VZU6ZK"],"itemData":{"id":166785,"type":"article-journal","container-title":"Langenbeck's Archives of Surgery","issue":"3","note":"publisher: Springer","page":"801–811","source":"Google Scholar","title":"Outcome of radical surgery for gallbladder carcinoma according to TNM stage: implications for adjuvant therapeutic strategies","title-short":"Outcome of radical surgery for gallbladder carcinoma according to TNM stage","volume":"406","author":[{"family":"Yuza","given":"Kizuki"},{"family":"Sakata","given":"Jun"},{"family":"Hirose","given":"Yuki"},{"family":"Miura","given":"Kohei"},{"family":"Ando","given":"Takuya"},{"family":"Katada","given":"Tomohiro"},{"family":"Takizawa","given":"Kazuyasu"},{"family":"Kobayashi","given":"Takashi"},{"family":"Ichikawa","given":"Hiroshi"},{"family":"Shimada","given":"Yoshifumi"}],"issued":{"date-parts":[["2021"]]}},"label":"page"},{"id":166790,"uris":["http://zotero.org/groups/4764298/items/TPI33EJW"],"itemData":{"id":166790,"type":"article-journal","abstract":"Simple Summary\nGallbladder cancer (GBC) is the most common biliary tract cancer worldwide, with incidental GBC being the most common presentation of resectable gallbladder cancer today. While surgery remains the only curative treatment, important progress has been made in the understanding of molecular pathogenesis and systemic treatment options.\n\nAbstract\nGallbladder cancer (GBC) is the most common biliary tract cancer worldwide and its incidence has significant geographic variation. A unique combination of predisposing factors includes genetic predisposition, geographic distribution, female gender, chronic inflammation, and congenital developmental abnormalities. Today, incidental GBC is the most common presentation of resectable gallbladder cancer, and surgery (minimally invasive or open) remains the only curative treatment available. Encouragingly, there is an important emerging role for systemic treatment for patients who have R1 resection or present with stage III–IV. In this article, we describe the pathogenesis, surgical and systemic treatment, and prognosis.","container-title":"Cancers","DOI":"10.3390/cancers14061413","ISSN":"2072-6694","issue":"6","journalAbbreviation":"Cancers (Basel)","note":"PMID: 35326566\nPMCID: PMC8945892","page":"1413","source":"PubMed Central","title":"Treatment of Resectable Gallbladder Cancer","volume":"14","author":[{"family":"Vega","given":"Eduardo A."},{"family":"Mellado","given":"Sebastian"},{"family":"Salehi","given":"Omid"},{"family":"Freeman","given":"Richard"},{"family":"Conrad","given":"Claudius"}],"issued":{"date-parts":[["2022",3,10]]}},"label":"page"},{"id":166822,"uris":["http://zotero.org/groups/4764298/items/W47PQ2UK"],"itemData":{"id":166822,"type":"article-journal","abstract":"ObjectiveThis article aims to evaluate the survival benefits of simple cholecystectomy, extended cholecystectomy, as well as scope regional lymphadenectomy for T2 gallbladder cancer (GBC) patients.MethodsWe identified eligible patients from the Surveillance, Epidemiology, and End Results database. The confounding factors were controlled via propensity score matching. The log-rank test was utilized to compare overall survival. The multivariate Cox regression was then used to determine risk factors.ResultsOverall, data from 1,009 patients were obtained. The median overall survival (OS) of 915 patients that underwent simple cholecystectomy was 15 months; the median OS of 94 patients that underwent extended cholecystectomy was 17 months. There were no significant differences before and after propensity score matching (p = 0.542 and p = 0.258). The patients who received regional lymphadenectomy did show significant survival benefit, compared to those who did not receive regional lymphadenectomy. Furthermore, this benefit is observed in the N0 stage, but not observed in the N1 stage. In addition, the OS of patients who received lymphadenectomy for four or more regions was significantly better than those who received one to three regions lymphadenectomy. Age, the scope of regional lymphadenectomy, N stage, and tumor size were identified as prognostic factors.ConclusionsExtended cholecystectomy was not observed to significantly improve postoperative prognosis of patients with T2 GBC. However, there was a significant survival benefit shown for those with regional lymphadenectomy, particularly for patients with negative lymph nodes. Future studies on the control of potential confounding factors and longer follow-ups are still needed.","container-title":"Frontiers in Oncology","ISSN":"2234-943X","source":"Frontiers","title":"Survival Benefits of Simple Versus Extended Cholecystectomy and Lymphadenectomy for Patients With T2 Gallbladder Cancer: A Propensity-Matched Population-Based Study (2010 to 2015)","title-short":"Survival Benefits of Simple Versus Extended Cholecystectomy and Lymphadenectomy for Patients With T2 Gallbladder Cancer","URL":"https://www.frontiersin.org/articles/10.3389/fonc.2021.705299","volume":"11","author":[{"family":"Zhang","given":"Wei"},{"family":"Huang","given":"Zhangkan"},{"family":"Wang","given":"Wen-er"},{"family":"Che","given":"Xu"}],"accessed":{"date-parts":[["2022",9,3]]},"issued":{"date-parts":[["2021"]]}},"label":"page"},{"id":166823,"uris":["http://zotero.org/groups/4764298/items/YM3CFT6A"],"itemData":{"id":166823,"type":"article-journal","abstract":"Park TJ, et al. Ann Surg Treat Res. 2018 Mar;94(3):135-141. https://doi.org/10.4174/astr.2018.94.3.135","container-title":"Annals of Surgical Treatment and Research","DOI":"10.4174/astr.2018.94.3.135","ISSN":"2288-6575","issue":"3","language":"English","page":"135-141","source":"astr.or.kr","title":"The optimal surgical resection approach for T2 gallbladder carcinoma: evaluating the role of surgical extent according to the tumor location","title-short":"The optimal surgical resection approach for T2 gallbladder carcinoma","volume":"94","author":[{"family":"Park","given":"Tae Jun"},{"family":"Ahn","given":"Keun Soo"},{"family":"Kim","given":"Yong Hoon"},{"family":"Kim","given":"Tae-Seok"},{"family":"Hong","given":"Jung Hee"},{"family":"Kang","given":"Koo Jeong"}],"issued":{"date-parts":[["2018",3,1]]}},"label":"page"},{"id":166824,"uris":["http://zotero.org/groups/4764298/items/4SK2JQKH"],"itemData":{"id":166824,"type":"article-journal","abstract":"Lee SE, et al. J Korean Med Sci. 2018 May;33(28):e186. https://doi.org/10.3346/jkms.2018.33.e186","container-title":"Journal of Korean Medical Science","DOI":"10.3346/jkms.2018.33.e186","ISSN":"1598-6357","issue":"28","language":"English","source":"jkms.org","title":"Surgical Strategy for T2 Gallbladder Cancer: Nationwide Multicenter Survey in Korea","title-short":"Surgical Strategy for T2 Gallbladder Cancer","URL":"https://doi.org/10.3346/jkms.2018.33.e186","volume":"33","author":[{"family":"Lee","given":"Seung Eun"},{"family":"Kim","given":"Sun-Whe"},{"family":"Han","given":"Ho-Seong"},{"family":"Lee","given":"Woo Jung"},{"family":"Yoon","given":"Dong-Sup"},{"family":"Cho","given":"Baik-Hwan"},{"family":"Choi","given":"In Seok"},{"family":"Kim","given":"Hyun Jong"},{"family":"Hong","given":"Soon-Chan"},{"family":"Lee","given":"Sang-Mok"},{"family":"Choi","given":"Dong Wook"},{"family":"Park","given":"Sang-Jae"},{"family":"Kim","given":"Hong-Jin"},{"family":"Jang","given":"Jin-Young"},{"family":"Club","given":"Korean Pancreas Surgery"}],"accessed":{"date-parts":[["2022",9,3]]},"issued":{"date-parts":[["2018",5,23]]}},"label":"page"}],"schema":"https://github.com/citation-style-language/schema/raw/master/csl-citation.json"} </w:instrText>
      </w:r>
      <w:r w:rsidR="007F5427" w:rsidRPr="00097824">
        <w:fldChar w:fldCharType="separate"/>
      </w:r>
      <w:r w:rsidRPr="00097824">
        <w:rPr>
          <w:szCs w:val="24"/>
        </w:rPr>
        <w:t>[58–64]</w:t>
      </w:r>
      <w:r w:rsidR="007F5427" w:rsidRPr="00097824">
        <w:fldChar w:fldCharType="end"/>
      </w:r>
      <w:r w:rsidRPr="00097824">
        <w:t>.</w:t>
      </w:r>
    </w:p>
    <w:p w14:paraId="27073365" w14:textId="532990B0" w:rsidR="00E0532B" w:rsidRPr="00097824" w:rsidRDefault="00E0532B" w:rsidP="00D843A3">
      <w:pPr>
        <w:pStyle w:val="32"/>
        <w:ind w:firstLine="0"/>
        <w:rPr>
          <w:color w:val="auto"/>
        </w:rPr>
      </w:pPr>
      <w:r w:rsidRPr="00097824">
        <w:rPr>
          <w:color w:val="auto"/>
        </w:rPr>
        <w:t xml:space="preserve">Уровень убедительности рекомендаций – </w:t>
      </w:r>
      <w:r w:rsidR="00EF292F" w:rsidRPr="00097824">
        <w:rPr>
          <w:color w:val="auto"/>
        </w:rPr>
        <w:t xml:space="preserve">С </w:t>
      </w:r>
      <w:r w:rsidRPr="00097824">
        <w:rPr>
          <w:color w:val="auto"/>
        </w:rPr>
        <w:t xml:space="preserve">(уровень достоверности доказательств </w:t>
      </w:r>
      <w:r w:rsidR="00EF292F" w:rsidRPr="00097824">
        <w:rPr>
          <w:color w:val="auto"/>
        </w:rPr>
        <w:t>5</w:t>
      </w:r>
      <w:r w:rsidRPr="00097824">
        <w:rPr>
          <w:color w:val="auto"/>
        </w:rPr>
        <w:t>).</w:t>
      </w:r>
    </w:p>
    <w:p w14:paraId="5A4B693B" w14:textId="657ADAC6" w:rsidR="00E0532B" w:rsidRPr="00097824" w:rsidRDefault="00E0532B" w:rsidP="00D843A3">
      <w:pPr>
        <w:spacing w:after="240"/>
        <w:ind w:firstLine="0"/>
      </w:pPr>
      <w:r w:rsidRPr="00097824">
        <w:rPr>
          <w:b/>
          <w:bCs/>
        </w:rPr>
        <w:t>Комментарий:</w:t>
      </w:r>
      <w:r w:rsidRPr="00097824">
        <w:rPr>
          <w:i/>
          <w:iCs/>
        </w:rPr>
        <w:t xml:space="preserve"> противопоказания для хирургического лечения: наличие множественных метастазов в печень, асцит, перитонеальные метастазы, опухолевое поражение </w:t>
      </w:r>
      <w:r w:rsidR="0007368C" w:rsidRPr="00097824">
        <w:rPr>
          <w:i/>
          <w:iCs/>
        </w:rPr>
        <w:t>т</w:t>
      </w:r>
      <w:r w:rsidR="008D284A" w:rsidRPr="00097824">
        <w:rPr>
          <w:i/>
          <w:iCs/>
        </w:rPr>
        <w:t>р</w:t>
      </w:r>
      <w:r w:rsidR="0007368C" w:rsidRPr="00097824">
        <w:rPr>
          <w:i/>
          <w:iCs/>
        </w:rPr>
        <w:t xml:space="preserve">убчатых структур </w:t>
      </w:r>
      <w:proofErr w:type="spellStart"/>
      <w:r w:rsidRPr="00097824">
        <w:rPr>
          <w:i/>
          <w:iCs/>
        </w:rPr>
        <w:t>гепатодуоденальной</w:t>
      </w:r>
      <w:proofErr w:type="spellEnd"/>
      <w:r w:rsidRPr="00097824">
        <w:rPr>
          <w:i/>
          <w:iCs/>
        </w:rPr>
        <w:t xml:space="preserve"> связки, окклюзию крупных сосудов, плохое общее состояние пациента</w:t>
      </w:r>
      <w:r w:rsidR="0007368C" w:rsidRPr="00097824">
        <w:rPr>
          <w:i/>
          <w:iCs/>
        </w:rPr>
        <w:t>, вовлечение в опухолевый процесс головки поджелудочной железы, двенадцатиперстной кишки.</w:t>
      </w:r>
    </w:p>
    <w:p w14:paraId="5BDF1616" w14:textId="77B1BAF4" w:rsidR="00E0532B" w:rsidRPr="00097824" w:rsidRDefault="0006726D" w:rsidP="00AD4A9F">
      <w:pPr>
        <w:pStyle w:val="1"/>
        <w:spacing w:before="0"/>
        <w:ind w:left="397" w:firstLine="357"/>
      </w:pPr>
      <w:r w:rsidRPr="00097824">
        <w:t xml:space="preserve">При раке желчного пузыря </w:t>
      </w:r>
      <w:r w:rsidR="00E0532B" w:rsidRPr="00097824">
        <w:t>с инвазией мышечной оболочки (стадия</w:t>
      </w:r>
      <w:r w:rsidRPr="00097824">
        <w:t xml:space="preserve"> </w:t>
      </w:r>
      <w:r w:rsidR="00E0532B" w:rsidRPr="00097824">
        <w:rPr>
          <w:lang w:val="en-US"/>
        </w:rPr>
        <w:t>I</w:t>
      </w:r>
      <w:r w:rsidR="00E0532B" w:rsidRPr="00097824">
        <w:t xml:space="preserve">, </w:t>
      </w:r>
      <w:r w:rsidR="00E0532B" w:rsidRPr="00097824">
        <w:rPr>
          <w:lang w:val="en-US"/>
        </w:rPr>
        <w:t>T</w:t>
      </w:r>
      <w:r w:rsidR="00E0532B" w:rsidRPr="00097824">
        <w:rPr>
          <w:vertAlign w:val="subscript"/>
        </w:rPr>
        <w:t>1в-2</w:t>
      </w:r>
      <w:r w:rsidR="00E0532B" w:rsidRPr="00097824">
        <w:rPr>
          <w:lang w:val="en-US"/>
        </w:rPr>
        <w:t>N</w:t>
      </w:r>
      <w:r w:rsidR="00E0532B" w:rsidRPr="00097824">
        <w:rPr>
          <w:vertAlign w:val="subscript"/>
        </w:rPr>
        <w:t>0</w:t>
      </w:r>
      <w:r w:rsidR="00E0532B" w:rsidRPr="00097824">
        <w:rPr>
          <w:lang w:val="en-US"/>
        </w:rPr>
        <w:t>M</w:t>
      </w:r>
      <w:r w:rsidR="00E0532B" w:rsidRPr="00097824">
        <w:rPr>
          <w:vertAlign w:val="subscript"/>
        </w:rPr>
        <w:t>0</w:t>
      </w:r>
      <w:r w:rsidR="00E0532B" w:rsidRPr="00097824">
        <w:t>)</w:t>
      </w:r>
      <w:r w:rsidRPr="00097824">
        <w:t xml:space="preserve"> </w:t>
      </w:r>
      <w:r w:rsidR="00E0532B" w:rsidRPr="00097824">
        <w:t xml:space="preserve">в случае выявления после холецистэктомии по поводу холецистита для </w:t>
      </w:r>
      <w:r w:rsidR="00E0532B" w:rsidRPr="00097824">
        <w:lastRenderedPageBreak/>
        <w:t>улучшения отдаленных результатов лечения рекомендуется выполнение в ближайший срок повторной</w:t>
      </w:r>
      <w:r w:rsidRPr="00097824">
        <w:t xml:space="preserve"> </w:t>
      </w:r>
      <w:r w:rsidR="00E0532B" w:rsidRPr="00097824">
        <w:t xml:space="preserve">операции в объеме резекции печени (ложе желчного пузыря) в сочетании с </w:t>
      </w:r>
      <w:proofErr w:type="spellStart"/>
      <w:r w:rsidR="00E0532B" w:rsidRPr="00097824">
        <w:t>лимфодиссекцией</w:t>
      </w:r>
      <w:proofErr w:type="spellEnd"/>
      <w:r w:rsidRPr="00097824">
        <w:t xml:space="preserve"> и резекцией культи пузырного протока</w:t>
      </w:r>
      <w:r w:rsidR="00E0532B" w:rsidRPr="00097824">
        <w:t xml:space="preserve"> после исключения признаков </w:t>
      </w:r>
      <w:proofErr w:type="spellStart"/>
      <w:r w:rsidR="00E0532B" w:rsidRPr="00097824">
        <w:t>нерезектабельности</w:t>
      </w:r>
      <w:proofErr w:type="spellEnd"/>
      <w:r w:rsidR="00E0532B" w:rsidRPr="00097824">
        <w:t xml:space="preserve"> по данным методов обследования</w:t>
      </w:r>
      <w:r w:rsidR="008D284A" w:rsidRPr="00097824">
        <w:t xml:space="preserve"> </w:t>
      </w:r>
      <w:r w:rsidR="007F5427" w:rsidRPr="00097824">
        <w:rPr>
          <w:lang w:val="en-GB"/>
        </w:rPr>
        <w:fldChar w:fldCharType="begin"/>
      </w:r>
      <w:r w:rsidR="00E0532B" w:rsidRPr="00097824">
        <w:instrText xml:space="preserve"> ADDIN ZOTERO_ITEM CSL_CITATION {"citationID":"W321Wv1g","properties":{"formattedCitation":"[46,66,68\\uc0\\u8211{}71]","plainCitation":"[46,66,68–71]","noteIndex":0},"citationItems":[{"id":166825,"uris":["http://zotero.org/groups/4764298/items/DABVW7V4"],"itemData":{"id":166825,"type":"article-journal","abstract":"Background: \n        A radical surgery is mandatory for advanced gallbladder cancer. However, the appropriate surgical procedure for T2 gallbladder cancer remains controversial because of the difficulty associated with accurate preoperative diagnosis. The aims of the study were to analyze the clinicopathologic features of patients diagnosed with T2 gallbladder cancer and to identify the survival benefit of hepatectomy for such cases.\n        Methods: \n        Eighty-four patients, who were diagnosed with pT2 gallbladder cancer from January 1995 to December 2012, were included in this study. Patients were divided into nonhepatectomy and hepatectomy groups.\n        Results: \n        Partial hepatectomies were performed in 36 of 84 patients (42.9%). A significant difference in age was observed between the nonhepatectomy and hepatectomy groups (P=0.027). However, no significant differences were observed in sex, tumor size, or pathologic outcome between the 2 groups. No significant difference in survival rate was observed between the 2 groups (5-year survival rate, 60.4% vs. 66.6%). Of the 23 patients who underwent cholecystectomy, 11 (47.8%) were treated with extended surgery as a second operation with curative intent. No remnant tumor was detected at the hepatectomy site in any patient. However, the second operation revealed lymph node metastasis in 2 patients (18.2%). In terms of recurrence, 8 patients (34.7%) had hepatic metastasis. However, the metastatic tumor was away from the resection margin. No significant difference in survival rate was found between the peritoneal and the hepatic side groups (5-year survival rate, 62.5% vs. 73.0%).\n        Conclusions: \n        Hepatectomy is not associated with a better survival rate after surgery for T2 gallbladder cancer. Moreover, no recurrence near the gallbladder fossa is observed. In case of T2 gallbladder cancer confirmed by first operation, however, a second operation should be recommended on the basis of accurate nodal staging and additional therapy.","container-title":"Surgical Laparoscopy Endoscopy &amp; Percutaneous Techniques","DOI":"10.1097/SLE.0000000000000703","ISSN":"1534-4908","issue":"1","language":"en-US","page":"35–39","source":"journals.lww.com","title":"Significance of Hepatectomy in Patients Diagnosed With T2 Gallbladder Cancer","volume":"30","author":[{"family":"Li","given":"GuangYi"},{"family":"Kim","given":"Ji Hun"},{"family":"Jung","given":"Woohyun"},{"family":"Hwang","given":"Jae Chul"},{"family":"Yang","given":"Min Jae"},{"family":"Kim","given":"Jin Hong"},{"family":"Yoo","given":"Byung Moo"},{"family":"Kim","given":"Wook Hwan"}],"issued":{"date-parts":[["2020",2]]}},"label":"page"},{"id":166827,"uris":["http://zotero.org/groups/4764298/items/7BFUPZY5"],"itemData":{"id":166827,"type":"article-journal","container-title":"Journal of British Surgery","issue":"1","note":"publisher: Oxford University Press","page":"32–45","source":"Google Scholar","title":"Systematic review of management of incidental gallbladder cancer after cholecystectomy","volume":"106","author":[{"family":"Søreide","given":"K."},{"family":"Guest","given":"R. V."},{"family":"Harrison","given":"E. M."},{"family":"Kendall","given":"T. J."},{"family":"Garden","given":"O. J."},{"family":"Wigmore","given":"S. J."}],"issued":{"date-parts":[["2019"]]}},"label":"page"},{"id":166826,"uris":["http://zotero.org/groups/4764298/items/8PHDGKY2"],"itemData":{"id":166826,"type":"article-journal","container-title":"Annals of surgery","issue":"1","note":"publisher: LWW","page":"104–108","source":"Google Scholar","title":"Benefits of reoperation of T2 and more advanced incidental gallbladder carcinoma: analysis of the German registry","title-short":"Benefits of reoperation of T2 and more advanced incidental gallbladder carcinoma","volume":"247","author":[{"family":"Goetze","given":"Thorsten Oliver"},{"family":"Paolucci","given":"Vittorio"}],"issued":{"date-parts":[["2008"]]}},"label":"page"},{"id":166645,"uris":["http://zotero.org/groups/4764298/items/5TX93H7G"],"itemData":{"id":166645,"type":"article-journal","abstract":"The prognosis of patients with cholangiocarcinoma is unsatisfactory. Therefore, evaluation of prognostic factors and establishment of new therapeutic strategies are needed to improve their long-term survival. The aim of this study was to identify useful prognostic factors for patients with intrahepatic, hilar, and distal cholangiocarcinoma.","container-title":"Annals of Surgical Oncology","DOI":"10.1245/s10434-010-1325-4","ISSN":"1534-4681","issue":"3","journalAbbreviation":"Ann Surg Oncol","language":"en","page":"651-658","source":"Springer Link","title":"Prognostic Factors After Surgical Resection for Intrahepatic, Hilar, and Distal Cholangiocarcinoma","volume":"18","author":[{"family":"Murakami","given":"Yoshiaki"},{"family":"Uemura","given":"Kenichiro"},{"family":"Sudo","given":"Takeshi"},{"family":"Hashimoto","given":"Yasushi"},{"family":"Nakashima","given":"Akira"},{"family":"Kondo","given":"Naru"},{"family":"Sakabe","given":"Ryutaro"},{"family":"Ohge","given":"Hiroki"},{"family":"Sueda","given":"Taijiro"}],"issued":{"date-parts":[["2011",3,1]]}},"label":"page"},{"id":167029,"uris":["http://zotero.org/groups/4764298/items/GCY965NJ"],"itemData":{"id":167029,"type":"article-journal","abstract":"Objective: To evaluate existing evidence regarding surgical treatments for gallbladder cancer in a Health Technology Assessment. A specific aim was to evaluate whether extended surgery regarding liver, lymph nodes, bile duct, and adjacent organs compared with cholecystectomy alone in the adult patient with gallbladder cancer in early and late stages implies improved survival.Methods: In April 2015 and updated in June 2016, a systematic literature search was conducted in PubMed, Embase, and the Cochrane Library. Two authors independently screened titles, abstracts, and full-text articles. The certainty of evidence was evaluated according to GRADE.Main results: Forty-four observational studies (non-randomised, controlled studies) and seven case series were included. Radical resection, including liver and lymph node resection, compared with cholecystectomy alone showed significantly better survival for patients with stages T1b and above. All studies had serious study limitations and the certainty of evidence was very low (GRADE </w:instrText>
      </w:r>
      <w:r w:rsidR="00E0532B" w:rsidRPr="00097824">
        <w:rPr>
          <w:rFonts w:ascii="Cambria Math" w:hAnsi="Cambria Math" w:cs="Cambria Math"/>
        </w:rPr>
        <w:instrText>⊕</w:instrText>
      </w:r>
      <w:r w:rsidR="00E0532B" w:rsidRPr="00097824">
        <w:instrText xml:space="preserve">○○○). A survival benefit seen in patients with stage T1b or higher with lymph node resection, was most evident in stage T2, but the certainty of evidence was low (GRADE </w:instrText>
      </w:r>
      <w:r w:rsidR="00E0532B" w:rsidRPr="00097824">
        <w:rPr>
          <w:rFonts w:ascii="Cambria Math" w:hAnsi="Cambria Math" w:cs="Cambria Math"/>
        </w:rPr>
        <w:instrText>⊕⊕</w:instrText>
      </w:r>
      <w:r w:rsidR="00E0532B" w:rsidRPr="00097824">
        <w:instrText xml:space="preserve">○○). It is uncertain whether routine bile duct resections improve overall survival in patients with gallbladder cancer stage T2–T4 (GRADE </w:instrText>
      </w:r>
      <w:r w:rsidR="00E0532B" w:rsidRPr="00097824">
        <w:rPr>
          <w:rFonts w:ascii="Cambria Math" w:hAnsi="Cambria Math" w:cs="Cambria Math"/>
        </w:rPr>
        <w:instrText>⊕</w:instrText>
      </w:r>
      <w:r w:rsidR="00E0532B" w:rsidRPr="00097824">
        <w:instrText xml:space="preserve">○○○).Conclusion: Data indicate that prognosis can be improved if liver resection and lymph node resection is performed in patients with tumour stage T1b or higher. There is no evidence supporting resection of the bile duct or adjacent organs if it is not necessary in order to achieve radicality.","container-title":"Scandinavian Journal of Gastroenterology","DOI":"10.1080/00365521.2017.1284895","ISSN":"0036-5521","issue":"5","note":"publisher: Taylor &amp; Francis\n_eprint: https://doi.org/10.1080/00365521.2017.1284895\nPMID: 28270039","page":"505-514","source":"Taylor and Francis+NEJM","title":"Surgical treatment for gallbladder cancer – a systematic literature review","volume":"52","author":[{"family":"Sternby Eilard","given":"Malin"},{"family":"Lundgren","given":"Linda"},{"family":"Cahlin","given":"Christian"},{"family":"Strandell","given":"Annika"},{"family":"Svanberg","given":"Therese"},{"family":"Sandström","given":"Per"}],"issued":{"date-parts":[["2017",5,4]]}},"label":"page"},{"id":167042,"uris":["http://zotero.org/groups/4764298/items/FFSDF2EA"],"itemData":{"id":167042,"type":"article-journal","abstract":"BACKGROUND: The surgical management of gallbladder cancer is controversial. There is no consensus among surgeons as to the indications for reoperation or radical resection. OBJECTIVE: The purpose of this study was to examine results of reoperation after an incidental finding of gallbladder cancer after cholecystectomy, and results of radical resection in patients with advanced disease. METHODS: A retrospective review of 149 patients with the diagnosis of gallbladder cancer treated from 1985 to 1993 was performed. Fifty-eight patients were explored and 23 underwent resection for cure. Resection included trisegmentectomy in nine patients and bile duct resection in ten patients. Seventeen patients underwent re-exploration after an incidental finding of gallbladder cancer at initial cholecystectomy. RESULTS: Surgical resection is associated with an actuarial 51% 5-year disease-free survival rate, with a median follow-up time of 48 months. Eight patients are alive beyond 50 months. There were no operative deaths; the perioperative morbidity rate was 26%. Nodal status is the most powerful predictor of outcome. Two patients with T4, NO disease are alive without evidence of disease beyond 4 years. Thirteen of the 17 patients (76%) undergoing reoperation after simple cholecystectomy for T2 or T3 tumors had residual disease. CONCLUSIONS: Patients with nodal metastasis beyond the pericholedochal nodes should not be considered for curative resection. Tumors staged T4, NO should be included with stage III disease, and resection should be considered. Re-resection of T2 or T3 tumors after simple cholecystectomy is likely to include residual disease and should thus provide the only chance for long-term survival.","container-title":"Annals of Surgery","ISSN":"0003-4932","issue":"5","journalAbbreviation":"Ann Surg","note":"PMID: 8916879\nPMCID: PMC1235441","page":"639-646","source":"PubMed Central","title":"Long-term results after resection for gallbladder cancer. Implications for staging and management.","volume":"224","author":[{"family":"Bartlett","given":"D L"},{"family":"Fong","given":"Y"},{"family":"Fortner","given":"J G"},{"family":"Brennan","given":"M F"},{"family":"Blumgart","given":"L H"}],"issued":{"date-parts":[["1996",11]]}},"label":"page"}],"schema":"https://github.com/citation-style-language/schema/raw/master/csl-citation.json"} </w:instrText>
      </w:r>
      <w:r w:rsidR="007F5427" w:rsidRPr="00097824">
        <w:rPr>
          <w:lang w:val="en-GB"/>
        </w:rPr>
        <w:fldChar w:fldCharType="separate"/>
      </w:r>
      <w:r w:rsidR="00E0532B" w:rsidRPr="00097824">
        <w:rPr>
          <w:szCs w:val="24"/>
        </w:rPr>
        <w:t>[46,66,68–71]</w:t>
      </w:r>
      <w:r w:rsidR="007F5427" w:rsidRPr="00097824">
        <w:rPr>
          <w:lang w:val="en-GB"/>
        </w:rPr>
        <w:fldChar w:fldCharType="end"/>
      </w:r>
      <w:r w:rsidR="00E0532B" w:rsidRPr="00097824">
        <w:t>.</w:t>
      </w:r>
    </w:p>
    <w:p w14:paraId="185F1E37" w14:textId="5C526D89" w:rsidR="00E0532B" w:rsidRPr="00097824" w:rsidRDefault="00E0532B" w:rsidP="00D843A3">
      <w:pPr>
        <w:pStyle w:val="1"/>
        <w:numPr>
          <w:ilvl w:val="0"/>
          <w:numId w:val="0"/>
        </w:numPr>
        <w:spacing w:before="0"/>
        <w:ind w:left="426"/>
      </w:pPr>
      <w:r w:rsidRPr="00097824">
        <w:rPr>
          <w:b/>
        </w:rPr>
        <w:t xml:space="preserve">Уровень убедительности рекомендаций – </w:t>
      </w:r>
      <w:r w:rsidR="00703E49" w:rsidRPr="00097824">
        <w:rPr>
          <w:b/>
        </w:rPr>
        <w:t>В</w:t>
      </w:r>
      <w:r w:rsidR="0007368C" w:rsidRPr="00097824">
        <w:rPr>
          <w:b/>
        </w:rPr>
        <w:t xml:space="preserve"> </w:t>
      </w:r>
      <w:r w:rsidRPr="00097824">
        <w:t xml:space="preserve">(уровень достоверности доказательств </w:t>
      </w:r>
      <w:r w:rsidR="00961F85" w:rsidRPr="00097824">
        <w:t>3</w:t>
      </w:r>
      <w:r w:rsidRPr="00097824">
        <w:t>)</w:t>
      </w:r>
    </w:p>
    <w:p w14:paraId="4C45EA50" w14:textId="48387AFD" w:rsidR="00E0532B" w:rsidRPr="00097824" w:rsidRDefault="00E0532B" w:rsidP="00D843A3">
      <w:pPr>
        <w:pStyle w:val="1"/>
        <w:numPr>
          <w:ilvl w:val="0"/>
          <w:numId w:val="0"/>
        </w:numPr>
        <w:spacing w:before="0"/>
        <w:rPr>
          <w:i/>
        </w:rPr>
      </w:pPr>
      <w:proofErr w:type="gramStart"/>
      <w:r w:rsidRPr="00097824">
        <w:rPr>
          <w:b/>
        </w:rPr>
        <w:t>Комментарий:</w:t>
      </w:r>
      <w:r w:rsidR="00FD7455" w:rsidRPr="00097824">
        <w:rPr>
          <w:b/>
        </w:rPr>
        <w:t xml:space="preserve"> </w:t>
      </w:r>
      <w:r w:rsidR="00D843A3" w:rsidRPr="00097824">
        <w:rPr>
          <w:b/>
        </w:rPr>
        <w:t xml:space="preserve"> </w:t>
      </w:r>
      <w:r w:rsidR="00D843A3" w:rsidRPr="00097824">
        <w:rPr>
          <w:i/>
        </w:rPr>
        <w:t>п</w:t>
      </w:r>
      <w:r w:rsidR="0006726D" w:rsidRPr="00097824">
        <w:rPr>
          <w:i/>
        </w:rPr>
        <w:t>ри</w:t>
      </w:r>
      <w:proofErr w:type="gramEnd"/>
      <w:r w:rsidR="0006726D" w:rsidRPr="00097824">
        <w:rPr>
          <w:i/>
        </w:rPr>
        <w:t xml:space="preserve"> применении в ходе первой операции </w:t>
      </w:r>
      <w:proofErr w:type="spellStart"/>
      <w:r w:rsidR="0006726D" w:rsidRPr="00097824">
        <w:rPr>
          <w:i/>
        </w:rPr>
        <w:t>видеоэндохирургического</w:t>
      </w:r>
      <w:proofErr w:type="spellEnd"/>
      <w:r w:rsidR="0006726D" w:rsidRPr="00097824">
        <w:rPr>
          <w:i/>
        </w:rPr>
        <w:t xml:space="preserve"> доступа</w:t>
      </w:r>
      <w:r w:rsidR="0027052B" w:rsidRPr="00097824">
        <w:rPr>
          <w:i/>
        </w:rPr>
        <w:t xml:space="preserve"> </w:t>
      </w:r>
      <w:r w:rsidR="00E6604A" w:rsidRPr="00097824">
        <w:rPr>
          <w:i/>
        </w:rPr>
        <w:t xml:space="preserve">в случаях, когда опухоль прорастает </w:t>
      </w:r>
      <w:proofErr w:type="spellStart"/>
      <w:r w:rsidR="00E6604A" w:rsidRPr="00097824">
        <w:rPr>
          <w:i/>
        </w:rPr>
        <w:t>серозу</w:t>
      </w:r>
      <w:proofErr w:type="spellEnd"/>
      <w:r w:rsidR="00E6604A" w:rsidRPr="00097824">
        <w:rPr>
          <w:i/>
        </w:rPr>
        <w:t xml:space="preserve"> (висцеральную брюшину) и/или выявляется прямая инвазия в печень </w:t>
      </w:r>
      <w:r w:rsidR="0027052B" w:rsidRPr="00097824">
        <w:rPr>
          <w:i/>
        </w:rPr>
        <w:t>следует рассмотреть вопрос о резекции мягких тканей по ходу портовых отверстий</w:t>
      </w:r>
      <w:r w:rsidR="0056441F" w:rsidRPr="00097824">
        <w:rPr>
          <w:i/>
        </w:rPr>
        <w:t>, использованных для экстракции желчного пузыря</w:t>
      </w:r>
      <w:r w:rsidR="0027052B" w:rsidRPr="00097824">
        <w:rPr>
          <w:i/>
        </w:rPr>
        <w:t xml:space="preserve"> в связи с </w:t>
      </w:r>
      <w:r w:rsidR="0056441F" w:rsidRPr="00097824">
        <w:rPr>
          <w:i/>
        </w:rPr>
        <w:t xml:space="preserve">высоким </w:t>
      </w:r>
      <w:r w:rsidR="0027052B" w:rsidRPr="00097824">
        <w:rPr>
          <w:i/>
        </w:rPr>
        <w:t>риском</w:t>
      </w:r>
      <w:r w:rsidR="0056441F" w:rsidRPr="00097824">
        <w:rPr>
          <w:i/>
        </w:rPr>
        <w:t xml:space="preserve"> имплантационного метастазирования в этой зоне</w:t>
      </w:r>
      <w:r w:rsidR="0027052B" w:rsidRPr="00097824">
        <w:rPr>
          <w:i/>
        </w:rPr>
        <w:t>.</w:t>
      </w:r>
      <w:r w:rsidR="0006726D" w:rsidRPr="00097824">
        <w:rPr>
          <w:i/>
        </w:rPr>
        <w:t xml:space="preserve"> </w:t>
      </w:r>
      <w:r w:rsidR="0027052B" w:rsidRPr="00097824">
        <w:rPr>
          <w:i/>
        </w:rPr>
        <w:t>П</w:t>
      </w:r>
      <w:r w:rsidRPr="00097824">
        <w:rPr>
          <w:i/>
        </w:rPr>
        <w:t xml:space="preserve">ри ранней стадии (рТ1а) рака желчного пузыря, выявленного после холецистэктомии, повторное хирургическое лечение не требуется </w:t>
      </w:r>
      <w:r w:rsidR="007F5427" w:rsidRPr="00097824">
        <w:rPr>
          <w:i/>
        </w:rPr>
        <w:fldChar w:fldCharType="begin"/>
      </w:r>
      <w:r w:rsidRPr="00097824">
        <w:rPr>
          <w:i/>
        </w:rPr>
        <w:instrText xml:space="preserve"> ADDIN ZOTERO_ITEM CSL_CITATION {"citationID":"LO20Jv9N","properties":{"formattedCitation":"[69]","plainCitation":"[69]","noteIndex":0},"citationItems":[{"id":166826,"uris":["http://zotero.org/groups/4764298/items/8PHDGKY2"],"itemData":{"id":166826,"type":"article-journal","container-title":"Annals of surgery","issue":"1","note":"publisher: LWW","page":"104–108","source":"Google Scholar","title":"Benefits of reoperation of T2 and more advanced incidental gallbladder carcinoma: analysis of the German registry","title-short":"Benefits of reoperation of T2 and more advanced incidental gallbladder carcinoma","volume":"247","author":[{"family":"Goetze","given":"Thorsten Oliver"},{"family":"Paolucci","given":"Vittorio"}],"issued":{"date-parts":[["2008"]]}}}],"schema":"https://github.com/citation-style-language/schema/raw/master/csl-citation.json"} </w:instrText>
      </w:r>
      <w:r w:rsidR="007F5427" w:rsidRPr="00097824">
        <w:rPr>
          <w:i/>
        </w:rPr>
        <w:fldChar w:fldCharType="separate"/>
      </w:r>
      <w:r w:rsidRPr="00097824">
        <w:rPr>
          <w:i/>
        </w:rPr>
        <w:t>[69]</w:t>
      </w:r>
      <w:r w:rsidR="007F5427" w:rsidRPr="00097824">
        <w:rPr>
          <w:i/>
        </w:rPr>
        <w:fldChar w:fldCharType="end"/>
      </w:r>
      <w:r w:rsidRPr="00097824">
        <w:rPr>
          <w:i/>
        </w:rPr>
        <w:t>.</w:t>
      </w:r>
    </w:p>
    <w:p w14:paraId="1AEF61A9" w14:textId="77777777" w:rsidR="00E6604A" w:rsidRPr="00097824" w:rsidRDefault="00E6604A" w:rsidP="00AD4A9F">
      <w:pPr>
        <w:pStyle w:val="1"/>
        <w:numPr>
          <w:ilvl w:val="0"/>
          <w:numId w:val="0"/>
        </w:numPr>
        <w:spacing w:before="0"/>
        <w:ind w:left="397" w:firstLine="357"/>
      </w:pPr>
    </w:p>
    <w:p w14:paraId="313AD78E" w14:textId="77777777" w:rsidR="00E26B66" w:rsidRPr="00097824" w:rsidRDefault="00E26B66" w:rsidP="00CC2BE1">
      <w:pPr>
        <w:pStyle w:val="2"/>
        <w:numPr>
          <w:ilvl w:val="0"/>
          <w:numId w:val="10"/>
        </w:numPr>
        <w:spacing w:before="0"/>
        <w:ind w:left="397" w:firstLine="357"/>
      </w:pPr>
      <w:bookmarkStart w:id="86" w:name="_Toc23142733"/>
      <w:bookmarkStart w:id="87" w:name="_Toc113198771"/>
      <w:bookmarkStart w:id="88" w:name="_Toc113205062"/>
      <w:r w:rsidRPr="00097824">
        <w:t>Химиотерапия</w:t>
      </w:r>
      <w:bookmarkEnd w:id="86"/>
      <w:bookmarkEnd w:id="87"/>
      <w:bookmarkEnd w:id="88"/>
    </w:p>
    <w:p w14:paraId="396C29EB" w14:textId="02FE7E9E" w:rsidR="00275615" w:rsidRPr="00097824" w:rsidRDefault="00275615" w:rsidP="00AD4A9F">
      <w:pPr>
        <w:pStyle w:val="1"/>
        <w:spacing w:before="0"/>
        <w:ind w:left="397" w:firstLine="357"/>
        <w:rPr>
          <w:shd w:val="clear" w:color="auto" w:fill="FFFFFF"/>
        </w:rPr>
      </w:pPr>
      <w:r w:rsidRPr="00097824">
        <w:t xml:space="preserve">Рекомендуется </w:t>
      </w:r>
      <w:proofErr w:type="spellStart"/>
      <w:r w:rsidRPr="00097824">
        <w:t>адъювантная</w:t>
      </w:r>
      <w:proofErr w:type="spellEnd"/>
      <w:r w:rsidR="00C93086" w:rsidRPr="00097824">
        <w:t xml:space="preserve"> </w:t>
      </w:r>
      <w:r w:rsidRPr="00097824">
        <w:t>химиотерапия</w:t>
      </w:r>
      <w:r w:rsidR="00C93086" w:rsidRPr="00097824">
        <w:t xml:space="preserve"> </w:t>
      </w:r>
      <w:r w:rsidRPr="00097824">
        <w:t>рака</w:t>
      </w:r>
      <w:r w:rsidR="00C93086" w:rsidRPr="00097824">
        <w:t xml:space="preserve"> </w:t>
      </w:r>
      <w:proofErr w:type="spellStart"/>
      <w:r w:rsidRPr="00097824">
        <w:t>билиарного</w:t>
      </w:r>
      <w:proofErr w:type="spellEnd"/>
      <w:r w:rsidRPr="00097824">
        <w:t xml:space="preserve"> тракта</w:t>
      </w:r>
      <w:r w:rsidR="00A47873" w:rsidRPr="00097824">
        <w:t xml:space="preserve"> пациентам после радикального хирургического лечения вне зависимости от поражения лимфатических узлов и степени дифференцировки опухоли </w:t>
      </w:r>
      <w:r w:rsidR="007F5427" w:rsidRPr="00097824">
        <w:fldChar w:fldCharType="begin"/>
      </w:r>
      <w:r w:rsidR="00D529A9" w:rsidRPr="00097824">
        <w:instrText xml:space="preserve"> ADDIN ZOTERO_ITEM CSL_CITATION {"citationID":"00Xjt918","properties":{"formattedCitation":"[84\\uc0\\u8211{}88]","plainCitation":"[84–88]","noteIndex":0},"citationItems":[{"id":166114,"uris":["http://zotero.org/groups/4764298/items/6FR93ZZT"],"itemData":{"id":166114,"type":"article-journal","abstract":"Background\nTwo recent studies (ABC-02 [UK] and BT22 [Japan]) have demonstrated the superiority of cisplatin and gemcitabine (CisGem) chemotherapy over gemcitabine (Gem) alone for patients with pathologically proven advanced biliary tract cancer (BTC: cholangiocarcinoma, gallbladder and ampullary cancers). This pre-planned analysis evaluates the efficacy of CisGem with increased statistical power.\nPatients and methods\nWe carried out a meta-analysis of individual patient-level data of these studies to establish the effect of CisGem versus Gem on progression-free survival (PFS), overall survival (OS) and carried out exploratory subgroup analyses.\nResults\nCisGem demonstrates a significant improvement in PFS [hazard ratio (HR) = 0.64, 95% confidence interval (CI) 0.53–0.76, P &lt; 0.001] and OS (HR = 0.65, 95% CI 0.54–0.78, P &lt; 0.001) over Gem. This effect is most marked among patients with good performance status (PS 0–1): HR for PFS is 0.61 (95% CI 0.51–0.74), P &lt; 0.001 and OS HR = 0.64 (95% CI 0.53–0.77), P &lt; 0.001. CisGem resulted in improved PFS and OS for intra- and extra-hepatic cholangiocarcinomas and gallbladder cancer. The treatment effect between UK and Japanese patients was consistent with respect to OS (HR = 0.65, 95% CI 0.53–0.79 and 0.65, 95% CI 0.42–1.03, respectively); with similar OS in the combination arms (median 11.7 and 11.1 months, respectively). Subgroups least likely to benefit included patients with ampullary tumours and poor performance status (PS2).\nConclusions\nCisGem is the standard of care for the first-line treatment of good-PS patients with advanced BTC regardless of ethnicity. Future studies should aim to enhance the effectiveness of this regimen in the first-line setting, establish the role of subsequent (second-line) therapy and assess the role of rationally developed molecular-targeted therapies.","container-title":"Annals of Oncology","DOI":"10.1093/annonc/mdt540","ISSN":"0923-7534","issue":"2","journalAbbreviation":"Annals of Oncology","language":"en","page":"391-398","source":"ScienceDirect","title":"Cisplatin and gemcitabine for advanced biliary tract cancer: a meta-analysis of two randomised trials","title-short":"Cisplatin and gemcitabine for advanced biliary tract cancer","volume":"25","author":[{"family":"Valle","given":"J. W."},{"family":"Furuse","given":"J."},{"family":"Jitlal","given":"M."},{"family":"Beare","given":"S."},{"family":"Mizuno","given":"N."},{"family":"Wasan","given":"H."},{"family":"Bridgewater","given":"J."},{"family":"Okusaka","given":"T."}],"issued":{"date-parts":[["2014",2,1]]}},"label":"page"},{"id":166115,"uris":["http://zotero.org/groups/4764298/items/QUXQVM69"],"itemData":{"id":166115,"type":"article-journal","abstract":"Introduction\nThe use of adjuvant treatment (AT) in resected biliary tract cancers (BTC) is still controversial. No efficacy comparison has been performed between chemotherapy (CT) and chemoradiotherapy (CTRT). A systematic review of the available evidence regarding adjuvant chemotherapy (AC) in resected BTC was performed.\nMethods\nPubMed, EMBASE, Web of Science, SCOPUS and The Cochrane Library databases were searched for relevant articles published. Only studies including at least 50 patients affected by tumors of gallbladder, intrahepatic, perihilar, and distal bile ducts were considered. Data were pooled using a random-effects model. The primary endpoint of the study was overall survival (OS).\nResults\nThirty studies were analyzed with a total of 22,499 patients, 3967 of whom received AC. Eleven cohorts included Western patients and 19 were Asiatic. Surgeries were classified as R0 with negative margins, R1 with positive microscopic and R2 with positive macroscopic margins. Weighted mean OS difference among experimental (AC) and control arm was 4.3 months (95% CI 0.88–7.79, P = 0.014). AC reduced the risk of death by 41% (Hazard ratio [HR] = 0.59, 95% CI 0.49–0.71; P &lt; 0.001).\nConclusions\nAC administration gives an OS benefit in resected BTC. The results of prospective randomized studies are awaited in order to define the standard AT in BTC.","container-title":"HPB","DOI":"10.1016/j.hpb.2017.05.010","ISSN":"1365-182X","issue":"9","journalAbbreviation":"HPB","language":"en","page":"741-748","source":"ScienceDirect","title":"Adjuvant chemotherapy for resected biliary tract cancers: a systematic review and meta-analysis","title-short":"Adjuvant chemotherapy for resected biliary tract cancers","volume":"19","author":[{"family":"Ghidini","given":"Michele"},{"family":"Tomasello","given":"Gianluca"},{"family":"Botticelli","given":"Andrea"},{"family":"Barni","given":"Sandro"},{"family":"Zabbialini","given":"Giampietro"},{"family":"Seghezzi","given":"Silvia"},{"family":"Passalacqua","given":"Rodolfo"},{"family":"Braconi","given":"Chiara"},{"family":"Petrelli","given":"Fausto"}],"issued":{"date-parts":[["2017",9,1]]}},"label":"page"},{"id":166624,"uris":["http://zotero.org/groups/4764298/items/U6ZCWURY"],"itemData":{"id":166624,"type":"article-journal","abstract":"The benefit of adjuvant therapy (AT) for gallbladder cancer (GBC) is unclear as evidenced by conflicting results from nonrandomized studies. Here we aimed to perform a meta-analysis to determine the impact of AT on overall survival (OS).","container-title":"BMC Cancer","DOI":"10.1186/s12885-015-1617-y","ISSN":"1471-2407","issue":"1","journalAbbreviation":"BMC Cancer","page":"615","source":"BioMed Central","title":"Adjuvant therapy in the treatment of gallbladder cancer: a meta-analysis","title-short":"Adjuvant therapy in the treatment of gallbladder cancer","volume":"15","author":[{"family":"Ma","given":"Ning"},{"family":"Cheng","given":"Hui"},{"family":"Qin","given":"Baodong"},{"family":"Zhong","given":"Renqian"},{"family":"Wang","given":"Bin"}],"issued":{"date-parts":[["2015",9,3]]}},"label":"page"},{"id":166622,"uris":["http://zotero.org/groups/4764298/items/SV5CK8W8"],"itemData":{"id":166622,"type":"article-journal","abstract":"Background\nThe role of adjuvant chemotherapy (ACT) for resected biliary tract cancer (BTC) is still unclear and there is no specific recommendation by international guidelines.\nAim\nTo perform a meta-analysis of randomized clinical trials (RCTs) to better define the clinical benefit and risks of ACT or observation in resected BTC.\nMethod\nA systematic literature search of Pubmed, Embase, and the Cochrane Library was performed up to April 2019. A meta-analysis was carried out using the random effects model.\nResults\nACT provided a mild improvement in recurrence free survival (RFS) (HR:0.83, 95%CI 0.69-0.99) and no effect on overall survival (OS) (HR:0.91, 95%CI 0.75–1.09). Similarly, ACT showed no effect on OS in lymph-node positive subgroup (HR:0.84, 95% CI 0.65–1.08) and surgical margin positive subgroup (HR:0.95, 95%CI 0.69–1.31). Moreover, ACT led to a substantial increase of chemotherapy-associated adverse events (RR:3.03, 95%CI 2.22–4.15).\nConclusion\nACT for resected BTC patients modestly improved RFS with no effect on OS and a substantial increase in chemotherapy associated AEs.","container-title":"Critical Reviews in Oncology/Hematology","DOI":"10.1016/j.critrevonc.2019.09.002","ISSN":"1040-8428","journalAbbreviation":"Critical Reviews in Oncology/Hematology","language":"en","page":"124-129","source":"ScienceDirect","title":"Adjuvant chemotherapy in resected bile duct cancer: A systematic review and meta-analysis of randomized trials","title-short":"Adjuvant chemotherapy in resected bile duct cancer","volume":"143","author":[{"family":"Messina","given":"Carlo"},{"family":"Merz","given":"Valeria"},{"family":"Frisinghelli","given":"Michela"},{"family":"Trentin","given":"Chiara"},{"family":"Grego","given":"Elisabetta"},{"family":"Veccia","given":"Antonello"},{"family":"Salati","given":"Massimiliano"},{"family":"Messina","given":"Marco"},{"family":"Carnaghi","given":"Carlo"},{"family":"Caffo","given":"Orazio"}],"issued":{"date-parts":[["2019",11,1]]}},"label":"page"},{"id":166623,"uris":["http://zotero.org/groups/4764298/items/EU7LJL6T"],"itemData":{"id":166623,"type":"article-journal","abstract":"Background\nThe role of adjuvant therapy for biliary tract cancer is not clearly defined with conflicting results demonstrated across nonrandomized and randomized studies. We report a systematic review and meta-analysis to delineate the effect of AT on overall survival.\nMethods\nEligible studies were identified from MEDLINE, EMBASE, Cochrane and PubMed. Studies comparing adjuvant chemotherapy or chemoradiotherapy after curative-intent surgery with curative surgery only for biliary tract cancer were included. Data pertaining to tumours of the gallbladder and bile ducts were included. The primary outcome assessed was overall survival. Random-effects meta-analysis was performed, as well as pooling of unadjusted Kaplan-Meier curve data.\nResults\n35 studies involving 42,917 patients were analysed. There was a significant improvement in overall survival with any adjuvant therapy after surgery compared with surgery only (HR 0.74; 95% CI, 0.67 to 0.83; P &lt; 0.001). There was a significant benefit for adjuvant therapy in those with margin positive surgery (RR, 0.83; 95% CI, 0.77 to 0.91; P &lt; 0.001) and node-positive disease (RR 0.82; 95% CI 0.76 to 0.89; P &lt; 0.001)\nConclusion\nOur review advocates the use of adjuvant therapy in bile duct cancer after curative intent resection. Further prospective studies are needed to determine the optimal regime and timing of an adjuvant approach.","container-title":"European Journal of Surgical Oncology","DOI":"10.1016/j.ejso.2019.11.499","ISSN":"0748-7983","issue":"4, Part A","journalAbbreviation":"European Journal of Surgical Oncology","language":"en","page":"684-693","source":"ScienceDirect","title":"Systemic adjuvant chemotherapy for cholangiocarcinoma surgery: A systematic review and meta-analysis","title-short":"Systemic adjuvant chemotherapy for cholangiocarcinoma surgery","volume":"46","author":[{"family":"Rangarajan","given":"Karan"},{"family":"Simmons","given":"George"},{"family":"Manas","given":"Derek"},{"family":"Malik","given":"Hasan"},{"family":"Hamady","given":"Zaed Z."}],"issued":{"date-parts":[["2020",4,1]]}},"label":"page"}],"schema":"https://github.com/citation-style-language/schema/raw/master/csl-citation.json"} </w:instrText>
      </w:r>
      <w:r w:rsidR="007F5427" w:rsidRPr="00097824">
        <w:fldChar w:fldCharType="separate"/>
      </w:r>
      <w:r w:rsidR="00D529A9" w:rsidRPr="00097824">
        <w:rPr>
          <w:szCs w:val="24"/>
        </w:rPr>
        <w:t>[84–88]</w:t>
      </w:r>
      <w:r w:rsidR="007F5427" w:rsidRPr="00097824">
        <w:fldChar w:fldCharType="end"/>
      </w:r>
      <w:r w:rsidRPr="00097824">
        <w:t>.</w:t>
      </w:r>
    </w:p>
    <w:p w14:paraId="0590F338" w14:textId="3ACADD46" w:rsidR="00275615" w:rsidRPr="00097824" w:rsidRDefault="007F5427" w:rsidP="00D843A3">
      <w:pPr>
        <w:pStyle w:val="32"/>
        <w:ind w:firstLine="0"/>
        <w:rPr>
          <w:color w:val="auto"/>
        </w:rPr>
      </w:pPr>
      <w:r w:rsidRPr="00097824">
        <w:rPr>
          <w:color w:val="auto"/>
        </w:rPr>
        <w:t xml:space="preserve">Уровень убедительности рекомендаций – А (уровень достоверности доказательств </w:t>
      </w:r>
      <w:r w:rsidR="00ED3047" w:rsidRPr="00097824">
        <w:rPr>
          <w:color w:val="auto"/>
        </w:rPr>
        <w:t>2</w:t>
      </w:r>
      <w:r w:rsidRPr="00097824">
        <w:rPr>
          <w:color w:val="auto"/>
        </w:rPr>
        <w:t>).</w:t>
      </w:r>
    </w:p>
    <w:p w14:paraId="0701CDAF" w14:textId="77777777" w:rsidR="006752A2" w:rsidRPr="00097824" w:rsidRDefault="00275615" w:rsidP="006752A2">
      <w:pPr>
        <w:shd w:val="clear" w:color="auto" w:fill="FFFFFF"/>
        <w:ind w:firstLine="0"/>
        <w:rPr>
          <w:i/>
        </w:rPr>
      </w:pPr>
      <w:r w:rsidRPr="00097824">
        <w:rPr>
          <w:b/>
        </w:rPr>
        <w:t>Комментарий:</w:t>
      </w:r>
      <w:r w:rsidR="00C93086" w:rsidRPr="00097824">
        <w:rPr>
          <w:b/>
        </w:rPr>
        <w:t xml:space="preserve"> </w:t>
      </w:r>
      <w:r w:rsidRPr="00097824">
        <w:rPr>
          <w:i/>
          <w:szCs w:val="32"/>
        </w:rPr>
        <w:t xml:space="preserve">после радикального хирургического лечения рекомендовано проведение </w:t>
      </w:r>
      <w:proofErr w:type="spellStart"/>
      <w:r w:rsidRPr="00097824">
        <w:rPr>
          <w:i/>
          <w:szCs w:val="32"/>
        </w:rPr>
        <w:t>монотерапии</w:t>
      </w:r>
      <w:proofErr w:type="spellEnd"/>
      <w:r w:rsidR="00C93086" w:rsidRPr="00097824">
        <w:rPr>
          <w:i/>
          <w:szCs w:val="32"/>
        </w:rPr>
        <w:t xml:space="preserve"> </w:t>
      </w:r>
      <w:r w:rsidR="006C333E" w:rsidRPr="00097824">
        <w:rPr>
          <w:i/>
          <w:szCs w:val="32"/>
        </w:rPr>
        <w:t>#</w:t>
      </w:r>
      <w:r w:rsidRPr="00097824">
        <w:rPr>
          <w:i/>
          <w:szCs w:val="32"/>
        </w:rPr>
        <w:t>капецитабином</w:t>
      </w:r>
      <w:r w:rsidR="006C333E" w:rsidRPr="00097824">
        <w:rPr>
          <w:i/>
          <w:szCs w:val="32"/>
        </w:rPr>
        <w:t>**</w:t>
      </w:r>
      <w:r w:rsidRPr="00097824">
        <w:rPr>
          <w:i/>
          <w:szCs w:val="32"/>
        </w:rPr>
        <w:t xml:space="preserve"> (8 курсов) вне зависимости от поражения лимфатических узлов и </w:t>
      </w:r>
      <w:r w:rsidR="00266B06" w:rsidRPr="00097824">
        <w:rPr>
          <w:i/>
          <w:szCs w:val="32"/>
        </w:rPr>
        <w:t>степени дифференцировки опухоли.</w:t>
      </w:r>
      <w:r w:rsidRPr="00097824">
        <w:rPr>
          <w:i/>
          <w:szCs w:val="32"/>
        </w:rPr>
        <w:t xml:space="preserve"> (</w:t>
      </w:r>
      <w:r w:rsidR="007F5427" w:rsidRPr="00097824">
        <w:rPr>
          <w:i/>
          <w:szCs w:val="32"/>
        </w:rPr>
        <w:fldChar w:fldCharType="begin"/>
      </w:r>
      <w:r w:rsidR="001D27EE" w:rsidRPr="00097824">
        <w:rPr>
          <w:i/>
          <w:szCs w:val="32"/>
        </w:rPr>
        <w:instrText xml:space="preserve"> REF _Ref113035375 \h </w:instrText>
      </w:r>
      <w:r w:rsidR="007F5427" w:rsidRPr="00097824">
        <w:rPr>
          <w:i/>
          <w:szCs w:val="32"/>
        </w:rPr>
        <w:instrText xml:space="preserve"> \* MERGEFORMAT </w:instrText>
      </w:r>
      <w:r w:rsidR="007F5427" w:rsidRPr="00097824">
        <w:rPr>
          <w:i/>
          <w:szCs w:val="32"/>
        </w:rPr>
      </w:r>
      <w:r w:rsidR="007F5427" w:rsidRPr="00097824">
        <w:rPr>
          <w:i/>
          <w:szCs w:val="32"/>
        </w:rPr>
        <w:fldChar w:fldCharType="separate"/>
      </w:r>
    </w:p>
    <w:p w14:paraId="24CF4C77" w14:textId="062F7D64" w:rsidR="00275615" w:rsidRPr="00097824" w:rsidRDefault="006752A2" w:rsidP="00D843A3">
      <w:pPr>
        <w:shd w:val="clear" w:color="auto" w:fill="FFFFFF"/>
        <w:ind w:firstLine="0"/>
        <w:rPr>
          <w:i/>
        </w:rPr>
      </w:pPr>
      <w:r w:rsidRPr="00097824">
        <w:rPr>
          <w:i/>
          <w:noProof/>
        </w:rPr>
        <w:t>Таблица</w:t>
      </w:r>
      <w:r w:rsidRPr="00097824">
        <w:rPr>
          <w:noProof/>
        </w:rPr>
        <w:t xml:space="preserve"> 6</w:t>
      </w:r>
      <w:r w:rsidR="007F5427" w:rsidRPr="00097824">
        <w:rPr>
          <w:i/>
          <w:szCs w:val="32"/>
        </w:rPr>
        <w:fldChar w:fldCharType="end"/>
      </w:r>
      <w:r w:rsidR="00275615" w:rsidRPr="00097824">
        <w:rPr>
          <w:i/>
          <w:szCs w:val="32"/>
        </w:rPr>
        <w:t>).</w:t>
      </w:r>
    </w:p>
    <w:p w14:paraId="0010D203" w14:textId="77777777" w:rsidR="00266B06" w:rsidRPr="00097824" w:rsidRDefault="001278A4" w:rsidP="00D843A3">
      <w:pPr>
        <w:shd w:val="clear" w:color="auto" w:fill="FFFFFF"/>
        <w:ind w:firstLine="0"/>
        <w:rPr>
          <w:i/>
          <w:szCs w:val="32"/>
        </w:rPr>
      </w:pPr>
      <w:r w:rsidRPr="00097824">
        <w:rPr>
          <w:i/>
          <w:szCs w:val="32"/>
        </w:rPr>
        <w:t xml:space="preserve">По данным </w:t>
      </w:r>
      <w:r w:rsidR="00231E84" w:rsidRPr="00097824">
        <w:rPr>
          <w:i/>
          <w:szCs w:val="32"/>
        </w:rPr>
        <w:t>метаанализа</w:t>
      </w:r>
      <w:r w:rsidRPr="00097824">
        <w:rPr>
          <w:i/>
          <w:szCs w:val="32"/>
        </w:rPr>
        <w:t xml:space="preserve">, проведение </w:t>
      </w:r>
      <w:proofErr w:type="spellStart"/>
      <w:r w:rsidRPr="00097824">
        <w:rPr>
          <w:i/>
          <w:szCs w:val="32"/>
        </w:rPr>
        <w:t>адъювантной</w:t>
      </w:r>
      <w:proofErr w:type="spellEnd"/>
      <w:r w:rsidRPr="00097824">
        <w:rPr>
          <w:i/>
          <w:szCs w:val="32"/>
        </w:rPr>
        <w:t xml:space="preserve"> химиотерапии к</w:t>
      </w:r>
      <w:r w:rsidR="004422E2" w:rsidRPr="00097824">
        <w:rPr>
          <w:i/>
          <w:szCs w:val="32"/>
        </w:rPr>
        <w:t>ак п</w:t>
      </w:r>
      <w:r w:rsidR="00405072" w:rsidRPr="00097824">
        <w:rPr>
          <w:i/>
          <w:szCs w:val="32"/>
        </w:rPr>
        <w:t xml:space="preserve">осле радикальной </w:t>
      </w:r>
      <w:r w:rsidR="004422E2" w:rsidRPr="00097824">
        <w:rPr>
          <w:i/>
          <w:szCs w:val="32"/>
        </w:rPr>
        <w:t>резекции</w:t>
      </w:r>
      <w:r w:rsidR="00405072" w:rsidRPr="00097824">
        <w:rPr>
          <w:i/>
          <w:szCs w:val="32"/>
        </w:rPr>
        <w:t xml:space="preserve"> (</w:t>
      </w:r>
      <w:r w:rsidR="004422E2" w:rsidRPr="00097824">
        <w:rPr>
          <w:i/>
          <w:szCs w:val="32"/>
          <w:lang w:val="en-GB"/>
        </w:rPr>
        <w:t>R</w:t>
      </w:r>
      <w:r w:rsidR="007F5427" w:rsidRPr="00097824">
        <w:rPr>
          <w:i/>
          <w:szCs w:val="32"/>
        </w:rPr>
        <w:t>0</w:t>
      </w:r>
      <w:r w:rsidR="004422E2" w:rsidRPr="00097824">
        <w:rPr>
          <w:i/>
          <w:szCs w:val="32"/>
        </w:rPr>
        <w:t>), так и краевой (</w:t>
      </w:r>
      <w:r w:rsidR="004422E2" w:rsidRPr="00097824">
        <w:rPr>
          <w:i/>
          <w:szCs w:val="32"/>
          <w:lang w:val="en-GB"/>
        </w:rPr>
        <w:t>R</w:t>
      </w:r>
      <w:r w:rsidR="007F5427" w:rsidRPr="00097824">
        <w:rPr>
          <w:i/>
          <w:szCs w:val="32"/>
        </w:rPr>
        <w:t xml:space="preserve">1) </w:t>
      </w:r>
      <w:r w:rsidRPr="00097824">
        <w:rPr>
          <w:i/>
          <w:szCs w:val="32"/>
        </w:rPr>
        <w:t>было ассоциировано со статистически значимым увеличением ОВ</w:t>
      </w:r>
      <w:r w:rsidR="002748BE" w:rsidRPr="00097824">
        <w:rPr>
          <w:i/>
          <w:szCs w:val="32"/>
        </w:rPr>
        <w:t xml:space="preserve"> в среднем на 4,3 мес. (95% ДИ 0,88–7,79</w:t>
      </w:r>
      <w:r w:rsidR="007F5427" w:rsidRPr="00097824">
        <w:rPr>
          <w:i/>
          <w:szCs w:val="32"/>
        </w:rPr>
        <w:t>;</w:t>
      </w:r>
      <w:r w:rsidR="00DD365C" w:rsidRPr="00097824">
        <w:rPr>
          <w:i/>
          <w:szCs w:val="32"/>
          <w:lang w:val="en-GB"/>
        </w:rPr>
        <w:t>p</w:t>
      </w:r>
      <w:r w:rsidR="007F5427" w:rsidRPr="00097824">
        <w:rPr>
          <w:i/>
          <w:szCs w:val="32"/>
        </w:rPr>
        <w:t xml:space="preserve"> = 0,014)</w:t>
      </w:r>
      <w:r w:rsidR="00DD365C" w:rsidRPr="00097824">
        <w:rPr>
          <w:i/>
          <w:szCs w:val="32"/>
        </w:rPr>
        <w:t xml:space="preserve"> и уменьшением риска смерти на 41% </w:t>
      </w:r>
      <w:r w:rsidR="007F5427" w:rsidRPr="00097824">
        <w:rPr>
          <w:i/>
          <w:szCs w:val="32"/>
        </w:rPr>
        <w:t>[</w:t>
      </w:r>
      <w:r w:rsidR="00CE5598" w:rsidRPr="00097824">
        <w:rPr>
          <w:i/>
          <w:szCs w:val="32"/>
        </w:rPr>
        <w:t>о</w:t>
      </w:r>
      <w:r w:rsidR="007F5427" w:rsidRPr="00097824">
        <w:rPr>
          <w:i/>
          <w:szCs w:val="32"/>
        </w:rPr>
        <w:t>тношение рисков [</w:t>
      </w:r>
      <w:r w:rsidR="00CE5598" w:rsidRPr="00097824">
        <w:rPr>
          <w:i/>
          <w:szCs w:val="32"/>
          <w:lang w:val="en-GB"/>
        </w:rPr>
        <w:t>hazard</w:t>
      </w:r>
      <w:r w:rsidR="00F605AD" w:rsidRPr="00097824">
        <w:rPr>
          <w:i/>
          <w:szCs w:val="32"/>
        </w:rPr>
        <w:t xml:space="preserve"> </w:t>
      </w:r>
      <w:r w:rsidR="00CE5598" w:rsidRPr="00097824">
        <w:rPr>
          <w:i/>
          <w:szCs w:val="32"/>
          <w:lang w:val="en-GB"/>
        </w:rPr>
        <w:t>ratio</w:t>
      </w:r>
      <w:r w:rsidR="00CE5598" w:rsidRPr="00097824">
        <w:rPr>
          <w:i/>
          <w:szCs w:val="32"/>
        </w:rPr>
        <w:t xml:space="preserve">, </w:t>
      </w:r>
      <w:r w:rsidR="00CE5598" w:rsidRPr="00097824">
        <w:rPr>
          <w:i/>
          <w:szCs w:val="32"/>
          <w:lang w:val="en-GB"/>
        </w:rPr>
        <w:t>HR</w:t>
      </w:r>
      <w:r w:rsidR="007F5427" w:rsidRPr="00097824">
        <w:rPr>
          <w:i/>
          <w:szCs w:val="32"/>
        </w:rPr>
        <w:t xml:space="preserve">] = 0,59; 95% </w:t>
      </w:r>
      <w:r w:rsidR="00231E84" w:rsidRPr="00097824">
        <w:rPr>
          <w:i/>
          <w:szCs w:val="32"/>
        </w:rPr>
        <w:t xml:space="preserve">ДИ 0,49–0,71; </w:t>
      </w:r>
      <w:r w:rsidR="00231E84" w:rsidRPr="00097824">
        <w:rPr>
          <w:i/>
          <w:szCs w:val="32"/>
          <w:lang w:val="en-GB"/>
        </w:rPr>
        <w:t>p</w:t>
      </w:r>
      <w:r w:rsidR="007F5427" w:rsidRPr="00097824">
        <w:rPr>
          <w:i/>
          <w:szCs w:val="32"/>
        </w:rPr>
        <w:t>&lt; 0,001)</w:t>
      </w:r>
      <w:r w:rsidR="007F5427" w:rsidRPr="00097824">
        <w:rPr>
          <w:i/>
          <w:szCs w:val="32"/>
        </w:rPr>
        <w:fldChar w:fldCharType="begin"/>
      </w:r>
      <w:r w:rsidR="00D529A9" w:rsidRPr="00097824">
        <w:rPr>
          <w:i/>
          <w:szCs w:val="32"/>
        </w:rPr>
        <w:instrText xml:space="preserve"> ADDIN ZOTERO_ITEM CSL_CITATION {"citationID":"G0eGObHb","properties":{"formattedCitation":"[85]","plainCitation":"[85]","noteIndex":0},"citationItems":[{"id":166115,"uris":["http://zotero.org/groups/4764298/items/QUXQVM69"],"itemData":{"id":166115,"type":"article-journal","abstract":"Introduction\nThe use of adjuvant treatment (AT) in resected biliary tract cancers (BTC) is still controversial. No efficacy comparison has been performed between chemotherapy (CT) and chemoradiotherapy (CTRT). A systematic review of the available evidence regarding adjuvant chemotherapy (AC) in resected BTC was performed.\nMethods\nPubMed, EMBASE, Web of Science, SCOPUS and The Cochrane Library databases were searched for relevant articles published. Only studies including at least 50 patients affected by tumors of gallbladder, intrahepatic, perihilar, and distal bile ducts were considered. Data were pooled using a random-effects model. The primary endpoint of the study was overall survival (OS).\nResults\nThirty studies were analyzed with a total of 22,499 patients, 3967 of whom received AC. Eleven cohorts included Western patients and 19 were Asiatic. Surgeries were classified as R0 with negative margins, R1 with positive microscopic and R2 with positive macroscopic margins. Weighted mean OS difference among experimental (AC) and control arm was 4.3 months (95% CI 0.88–7.79, P = 0.014). AC reduced the risk of death by 41% (Hazard ratio [HR] = 0.59, 95% CI 0.49–0.71; P &lt; 0.001).\nConclusions\nAC administration gives an OS benefit in resected BTC. The results of prospective randomized studies are awaited in order to define the standard AT in BTC.","container-title":"HPB","DOI":"10.1016/j.hpb.2017.05.010","ISSN":"1365-182X","issue":"9","journalAbbreviation":"HPB","language":"en","page":"741-748","source":"ScienceDirect","title":"Adjuvant chemotherapy for resected biliary tract cancers: a systematic review and meta-analysis","title-short":"Adjuvant chemotherapy for resected biliary tract cancers","volume":"19","author":[{"family":"Ghidini","given":"Michele"},{"family":"Tomasello","given":"Gianluca"},{"family":"Botticelli","given":"Andrea"},{"family":"Barni","given":"Sandro"},{"family":"Zabbialini","given":"Giampietro"},{"family":"Seghezzi","given":"Silvia"},{"family":"Passalacqua","given":"Rodolfo"},{"family":"Braconi","given":"Chiara"},{"family":"Petrelli","given":"Fausto"}],"issued":{"date-parts":[["2017",9,1]]}}}],"schema":"https://github.com/citation-style-language/schema/raw/master/csl-citation.json"} </w:instrText>
      </w:r>
      <w:r w:rsidR="007F5427" w:rsidRPr="00097824">
        <w:rPr>
          <w:i/>
          <w:szCs w:val="32"/>
        </w:rPr>
        <w:fldChar w:fldCharType="separate"/>
      </w:r>
      <w:r w:rsidR="00D529A9" w:rsidRPr="00097824">
        <w:t>[85]</w:t>
      </w:r>
      <w:r w:rsidR="007F5427" w:rsidRPr="00097824">
        <w:rPr>
          <w:i/>
          <w:szCs w:val="32"/>
        </w:rPr>
        <w:fldChar w:fldCharType="end"/>
      </w:r>
      <w:r w:rsidR="007F5427" w:rsidRPr="00097824">
        <w:rPr>
          <w:i/>
          <w:szCs w:val="32"/>
        </w:rPr>
        <w:t>.</w:t>
      </w:r>
    </w:p>
    <w:p w14:paraId="1EE32229" w14:textId="19C0066D" w:rsidR="00266B06" w:rsidRPr="00097824" w:rsidRDefault="00F605AD" w:rsidP="00D843A3">
      <w:pPr>
        <w:shd w:val="clear" w:color="auto" w:fill="FFFFFF"/>
        <w:ind w:firstLine="0"/>
        <w:rPr>
          <w:rFonts w:ascii="Times" w:hAnsi="Times" w:cs="Times"/>
          <w:i/>
          <w:szCs w:val="32"/>
        </w:rPr>
      </w:pPr>
      <w:r w:rsidRPr="00097824">
        <w:rPr>
          <w:i/>
          <w:szCs w:val="24"/>
          <w:shd w:val="clear" w:color="auto" w:fill="FFFFFF"/>
        </w:rPr>
        <w:t xml:space="preserve">По данным исследования </w:t>
      </w:r>
      <w:r w:rsidRPr="00097824">
        <w:rPr>
          <w:i/>
          <w:szCs w:val="24"/>
          <w:shd w:val="clear" w:color="auto" w:fill="FFFFFF"/>
          <w:lang w:val="en-US"/>
        </w:rPr>
        <w:t>BILCAP</w:t>
      </w:r>
      <w:r w:rsidRPr="00097824">
        <w:rPr>
          <w:i/>
          <w:szCs w:val="24"/>
          <w:shd w:val="clear" w:color="auto" w:fill="FFFFFF"/>
        </w:rPr>
        <w:t xml:space="preserve"> (восемь 3-недельных циклов химиотерапии </w:t>
      </w:r>
      <w:r w:rsidR="006C333E" w:rsidRPr="00097824">
        <w:rPr>
          <w:rFonts w:ascii="Times" w:hAnsi="Times" w:cs="Times"/>
          <w:i/>
          <w:szCs w:val="32"/>
        </w:rPr>
        <w:t>#</w:t>
      </w:r>
      <w:r w:rsidRPr="00097824">
        <w:rPr>
          <w:i/>
          <w:szCs w:val="24"/>
          <w:shd w:val="clear" w:color="auto" w:fill="FFFFFF"/>
        </w:rPr>
        <w:t>капецитабином</w:t>
      </w:r>
      <w:r w:rsidR="006C333E" w:rsidRPr="00097824">
        <w:rPr>
          <w:i/>
          <w:szCs w:val="24"/>
          <w:shd w:val="clear" w:color="auto" w:fill="FFFFFF"/>
        </w:rPr>
        <w:t>**</w:t>
      </w:r>
      <w:r w:rsidRPr="00097824">
        <w:rPr>
          <w:i/>
          <w:szCs w:val="24"/>
          <w:shd w:val="clear" w:color="auto" w:fill="FFFFFF"/>
        </w:rPr>
        <w:t xml:space="preserve"> в сравнении с наблюдением) медиана ОВ  достоверно  увеличивалась в группе </w:t>
      </w:r>
      <w:proofErr w:type="spellStart"/>
      <w:r w:rsidRPr="00097824">
        <w:rPr>
          <w:i/>
          <w:szCs w:val="24"/>
          <w:shd w:val="clear" w:color="auto" w:fill="FFFFFF"/>
        </w:rPr>
        <w:t>адъювантной</w:t>
      </w:r>
      <w:proofErr w:type="spellEnd"/>
      <w:r w:rsidRPr="00097824">
        <w:rPr>
          <w:i/>
          <w:szCs w:val="24"/>
          <w:shd w:val="clear" w:color="auto" w:fill="FFFFFF"/>
        </w:rPr>
        <w:t xml:space="preserve"> химиотерапии [53 </w:t>
      </w:r>
      <w:proofErr w:type="spellStart"/>
      <w:r w:rsidRPr="00097824">
        <w:rPr>
          <w:i/>
          <w:szCs w:val="24"/>
          <w:shd w:val="clear" w:color="auto" w:fill="FFFFFF"/>
        </w:rPr>
        <w:t>мес</w:t>
      </w:r>
      <w:proofErr w:type="spellEnd"/>
      <w:r w:rsidRPr="00097824">
        <w:rPr>
          <w:i/>
          <w:szCs w:val="24"/>
          <w:shd w:val="clear" w:color="auto" w:fill="FFFFFF"/>
        </w:rPr>
        <w:t xml:space="preserve"> </w:t>
      </w:r>
      <w:r w:rsidRPr="00097824">
        <w:rPr>
          <w:i/>
          <w:szCs w:val="24"/>
          <w:shd w:val="clear" w:color="auto" w:fill="FFFFFF"/>
          <w:lang w:val="en-US"/>
        </w:rPr>
        <w:t>vs</w:t>
      </w:r>
      <w:r w:rsidRPr="00097824">
        <w:rPr>
          <w:i/>
          <w:szCs w:val="24"/>
          <w:shd w:val="clear" w:color="auto" w:fill="FFFFFF"/>
        </w:rPr>
        <w:t xml:space="preserve"> 36 </w:t>
      </w:r>
      <w:proofErr w:type="spellStart"/>
      <w:r w:rsidRPr="00097824">
        <w:rPr>
          <w:i/>
          <w:szCs w:val="24"/>
          <w:shd w:val="clear" w:color="auto" w:fill="FFFFFF"/>
        </w:rPr>
        <w:t>мес</w:t>
      </w:r>
      <w:proofErr w:type="spellEnd"/>
      <w:r w:rsidRPr="00097824">
        <w:rPr>
          <w:i/>
          <w:szCs w:val="24"/>
          <w:shd w:val="clear" w:color="auto" w:fill="FFFFFF"/>
        </w:rPr>
        <w:t>; ОР 0.75, 95% ДИ 0.58-0.97,</w:t>
      </w:r>
      <w:r w:rsidRPr="00097824">
        <w:rPr>
          <w:i/>
          <w:szCs w:val="24"/>
          <w:shd w:val="clear" w:color="auto" w:fill="FFFFFF"/>
          <w:lang w:val="en-US"/>
        </w:rPr>
        <w:t> </w:t>
      </w:r>
      <w:r w:rsidRPr="00097824">
        <w:rPr>
          <w:rStyle w:val="affe"/>
          <w:i w:val="0"/>
          <w:szCs w:val="24"/>
          <w:shd w:val="clear" w:color="auto" w:fill="FFFFFF"/>
          <w:lang w:val="en-US"/>
        </w:rPr>
        <w:t>P</w:t>
      </w:r>
      <w:r w:rsidRPr="00097824">
        <w:rPr>
          <w:i/>
          <w:szCs w:val="24"/>
          <w:shd w:val="clear" w:color="auto" w:fill="FFFFFF"/>
          <w:lang w:val="en-US"/>
        </w:rPr>
        <w:t> </w:t>
      </w:r>
      <w:r w:rsidRPr="00097824">
        <w:rPr>
          <w:i/>
          <w:szCs w:val="24"/>
          <w:shd w:val="clear" w:color="auto" w:fill="FFFFFF"/>
        </w:rPr>
        <w:t>= 0.028], что подтверждалось и с учетом влияния значимых факторов (статус лимфоузлов, степень дифференцировки и пол) (ОР 0.71, 95% ДИ 0.55-0.92,</w:t>
      </w:r>
      <w:r w:rsidRPr="00097824">
        <w:rPr>
          <w:i/>
          <w:szCs w:val="24"/>
          <w:shd w:val="clear" w:color="auto" w:fill="FFFFFF"/>
          <w:lang w:val="en-US"/>
        </w:rPr>
        <w:t> </w:t>
      </w:r>
      <w:r w:rsidRPr="00097824">
        <w:rPr>
          <w:rStyle w:val="affe"/>
          <w:i w:val="0"/>
          <w:szCs w:val="24"/>
          <w:shd w:val="clear" w:color="auto" w:fill="FFFFFF"/>
          <w:lang w:val="en-US"/>
        </w:rPr>
        <w:t>P</w:t>
      </w:r>
      <w:r w:rsidRPr="00097824">
        <w:rPr>
          <w:i/>
          <w:szCs w:val="24"/>
          <w:shd w:val="clear" w:color="auto" w:fill="FFFFFF"/>
          <w:lang w:val="en-US"/>
        </w:rPr>
        <w:t> </w:t>
      </w:r>
      <w:r w:rsidRPr="00097824">
        <w:rPr>
          <w:i/>
          <w:szCs w:val="24"/>
          <w:shd w:val="clear" w:color="auto" w:fill="FFFFFF"/>
        </w:rPr>
        <w:t xml:space="preserve">= 0.010). </w:t>
      </w:r>
      <w:r w:rsidRPr="00097824">
        <w:rPr>
          <w:i/>
          <w:szCs w:val="24"/>
          <w:shd w:val="clear" w:color="auto" w:fill="FFFFFF"/>
        </w:rPr>
        <w:lastRenderedPageBreak/>
        <w:t>Более того, анализ всей группы включенных в исследование (</w:t>
      </w:r>
      <w:r w:rsidRPr="00097824">
        <w:rPr>
          <w:i/>
          <w:szCs w:val="24"/>
          <w:shd w:val="clear" w:color="auto" w:fill="FFFFFF"/>
          <w:lang w:val="en-US"/>
        </w:rPr>
        <w:t>ITT</w:t>
      </w:r>
      <w:r w:rsidRPr="00097824">
        <w:rPr>
          <w:i/>
          <w:szCs w:val="24"/>
          <w:shd w:val="clear" w:color="auto" w:fill="FFFFFF"/>
        </w:rPr>
        <w:t xml:space="preserve"> </w:t>
      </w:r>
      <w:r w:rsidRPr="00097824">
        <w:rPr>
          <w:i/>
          <w:szCs w:val="24"/>
          <w:shd w:val="clear" w:color="auto" w:fill="FFFFFF"/>
          <w:lang w:val="en-US"/>
        </w:rPr>
        <w:t>analysis</w:t>
      </w:r>
      <w:r w:rsidRPr="00097824">
        <w:rPr>
          <w:i/>
          <w:szCs w:val="24"/>
          <w:shd w:val="clear" w:color="auto" w:fill="FFFFFF"/>
        </w:rPr>
        <w:t xml:space="preserve">) продемонстрировал более высокую </w:t>
      </w:r>
      <w:proofErr w:type="spellStart"/>
      <w:r w:rsidRPr="00097824">
        <w:rPr>
          <w:i/>
          <w:szCs w:val="24"/>
          <w:shd w:val="clear" w:color="auto" w:fill="FFFFFF"/>
        </w:rPr>
        <w:t>безрецидивную</w:t>
      </w:r>
      <w:proofErr w:type="spellEnd"/>
      <w:r w:rsidRPr="00097824">
        <w:rPr>
          <w:i/>
          <w:szCs w:val="24"/>
          <w:shd w:val="clear" w:color="auto" w:fill="FFFFFF"/>
        </w:rPr>
        <w:t xml:space="preserve"> выживаемость с </w:t>
      </w:r>
      <w:r w:rsidR="006C333E" w:rsidRPr="00097824">
        <w:rPr>
          <w:rFonts w:ascii="Times" w:hAnsi="Times" w:cs="Times"/>
          <w:i/>
          <w:szCs w:val="32"/>
        </w:rPr>
        <w:t>#</w:t>
      </w:r>
      <w:r w:rsidRPr="00097824">
        <w:rPr>
          <w:i/>
          <w:szCs w:val="24"/>
          <w:shd w:val="clear" w:color="auto" w:fill="FFFFFF"/>
        </w:rPr>
        <w:t>капецитабином</w:t>
      </w:r>
      <w:r w:rsidR="006C333E" w:rsidRPr="00097824">
        <w:rPr>
          <w:i/>
          <w:szCs w:val="24"/>
          <w:shd w:val="clear" w:color="auto" w:fill="FFFFFF"/>
        </w:rPr>
        <w:t>**</w:t>
      </w:r>
      <w:r w:rsidRPr="00097824">
        <w:rPr>
          <w:i/>
          <w:szCs w:val="24"/>
          <w:shd w:val="clear" w:color="auto" w:fill="FFFFFF"/>
        </w:rPr>
        <w:t xml:space="preserve"> в течение первых 24 мес. </w:t>
      </w:r>
    </w:p>
    <w:p w14:paraId="39688E50" w14:textId="77777777" w:rsidR="00266B06" w:rsidRPr="00097824" w:rsidRDefault="00F605AD" w:rsidP="00D843A3">
      <w:pPr>
        <w:shd w:val="clear" w:color="auto" w:fill="FFFFFF"/>
        <w:ind w:firstLine="0"/>
        <w:rPr>
          <w:i/>
          <w:szCs w:val="24"/>
        </w:rPr>
      </w:pPr>
      <w:r w:rsidRPr="00097824">
        <w:rPr>
          <w:i/>
          <w:szCs w:val="24"/>
        </w:rPr>
        <w:t xml:space="preserve">По данным раннего метаанализа, проведение </w:t>
      </w:r>
      <w:proofErr w:type="spellStart"/>
      <w:r w:rsidRPr="00097824">
        <w:rPr>
          <w:i/>
          <w:szCs w:val="24"/>
        </w:rPr>
        <w:t>адъювантной</w:t>
      </w:r>
      <w:proofErr w:type="spellEnd"/>
      <w:r w:rsidRPr="00097824">
        <w:rPr>
          <w:i/>
          <w:szCs w:val="24"/>
        </w:rPr>
        <w:t xml:space="preserve"> химиотерапии как после радикальной резекции (</w:t>
      </w:r>
      <w:r w:rsidRPr="00097824">
        <w:rPr>
          <w:i/>
          <w:szCs w:val="24"/>
          <w:lang w:val="en-GB"/>
        </w:rPr>
        <w:t>R</w:t>
      </w:r>
      <w:r w:rsidRPr="00097824">
        <w:rPr>
          <w:i/>
          <w:szCs w:val="24"/>
        </w:rPr>
        <w:t>0), так и краевой (</w:t>
      </w:r>
      <w:r w:rsidRPr="00097824">
        <w:rPr>
          <w:i/>
          <w:szCs w:val="24"/>
          <w:lang w:val="en-GB"/>
        </w:rPr>
        <w:t>R</w:t>
      </w:r>
      <w:r w:rsidRPr="00097824">
        <w:rPr>
          <w:i/>
          <w:szCs w:val="24"/>
        </w:rPr>
        <w:t xml:space="preserve">1) было ассоциировано со статистически значимым увеличением ОВ в среднем на 4,3 мес. (95% ДИ 0,88–7,79; </w:t>
      </w:r>
      <w:r w:rsidRPr="00097824">
        <w:rPr>
          <w:i/>
          <w:szCs w:val="24"/>
          <w:lang w:val="en-GB"/>
        </w:rPr>
        <w:t>p</w:t>
      </w:r>
      <w:r w:rsidRPr="00097824">
        <w:rPr>
          <w:i/>
          <w:szCs w:val="24"/>
        </w:rPr>
        <w:t xml:space="preserve"> = 0,014) и уменьшением риска смерти на 41% [отношение рисков [</w:t>
      </w:r>
      <w:r w:rsidRPr="00097824">
        <w:rPr>
          <w:i/>
          <w:szCs w:val="24"/>
          <w:lang w:val="en-GB"/>
        </w:rPr>
        <w:t>hazard</w:t>
      </w:r>
      <w:r w:rsidRPr="00097824">
        <w:rPr>
          <w:i/>
          <w:szCs w:val="24"/>
        </w:rPr>
        <w:t xml:space="preserve"> </w:t>
      </w:r>
      <w:r w:rsidRPr="00097824">
        <w:rPr>
          <w:i/>
          <w:szCs w:val="24"/>
          <w:lang w:val="en-GB"/>
        </w:rPr>
        <w:t>ratio</w:t>
      </w:r>
      <w:r w:rsidRPr="00097824">
        <w:rPr>
          <w:i/>
          <w:szCs w:val="24"/>
        </w:rPr>
        <w:t xml:space="preserve">, </w:t>
      </w:r>
      <w:r w:rsidRPr="00097824">
        <w:rPr>
          <w:i/>
          <w:szCs w:val="24"/>
          <w:lang w:val="en-GB"/>
        </w:rPr>
        <w:t>HR</w:t>
      </w:r>
      <w:r w:rsidRPr="00097824">
        <w:rPr>
          <w:i/>
          <w:szCs w:val="24"/>
        </w:rPr>
        <w:t xml:space="preserve">] = 0,59; 95% ДИ 0,49–0,71; </w:t>
      </w:r>
      <w:r w:rsidRPr="00097824">
        <w:rPr>
          <w:i/>
          <w:szCs w:val="24"/>
          <w:lang w:val="en-GB"/>
        </w:rPr>
        <w:t>p</w:t>
      </w:r>
      <w:r w:rsidRPr="00097824">
        <w:rPr>
          <w:i/>
          <w:szCs w:val="24"/>
        </w:rPr>
        <w:t xml:space="preserve"> &lt; 0,001) </w:t>
      </w:r>
      <w:r w:rsidRPr="00097824">
        <w:rPr>
          <w:i/>
          <w:szCs w:val="24"/>
        </w:rPr>
        <w:fldChar w:fldCharType="begin"/>
      </w:r>
      <w:r w:rsidRPr="00097824">
        <w:rPr>
          <w:i/>
          <w:szCs w:val="24"/>
        </w:rPr>
        <w:instrText xml:space="preserve"> ADDIN ZOTERO_ITEM CSL_CITATION {"citationID":"G0eGObHb","properties":{"formattedCitation":"[85]","plainCitation":"[85]","noteIndex":0},"citationItems":[{"id":166115,"uris":["http://zotero.org/groups/4764298/items/QUXQVM69"],"itemData":{"id":166115,"type":"article-journal","abstract":"Introduction\nThe use of adjuvant treatment (AT) in resected biliary tract cancers (BTC) is still controversial. No efficacy comparison has been performed between chemotherapy (CT) and chemoradiotherapy (CTRT). A systematic review of the available evidence regarding adjuvant chemotherapy (AC) in resected BTC was performed.\nMethods\nPubMed, EMBASE, Web of Science, SCOPUS and The Cochrane Library databases were searched for relevant articles published. Only studies including at least 50 patients affected by tumors of gallbladder, intrahepatic, perihilar, and distal bile ducts were considered. Data were pooled using a random-effects model. The primary endpoint of the study was overall survival (OS).\nResults\nThirty studies were analyzed with a total of 22,499 patients, 3967 of whom received AC. Eleven cohorts included Western patients and 19 were Asiatic. Surgeries were classified as R0 with negative margins, R1 with positive microscopic and R2 with positive macroscopic margins. Weighted mean OS difference among experimental (AC) and control arm was 4.3 months (95% CI 0.88–7.79, P = 0.014). AC reduced the risk of death by 41% (Hazard ratio [HR] = 0.59, 95% CI 0.49–0.71; P &lt; 0.001).\nConclusions\nAC administration gives an OS benefit in resected BTC. The results of prospective randomized studies are awaited in order to define the standard AT in BTC.","container-title":"HPB","DOI":"10.1016/j.hpb.2017.05.010","ISSN":"1365-182X","issue":"9","journalAbbreviation":"HPB","language":"en","page":"741-748","source":"ScienceDirect","title":"Adjuvant chemotherapy for resected biliary tract cancers: a systematic review and meta-analysis","title-short":"Adjuvant chemotherapy for resected biliary tract cancers","volume":"19","author":[{"family":"Ghidini","given":"Michele"},{"family":"Tomasello","given":"Gianluca"},{"family":"Botticelli","given":"Andrea"},{"family":"Barni","given":"Sandro"},{"family":"Zabbialini","given":"Giampietro"},{"family":"Seghezzi","given":"Silvia"},{"family":"Passalacqua","given":"Rodolfo"},{"family":"Braconi","given":"Chiara"},{"family":"Petrelli","given":"Fausto"}],"issued":{"date-parts":[["2017",9,1]]}}}],"schema":"https://github.com/citation-style-language/schema/raw/master/csl-citation.json"} </w:instrText>
      </w:r>
      <w:r w:rsidRPr="00097824">
        <w:rPr>
          <w:i/>
          <w:szCs w:val="24"/>
        </w:rPr>
        <w:fldChar w:fldCharType="separate"/>
      </w:r>
      <w:r w:rsidRPr="00097824">
        <w:rPr>
          <w:i/>
          <w:szCs w:val="24"/>
        </w:rPr>
        <w:t>[85]</w:t>
      </w:r>
      <w:r w:rsidRPr="00097824">
        <w:rPr>
          <w:i/>
          <w:szCs w:val="24"/>
        </w:rPr>
        <w:fldChar w:fldCharType="end"/>
      </w:r>
      <w:r w:rsidRPr="00097824">
        <w:rPr>
          <w:i/>
          <w:szCs w:val="24"/>
        </w:rPr>
        <w:t>.</w:t>
      </w:r>
      <w:r w:rsidR="00266B06" w:rsidRPr="00097824">
        <w:rPr>
          <w:i/>
          <w:szCs w:val="24"/>
        </w:rPr>
        <w:t xml:space="preserve"> </w:t>
      </w:r>
    </w:p>
    <w:p w14:paraId="7BC3F8CB" w14:textId="42ADE5D7" w:rsidR="00F605AD" w:rsidRPr="00097824" w:rsidRDefault="00F605AD" w:rsidP="00D843A3">
      <w:pPr>
        <w:shd w:val="clear" w:color="auto" w:fill="FFFFFF"/>
        <w:ind w:firstLine="0"/>
        <w:rPr>
          <w:rFonts w:ascii="Times" w:hAnsi="Times" w:cs="Times"/>
          <w:i/>
          <w:szCs w:val="32"/>
        </w:rPr>
      </w:pPr>
      <w:r w:rsidRPr="00097824">
        <w:rPr>
          <w:i/>
          <w:szCs w:val="24"/>
          <w:shd w:val="clear" w:color="auto" w:fill="FFFFFF"/>
        </w:rPr>
        <w:t xml:space="preserve">Нет подтверждения эффективности </w:t>
      </w:r>
      <w:proofErr w:type="spellStart"/>
      <w:r w:rsidRPr="00097824">
        <w:rPr>
          <w:i/>
          <w:szCs w:val="24"/>
          <w:shd w:val="clear" w:color="auto" w:fill="FFFFFF"/>
        </w:rPr>
        <w:t>адъювантной</w:t>
      </w:r>
      <w:proofErr w:type="spellEnd"/>
      <w:r w:rsidRPr="00097824">
        <w:rPr>
          <w:i/>
          <w:szCs w:val="24"/>
          <w:shd w:val="clear" w:color="auto" w:fill="FFFFFF"/>
        </w:rPr>
        <w:t xml:space="preserve"> химиотерапии </w:t>
      </w:r>
      <w:proofErr w:type="spellStart"/>
      <w:r w:rsidRPr="00097824">
        <w:rPr>
          <w:i/>
          <w:szCs w:val="24"/>
          <w:shd w:val="clear" w:color="auto" w:fill="FFFFFF"/>
        </w:rPr>
        <w:t>билиарного</w:t>
      </w:r>
      <w:proofErr w:type="spellEnd"/>
      <w:r w:rsidRPr="00097824">
        <w:rPr>
          <w:i/>
          <w:szCs w:val="24"/>
          <w:shd w:val="clear" w:color="auto" w:fill="FFFFFF"/>
        </w:rPr>
        <w:t xml:space="preserve"> рака при применении режимов </w:t>
      </w:r>
      <w:r w:rsidRPr="00097824">
        <w:rPr>
          <w:i/>
          <w:szCs w:val="24"/>
          <w:shd w:val="clear" w:color="auto" w:fill="FFFFFF"/>
          <w:lang w:val="en-US"/>
        </w:rPr>
        <w:t>GEMOX</w:t>
      </w:r>
      <w:r w:rsidRPr="00097824">
        <w:rPr>
          <w:i/>
          <w:szCs w:val="24"/>
          <w:shd w:val="clear" w:color="auto" w:fill="FFFFFF"/>
        </w:rPr>
        <w:t xml:space="preserve"> (</w:t>
      </w:r>
      <w:r w:rsidR="003F4EEB" w:rsidRPr="00097824">
        <w:rPr>
          <w:i/>
          <w:szCs w:val="24"/>
          <w:shd w:val="clear" w:color="auto" w:fill="FFFFFF"/>
        </w:rPr>
        <w:t xml:space="preserve">исследование </w:t>
      </w:r>
      <w:r w:rsidRPr="00097824">
        <w:rPr>
          <w:i/>
          <w:szCs w:val="24"/>
          <w:shd w:val="clear" w:color="auto" w:fill="FFFFFF"/>
        </w:rPr>
        <w:t>PRODIGE-12</w:t>
      </w:r>
      <w:r w:rsidR="003F4EEB" w:rsidRPr="00097824">
        <w:rPr>
          <w:i/>
          <w:szCs w:val="24"/>
          <w:shd w:val="clear" w:color="auto" w:fill="FFFFFF"/>
        </w:rPr>
        <w:t>)</w:t>
      </w:r>
      <w:r w:rsidR="007E26CF" w:rsidRPr="00097824">
        <w:rPr>
          <w:i/>
          <w:szCs w:val="24"/>
          <w:shd w:val="clear" w:color="auto" w:fill="FFFFFF"/>
        </w:rPr>
        <w:t xml:space="preserve"> [150</w:t>
      </w:r>
      <w:proofErr w:type="gramStart"/>
      <w:r w:rsidR="007E26CF" w:rsidRPr="00097824">
        <w:rPr>
          <w:i/>
          <w:szCs w:val="24"/>
          <w:shd w:val="clear" w:color="auto" w:fill="FFFFFF"/>
        </w:rPr>
        <w:t>]</w:t>
      </w:r>
      <w:r w:rsidRPr="00097824">
        <w:rPr>
          <w:i/>
          <w:szCs w:val="24"/>
          <w:shd w:val="clear" w:color="auto" w:fill="FFFFFF"/>
        </w:rPr>
        <w:t xml:space="preserve">  </w:t>
      </w:r>
      <w:r w:rsidR="007E26CF" w:rsidRPr="00097824">
        <w:rPr>
          <w:i/>
          <w:szCs w:val="24"/>
          <w:shd w:val="clear" w:color="auto" w:fill="FFFFFF"/>
        </w:rPr>
        <w:t>и</w:t>
      </w:r>
      <w:proofErr w:type="gramEnd"/>
      <w:r w:rsidR="007E26CF" w:rsidRPr="00097824">
        <w:rPr>
          <w:i/>
          <w:szCs w:val="24"/>
          <w:shd w:val="clear" w:color="auto" w:fill="FFFFFF"/>
        </w:rPr>
        <w:t xml:space="preserve"> </w:t>
      </w:r>
      <w:proofErr w:type="spellStart"/>
      <w:r w:rsidR="007E26CF" w:rsidRPr="00097824">
        <w:rPr>
          <w:i/>
          <w:szCs w:val="24"/>
          <w:shd w:val="clear" w:color="auto" w:fill="FFFFFF"/>
        </w:rPr>
        <w:t>монотерапии</w:t>
      </w:r>
      <w:proofErr w:type="spellEnd"/>
      <w:r w:rsidR="007E26CF" w:rsidRPr="00097824">
        <w:rPr>
          <w:i/>
          <w:szCs w:val="24"/>
          <w:shd w:val="clear" w:color="auto" w:fill="FFFFFF"/>
        </w:rPr>
        <w:t xml:space="preserve"> </w:t>
      </w:r>
      <w:proofErr w:type="spellStart"/>
      <w:r w:rsidR="007E26CF" w:rsidRPr="00097824">
        <w:rPr>
          <w:i/>
          <w:szCs w:val="24"/>
          <w:shd w:val="clear" w:color="auto" w:fill="FFFFFF"/>
        </w:rPr>
        <w:t>гемцитабином</w:t>
      </w:r>
      <w:proofErr w:type="spellEnd"/>
      <w:r w:rsidR="00C6246D" w:rsidRPr="00097824">
        <w:rPr>
          <w:i/>
          <w:szCs w:val="24"/>
          <w:shd w:val="clear" w:color="auto" w:fill="FFFFFF"/>
        </w:rPr>
        <w:t>**</w:t>
      </w:r>
      <w:r w:rsidR="003F4EEB" w:rsidRPr="00097824">
        <w:rPr>
          <w:i/>
          <w:szCs w:val="24"/>
          <w:shd w:val="clear" w:color="auto" w:fill="FFFFFF"/>
        </w:rPr>
        <w:t xml:space="preserve"> (исследование </w:t>
      </w:r>
      <w:r w:rsidR="003F4EEB" w:rsidRPr="00097824">
        <w:rPr>
          <w:i/>
          <w:szCs w:val="24"/>
          <w:shd w:val="clear" w:color="auto" w:fill="FFFFFF"/>
          <w:lang w:val="en-US"/>
        </w:rPr>
        <w:t>BCAT</w:t>
      </w:r>
      <w:r w:rsidR="003F4EEB" w:rsidRPr="00097824">
        <w:rPr>
          <w:i/>
          <w:szCs w:val="24"/>
          <w:shd w:val="clear" w:color="auto" w:fill="FFFFFF"/>
        </w:rPr>
        <w:t xml:space="preserve"> ) </w:t>
      </w:r>
      <w:r w:rsidR="007E26CF" w:rsidRPr="00097824">
        <w:rPr>
          <w:i/>
          <w:szCs w:val="24"/>
          <w:shd w:val="clear" w:color="auto" w:fill="FFFFFF"/>
        </w:rPr>
        <w:t>[151].</w:t>
      </w:r>
      <w:r w:rsidR="007E26CF" w:rsidRPr="00097824">
        <w:rPr>
          <w:rFonts w:eastAsia="Times New Roman"/>
          <w:b/>
          <w:bCs/>
          <w:i/>
          <w:szCs w:val="24"/>
          <w:lang w:eastAsia="ru-RU"/>
        </w:rPr>
        <w:t xml:space="preserve"> </w:t>
      </w:r>
    </w:p>
    <w:p w14:paraId="3D730049" w14:textId="77777777" w:rsidR="00AC3207" w:rsidRPr="00097824" w:rsidRDefault="00DE0996" w:rsidP="00D843A3">
      <w:pPr>
        <w:shd w:val="clear" w:color="auto" w:fill="FFFFFF"/>
        <w:ind w:firstLine="0"/>
        <w:contextualSpacing/>
        <w:rPr>
          <w:i/>
        </w:rPr>
      </w:pPr>
      <w:r w:rsidRPr="00097824">
        <w:rPr>
          <w:i/>
        </w:rPr>
        <w:t>П</w:t>
      </w:r>
      <w:r w:rsidR="00275615" w:rsidRPr="00097824">
        <w:rPr>
          <w:i/>
        </w:rPr>
        <w:t>осле нерадикальной операции (</w:t>
      </w:r>
      <w:r w:rsidR="00275615" w:rsidRPr="00097824">
        <w:rPr>
          <w:i/>
          <w:lang w:val="en-US"/>
        </w:rPr>
        <w:t>R</w:t>
      </w:r>
      <w:r w:rsidR="00275615" w:rsidRPr="00097824">
        <w:rPr>
          <w:i/>
        </w:rPr>
        <w:t>1/</w:t>
      </w:r>
      <w:r w:rsidR="00275615" w:rsidRPr="00097824">
        <w:rPr>
          <w:i/>
          <w:lang w:val="en-US"/>
        </w:rPr>
        <w:t>R</w:t>
      </w:r>
      <w:r w:rsidR="00275615" w:rsidRPr="00097824">
        <w:rPr>
          <w:i/>
        </w:rPr>
        <w:t xml:space="preserve">2) или метастазах в лимфатических узлах возможно выполнение ре-резекции, </w:t>
      </w:r>
      <w:r w:rsidR="00CA4E20" w:rsidRPr="00097824">
        <w:rPr>
          <w:i/>
        </w:rPr>
        <w:t>необходимо проведение</w:t>
      </w:r>
      <w:r w:rsidR="00275615" w:rsidRPr="00097824">
        <w:rPr>
          <w:i/>
        </w:rPr>
        <w:t xml:space="preserve"> системной химиотерапии (согласно принципам лечения метастатического процесса), а также </w:t>
      </w:r>
      <w:proofErr w:type="gramStart"/>
      <w:r w:rsidR="00F233C6" w:rsidRPr="00097824">
        <w:rPr>
          <w:i/>
        </w:rPr>
        <w:t>химио-лучевой</w:t>
      </w:r>
      <w:proofErr w:type="gramEnd"/>
      <w:r w:rsidR="00F233C6" w:rsidRPr="00097824">
        <w:rPr>
          <w:i/>
        </w:rPr>
        <w:t xml:space="preserve"> терапии (</w:t>
      </w:r>
      <w:r w:rsidR="00275615" w:rsidRPr="00097824">
        <w:rPr>
          <w:i/>
        </w:rPr>
        <w:t>ХЛТ</w:t>
      </w:r>
      <w:r w:rsidR="00F233C6" w:rsidRPr="00097824">
        <w:rPr>
          <w:i/>
        </w:rPr>
        <w:t>)</w:t>
      </w:r>
      <w:r w:rsidR="00275615" w:rsidRPr="00097824">
        <w:rPr>
          <w:i/>
        </w:rPr>
        <w:t xml:space="preserve"> с</w:t>
      </w:r>
      <w:r w:rsidR="0096111F" w:rsidRPr="00097824">
        <w:rPr>
          <w:i/>
        </w:rPr>
        <w:t> </w:t>
      </w:r>
      <w:proofErr w:type="spellStart"/>
      <w:r w:rsidR="00275615" w:rsidRPr="00097824">
        <w:rPr>
          <w:i/>
        </w:rPr>
        <w:t>фторпиримидинами</w:t>
      </w:r>
      <w:proofErr w:type="spellEnd"/>
      <w:r w:rsidR="00C6246D" w:rsidRPr="00097824">
        <w:rPr>
          <w:i/>
        </w:rPr>
        <w:t xml:space="preserve"> (L01BC: Аналоги пиримидина)</w:t>
      </w:r>
      <w:r w:rsidR="00275615" w:rsidRPr="00097824">
        <w:rPr>
          <w:i/>
        </w:rPr>
        <w:t>.</w:t>
      </w:r>
      <w:r w:rsidR="00CA4E20" w:rsidRPr="00097824">
        <w:rPr>
          <w:i/>
        </w:rPr>
        <w:t xml:space="preserve"> </w:t>
      </w:r>
    </w:p>
    <w:p w14:paraId="24F1B28C" w14:textId="3527DAB0" w:rsidR="00275615" w:rsidRPr="00097824" w:rsidRDefault="007F5427" w:rsidP="00D843A3">
      <w:pPr>
        <w:shd w:val="clear" w:color="auto" w:fill="FFFFFF"/>
        <w:ind w:firstLine="0"/>
        <w:contextualSpacing/>
      </w:pPr>
      <w:r w:rsidRPr="00097824">
        <w:rPr>
          <w:i/>
        </w:rPr>
        <w:t>Настоятельно рекомендуется проводить послеоперационную лучевую терапию (ЛТ) с использованием технологий 3</w:t>
      </w:r>
      <w:r w:rsidRPr="00097824">
        <w:rPr>
          <w:rFonts w:eastAsiaTheme="minorEastAsia"/>
          <w:i/>
          <w:lang w:eastAsia="ja-JP"/>
        </w:rPr>
        <w:t>D-конформной ЛТ или</w:t>
      </w:r>
      <w:r w:rsidR="00784873" w:rsidRPr="00097824">
        <w:rPr>
          <w:rFonts w:eastAsiaTheme="minorEastAsia"/>
          <w:i/>
          <w:lang w:eastAsia="ja-JP"/>
        </w:rPr>
        <w:t xml:space="preserve"> </w:t>
      </w:r>
      <w:r w:rsidRPr="00097824">
        <w:rPr>
          <w:rFonts w:eastAsiaTheme="minorEastAsia"/>
          <w:i/>
          <w:lang w:eastAsia="ja-JP"/>
        </w:rPr>
        <w:t xml:space="preserve">лучевой терапии модулированной интенсивности. </w:t>
      </w:r>
      <w:r w:rsidRPr="00097824">
        <w:rPr>
          <w:i/>
        </w:rPr>
        <w:t>Облучению подвергается ложе удаленной опухоли и регионарные зоны.</w:t>
      </w:r>
      <w:r w:rsidR="00C93086" w:rsidRPr="00097824">
        <w:rPr>
          <w:i/>
        </w:rPr>
        <w:t xml:space="preserve"> </w:t>
      </w:r>
      <w:r w:rsidRPr="00097824">
        <w:rPr>
          <w:i/>
        </w:rPr>
        <w:t>Лучевая терапия проводится РОД 2Гр до СОД 46Гр, а</w:t>
      </w:r>
      <w:r w:rsidR="003F4EEB" w:rsidRPr="00097824">
        <w:rPr>
          <w:i/>
        </w:rPr>
        <w:t xml:space="preserve"> </w:t>
      </w:r>
      <w:r w:rsidRPr="00097824">
        <w:rPr>
          <w:i/>
        </w:rPr>
        <w:t>при</w:t>
      </w:r>
      <w:r w:rsidR="003F4EEB" w:rsidRPr="00097824">
        <w:rPr>
          <w:i/>
        </w:rPr>
        <w:t xml:space="preserve"> </w:t>
      </w:r>
      <w:r w:rsidRPr="00097824">
        <w:rPr>
          <w:rFonts w:eastAsiaTheme="minorEastAsia"/>
          <w:i/>
          <w:lang w:eastAsia="ja-JP"/>
        </w:rPr>
        <w:t>R1/R2 – до 50–60</w:t>
      </w:r>
      <w:r w:rsidR="0096386D" w:rsidRPr="00097824">
        <w:rPr>
          <w:rFonts w:eastAsiaTheme="minorEastAsia"/>
          <w:i/>
          <w:lang w:eastAsia="ja-JP"/>
        </w:rPr>
        <w:t xml:space="preserve"> </w:t>
      </w:r>
      <w:r w:rsidRPr="00097824">
        <w:rPr>
          <w:rFonts w:eastAsiaTheme="minorEastAsia"/>
          <w:i/>
          <w:lang w:eastAsia="ja-JP"/>
        </w:rPr>
        <w:t xml:space="preserve">Гр на ложе удаленной опухоли. </w:t>
      </w:r>
      <w:r w:rsidRPr="00097824">
        <w:rPr>
          <w:i/>
        </w:rPr>
        <w:t>После завершения ХЛТ показана</w:t>
      </w:r>
      <w:r w:rsidR="00266B06" w:rsidRPr="00097824">
        <w:rPr>
          <w:i/>
        </w:rPr>
        <w:t xml:space="preserve"> </w:t>
      </w:r>
      <w:proofErr w:type="spellStart"/>
      <w:r w:rsidRPr="00097824">
        <w:rPr>
          <w:i/>
        </w:rPr>
        <w:t>монохимиотерапия</w:t>
      </w:r>
      <w:proofErr w:type="spellEnd"/>
      <w:r w:rsidR="00266B06" w:rsidRPr="00097824">
        <w:rPr>
          <w:i/>
        </w:rPr>
        <w:t xml:space="preserve"> </w:t>
      </w:r>
      <w:r w:rsidR="00B03595" w:rsidRPr="00097824">
        <w:rPr>
          <w:rFonts w:asciiTheme="minorHAnsi" w:hAnsiTheme="minorHAnsi"/>
          <w:i/>
        </w:rPr>
        <w:t>#</w:t>
      </w:r>
      <w:r w:rsidRPr="00097824">
        <w:rPr>
          <w:i/>
        </w:rPr>
        <w:t>капецитабином</w:t>
      </w:r>
      <w:r w:rsidR="006C333E" w:rsidRPr="00097824">
        <w:rPr>
          <w:i/>
        </w:rPr>
        <w:t>**</w:t>
      </w:r>
      <w:r w:rsidRPr="00097824">
        <w:rPr>
          <w:i/>
        </w:rPr>
        <w:t xml:space="preserve"> (при низкой степени дифференцировки опухоли и/или метастазах в лимфатических узлах возможно применение комбинированных режимов </w:t>
      </w:r>
      <w:proofErr w:type="spellStart"/>
      <w:r w:rsidRPr="00097824">
        <w:rPr>
          <w:i/>
        </w:rPr>
        <w:t>гемцитабин</w:t>
      </w:r>
      <w:proofErr w:type="spellEnd"/>
      <w:r w:rsidR="00C6246D" w:rsidRPr="00097824">
        <w:rPr>
          <w:i/>
        </w:rPr>
        <w:t>**</w:t>
      </w:r>
      <w:r w:rsidRPr="00097824">
        <w:rPr>
          <w:i/>
        </w:rPr>
        <w:t>/</w:t>
      </w:r>
      <w:r w:rsidR="00700A65" w:rsidRPr="00097824">
        <w:rPr>
          <w:rFonts w:ascii="Times" w:hAnsi="Times" w:cs="Times"/>
          <w:i/>
          <w:szCs w:val="32"/>
        </w:rPr>
        <w:t>#</w:t>
      </w:r>
      <w:r w:rsidRPr="00097824">
        <w:rPr>
          <w:i/>
        </w:rPr>
        <w:t>цисплатин</w:t>
      </w:r>
      <w:r w:rsidR="00C6246D" w:rsidRPr="00097824">
        <w:rPr>
          <w:i/>
        </w:rPr>
        <w:t>**</w:t>
      </w:r>
      <w:r w:rsidRPr="00097824">
        <w:rPr>
          <w:i/>
        </w:rPr>
        <w:t xml:space="preserve">, </w:t>
      </w:r>
      <w:r w:rsidR="007E7843" w:rsidRPr="00097824">
        <w:rPr>
          <w:iCs/>
        </w:rPr>
        <w:t>#</w:t>
      </w:r>
      <w:r w:rsidRPr="00097824">
        <w:rPr>
          <w:i/>
        </w:rPr>
        <w:t>гемцитабин</w:t>
      </w:r>
      <w:r w:rsidR="00C6246D" w:rsidRPr="00097824">
        <w:rPr>
          <w:i/>
        </w:rPr>
        <w:t>**</w:t>
      </w:r>
      <w:r w:rsidRPr="00097824">
        <w:rPr>
          <w:i/>
        </w:rPr>
        <w:t>/</w:t>
      </w:r>
      <w:r w:rsidR="006C333E" w:rsidRPr="00097824">
        <w:rPr>
          <w:rFonts w:ascii="Times" w:hAnsi="Times" w:cs="Times"/>
          <w:i/>
          <w:szCs w:val="32"/>
        </w:rPr>
        <w:t>#</w:t>
      </w:r>
      <w:r w:rsidRPr="00097824">
        <w:rPr>
          <w:i/>
        </w:rPr>
        <w:t>капецитабин</w:t>
      </w:r>
      <w:r w:rsidR="006C333E" w:rsidRPr="00097824">
        <w:rPr>
          <w:i/>
        </w:rPr>
        <w:t>**</w:t>
      </w:r>
      <w:r w:rsidRPr="00097824">
        <w:rPr>
          <w:i/>
        </w:rPr>
        <w:t>)</w:t>
      </w:r>
      <w:r w:rsidRPr="00097824">
        <w:rPr>
          <w:i/>
        </w:rPr>
        <w:fldChar w:fldCharType="begin"/>
      </w:r>
      <w:r w:rsidR="00D529A9" w:rsidRPr="00097824">
        <w:rPr>
          <w:i/>
        </w:rPr>
        <w:instrText xml:space="preserve"> ADDIN ZOTERO_ITEM CSL_CITATION {"citationID":"z0a1sv1t","properties":{"formattedCitation":"[19,70,89\\uc0\\u8211{}94]","plainCitation":"[19,70,89–94]","noteIndex":0},"citationItems":[{"id":166643,"uris":["http://zotero.org/groups/4764298/items/6EC6XVJP"],"itemData":{"id":166643,"type":"article-journal","container-title":"Злокачественные опухоли","issue":"3-S2","page":"352–366","source":"Google Scholar","title":"Практические рекомендации по лекарственному лечению билиарного рака","volume":"7","author":[{"family":"Бредер","given":"В. В."},{"family":"Косырев","given":"В. Ю."},{"family":"Ледин","given":"Е. В."}],"issued":{"date-parts":[["2017"]]}},"label":"page"},{"id":166644,"uris":["http://zotero.org/groups/4764298/items/6QHBBU8X"],"itemData":{"id":166644,"type":"article-journal","container-title":"JNCCN Journal of the National Comprehensive Cancer Network","issue":"8","note":"publisher: Cold Spring Publishing LLC","page":"728–750","source":"Google Scholar","title":"Hepatobiliary cancers clinical practice guidelines in oncology","volume":"4","author":[{"family":"Benson","given":"Al B."},{"family":"Bekaii-Saab","given":"Tanios"},{"family":"Ben-Josef","given":"Edgar"},{"family":"Blumgart","given":"Leslie"},{"family":"Clary","given":"Bryan M."},{"family":"Curley","given":"Steven A."},{"family":"Davila","given":"Rene"},{"family":"Earle","given":"Craig C."},{"family":"Ensminger","given":"William D."},{"family":"Gibbs","given":"John F."}],"issued":{"date-parts":[["2006"]]}},"label":"page"},{"id":166653,"uris":["http://zotero.org/groups/4764298/items/TVT8IEX3"],"itemData":{"id":166653,"type":"article-journal","abstract":"Purpose\nThe role of postoperative therapy in extrahepatic cholangiocarcinoma (EHCC) or gallbladder carcinoma (GBCA) is unknown. S0809 was designed to estimate 2-year survival (overall and after R0 or R1 resection), pattern of relapse, and toxicity in patients treated with this adjuvant regimen.\n\nPatients and Methods\nEligibility criteria included diagnosis of EHCC or GBCA after radical resection, stage pT2-4 or N+ or positive resection margins, M0, and performance status 0 to 1. Patients received four cycles of gemcitabine (1,000 mg/m2 intravenously on days 1 and 8) and capecitabine (1,500 mg/m2 per day on days 1 to 14) every 21 days followed by concurrent capecitabine (1,330 mg/m2 per day) and radiotherapy (45 Gy to regional lymphatics; 54 to 59.4 Gy to tumor bed). With 80 evaluable patients, results would be promising if 2-year survival 95% CI were &gt; 45% and R0 and R1 survival estimates were ≥ 65% and 45%, respectively.\n\nResults\nA total of 79 eligible patients (R0, n = 54; R1, n = 25; EHCC, 68%; GBCA, 32%) were treated (86% completed). For all patients, 2-year survival was 65% (95% CI, 53% to 74%); it was 67% and 60% in R0 and R1 patients, respectively. Median overall survival was 35 months (R0, 34 months; R1, 35 months). Local, distant, and combined relapse occurred in 14, 24, and nine patients. Grade 3 and 4 adverse effects were observed in 52% and 11% of patients, respectively. The most common grade 3 to 4 adverse effects were neutropenia (44%), hand-foot syndrome (11%), diarrhea (8%), lymphopenia (8%), and leukopenia (6%). There was one death resulting from GI hemorrhage.\n\nConclusion\nThis combination was well tolerated, has promising efficacy, and provides clinicians with a well-supported regimen. Our trial establishes the feasibility of conducting national adjuvant trials in EHCC and GBCA and provides baseline data for planning future phase III trials.","container-title":"Journal of Clinical Oncology","DOI":"10.1200/JCO.2014.60.2219","ISSN":"0732-183X","issue":"24","journalAbbreviation":"J Clin Oncol","note":"PMID: 25964250\nPMCID: PMC4534524","page":"2617-2622","source":"PubMed Central","title":"SWOG S0809: A Phase II Intergroup Trial of Adjuvant Capecitabine and Gemcitabine Followed by Radiotherapy and Concurrent Capecitabine in Extrahepatic Cholangiocarcinoma and Gallbladder Carcinoma","title-short":"SWOG S0809","volume":"33","author":[{"family":"Ben-Josef","given":"Edgar"},{"family":"Guthrie","given":"Katherine A."},{"family":"El-Khoueiry","given":"Anthony B."},{"family":"Corless","given":"Christopher L."},{"family":"Zalupski","given":"Mark M."},{"family":"Lowy","given":"Andrew M."},{"family":"Thomas","given":"Charles R."},{"family":"Alberts","given":"Steven R."},{"family":"Dawson","given":"Laura A."},{"family":"Micetich","given":"Kenneth C."},{"family":"Thomas","given":"Melanie B."},{"family":"Siegel","given":"Abby B."},{"family":"Blanke","given":"Charles D."}],"issued":{"date-parts":[["2015",8,20]]}},"label":"page"},{"id":166655,"uris":["http://zotero.org/groups/4764298/items/JQYM3EMC"],"itemData":{"id":166655,"type":"article-journal","abstract":"Objectives\nCriteria for the selection of patients for adjuvant chemotherapy in intrahepatic cholangiocarcinoma (IHCC) are lacking. Some authors advocate treating patients with lymph node (LN) involvement; however, nodal assessment is often inadequate or not performed. This study aimed to identify surrogate criteria based on characteristics of the primary tumour.\nMethods\nA total of 58 patients who underwent resection for IHCC between January 2000 and January 2010 at any of three institutions were identified. Primary outcome was overall survival (OS).\nResults\nMedian OS was 23.0months. Median tumour size was 6.5cm and the median number of lesions was one. Overall, 16% of patients had positive margins, 38% had perineural invasion (PNI), 40% had lymphovascular invasion (LVI) and 22% had LN involvement. A median of two LNs were removed and a median of zero were positive. Lymph nodes were not sampled in 34% of patients. Lymphovascular and perineural invasion were associated with reduced OS [9.6months vs. 32.7months (P= 0.020) and 10.7months vs. 32.7months (P= 0.008), respectively]. Lymph node involvement indicated a trend towards reduced OS (10.7months vs. 30.0months; P= 0.063). The presence of either LVI or PNI in node-negative patients was associated with a reduction in OS similar to that in node-positive patients (12.1months vs. 10.7months; P= 0.541). After accounting for adverse tumour factors, only LVI and PNI remained associated with decreased OS on multivariate analysis (hazard ratio4.07, 95% confidence interval 1.60–10.40; P= 0.003).\nConclusions\nLymphovascular and perineural invasion are separately associated with a reduction in OS similar to that in patients with LN-positive disease. As nodal dissection is often not performed and the number of nodes retrieved is frequently inadequate, these tumour-specific factors should be considered as criteria for selection for adjuvant chemotherapy.","container-title":"HPB","DOI":"10.1111/j.1477-2574.2012.00489.x","ISSN":"1365-182X","issue":"8","journalAbbreviation":"HPB","language":"en","page":"514-522","source":"ScienceDirect","title":"Lymphovascular and perineural invasion as selection criteria for adjuvant therapy in intrahepatic cholangiocarcinoma: a multi-institution analysis","title-short":"Lymphovascular and perineural invasion as selection criteria for adjuvant therapy in intrahepatic cholangiocarcinoma","volume":"14","author":[{"family":"Fisher","given":"Sarah B."},{"family":"Patel","given":"Sameer H."},{"family":"Kooby","given":"David A."},{"family":"Weber","given":"Sharon"},{"family":"Bloomston","given":"Mark"},{"family":"Cho","given":"Clifford"},{"family":"Hatzaras","given":"Ioannis"},{"family":"Schmidt","given":"Carl"},{"family":"Winslow","given":"Emily"},{"family":"Staley","given":"Charles A."},{"family":"Maithel","given":"Shishir K."}],"issued":{"date-parts":[["2012",8,1]]}},"label":"page"},{"id":166656,"uris":["http://zotero.org/groups/4764298/items/RQLMMPNW"],"itemData":{"id":166656,"type":"article-journal","abstract":"Introduction\nData on recurrence after operation for intrahepatic cholangiocarcinoma (ICC) are limited. We sought to investigate rates and patterns of recurrence in patients after operative intervention for ICC.\n\nMethods\nWe identified 301 patients who underwent operation for ICC between 1990 and 2011 from an international, multi-institutional database. Clinicopathologic data, recurrence patterns, and recurrence-free survival (RFS) were analyzed.\n\nResults\nDuring the median follow up duration of 31 months (range 1–208), 53.5% developed a recurrence. Median RFS was 20.2 months and 5-year actuarial disease-free survival, 32.1%. The most common site for initial recurrence after operation of ICC was intrahepatic (n = 98; 60.9%), followed by simultaneous intra- and extrahepatic disease (n = 30; 18.6%); 33 (21.0%) patients developed extra-hepatic recurrence only as the first site of recurrence. Macrovascular invasion (hazard ratio [HR], 2.08; 95% confidence interval [CI], 1.34–3.21; P &lt;.001), nodal metastasis (HR, 1.55; 95% CI, 1.01–2.45; P = .04), unknown nodal status (HR, 1.57; 95% CI, 1.10–2.25; P = .04), and tumor size ≥5 cm (HR, 1.84; 95% CI, 1.28–2.65; P &lt;.001) were independently associated with increased risk of recurrence. Patients were assigned a clinical score from 0 to 3 according to the presence of these risk factors. The 5-year RFS for patients with scores of 0, 1, 2, and 3 was 61.8%, 36.2%, 19.5%, and 9.6%, respectively.\n\nConclusion\nRecurrence after operative intervention for ICC was common. Disease recurred both at intra-and extrahepatic sites with roughly the same frequency. Factors such as lymph node metastasis, tumor size, and vascular invasion predict highest risk of recurrence.","container-title":"Surgery","DOI":"10.1016/j.surg.2012.12.005","ISSN":"0039-6060","issue":"6","journalAbbreviation":"Surgery","note":"PMID: 23499016\nPMCID: PMC3980567","page":"811-818","source":"PubMed Central","title":"Recurrence after operative management of intrahepatic cholangiocarcinoma","volume":"153","author":[{"family":"Hyder","given":"Omar"},{"family":"Hatzaras","given":"Ioannis"},{"family":"Sotiropoulos","given":"Georgios C."},{"family":"Paul","given":"Andreas"},{"family":"Alexandrescu","given":"Sorin"},{"family":"Marques","given":"Hugo"},{"family":"Pulitano","given":"Carlo"},{"family":"Barroso","given":"Eduardo"},{"family":"Clary","given":"Bryan M."},{"family":"Aldrighetti","given":"Luca"},{"family":"Ferrone","given":"Cristina R."},{"family":"Zhu","given":"Andrew X."},{"family":"Bauer","given":"Todd W."},{"family":"Walters","given":"Dustin M."},{"family":"Groeschl","given":"Ryan"},{"family":"Gamblin","given":"T. Clark"},{"family":"Marsh","given":"J. Wallis"},{"family":"Nguyen","given":"Kevin T."},{"family":"Turley","given":"Ryan"},{"family":"Popescu","given":"Irinel"},{"family":"Hubert","given":"Catherine"},{"family":"Meyer","given":"Stephanie"},{"family":"Choti","given":"Michael A."},{"family":"Gigot","given":"Jean-Francois"},{"family":"Mentha","given":"Gilles"},{"family":"Pawlik","given":"Timothy M."}],"issued":{"date-parts":[["2013",6]]}},"label":"page"},{"id":166645,"uris":["http://zotero.org/groups/4764298/items/5TX93H7G"],"itemData":{"id":166645,"type":"article-journal","abstract":"The prognosis of patients with cholangiocarcinoma is unsatisfactory. Therefore, evaluation of prognostic factors and establishment of new therapeutic strategies are needed to improve their long-term survival. The aim of this study was to identify useful prognostic factors for patients with intrahepatic, hilar, and distal cholangiocarcinoma.","container-title":"Annals of Surgical Oncology","DOI":"10.1245/s10434-010-1325-4","ISSN":"1534-4681","issue":"3","journalAbbreviation":"Ann Surg Oncol","language":"en","page":"651-658","source":"Springer Link","title":"Prognostic Factors After Surgical Resection for Intrahepatic, Hilar, and Distal Cholangiocarcinoma","volume":"18","author":[{"family":"Murakami","given":"Yoshiaki"},{"family":"Uemura","given":"Kenichiro"},{"family":"Sudo","given":"Takeshi"},{"family":"Hashimoto","given":"Yasushi"},{"family":"Nakashima","given":"Akira"},{"family":"Kondo","given":"Naru"},{"family":"Sakabe","given":"Ryutaro"},{"family":"Ohge","given":"Hiroki"},{"family":"Sueda","given":"Taijiro"}],"issued":{"date-parts":[["2011",3,1]]}},"label":"page"},{"id":166647,"uris":["http://zotero.org/groups/4764298/items/AU7UY8GK"],"itemData":{"id":166647,"type":"article-journal","abstract":"Biliary tract cancer is a rare malignant tumor. There is limited knowledge about biology and natural history of this disease and considerable uncertainty remains regarding its optimal diagnostic and therapeutic management. The role of adjuvant therapy is object of debate and controversy. Although resection is identified as the most effective and the only potentially curative treatment, there is no consensus on the impact of adjuvant chemotherapy and/or radiotherapy on the high incidence of disease recurrence and on survival. This is mainly due to the rarity of this disease and the consequent difficulty in performing randomized trials. The only two prospectively controlled trials concluded that adjuvant chemotherapy did not improve survival. Most of the retrospective trials, which had limited sample size and included heterogeneous patients population and non-standardized therapies, suggested a marginal benefit of chemoradiotherapy in reducing locoregional recurrence and an uncertain impact on survival. Well-designed multi-institutional randomized trials are necessary to clarify the role of adjuvant therapy. Two ongoing phase III trials may provide relevant information.","container-title":"World Journal of Gastroenterology : WJG","DOI":"10.3748/wjg.v18.i21.2591","ISSN":"1007-9327","issue":"21","journalAbbreviation":"World J Gastroenterol","note":"PMID: 22690066\nPMCID: PMC3369994","page":"2591-2596","source":"PubMed Central","title":"Adjuvant treatment in biliary tract cancer: To treat or not to treat?","title-short":"Adjuvant treatment in biliary tract cancer","volume":"18","author":[{"family":"Cereda","given":"Stefano"},{"family":"Belli","given":"Carmen"},{"family":"Reni","given":"Michele"}],"issued":{"date-parts":[["2012",6,7]]}},"label":"page"},{"id":166658,"uris":["http://zotero.org/groups/4764298/items/PUTRKDB9"],"itemData":{"id":166658,"type":"article-journal","container-title":"The American Surgeon","issue":"9","note":"publisher: SAGE PUBLICATIONS, INC.","page":"743","source":"Google Scholar","title":"Cholangiocarcinoma: Advocate an Aggressive Operative Approach with Adjuvant Chemotherapy/DISCUSSION","title-short":"Cholangiocarcinoma","volume":"70","author":[{"family":"Kelley","given":"Scott T."},{"family":"Bloomston","given":"M."},{"family":"Serafini","given":"F."},{"family":"Carey","given":"L. C."}],"issued":{"date-parts":[["2004"]]}},"label":"page"}],"schema":"https://github.com/citation-style-language/schema/raw/master/csl-citation.json"} </w:instrText>
      </w:r>
      <w:r w:rsidRPr="00097824">
        <w:rPr>
          <w:i/>
        </w:rPr>
        <w:fldChar w:fldCharType="separate"/>
      </w:r>
      <w:r w:rsidR="00224050" w:rsidRPr="00097824">
        <w:rPr>
          <w:szCs w:val="24"/>
        </w:rPr>
        <w:t>[93</w:t>
      </w:r>
      <w:r w:rsidR="00D529A9" w:rsidRPr="00097824">
        <w:rPr>
          <w:szCs w:val="24"/>
        </w:rPr>
        <w:t>–94]</w:t>
      </w:r>
      <w:r w:rsidRPr="00097824">
        <w:rPr>
          <w:i/>
        </w:rPr>
        <w:fldChar w:fldCharType="end"/>
      </w:r>
      <w:r w:rsidR="008354E3" w:rsidRPr="00097824">
        <w:rPr>
          <w:i/>
          <w:lang w:val="en-GB"/>
        </w:rPr>
        <w:t>.</w:t>
      </w:r>
    </w:p>
    <w:p w14:paraId="675B6406" w14:textId="3895F5D0" w:rsidR="00275615" w:rsidRPr="00097824" w:rsidRDefault="00275615" w:rsidP="00D843A3">
      <w:pPr>
        <w:pStyle w:val="1"/>
        <w:ind w:left="397" w:firstLine="357"/>
      </w:pPr>
      <w:r w:rsidRPr="00097824">
        <w:t xml:space="preserve">При локальном рецидиве </w:t>
      </w:r>
      <w:r w:rsidRPr="00097824">
        <w:rPr>
          <w:rFonts w:ascii="Times" w:hAnsi="Times" w:cs="Times"/>
          <w:szCs w:val="32"/>
        </w:rPr>
        <w:t xml:space="preserve">рака </w:t>
      </w:r>
      <w:proofErr w:type="spellStart"/>
      <w:r w:rsidRPr="00097824">
        <w:rPr>
          <w:rFonts w:ascii="Times" w:hAnsi="Times" w:cs="Times"/>
          <w:szCs w:val="32"/>
        </w:rPr>
        <w:t>билиарного</w:t>
      </w:r>
      <w:proofErr w:type="spellEnd"/>
      <w:r w:rsidRPr="00097824">
        <w:rPr>
          <w:rFonts w:ascii="Times" w:hAnsi="Times" w:cs="Times"/>
          <w:szCs w:val="32"/>
        </w:rPr>
        <w:t xml:space="preserve"> тракта</w:t>
      </w:r>
      <w:r w:rsidRPr="00097824">
        <w:t xml:space="preserve"> после радикального </w:t>
      </w:r>
      <w:r w:rsidR="00CA4E20" w:rsidRPr="00097824">
        <w:t xml:space="preserve">вмешательства </w:t>
      </w:r>
      <w:r w:rsidRPr="00097824">
        <w:t xml:space="preserve">рекомендуется рассмотреть варианты локального </w:t>
      </w:r>
      <w:r w:rsidR="00CA4E20" w:rsidRPr="00097824">
        <w:t xml:space="preserve">лечения </w:t>
      </w:r>
      <w:r w:rsidR="00401309" w:rsidRPr="00097824">
        <w:t xml:space="preserve">с </w:t>
      </w:r>
      <w:r w:rsidR="0057497C" w:rsidRPr="00097824">
        <w:t xml:space="preserve">целью </w:t>
      </w:r>
      <w:r w:rsidR="00401309" w:rsidRPr="00097824">
        <w:t>увеличения продолжительности жизни</w:t>
      </w:r>
      <w:r w:rsidR="0057497C" w:rsidRPr="00097824">
        <w:t xml:space="preserve"> пациентов </w:t>
      </w:r>
      <w:r w:rsidRPr="00097824">
        <w:t xml:space="preserve">(повторная резекция печени, методы локальной деструкции или </w:t>
      </w:r>
      <w:proofErr w:type="spellStart"/>
      <w:r w:rsidRPr="00097824">
        <w:t>химиоэмболизация</w:t>
      </w:r>
      <w:proofErr w:type="spellEnd"/>
      <w:r w:rsidRPr="00097824">
        <w:t xml:space="preserve"> печеночной артерии при изолированном поражении печени после операции по поводу внутрипеч</w:t>
      </w:r>
      <w:r w:rsidR="0096111F" w:rsidRPr="00097824">
        <w:t>е</w:t>
      </w:r>
      <w:r w:rsidRPr="00097824">
        <w:t xml:space="preserve">ночной </w:t>
      </w:r>
      <w:proofErr w:type="spellStart"/>
      <w:r w:rsidRPr="00097824">
        <w:t>холангиокарциномы</w:t>
      </w:r>
      <w:proofErr w:type="spellEnd"/>
      <w:r w:rsidRPr="00097824">
        <w:t xml:space="preserve">, фотодинамическая терапия или </w:t>
      </w:r>
      <w:proofErr w:type="spellStart"/>
      <w:r w:rsidRPr="00097824">
        <w:t>внутрипротоковая</w:t>
      </w:r>
      <w:proofErr w:type="spellEnd"/>
      <w:r w:rsidR="0096111F" w:rsidRPr="00097824">
        <w:t xml:space="preserve"> ЛТ</w:t>
      </w:r>
      <w:r w:rsidRPr="00097824">
        <w:t xml:space="preserve"> при рецидиве рака внепеченочных желчных протоков)</w:t>
      </w:r>
      <w:r w:rsidR="007F5427" w:rsidRPr="00097824">
        <w:fldChar w:fldCharType="begin"/>
      </w:r>
      <w:r w:rsidR="00D529A9" w:rsidRPr="00097824">
        <w:instrText xml:space="preserve"> ADDIN ZOTERO_ITEM CSL_CITATION {"citationID":"AnectU97","properties":{"formattedCitation":"[73,74,91,95,96]","plainCitation":"[73,74,91,95,96]","noteIndex":0},"citationItems":[{"id":166951,"uris":["http://zotero.org/groups/4764298/items/4IYLP2DV"],"itemData":{"id":166951,"type":"article-journal","abstract":"BACKGROUND: Intrahepatic cholangiocarcinoma (ICC) is a relatively rare malignancy. The aim of this meta-analysis was to evaluate outcomes of repeat liver resection and non-surgical approaches for treatment of recurrent ICC.\nMETHODS: PubMed, Embase, and Web of Science databases were searched from their inception until March 2021 for studies of patients with recurrent ICC. Studies not published in English were excluded. Two meta-analyses were performed: a single-arm meta-analysis of studies reporting pooled short- and long-term outcomes after repeat liver resection for recurrent ICC (meta-analysis A), and a meta-analysis of studies comparing 1-, 3-, and 5-year overall survival (OS) rates after repeat liver resection and non-surgical approaches for recurrent ICC (meta-analysis B).\nRESULTS: Of 543 articles retrieved in the search, 28 were eligible for inclusion. Twenty-four studies (390 patients) were included in meta-analysis A and nine studies (591 patients) in meta-analysis B. After repeat liver resection, 1-, 3-, and 5-year OS rates were 87 (95 per cent c.i. 81 to 91), 58 (48 to 68), and 39 (29 to 50) per cent respectively. The 1-, 3-, and 5-year OS rates were higher after repeat liver resection than without surgery: odds ratio 2.70 (95 per cent c.i. 1.28 to 5.68), 2.89 (1.15 to 7.27), and 5.91 (1.59, 21.90) respectively.\nCONCLUSION: Repeat liver resection is a suitable strategy for recurrent ICC in selected patients. It improves short- and long-term outcomes compared with non-surgical treatments.","container-title":"The British Journal of Surgery","DOI":"10.1093/bjs/znac075","ISSN":"1365-2168","issue":"7","journalAbbreviation":"Br J Surg","language":"eng","note":"PMID: 35482020","page":"580-587","source":"PubMed","title":"Repeat liver resection for recurrent intrahepatic cholangiocarcinoma: meta-analysis","title-short":"Repeat liver resection for recurrent intrahepatic cholangiocarcinoma","volume":"109","author":[{"family":"Ramouz","given":"Ali"},{"family":"Ali-Hasan-Al-Saegh","given":"Sadeq"},{"family":"Shafiei","given":"Saeed"},{"family":"Fakour","given":"Sanam"},{"family":"Khajeh","given":"Elias"},{"family":"Majlesara","given":"Ali"},{"family":"Adeliansedehi","given":"Ali"},{"family":"Probst","given":"Pascal"},{"family":"Springfeld","given":"Christoph"},{"family":"Chang","given":"De-Hua"},{"family":"Rupp","given":"Christian"},{"family":"Carvalho","given":"Carlos"},{"family":"Golriz","given":"Mohammad"},{"family":"Hoffmann","given":"Katrin"},{"family":"Mehrabi","given":"Arianeb"}],"issued":{"date-parts":[["2022",6,14]]}},"label":"page"},{"id":167032,"uris":["http://zotero.org/groups/4764298/items/TQR7MLGK"],"itemData":{"id":167032,"type":"article-journal","abstract":"For recurrent biliary tract cancer, chemotherapy is the standard treatment. However, the efficacy of surgery is unknown. Here, the prognostic benefit of surgery for recurrent biliary tract cancer was investigated.Data of 206 patients who underwent surgery for biliary tract cancer between 2005 and 2015 were retrospectively analyzed. Of these, 107 recurrent patients were divided into two groups, surgery (n = 14) and non-surgery (n = 93) groups. In the latter group, 45 patients received chemotherapy and 48 received best supportive care.Of the total 121 sites of recurrence, the liver was the most common (n = 41), followed by locoregional recurrence (n = 32) and lymph nodes (n = 18). Surgery was performed in the 14 patients with recurrence, comprising nine patients with intrahepatic cholangiocarcinoma, three with perihilar cholangiocarcinoma, one with distal cholangiocarcinoma and one with gallbladder carcinoma. Survival after recurrence was significantly better after surgery than after chemotherapy or best supportive care (38% vs. 5.3% vs. 0% at 3 years and 19% vs. 5.3% vs. 0% at 5 years; P &amp;lt; 0.0001). Multivariate analysis identified the residual status of the primary tumor (hazard ratio = 1.58, 95% confidence interval = 1.00–2.44; P = 0.047), time to recurrence ≥1 year (hazard ratio = 0.62, 95% confidence interval = 0.39–0.97; P = 0.037) and surgery for recurrence (hazard ratio = 0.32, 95% confidence interval = 0.14–0.62; P &amp;lt; 0.001) as independent prognostic factors.Surgery for recurrent biliary tract cancer may prolong survival in patients with time to recurrence ≥1 year.","container-title":"Japanese Journal of Clinical Oncology","DOI":"10.1093/jjco/hyw182","ISSN":"0368-2811","issue":"3","journalAbbreviation":"Japanese Journal of Clinical Oncology","page":"206-212","source":"Silverchair","title":"Survival of surgery for recurrent biliary tract cancer: a single-center experience and systematic review of literature","title-short":"Survival of surgery for recurrent biliary tract cancer","volume":"47","author":[{"family":"Miyazaki","given":"Yoshihiro"},{"family":"Kokudo","given":"Takashi"},{"family":"Amikura","given":"Katsumi"},{"family":"Kageyama","given":"Yumiko"},{"family":"Takahashi","given":"Amane"},{"family":"Ohkohchi","given":"Nobuhiro"},{"family":"Sakamoto","given":"Hirohiko"}],"issued":{"date-parts":[["2017",3,1]]}},"label":"page"},{"id":166655,"uris":["http://zotero.org/groups/4764298/items/JQYM3EMC"],"itemData":{"id":166655,"type":"article-journal","abstract":"Objectives\nCriteria for the selection of patients for adjuvant chemotherapy in intrahepatic cholangiocarcinoma (IHCC) are lacking. Some authors advocate treating patients with lymph node (LN) involvement; however, nodal assessment is often inadequate or not performed. This study aimed to identify surrogate criteria based on characteristics of the primary tumour.\nMethods\nA total of 58 patients who underwent resection for IHCC between January 2000 and January 2010 at any of three institutions were identified. Primary outcome was overall survival (OS).\nResults\nMedian OS was 23.0months. Median tumour size was 6.5cm and the median number of lesions was one. Overall, 16% of patients had positive margins, 38% had perineural invasion (PNI), 40% had lymphovascular invasion (LVI) and 22% had LN involvement. A median of two LNs were removed and a median of zero were positive. Lymph nodes were not sampled in 34% of patients. Lymphovascular and perineural invasion were associated with reduced OS [9.6months vs. 32.7months (P= 0.020) and 10.7months vs. 32.7months (P= 0.008), respectively]. Lymph node involvement indicated a trend towards reduced OS (10.7months vs. 30.0months; P= 0.063). The presence of either LVI or PNI in node-negative patients was associated with a reduction in OS similar to that in node-positive patients (12.1months vs. 10.7months; P= 0.541). After accounting for adverse tumour factors, only LVI and PNI remained associated with decreased OS on multivariate analysis (hazard ratio4.07, 95% confidence interval 1.60–10.40; P= 0.003).\nConclusions\nLymphovascular and perineural invasion are separately associated with a reduction in OS similar to that in patients with LN-positive disease. As nodal dissection is often not performed and the number of nodes retrieved is frequently inadequate, these tumour-specific factors should be considered as criteria for selection for adjuvant chemotherapy.","container-title":"HPB","DOI":"10.1111/j.1477-2574.2012.00489.x","ISSN":"1365-182X","issue":"8","journalAbbreviation":"HPB","language":"en","page":"514-522","source":"ScienceDirect","title":"Lymphovascular and perineural invasion as selection criteria for adjuvant therapy in intrahepatic cholangiocarcinoma: a multi-institution analysis","title-short":"Lymphovascular and perineural invasion as selection criteria for adjuvant therapy in intrahepatic cholangiocarcinoma","volume":"14","author":[{"family":"Fisher","given":"Sarah B."},{"family":"Patel","given":"Sameer H."},{"family":"Kooby","given":"David A."},{"family":"Weber","given":"Sharon"},{"family":"Bloomston","given":"Mark"},{"family":"Cho","given":"Clifford"},{"family":"Hatzaras","given":"Ioannis"},{"family":"Schmidt","given":"Carl"},{"family":"Winslow","given":"Emily"},{"family":"Staley","given":"Charles A."},{"family":"Maithel","given":"Shishir K."}],"issued":{"date-parts":[["2012",8,1]]}},"label":"page"},{"id":167037,"uris":["http://zotero.org/groups/4764298/items/KIEUNA2J"],"itemData":{"id":167037,"type":"article-journal","abstract":"Purpose\nMore than half of patients with bile duct cancer (BDC) develop recurrence even after curative resection. Recurrent BDC has a poor prognosis, and no optimal treatment modality has been established. We therefore analyzed our experience on the survival outcomes of radiation therapy (RT) for recurrent extrahepatic bile duct cancer (EHBDC).\n\nPatients and methods\nWe retrospectively analyzed the records of patients with recurrent EHBDC who underwent concurrent chemoradiation therapy (CCRT) or RT alone at our institution between January 2001 and June 2015. Freedom from locoregional progression (FFLP), progression-free survival (PFS), and overall survival (OS) were assessed, and univariate and multivariate analyses were performed to identify the prognostic factors.\n\nResults\nA total of 76 patients were included in the analysis. The median OS was 16 months and the rates of 2-year FFLP, PFS, and OS were 61%, 25%, and 33%, respectively. Among the evaluable patients, the first site of failure was the locoregional area in 16 patients, distant metastasis in 27, and both sites in 8. On univariate analysis, disease-free interval (p = 0.012) and concurrent chemotherapy (p = 0.040) were found as significant prognostic factors for OS. One patient with CCRT developed a grade 3 hematologic toxicity, and two patients experienced late grade 3 toxicities including duodenal ulcer bleeding and obstruction.\n\nConclusions\nRT for recurrent EHBDC showed favorable survival and local control with limited treatment-related toxicities. Considering that the most common pattern of failure was distant metastasis, further studies on the optimal scheme of chemotherapy and RT are warranted.","container-title":"PLoS ONE","DOI":"10.1371/journal.pone.0253285","ISSN":"1932-6203","issue":"6","journalAbbreviation":"PLoS One","note":"PMID: 34133471\nPMCID: PMC8208553","page":"e0253285","source":"PubMed Central","title":"Radiation therapy for recurrent extrahepatic bile duct cancer","volume":"16","author":[{"family":"Koh","given":"Minji"},{"family":"Park","given":"Jin-hong"},{"family":"Yoo","given":"Changhoon"},{"family":"Yoon","given":"Sang Min"},{"family":"Jung","given":"Jinhong"},{"family":"Ryoo","given":"Baek-Yeol"},{"family":"Chang","given":"Heung-Moon"},{"family":"Kim","given":"Kyu-pyo"},{"family":"Jeong","given":"Jae Ho"},{"family":"Kim","given":"Jong Hoon"}],"issued":{"date-parts":[["2021",6,16]]}},"label":"page"},{"id":167039,"uris":["http://zotero.org/groups/4764298/items/B85JKSAW"],"itemData":{"id":167039,"type":"article-journal","abstract":"Biliary tract cancers (BTC) are a disease entity comprising diverse epithelial tumors, which are categorized according to their anatomical location as intrahepatic (iCCA), perihilar (pCCA), distal (dCCA) cholangiocarcinomas, and gallbladder carcinomas (GBC), with distinct epidemiology, biology, and prognosis. Complete surgical resection is the mainstay in operable BTC as it is the only potentially curative treatment option. Nevertheless, even after curative (R0) resection, the 5-year survival rate ranges between 20 and 40% and the disease free survival rates (DFS) is approximately 48–65% after one year and 23–35% after three years without adjuvant treatment. Improvements in adjuvant chemotherapy have improved the DFS, but the role of adjuvant radiotherapy is unclear. On the other hand, more than 50% of the patients present with unresectable disease at the time of diagnosis, which limits the prognosis to a few months without treatment. Herein, we review the role of radiotherapy in the treatment of cholangiocarcinoma in the curative and palliative setting.","container-title":"Frontiers in Oncology","ISSN":"2234-943X","source":"Frontiers","title":"The Evolving Role of Radiation Therapy in the Treatment of Biliary Tract Cancer","URL":"https://www.frontiersin.org/articles/10.3389/fonc.2020.604387","volume":"10","author":[{"family":"Gkika","given":"Eleni"},{"family":"Hawkins","given":"Maria A."},{"family":"Grosu","given":"Anca-Ligia"},{"family":"Brunner","given":"Thomas B."}],"accessed":{"date-parts":[["2022",9,3]]},"issued":{"date-parts":[["2020"]]}},"label":"page"}],"schema":"https://github.com/citation-style-language/schema/raw/master/csl-citation.json"} </w:instrText>
      </w:r>
      <w:r w:rsidR="007F5427" w:rsidRPr="00097824">
        <w:fldChar w:fldCharType="separate"/>
      </w:r>
      <w:r w:rsidR="00D529A9" w:rsidRPr="00097824">
        <w:t>[73,74,91,95,96]</w:t>
      </w:r>
      <w:r w:rsidR="007F5427" w:rsidRPr="00097824">
        <w:fldChar w:fldCharType="end"/>
      </w:r>
      <w:r w:rsidR="003211B3" w:rsidRPr="00097824">
        <w:rPr>
          <w:lang w:val="en-GB"/>
        </w:rPr>
        <w:t>.</w:t>
      </w:r>
    </w:p>
    <w:p w14:paraId="381918BD" w14:textId="4BAF2143" w:rsidR="00DB05ED" w:rsidRPr="00097824" w:rsidRDefault="007F5427" w:rsidP="00D843A3">
      <w:pPr>
        <w:pStyle w:val="32"/>
        <w:spacing w:after="240"/>
        <w:ind w:firstLine="0"/>
        <w:rPr>
          <w:color w:val="auto"/>
        </w:rPr>
      </w:pPr>
      <w:r w:rsidRPr="00097824">
        <w:rPr>
          <w:color w:val="auto"/>
        </w:rPr>
        <w:t xml:space="preserve">Уровень убедительности рекомендаций – </w:t>
      </w:r>
      <w:r w:rsidRPr="00097824">
        <w:rPr>
          <w:color w:val="auto"/>
          <w:lang w:val="en-GB"/>
        </w:rPr>
        <w:t>B</w:t>
      </w:r>
      <w:r w:rsidR="003F4EEB" w:rsidRPr="00097824">
        <w:rPr>
          <w:color w:val="auto"/>
        </w:rPr>
        <w:t xml:space="preserve"> </w:t>
      </w:r>
      <w:r w:rsidRPr="00097824">
        <w:rPr>
          <w:color w:val="auto"/>
        </w:rPr>
        <w:t xml:space="preserve">(уровень достоверности доказательств – </w:t>
      </w:r>
      <w:r w:rsidR="001D6506" w:rsidRPr="00097824">
        <w:rPr>
          <w:color w:val="auto"/>
        </w:rPr>
        <w:t>2)</w:t>
      </w:r>
    </w:p>
    <w:p w14:paraId="35D6ED57" w14:textId="40B2190D" w:rsidR="00275615" w:rsidRPr="00097824" w:rsidRDefault="00275615" w:rsidP="00AD4A9F">
      <w:pPr>
        <w:pStyle w:val="1"/>
        <w:spacing w:before="0"/>
        <w:ind w:left="397" w:firstLine="357"/>
        <w:rPr>
          <w:shd w:val="clear" w:color="auto" w:fill="FFFFFF"/>
        </w:rPr>
      </w:pPr>
      <w:r w:rsidRPr="00097824">
        <w:lastRenderedPageBreak/>
        <w:t xml:space="preserve">При </w:t>
      </w:r>
      <w:r w:rsidR="003F4EEB" w:rsidRPr="00097824">
        <w:t>неоперабельной локализованной внутрипеченочной</w:t>
      </w:r>
      <w:r w:rsidRPr="00097824">
        <w:t xml:space="preserve"> Х</w:t>
      </w:r>
      <w:r w:rsidR="003F4EEB" w:rsidRPr="00097824">
        <w:t>К</w:t>
      </w:r>
      <w:r w:rsidRPr="00097824">
        <w:t xml:space="preserve"> (</w:t>
      </w:r>
      <w:r w:rsidR="00CF73CB" w:rsidRPr="00097824">
        <w:t>с</w:t>
      </w:r>
      <w:r w:rsidRPr="00097824">
        <w:t xml:space="preserve">тадии </w:t>
      </w:r>
      <w:r w:rsidRPr="00097824">
        <w:rPr>
          <w:lang w:val="en-US"/>
        </w:rPr>
        <w:t>IIIa</w:t>
      </w:r>
      <w:r w:rsidR="00CF73CB" w:rsidRPr="00097824">
        <w:t>–</w:t>
      </w:r>
      <w:proofErr w:type="spellStart"/>
      <w:r w:rsidRPr="00097824">
        <w:rPr>
          <w:lang w:val="en-US"/>
        </w:rPr>
        <w:t>IVa</w:t>
      </w:r>
      <w:proofErr w:type="spellEnd"/>
      <w:r w:rsidRPr="00097824">
        <w:t xml:space="preserve">, </w:t>
      </w:r>
      <w:r w:rsidRPr="00097824">
        <w:rPr>
          <w:lang w:val="en-US"/>
        </w:rPr>
        <w:t>T</w:t>
      </w:r>
      <w:r w:rsidRPr="00097824">
        <w:rPr>
          <w:vertAlign w:val="subscript"/>
        </w:rPr>
        <w:t>3</w:t>
      </w:r>
      <w:r w:rsidR="00CF73CB" w:rsidRPr="00097824">
        <w:rPr>
          <w:vertAlign w:val="subscript"/>
        </w:rPr>
        <w:t>–</w:t>
      </w:r>
      <w:r w:rsidRPr="00097824">
        <w:rPr>
          <w:vertAlign w:val="subscript"/>
        </w:rPr>
        <w:t>4</w:t>
      </w:r>
      <w:r w:rsidRPr="00097824">
        <w:rPr>
          <w:lang w:val="en-US"/>
        </w:rPr>
        <w:t>N</w:t>
      </w:r>
      <w:r w:rsidRPr="00097824">
        <w:rPr>
          <w:vertAlign w:val="subscript"/>
        </w:rPr>
        <w:t>0</w:t>
      </w:r>
      <w:r w:rsidR="00CF73CB" w:rsidRPr="00097824">
        <w:rPr>
          <w:vertAlign w:val="subscript"/>
        </w:rPr>
        <w:t>–</w:t>
      </w:r>
      <w:r w:rsidRPr="00097824">
        <w:rPr>
          <w:vertAlign w:val="subscript"/>
        </w:rPr>
        <w:t>1</w:t>
      </w:r>
      <w:r w:rsidRPr="00097824">
        <w:rPr>
          <w:lang w:val="en-US"/>
        </w:rPr>
        <w:t>M</w:t>
      </w:r>
      <w:r w:rsidRPr="00097824">
        <w:rPr>
          <w:vertAlign w:val="subscript"/>
        </w:rPr>
        <w:t>0</w:t>
      </w:r>
      <w:r w:rsidRPr="00097824">
        <w:t>)</w:t>
      </w:r>
      <w:r w:rsidR="003F4EEB" w:rsidRPr="00097824">
        <w:t xml:space="preserve"> </w:t>
      </w:r>
      <w:r w:rsidR="00B33663" w:rsidRPr="00097824">
        <w:t xml:space="preserve">у взрослых </w:t>
      </w:r>
      <w:r w:rsidRPr="00097824">
        <w:t>рекомендуется рассмотреть применение локо-регионарных методов лечения (</w:t>
      </w:r>
      <w:r w:rsidR="00A8639F" w:rsidRPr="00097824">
        <w:t>локальная деструкция</w:t>
      </w:r>
      <w:r w:rsidR="00BD4939" w:rsidRPr="00097824">
        <w:t xml:space="preserve">  (</w:t>
      </w:r>
      <w:r w:rsidR="00A8639F" w:rsidRPr="00097824">
        <w:t xml:space="preserve">МВА, </w:t>
      </w:r>
      <w:proofErr w:type="spellStart"/>
      <w:r w:rsidR="00A8639F" w:rsidRPr="00097824">
        <w:t>криоабляция</w:t>
      </w:r>
      <w:proofErr w:type="spellEnd"/>
      <w:r w:rsidR="00A8639F" w:rsidRPr="00097824">
        <w:t xml:space="preserve">), </w:t>
      </w:r>
      <w:proofErr w:type="spellStart"/>
      <w:r w:rsidR="00A8639F" w:rsidRPr="00097824">
        <w:t>трансартери</w:t>
      </w:r>
      <w:r w:rsidR="00BD4939" w:rsidRPr="00097824">
        <w:t>альная</w:t>
      </w:r>
      <w:proofErr w:type="spellEnd"/>
      <w:r w:rsidR="00BD4939" w:rsidRPr="00097824">
        <w:t xml:space="preserve"> </w:t>
      </w:r>
      <w:proofErr w:type="spellStart"/>
      <w:r w:rsidR="00BD4939" w:rsidRPr="00097824">
        <w:t>химиоэмболизация</w:t>
      </w:r>
      <w:proofErr w:type="spellEnd"/>
      <w:r w:rsidR="00BD4939" w:rsidRPr="00097824">
        <w:t xml:space="preserve"> (ТАХЭ)</w:t>
      </w:r>
      <w:r w:rsidR="00A8639F" w:rsidRPr="00097824">
        <w:t xml:space="preserve">, селективная внутрипеченочная артериальная химиотерапия, стереотаксическая лучевая терапия с использованием 3–5-дневного режима фракционирования дозы до СОД 30–50 Гр) могут применяться у отдельных пациентов при исчерпанности возможностей других основных видов лечения и не рекомендуются к рутинному применению </w:t>
      </w:r>
      <w:r w:rsidR="007F5427" w:rsidRPr="00097824">
        <w:rPr>
          <w:lang w:val="en-GB"/>
        </w:rPr>
        <w:fldChar w:fldCharType="begin"/>
      </w:r>
      <w:r w:rsidR="007F5427" w:rsidRPr="00097824">
        <w:instrText xml:space="preserve"> ADDIN ZOTERO_ITEM CSL_CITATION {"citationID":"Fh3rFNdV","properties":{"formattedCitation":"[97\\uc0\\u8211{}103]","plainCitation":"[97–103]","noteIndex":0},"citationItems":[{"id":166659,"uris":["http://zotero.org/groups/4764298/items/MQ7PRIHB"],"itemData":{"id":166659,"type":"article-journal","container-title":"Clinical Oncology","issue":"3","note":"publisher: Elsevier","page":"241–246","source":"Google Scholar","title":"Hepatic arterial infusion of mitomycin C with degradable starch microspheres for unresectable intrahepatic cholangiocarcinoma","volume":"20","author":[{"family":"Shitara","given":"K."},{"family":"Ikami","given":"I."},{"family":"Munakata","given":"M."},{"family":"Muto","given":"O."},{"family":"Sakata","given":"Y."}],"issued":{"date-parts":[["2008"]]}},"label":"page"},{"id":166660,"uris":["http://zotero.org/groups/4764298/items/EIZBWPIQ"],"itemData":{"id":166660,"type":"article-journal","container-title":"American journal of clinical oncology","issue":"1","note":"publisher: LWW","page":"58–62","source":"Google Scholar","title":"Phase I/II study of hepatic arterial infusion chemotherapy with gemcitabine in patients with unresectable intrahepatic cholangiocarcinoma (JIVROSG-0301)","volume":"34","author":[{"family":"Inaba","given":"Yoshitaka"},{"family":"Arai","given":"Yasuaki"},{"family":"Yamaura","given":"Hidekazu"},{"family":"Sato","given":"Yozo"},{"family":"Najima","given":"Mina"},{"family":"Aramaki","given":"Takeshi"},{"family":"Sone","given":"Miyuki"},{"family":"Kumada","given":"Takashi"},{"family":"Tanigawa","given":"Noboru"},{"family":"Anai","given":"Hiroshi"}],"issued":{"date-parts":[["2011"]]}},"label":"page"},{"id":166661,"uris":["http://zotero.org/groups/4764298/items/UEZVZ7NP"],"itemData":{"id":166661,"type":"article-journal","container-title":"Oncology","issue":"3-4","note":"publisher: Karger Publishers","page":"153–159","source":"Google Scholar","title":"Treating primary liver cancer with hepatic arterial infusion of floxuridine and dexamethasone: does the addition of systemic bevacizumab improve results","title-short":"Treating primary liver cancer with hepatic arterial infusion of floxuridine and dexamethasone","volume":"80","author":[{"family":"Kemeny","given":"Nancy E."},{"family":"Schwartz","given":"Lawrence"},{"family":"Gönen","given":"Mithat"},{"family":"Yopp","given":"Adam"},{"family":"Gultekin","given":"David"},{"family":"D’Angelica","given":"Michael I."},{"family":"Fong","given":"Yuman"},{"family":"Haviland","given":"Dana"},{"family":"Gewirtz","given":"Alexandra N."},{"family":"Allen","given":"Peter"}],"issued":{"date-parts":[["2011"]]}},"label":"page"},{"id":166662,"uris":["http://zotero.org/groups/4764298/items/DCR2HDMA"],"itemData":{"id":166662,"type":"article-journal","container-title":"Journal of surgical oncology","issue":"2","note":"publisher: Wiley Online Library","page":"213–220","source":"Google Scholar","title":"Comparative effectiveness of hepatic artery based therapies for unresectable intrahepatic cholangiocarcinoma","volume":"111","author":[{"family":"Boehm","given":"Lucas M."},{"family":"Jayakrishnan","given":"Thejus T."},{"family":"Miura","given":"John T."},{"family":"Zacharias","given":"Anthony J."},{"family":"Johnston","given":"Fabian M."},{"family":"Turaga","given":"Kiran K."},{"family":"Gamblin","given":"T. Clark"}],"issued":{"date-parts":[["2015"]]}},"label":"page"},{"id":166666,"uris":["http://zotero.org/groups/4764298/items/2UZKW7BY"],"itemData":{"id":166666,"type":"article-journal","container-title":"Oncotarget","issue":"20","note":"publisher: Impact Journals, LLC","page":"2075","source":"Google Scholar","title":"Safety and initial efficacy of ablative radioembolization for the treatment of unresectable intrahepatic cholangiocarcinoma","volume":"12","author":[{"family":"Paz-Fumagalli","given":"Ricardo"},{"family":"Core","given":"Jacob"},{"family":"Padula","given":"Carlos"},{"family":"Montazeri","given":"Seyed"},{"family":"McKinney","given":"John"},{"family":"Frey","given":"Gregory"},{"family":"Devcic","given":"Zlatko"},{"family":"Lewis","given":"Andrew"},{"family":"Ritchie","given":"Charles"},{"family":"Mody","given":"Kabir"}],"issued":{"date-parts":[["2021"]]}},"label":"page"},{"id":166667,"uris":["http://zotero.org/groups/4764298/items/X2T3UXJP"],"itemData":{"id":166667,"type":"article-journal","abstract":"Patients with unresectable intrahepatic cholangiocarcinoma (ICC) have a poor prognosis. Selective internal radiotherapy (SIRT) is a promising treatment option for hepatic tumors, but no prospective studies of combination SIRT with chemotherapy have been published to our knowledge.To determine the response rate after SIRT combined with chemotherapy in patients with unresectable ICC.This phase 2 clinical trial, the Yttrium-90 Microspheres in Cholangiocarcinoma (MISPHEC) trial, included patients with unresectable ICC who have never received chemotherapy or intra-arterial therapy and were treated at 7 centers which had experience with SIRT between November 12, 2013, and June 21, 2016. Statistical analysis was performed from March 31, 2017, to June 17, 2019.Concomitant first-line chemotherapy with cisplatin, 25 mg/m2, and gemcitabine, 1000 mg/m2 (gemcitabine reduced to 300 mg/m2 for the cycles just before and after SIRT), on days 1 and 8 of a 21-day cycle for 8 cycles. Selective internal radiotherapy was administered during cycle 1 (1 hemiliver disease) or cycles 1 and 3 (disease involving both hemilivers) using glass Y90 microspheres.Response rate at 3 months according to Response Evaluation Criteria in Solid Tumors (RECIST) 1.1. Secondary end points were toxic effects, progression-free survival, overall survival, disease control rate, and response rate according to Choi criteria.Of 41 patients included in the study, 26 (63%) were male, with a mean (SD) age of 64.0 (10.7) years. Response rate according to RECIST was 39% (90% CI, 26%-53%) at 3 months according to local review and was confirmed at 41% as best response by central review; disease control rate was 98%. According to Choi criteria, the response rate was 93%. After a median follow-up of 36 months (95% CI, 26-52 months), median progression-free survival was 14 months (95% CI, 8-17 months), with progression-free survival rates of 55% at 12 months and 30% at 24 months. Median overall survival was 22 months (95% CI, 14-52 months), with overall survival rates of 75% at 12 months and 45% at 24 months. Of 41 patients, 29 (71%) had grades 3 to 4 toxic effects; 9 patients (22%) could be downstaged to surgical intervention, with 8 (20%) achieving R0 (microscopic-free margins) surgical resection. After a median of 46 months (95% CI, 31 months to not reached) after surgery, median relapse-free survival was not reached among patients who underwent resection.Combination chemotherapy and SIRT had antitumor activity as first-line treatment of unresectable ICC, and a significant proportion of patients were downstaged to surgical intervention. A phase 3 trial is ongoing.","container-title":"JAMA Oncology","DOI":"10.1001/jamaoncol.2019.3702","ISSN":"2374-2437","issue":"1","journalAbbreviation":"JAMA Oncology","page":"51-59","source":"Silverchair","title":"Radioembolization Plus Chemotherapy for First-line Treatment of Locally Advanced Intrahepatic Cholangiocarcinoma: A Phase 2 Clinical Trial","title-short":"Radioembolization Plus Chemotherapy for First-line Treatment of Locally Advanced Intrahepatic Cholangiocarcinoma","volume":"6","author":[{"family":"Edeline","given":"Julien"},{"family":"Touchefeu","given":"Yann"},{"family":"Guiu","given":"Boris"},{"family":"Farge","given":"Olivier"},{"family":"Tougeron","given":"David"},{"family":"Baumgaertner","given":"Isabelle"},{"family":"Ayav","given":"Ahmet"},{"family":"Campillo-Gimenez","given":"Boris"},{"family":"Beuzit","given":"Luc"},{"family":"Pracht","given":"Marc"},{"family":"Lièvre","given":"Astrid"},{"family":"Le Sourd","given":"Samuel"},{"family":"Boudjema","given":"Karim"},{"family":"Rolland","given":"Yan"},{"family":"Boucher","given":"Eveline"},{"family":"Garin","given":"Etienne"}],"issued":{"date-parts":[["2020",1,1]]}},"label":"page"},{"id":166668,"uris":["http://zotero.org/groups/4764298/items/ZR4D8EEJ"],"itemData":{"id":166668,"type":"article-journal","container-title":"Cancer","issue":"8","note":"publisher: Wiley Online Library","page":"2119–2128","source":"Google Scholar","title":"Treatment of unresectable cholangiocarcinoma using yttrium-90 microspheres: results from a pilot study","title-short":"Treatment of unresectable cholangiocarcinoma using yttrium-90 microspheres","volume":"113","author":[{"family":"Ibrahim","given":"Saad M."},{"family":"Mulcahy","given":"Mary F."},{"family":"Lewandowski","given":"Robert J."},{"family":"Sato","given":"Kent T."},{"family":"Ryu","given":"Robert K."},{"family":"Masterson","given":"Elizabeth J."},{"family":"Newman","given":"Steven B."},{"family":"Benson III","given":"Al"},{"family":"Omary","given":"Reed A."},{"family":"Salem","given":"Riad"}],"issued":{"date-parts":[["2008"]]}},"label":"page"}],"schema":"https://github.com/citation-style-language/schema/raw/master/csl-citation.json"} </w:instrText>
      </w:r>
      <w:r w:rsidR="007F5427" w:rsidRPr="00097824">
        <w:rPr>
          <w:lang w:val="en-GB"/>
        </w:rPr>
        <w:fldChar w:fldCharType="separate"/>
      </w:r>
      <w:r w:rsidR="00D529A9" w:rsidRPr="00097824">
        <w:rPr>
          <w:szCs w:val="24"/>
        </w:rPr>
        <w:t>[97–103]</w:t>
      </w:r>
      <w:r w:rsidR="007F5427" w:rsidRPr="00097824">
        <w:rPr>
          <w:lang w:val="en-GB"/>
        </w:rPr>
        <w:fldChar w:fldCharType="end"/>
      </w:r>
      <w:r w:rsidRPr="00097824">
        <w:t xml:space="preserve">. </w:t>
      </w:r>
    </w:p>
    <w:p w14:paraId="115C04EA" w14:textId="23E945B3" w:rsidR="00DB05ED" w:rsidRPr="00097824" w:rsidRDefault="007F5427" w:rsidP="00DB2B07">
      <w:pPr>
        <w:pStyle w:val="32"/>
        <w:ind w:firstLine="0"/>
        <w:rPr>
          <w:color w:val="auto"/>
        </w:rPr>
      </w:pPr>
      <w:r w:rsidRPr="00097824">
        <w:rPr>
          <w:color w:val="auto"/>
        </w:rPr>
        <w:t>Уровень убедительности рекомендаций –</w:t>
      </w:r>
      <w:r w:rsidR="00906C76" w:rsidRPr="00097824">
        <w:rPr>
          <w:color w:val="auto"/>
        </w:rPr>
        <w:t xml:space="preserve"> </w:t>
      </w:r>
      <w:r w:rsidR="003F4EEB" w:rsidRPr="00097824">
        <w:rPr>
          <w:color w:val="auto"/>
        </w:rPr>
        <w:t>С</w:t>
      </w:r>
      <w:r w:rsidR="00906C76" w:rsidRPr="00097824">
        <w:rPr>
          <w:color w:val="auto"/>
        </w:rPr>
        <w:t xml:space="preserve"> </w:t>
      </w:r>
      <w:r w:rsidRPr="00097824">
        <w:rPr>
          <w:color w:val="auto"/>
        </w:rPr>
        <w:t xml:space="preserve">(уровень достоверности доказательств </w:t>
      </w:r>
      <w:r w:rsidR="003F4EEB" w:rsidRPr="00097824">
        <w:rPr>
          <w:color w:val="auto"/>
        </w:rPr>
        <w:t>4</w:t>
      </w:r>
      <w:r w:rsidRPr="00097824">
        <w:rPr>
          <w:color w:val="auto"/>
        </w:rPr>
        <w:t>).</w:t>
      </w:r>
    </w:p>
    <w:p w14:paraId="1235447A" w14:textId="1CDCE128" w:rsidR="00275615" w:rsidRPr="00097824" w:rsidRDefault="00275615" w:rsidP="00DB2B07">
      <w:pPr>
        <w:spacing w:after="240"/>
        <w:ind w:left="397" w:firstLine="357"/>
        <w:contextualSpacing/>
        <w:rPr>
          <w:i/>
        </w:rPr>
      </w:pPr>
      <w:r w:rsidRPr="00097824">
        <w:rPr>
          <w:b/>
          <w:shd w:val="clear" w:color="auto" w:fill="FFFFFF"/>
        </w:rPr>
        <w:t>Комментарий:</w:t>
      </w:r>
      <w:r w:rsidR="003F4EEB" w:rsidRPr="00097824">
        <w:rPr>
          <w:b/>
          <w:shd w:val="clear" w:color="auto" w:fill="FFFFFF"/>
        </w:rPr>
        <w:t xml:space="preserve"> </w:t>
      </w:r>
      <w:r w:rsidR="007F5427" w:rsidRPr="00097824">
        <w:rPr>
          <w:bCs/>
          <w:i/>
          <w:sz w:val="23"/>
          <w:szCs w:val="23"/>
          <w:shd w:val="clear" w:color="auto" w:fill="FFFFFF"/>
        </w:rPr>
        <w:t>при</w:t>
      </w:r>
      <w:r w:rsidR="007F5427" w:rsidRPr="00097824">
        <w:rPr>
          <w:b/>
          <w:i/>
          <w:sz w:val="23"/>
          <w:szCs w:val="23"/>
          <w:shd w:val="clear" w:color="auto" w:fill="FFFFFF"/>
        </w:rPr>
        <w:t> </w:t>
      </w:r>
      <w:r w:rsidR="007F5427" w:rsidRPr="00097824">
        <w:rPr>
          <w:rStyle w:val="affd"/>
          <w:b w:val="0"/>
          <w:i/>
          <w:shd w:val="clear" w:color="auto" w:fill="FFFFFF"/>
          <w:lang w:val="en-US"/>
        </w:rPr>
        <w:t>T</w:t>
      </w:r>
      <w:r w:rsidR="007F5427" w:rsidRPr="00097824">
        <w:rPr>
          <w:rStyle w:val="affd"/>
          <w:b w:val="0"/>
          <w:i/>
          <w:shd w:val="clear" w:color="auto" w:fill="FFFFFF"/>
          <w:vertAlign w:val="subscript"/>
        </w:rPr>
        <w:t xml:space="preserve">3–4 </w:t>
      </w:r>
      <w:r w:rsidR="007F5427" w:rsidRPr="00097824">
        <w:rPr>
          <w:rStyle w:val="affd"/>
          <w:b w:val="0"/>
          <w:i/>
          <w:shd w:val="clear" w:color="auto" w:fill="FFFFFF"/>
        </w:rPr>
        <w:t>РЧА не показана.</w:t>
      </w:r>
    </w:p>
    <w:p w14:paraId="2090AA07" w14:textId="2EE7D215" w:rsidR="00275615" w:rsidRPr="00097824" w:rsidRDefault="007F5427" w:rsidP="00AD4A9F">
      <w:pPr>
        <w:pStyle w:val="1"/>
        <w:spacing w:before="0"/>
        <w:ind w:left="397" w:firstLine="357"/>
      </w:pPr>
      <w:r w:rsidRPr="00097824">
        <w:t>При локали</w:t>
      </w:r>
      <w:r w:rsidR="00784873" w:rsidRPr="00097824">
        <w:t xml:space="preserve">зованном </w:t>
      </w:r>
      <w:proofErr w:type="spellStart"/>
      <w:r w:rsidR="00784873" w:rsidRPr="00097824">
        <w:t>внутрипротоковом</w:t>
      </w:r>
      <w:proofErr w:type="spellEnd"/>
      <w:r w:rsidR="00784873" w:rsidRPr="00097824">
        <w:t xml:space="preserve"> и </w:t>
      </w:r>
      <w:proofErr w:type="spellStart"/>
      <w:r w:rsidR="00784873" w:rsidRPr="00097824">
        <w:t>пери</w:t>
      </w:r>
      <w:r w:rsidRPr="00097824">
        <w:t>дуктально</w:t>
      </w:r>
      <w:proofErr w:type="spellEnd"/>
      <w:r w:rsidRPr="00097824">
        <w:t xml:space="preserve">-инфильтративном поражении желчных протоков (стадии </w:t>
      </w:r>
      <w:r w:rsidRPr="00097824">
        <w:rPr>
          <w:lang w:val="en-US"/>
        </w:rPr>
        <w:t>IIIa</w:t>
      </w:r>
      <w:r w:rsidRPr="00097824">
        <w:t>–</w:t>
      </w:r>
      <w:proofErr w:type="spellStart"/>
      <w:r w:rsidRPr="00097824">
        <w:rPr>
          <w:lang w:val="en-US"/>
        </w:rPr>
        <w:t>IVa</w:t>
      </w:r>
      <w:proofErr w:type="spellEnd"/>
      <w:r w:rsidRPr="00097824">
        <w:t xml:space="preserve">, </w:t>
      </w:r>
      <w:r w:rsidRPr="00097824">
        <w:rPr>
          <w:lang w:val="en-US"/>
        </w:rPr>
        <w:t>T</w:t>
      </w:r>
      <w:r w:rsidRPr="00097824">
        <w:rPr>
          <w:vertAlign w:val="subscript"/>
        </w:rPr>
        <w:t>3–4</w:t>
      </w:r>
      <w:r w:rsidRPr="00097824">
        <w:rPr>
          <w:lang w:val="en-US"/>
        </w:rPr>
        <w:t>N</w:t>
      </w:r>
      <w:r w:rsidR="00151CBB" w:rsidRPr="00097824">
        <w:rPr>
          <w:vertAlign w:val="subscript"/>
        </w:rPr>
        <w:t>0</w:t>
      </w:r>
      <w:r w:rsidRPr="00097824">
        <w:rPr>
          <w:lang w:val="en-US"/>
        </w:rPr>
        <w:t>M</w:t>
      </w:r>
      <w:r w:rsidRPr="00097824">
        <w:rPr>
          <w:vertAlign w:val="subscript"/>
        </w:rPr>
        <w:t>0</w:t>
      </w:r>
      <w:r w:rsidRPr="00097824">
        <w:t>)</w:t>
      </w:r>
      <w:r w:rsidR="003F4EEB" w:rsidRPr="00097824">
        <w:t xml:space="preserve"> </w:t>
      </w:r>
      <w:r w:rsidR="00E917C5" w:rsidRPr="00097824">
        <w:t xml:space="preserve">у взрослых </w:t>
      </w:r>
      <w:r w:rsidRPr="00097824">
        <w:t xml:space="preserve">рекомендуется рассмотреть применение </w:t>
      </w:r>
      <w:proofErr w:type="spellStart"/>
      <w:r w:rsidRPr="00097824">
        <w:t>внутрипротоковой</w:t>
      </w:r>
      <w:proofErr w:type="spellEnd"/>
      <w:r w:rsidR="00906C76" w:rsidRPr="00097824">
        <w:t xml:space="preserve"> </w:t>
      </w:r>
      <w:r w:rsidRPr="00097824">
        <w:t xml:space="preserve">фотодинамической терапии (ФДТ) с целью </w:t>
      </w:r>
      <w:r w:rsidR="003F4EEB" w:rsidRPr="00097824">
        <w:t xml:space="preserve">улучшения оттока желчи и </w:t>
      </w:r>
      <w:r w:rsidRPr="00097824">
        <w:t>улучшения качества (паллиативная помощь) жизни пациентов</w:t>
      </w:r>
      <w:r w:rsidR="003F4EEB" w:rsidRPr="00097824">
        <w:t xml:space="preserve"> </w:t>
      </w:r>
      <w:r w:rsidRPr="00097824">
        <w:fldChar w:fldCharType="begin"/>
      </w:r>
      <w:r w:rsidR="00D529A9" w:rsidRPr="00097824">
        <w:instrText xml:space="preserve"> ADDIN ZOTERO_ITEM CSL_CITATION {"citationID":"RRFVKLM7","properties":{"formattedCitation":"[104,105]","plainCitation":"[104,105]","noteIndex":0},"citationItems":[{"id":167044,"uris":["http://zotero.org/groups/4764298/items/NUPIQXQ5"],"itemData":{"id":167044,"type":"article-journal","abstract":"Background &amp; Aims:\nIn nonrandomized trials, photodynamic therapy (PDT) had a promising effect on nonresectable cholangiocarcinoma (NCC). This prospective, open-label, randomized, multicenter study with a group sequential design compared PDT in addition to stenting (group A) with stenting alone (group B) in patients with NCC.\nMethods:\nIn patients with histologically confirmed cholangiocarcinoma, endoscopic or percutaneous double stenting was performed. Patients fulfilling inclusion criteria were randomized to group A (stenting and subsequent PDT) and group B (stenting alone). For PDT, Photofrin 2 mg/kg body wt was injected intravenously 2 days before intraluminal photoactivation (wavelength, 630 nm; light dose, 180 J/cm2). Further treatments were performed in cases of residual tumor in the bile duct. The primary outcome parameter was survival time. Secondary outcome parameters were cholestasis and quality of life.\nResults:\nPDT resulted in prolongation of survival (group A: n = 20, median 493 days; group B: n = 19, median 98 days; P &lt; 0.0001). It also improved biliary drainage and quality of life.\nConclusions:\nPDT, given in addition to best supportive care, improves survival in patients with NCC. The study was terminated prematurely because PDT proved to be so superior to simple stenting treatment that further randomization was deemed unethical.","container-title":"Gastroenterology","DOI":"10.1016/j.gastro.2003.07.015","ISSN":"0016-5085","issue":"5","journalAbbreviation":"Gastroenterology","language":"en","page":"1355-1363","source":"ScienceDirect","title":"Successful photodynamic therapy for nonresectable cholangiocarcinoma: a randomized prospective study","title-short":"Successful photodynamic therapy for nonresectable cholangiocarcinoma","volume":"125","author":[{"family":"Ortner","given":"Marianne E. J"},{"family":"Caca","given":"Karel"},{"family":"Berr","given":"Frieder"},{"family":"Liebetruth","given":"Jochen"},{"family":"Mansmann","given":"Ulrich"},{"family":"Huster","given":"Dominik"},{"family":"Voderholzer","given":"Winfried"},{"family":"Schachschal","given":"Guido"},{"family":"Mössner","given":"Joachim"},{"family":"Lochs","given":"Herbert"}],"issued":{"date-parts":[["2003",11,1]]}},"label":"page"},{"id":167045,"uris":["http://zotero.org/groups/4764298/items/HEJVXE8L"],"itemData":{"id":167045,"type":"article-journal","abstract":"OBJECTIVES \n        Preliminary uncontrolled studies of photodynamic therapy (PDT) of bile duct cancer (BDC) have shown astonishingly good results in the reduction of cholestasis, improvement of life quality, and potential improvement of survival time. Therefore, we investigated the influence of PDT on survival time in advanced BDC in a randomized controlled study.\n        METHODS \n        Thirty-two patients with nonresectable BDC were randomized. In the PDT group 48 h after intravenous application of 2 mg/kg body weight of Photosan-3®, light activation was performed. In the control group, patients were treated with endoprostheses but no PDT.\n        RESULTS \n        PDT group and the control group were comparable due to age, gender, performance status, bilirubin level, and BDC stage (Bismuth classification). The median survival time after randomization was 7 months for the control group and 21 months for the PDT group (p = 0.0109). In half of the initially percutaneously treated patients, we could change from percutaneous to transpapillary drainage after PDT. Four patients showed infectious complications after PDT versus one patient in the control group.\n        DISCUSSION: PDT is minimally invasive but shows a considerable postinterventional cholangitis rate. PDT has the potential to result in a changeover of current palliative treatment of BDC.","container-title":"Official journal of the American College of Gastroenterology | ACG","ISSN":"0002-9270","issue":"11","language":"en-US","page":"2426–2430","source":"journals.lww.com","title":"Palliation of Nonresectable Bile Duct Cancer: Improved Survival After Photodynamic Therapy","title-short":"Palliation of Nonresectable Bile Duct Cancer","volume":"100","author":[{"family":"Zoepf","given":"Thomas"},{"family":"Jakobs","given":"Ralf"},{"family":"Arnold","given":"Joachim C."},{"family":"Apel","given":"Darius"},{"family":"Riemann","given":"Jürgen F."}],"issued":{"date-parts":[["2005",11]]}},"label":"page"}],"schema":"https://github.com/citation-style-language/schema/raw/master/csl-citation.json"} </w:instrText>
      </w:r>
      <w:r w:rsidRPr="00097824">
        <w:fldChar w:fldCharType="separate"/>
      </w:r>
      <w:r w:rsidR="00D529A9" w:rsidRPr="00097824">
        <w:t>[104,105]</w:t>
      </w:r>
      <w:r w:rsidRPr="00097824">
        <w:fldChar w:fldCharType="end"/>
      </w:r>
      <w:r w:rsidR="00275615" w:rsidRPr="00097824">
        <w:t>.</w:t>
      </w:r>
    </w:p>
    <w:p w14:paraId="68D7A0BD" w14:textId="2D09F62C" w:rsidR="00DB05ED" w:rsidRPr="00097824" w:rsidRDefault="007F5427" w:rsidP="00DB2B07">
      <w:pPr>
        <w:pStyle w:val="32"/>
        <w:spacing w:after="240"/>
        <w:ind w:firstLine="0"/>
        <w:rPr>
          <w:color w:val="auto"/>
        </w:rPr>
      </w:pPr>
      <w:r w:rsidRPr="00097824">
        <w:rPr>
          <w:color w:val="auto"/>
        </w:rPr>
        <w:t>Уровень убедительности рекомендаций –</w:t>
      </w:r>
      <w:r w:rsidR="00B619A9" w:rsidRPr="00097824">
        <w:rPr>
          <w:color w:val="auto"/>
        </w:rPr>
        <w:t xml:space="preserve"> </w:t>
      </w:r>
      <w:r w:rsidR="003F4EEB" w:rsidRPr="00097824">
        <w:rPr>
          <w:color w:val="auto"/>
        </w:rPr>
        <w:t>С</w:t>
      </w:r>
      <w:r w:rsidRPr="00097824">
        <w:rPr>
          <w:color w:val="auto"/>
        </w:rPr>
        <w:t xml:space="preserve"> (уровен</w:t>
      </w:r>
      <w:r w:rsidR="003F4EEB" w:rsidRPr="00097824">
        <w:rPr>
          <w:color w:val="auto"/>
        </w:rPr>
        <w:t>ь достоверности доказательств 4</w:t>
      </w:r>
      <w:r w:rsidRPr="00097824">
        <w:rPr>
          <w:color w:val="auto"/>
        </w:rPr>
        <w:t>).</w:t>
      </w:r>
    </w:p>
    <w:p w14:paraId="333E5677" w14:textId="7370F79E" w:rsidR="00DB05ED" w:rsidRPr="00097824" w:rsidRDefault="00275615" w:rsidP="00AD4A9F">
      <w:pPr>
        <w:ind w:left="397" w:firstLine="357"/>
      </w:pPr>
      <w:r w:rsidRPr="00097824">
        <w:rPr>
          <w:b/>
        </w:rPr>
        <w:t>Комментарий:</w:t>
      </w:r>
      <w:r w:rsidR="00906C76" w:rsidRPr="00097824">
        <w:rPr>
          <w:b/>
        </w:rPr>
        <w:t xml:space="preserve"> </w:t>
      </w:r>
      <w:r w:rsidR="007F5427" w:rsidRPr="00097824">
        <w:rPr>
          <w:i/>
          <w:iCs/>
        </w:rPr>
        <w:t>ФДТ включает в себя относительно селективное накопление патологической тканью химического агента (фотосенсибилизатора</w:t>
      </w:r>
      <w:r w:rsidR="00700A65" w:rsidRPr="00097824">
        <w:rPr>
          <w:i/>
          <w:iCs/>
        </w:rPr>
        <w:t>(L01XD: Сенсибилизирующие препараты, используемые для фотодинамической/лучевой терапии)</w:t>
      </w:r>
      <w:r w:rsidR="007F5427" w:rsidRPr="00097824">
        <w:rPr>
          <w:i/>
          <w:iCs/>
        </w:rPr>
        <w:t xml:space="preserve">), с последующей активацией накопленного фотосенсибилизатора при помощи света, что запускает </w:t>
      </w:r>
      <w:r w:rsidR="007F5427" w:rsidRPr="00097824">
        <w:rPr>
          <w:i/>
          <w:iCs/>
          <w:szCs w:val="24"/>
        </w:rPr>
        <w:t>каскад внутриклеточных реакций, называемых фотодинамическим эффектом, приводящих к гибели опухолевых клеток</w:t>
      </w:r>
      <w:r w:rsidR="007F5427" w:rsidRPr="00097824">
        <w:rPr>
          <w:i/>
          <w:iCs/>
        </w:rPr>
        <w:t xml:space="preserve">; улучшает общую выживаемость пациентов с </w:t>
      </w:r>
      <w:proofErr w:type="spellStart"/>
      <w:r w:rsidR="007F5427" w:rsidRPr="00097824">
        <w:rPr>
          <w:i/>
          <w:iCs/>
        </w:rPr>
        <w:t>внутрипротоковой</w:t>
      </w:r>
      <w:proofErr w:type="spellEnd"/>
      <w:r w:rsidR="00784873" w:rsidRPr="00097824">
        <w:rPr>
          <w:i/>
          <w:iCs/>
        </w:rPr>
        <w:t xml:space="preserve"> </w:t>
      </w:r>
      <w:r w:rsidR="007F5427" w:rsidRPr="00097824">
        <w:rPr>
          <w:i/>
          <w:iCs/>
        </w:rPr>
        <w:t>неоперабельной</w:t>
      </w:r>
      <w:r w:rsidR="00784873" w:rsidRPr="00097824">
        <w:rPr>
          <w:i/>
          <w:iCs/>
        </w:rPr>
        <w:t xml:space="preserve"> </w:t>
      </w:r>
      <w:proofErr w:type="spellStart"/>
      <w:r w:rsidR="007F5427" w:rsidRPr="00097824">
        <w:rPr>
          <w:i/>
          <w:iCs/>
        </w:rPr>
        <w:t>холангиокарциномой</w:t>
      </w:r>
      <w:proofErr w:type="spellEnd"/>
      <w:r w:rsidR="007F5427" w:rsidRPr="00097824">
        <w:rPr>
          <w:i/>
          <w:iCs/>
        </w:rPr>
        <w:t xml:space="preserve"> и раком </w:t>
      </w:r>
      <w:proofErr w:type="spellStart"/>
      <w:r w:rsidR="007F5427" w:rsidRPr="00097824">
        <w:rPr>
          <w:i/>
          <w:iCs/>
        </w:rPr>
        <w:t>холедоха</w:t>
      </w:r>
      <w:proofErr w:type="spellEnd"/>
      <w:r w:rsidR="00784873" w:rsidRPr="00097824">
        <w:rPr>
          <w:i/>
          <w:iCs/>
        </w:rPr>
        <w:t xml:space="preserve"> </w:t>
      </w:r>
      <w:r w:rsidR="007F5427" w:rsidRPr="00097824">
        <w:fldChar w:fldCharType="begin"/>
      </w:r>
      <w:r w:rsidR="00D529A9" w:rsidRPr="00097824">
        <w:instrText xml:space="preserve"> ADDIN ZOTERO_ITEM CSL_CITATION {"citationID":"taPA4WHl","properties":{"formattedCitation":"[104,105]","plainCitation":"[104,105]","noteIndex":0},"citationItems":[{"id":167044,"uris":["http://zotero.org/groups/4764298/items/NUPIQXQ5"],"itemData":{"id":167044,"type":"article-journal","abstract":"Background &amp; Aims:\nIn nonrandomized trials, photodynamic therapy (PDT) had a promising effect on nonresectable cholangiocarcinoma (NCC). This prospective, open-label, randomized, multicenter study with a group sequential design compared PDT in addition to stenting (group A) with stenting alone (group B) in patients with NCC.\nMethods:\nIn patients with histologically confirmed cholangiocarcinoma, endoscopic or percutaneous double stenting was performed. Patients fulfilling inclusion criteria were randomized to group A (stenting and subsequent PDT) and group B (stenting alone). For PDT, Photofrin 2 mg/kg body wt was injected intravenously 2 days before intraluminal photoactivation (wavelength, 630 nm; light dose, 180 J/cm2). Further treatments were performed in cases of residual tumor in the bile duct. The primary outcome parameter was survival time. Secondary outcome parameters were cholestasis and quality of life.\nResults:\nPDT resulted in prolongation of survival (group A: n = 20, median 493 days; group B: n = 19, median 98 days; P &lt; 0.0001). It also improved biliary drainage and quality of life.\nConclusions:\nPDT, given in addition to best supportive care, improves survival in patients with NCC. The study was terminated prematurely because PDT proved to be so superior to simple stenting treatment that further randomization was deemed unethical.","container-title":"Gastroenterology","DOI":"10.1016/j.gastro.2003.07.015","ISSN":"0016-5085","issue":"5","journalAbbreviation":"Gastroenterology","language":"en","page":"1355-1363","source":"ScienceDirect","title":"Successful photodynamic therapy for nonresectable cholangiocarcinoma: a randomized prospective study","title-short":"Successful photodynamic therapy for nonresectable cholangiocarcinoma","volume":"125","author":[{"family":"Ortner","given":"Marianne E. J"},{"family":"Caca","given":"Karel"},{"family":"Berr","given":"Frieder"},{"family":"Liebetruth","given":"Jochen"},{"family":"Mansmann","given":"Ulrich"},{"family":"Huster","given":"Dominik"},{"family":"Voderholzer","given":"Winfried"},{"family":"Schachschal","given":"Guido"},{"family":"Mössner","given":"Joachim"},{"family":"Lochs","given":"Herbert"}],"issued":{"date-parts":[["2003",11,1]]}},"label":"page"},{"id":167045,"uris":["http://zotero.org/groups/4764298/items/HEJVXE8L"],"itemData":{"id":167045,"type":"article-journal","abstract":"OBJECTIVES \n        Preliminary uncontrolled studies of photodynamic therapy (PDT) of bile duct cancer (BDC) have shown astonishingly good results in the reduction of cholestasis, improvement of life quality, and potential improvement of survival time. Therefore, we investigated the influence of PDT on survival time in advanced BDC in a randomized controlled study.\n        METHODS \n        Thirty-two patients with nonresectable BDC were randomized. In the PDT group 48 h after intravenous application of 2 mg/kg body weight of Photosan-3®, light activation was performed. In the control group, patients were treated with endoprostheses but no PDT.\n        RESULTS \n        PDT group and the control group were comparable due to age, gender, performance status, bilirubin level, and BDC stage (Bismuth classification). The median survival time after randomization was 7 months for the control group and 21 months for the PDT group (p = 0.0109). In half of the initially percutaneously treated patients, we could change from percutaneous to transpapillary drainage after PDT. Four patients showed infectious complications after PDT versus one patient in the control group.\n        DISCUSSION: PDT is minimally invasive but shows a considerable postinterventional cholangitis rate. PDT has the potential to result in a changeover of current palliative treatment of BDC.","container-title":"Official journal of the American College of Gastroenterology | ACG","ISSN":"0002-9270","issue":"11","language":"en-US","page":"2426–2430","source":"journals.lww.com","title":"Palliation of Nonresectable Bile Duct Cancer: Improved Survival After Photodynamic Therapy","title-short":"Palliation of Nonresectable Bile Duct Cancer","volume":"100","author":[{"family":"Zoepf","given":"Thomas"},{"family":"Jakobs","given":"Ralf"},{"family":"Arnold","given":"Joachim C."},{"family":"Apel","given":"Darius"},{"family":"Riemann","given":"Jürgen F."}],"issued":{"date-parts":[["2005",11]]}},"label":"page"}],"schema":"https://github.com/citation-style-language/schema/raw/master/csl-citation.json"} </w:instrText>
      </w:r>
      <w:r w:rsidR="007F5427" w:rsidRPr="00097824">
        <w:fldChar w:fldCharType="separate"/>
      </w:r>
      <w:r w:rsidR="00D529A9" w:rsidRPr="00097824">
        <w:t>[104,105]</w:t>
      </w:r>
      <w:r w:rsidR="007F5427" w:rsidRPr="00097824">
        <w:fldChar w:fldCharType="end"/>
      </w:r>
      <w:r w:rsidRPr="00097824">
        <w:t>.</w:t>
      </w:r>
    </w:p>
    <w:p w14:paraId="7987EAF8" w14:textId="53A251E6" w:rsidR="00275615" w:rsidRPr="00097824" w:rsidRDefault="00275615" w:rsidP="00A37046">
      <w:pPr>
        <w:pStyle w:val="1"/>
        <w:ind w:left="397" w:firstLine="357"/>
      </w:pPr>
      <w:r w:rsidRPr="00097824">
        <w:t xml:space="preserve">При </w:t>
      </w:r>
      <w:r w:rsidR="007F5427" w:rsidRPr="00097824">
        <w:t>поздних стадиях</w:t>
      </w:r>
      <w:r w:rsidRPr="00097824">
        <w:t xml:space="preserve"> внепеченочно</w:t>
      </w:r>
      <w:r w:rsidR="00EE17B7" w:rsidRPr="00097824">
        <w:t xml:space="preserve">й </w:t>
      </w:r>
      <w:proofErr w:type="spellStart"/>
      <w:r w:rsidR="00EE17B7" w:rsidRPr="00097824">
        <w:t>холангиокарциномы</w:t>
      </w:r>
      <w:proofErr w:type="spellEnd"/>
      <w:r w:rsidR="00EE17B7" w:rsidRPr="00097824">
        <w:t xml:space="preserve"> </w:t>
      </w:r>
      <w:r w:rsidRPr="00097824">
        <w:t>(</w:t>
      </w:r>
      <w:r w:rsidR="007E204A" w:rsidRPr="00097824">
        <w:t>с</w:t>
      </w:r>
      <w:r w:rsidRPr="00097824">
        <w:t xml:space="preserve">тадии </w:t>
      </w:r>
      <w:r w:rsidRPr="00097824">
        <w:rPr>
          <w:lang w:val="en-US"/>
        </w:rPr>
        <w:t>IIIa</w:t>
      </w:r>
      <w:r w:rsidR="007E204A" w:rsidRPr="00097824">
        <w:t>–</w:t>
      </w:r>
      <w:proofErr w:type="spellStart"/>
      <w:r w:rsidRPr="00097824">
        <w:rPr>
          <w:lang w:val="en-US"/>
        </w:rPr>
        <w:t>IVa</w:t>
      </w:r>
      <w:proofErr w:type="spellEnd"/>
      <w:r w:rsidRPr="00097824">
        <w:t xml:space="preserve">, </w:t>
      </w:r>
      <w:r w:rsidRPr="00097824">
        <w:rPr>
          <w:lang w:val="en-US"/>
        </w:rPr>
        <w:t>T</w:t>
      </w:r>
      <w:r w:rsidRPr="00097824">
        <w:rPr>
          <w:vertAlign w:val="subscript"/>
        </w:rPr>
        <w:t>3</w:t>
      </w:r>
      <w:r w:rsidR="007E204A" w:rsidRPr="00097824">
        <w:rPr>
          <w:vertAlign w:val="subscript"/>
        </w:rPr>
        <w:t>–</w:t>
      </w:r>
      <w:r w:rsidRPr="00097824">
        <w:rPr>
          <w:vertAlign w:val="subscript"/>
        </w:rPr>
        <w:t>4</w:t>
      </w:r>
      <w:r w:rsidRPr="00097824">
        <w:rPr>
          <w:lang w:val="en-US"/>
        </w:rPr>
        <w:t>N</w:t>
      </w:r>
      <w:r w:rsidRPr="00097824">
        <w:rPr>
          <w:vertAlign w:val="subscript"/>
        </w:rPr>
        <w:t>0</w:t>
      </w:r>
      <w:r w:rsidR="007E204A" w:rsidRPr="00097824">
        <w:rPr>
          <w:vertAlign w:val="subscript"/>
        </w:rPr>
        <w:t>–</w:t>
      </w:r>
      <w:r w:rsidRPr="00097824">
        <w:rPr>
          <w:vertAlign w:val="subscript"/>
        </w:rPr>
        <w:t>1</w:t>
      </w:r>
      <w:r w:rsidRPr="00097824">
        <w:rPr>
          <w:lang w:val="en-US"/>
        </w:rPr>
        <w:t>M</w:t>
      </w:r>
      <w:r w:rsidRPr="00097824">
        <w:rPr>
          <w:vertAlign w:val="subscript"/>
        </w:rPr>
        <w:t>0</w:t>
      </w:r>
      <w:r w:rsidRPr="00097824">
        <w:t>)</w:t>
      </w:r>
      <w:r w:rsidR="00EE17B7" w:rsidRPr="00097824">
        <w:t xml:space="preserve"> </w:t>
      </w:r>
      <w:r w:rsidR="00E917C5" w:rsidRPr="00097824">
        <w:t xml:space="preserve">у взрослых </w:t>
      </w:r>
      <w:r w:rsidRPr="00097824">
        <w:t>может быть рекомендована</w:t>
      </w:r>
      <w:r w:rsidR="00906C76" w:rsidRPr="00097824">
        <w:t xml:space="preserve"> </w:t>
      </w:r>
      <w:r w:rsidR="005F0139" w:rsidRPr="00097824">
        <w:t>химио</w:t>
      </w:r>
      <w:r w:rsidRPr="00097824">
        <w:t>-лучевая терапия с целью контроля симптомов, обусловленных локальным распространением опухоли</w:t>
      </w:r>
      <w:r w:rsidR="003F4EEB" w:rsidRPr="00097824">
        <w:t xml:space="preserve"> </w:t>
      </w:r>
      <w:r w:rsidR="007F5427" w:rsidRPr="00097824">
        <w:fldChar w:fldCharType="begin"/>
      </w:r>
      <w:r w:rsidR="00D529A9" w:rsidRPr="00097824">
        <w:instrText xml:space="preserve"> ADDIN ZOTERO_ITEM CSL_CITATION {"citationID":"UWTVKQKr","properties":{"formattedCitation":"[106]","plainCitation":"[106]","noteIndex":0},"citationItems":[{"id":167046,"uris":["http://zotero.org/groups/4764298/items/EYISY763"],"itemData":{"id":167046,"type":"article-journal","abstract":"Purpose\nExtrahepatic cholangiocarcinoma is an uncommon but lethal malignancy. We analyzed the role of definitive chemoradiotherapy for patients with nonmetastatic, locally advanced extrahepatic cholangiocarcinoma treated at a single institution.\nMethods and Materials\nThis retrospective analysis included 37 patients who underwent external beam radiation therapy (EBRT) with concurrent chemotherapy and/or brachytherapy (BT) for locally advanced extrahepatic cholangiocarcinoma. Local control (LC) and overall survival (OS) were assessed, and univariate regression analysis was used to evaluate the effects of patient- and treatment-related factors on clinical outcomes.\nResults\nTwenty-three patients received EBRT alone, 8 patients received EBRT plus BT, and 6 patients received BT alone (median follow-up of 14 months). Two patients were alive without evidence of recurrence at the time of analysis. Actuarial OS and LC rates at 1 year were 59% and 90%, respectively, and 22% and 71%, respectively, at 2 years. Two patients lived beyond 5 years without evidence of recurrence. On univariate analysis, EBRT with or without BT improved LC compared to BT alone (97% vs. 56% at 1 year; 75% vs. 56% at 2 years; p = 0.096). Patients who received EBRT alone vs. BT alone also had improved LC (96% vs. 56% at 1 year; 80% vs. 56% at 2 years; p = 0.113). Age, gender, tumor location (proximal vs. distal), histologic differentiation, EBRT dose (≤ or &gt;50 Gy), EBRT planning method (two-dimensional vs. three-dimensional), and chemotherapy were not associated with patient outcomes.\nConclusions\nPatients with locally advanced extrahepatic cholangiocarcinoma have poor survival. Long-term survival is rare. The majority of patients treated with EBRT had local control at the time of death, suggesting that symptoms due to the local tumor effect might be effectively controlled with radiation therapy, and EBRT is an important element of treatment. Novel treatment approaches are indicated in the therapy for this disease.","container-title":"International Journal of Radiation Oncology*Biology*Physics","DOI":"10.1016/j.ijrobp.2010.06.018","ISSN":"0360-3016","issue":"3","journalAbbreviation":"International Journal of Radiation Oncology*Biology*Physics","language":"en","page":"654-659","source":"ScienceDirect","title":"Radiotherapy in the treatment of patients with unresectable extrahepatic cholangiocarcinoma","volume":"81","author":[{"family":"Ghafoori","given":"A. Paiman"},{"family":"Nelson","given":"John W."},{"family":"Willett","given":"Christopher G."},{"family":"Chino","given":"Junzo"},{"family":"Tyler","given":"Douglas S."},{"family":"Hurwitz","given":"Herbert I."},{"family":"Uronis","given":"Hope E."},{"family":"Morse","given":"Michael A."},{"family":"Clough","given":"Robert W."},{"family":"Czito","given":"Brian G."}],"issued":{"date-parts":[["2011",11,1]]}}}],"schema":"https://github.com/citation-style-language/schema/raw/master/csl-citation.json"} </w:instrText>
      </w:r>
      <w:r w:rsidR="007F5427" w:rsidRPr="00097824">
        <w:fldChar w:fldCharType="separate"/>
      </w:r>
      <w:r w:rsidR="00D529A9" w:rsidRPr="00097824">
        <w:t>[106]</w:t>
      </w:r>
      <w:r w:rsidR="007F5427" w:rsidRPr="00097824">
        <w:fldChar w:fldCharType="end"/>
      </w:r>
      <w:r w:rsidRPr="00097824">
        <w:t>.</w:t>
      </w:r>
    </w:p>
    <w:p w14:paraId="6E4E20D4" w14:textId="428A64F6" w:rsidR="00DB05ED" w:rsidRPr="00097824" w:rsidRDefault="007F5427" w:rsidP="00A37046">
      <w:pPr>
        <w:pStyle w:val="32"/>
        <w:ind w:firstLine="0"/>
        <w:rPr>
          <w:color w:val="auto"/>
        </w:rPr>
      </w:pPr>
      <w:r w:rsidRPr="00097824">
        <w:rPr>
          <w:color w:val="auto"/>
        </w:rPr>
        <w:t xml:space="preserve">Уровень убедительности рекомендаций – </w:t>
      </w:r>
      <w:r w:rsidRPr="00097824">
        <w:rPr>
          <w:color w:val="auto"/>
          <w:lang w:val="en-US"/>
        </w:rPr>
        <w:t>C</w:t>
      </w:r>
      <w:r w:rsidR="00EE17B7" w:rsidRPr="00097824">
        <w:rPr>
          <w:color w:val="auto"/>
        </w:rPr>
        <w:t xml:space="preserve"> </w:t>
      </w:r>
      <w:r w:rsidRPr="00097824">
        <w:rPr>
          <w:color w:val="auto"/>
        </w:rPr>
        <w:t>(уровень достоверности доказательств 4).</w:t>
      </w:r>
    </w:p>
    <w:p w14:paraId="464E6538" w14:textId="1BB37ECF" w:rsidR="00275615" w:rsidRPr="00097824" w:rsidRDefault="00275615" w:rsidP="00DB2B07">
      <w:pPr>
        <w:ind w:firstLine="0"/>
        <w:contextualSpacing/>
        <w:rPr>
          <w:i/>
        </w:rPr>
      </w:pPr>
      <w:r w:rsidRPr="00097824">
        <w:rPr>
          <w:b/>
        </w:rPr>
        <w:t xml:space="preserve">Комментарий: </w:t>
      </w:r>
      <w:r w:rsidR="008D7B6A" w:rsidRPr="00097824">
        <w:rPr>
          <w:bCs/>
          <w:i/>
          <w:iCs/>
        </w:rPr>
        <w:t>перед</w:t>
      </w:r>
      <w:r w:rsidR="008D7B6A" w:rsidRPr="00097824">
        <w:rPr>
          <w:bCs/>
        </w:rPr>
        <w:t xml:space="preserve"> </w:t>
      </w:r>
      <w:r w:rsidR="007F5427" w:rsidRPr="00097824">
        <w:rPr>
          <w:i/>
        </w:rPr>
        <w:t xml:space="preserve">лучевой терапией может быть рекомендовано применение </w:t>
      </w:r>
      <w:r w:rsidR="00700A65" w:rsidRPr="00097824">
        <w:rPr>
          <w:i/>
        </w:rPr>
        <w:t>#</w:t>
      </w:r>
      <w:r w:rsidR="00B87AC0" w:rsidRPr="00097824">
        <w:rPr>
          <w:i/>
        </w:rPr>
        <w:t>гемцитабина</w:t>
      </w:r>
      <w:r w:rsidR="007F5427" w:rsidRPr="00097824">
        <w:rPr>
          <w:i/>
        </w:rPr>
        <w:t>**</w:t>
      </w:r>
      <w:r w:rsidR="004F13D5" w:rsidRPr="00097824">
        <w:rPr>
          <w:i/>
        </w:rPr>
        <w:t xml:space="preserve"> в дозе 1</w:t>
      </w:r>
      <w:r w:rsidR="00627716" w:rsidRPr="00097824">
        <w:rPr>
          <w:i/>
        </w:rPr>
        <w:t>0</w:t>
      </w:r>
      <w:r w:rsidR="004F13D5" w:rsidRPr="00097824">
        <w:rPr>
          <w:i/>
        </w:rPr>
        <w:t xml:space="preserve">00 мг/м2 в </w:t>
      </w:r>
      <w:r w:rsidR="00627716" w:rsidRPr="00097824">
        <w:rPr>
          <w:i/>
        </w:rPr>
        <w:t xml:space="preserve"> 1  и 8 </w:t>
      </w:r>
      <w:r w:rsidR="004F13D5" w:rsidRPr="00097824">
        <w:rPr>
          <w:i/>
        </w:rPr>
        <w:t>день</w:t>
      </w:r>
      <w:r w:rsidR="00627716" w:rsidRPr="00097824">
        <w:rPr>
          <w:i/>
        </w:rPr>
        <w:t xml:space="preserve"> цикла в комбинации с </w:t>
      </w:r>
      <w:proofErr w:type="spellStart"/>
      <w:r w:rsidR="00627716" w:rsidRPr="00097824">
        <w:rPr>
          <w:i/>
        </w:rPr>
        <w:t>капецитабином</w:t>
      </w:r>
      <w:proofErr w:type="spellEnd"/>
      <w:r w:rsidR="00627716" w:rsidRPr="00097824">
        <w:rPr>
          <w:i/>
        </w:rPr>
        <w:t xml:space="preserve"> в дозе 1500 мг/м2 с 1 по 14 день,</w:t>
      </w:r>
      <w:r w:rsidR="004F13D5" w:rsidRPr="00097824">
        <w:rPr>
          <w:i/>
        </w:rPr>
        <w:t xml:space="preserve"> каждые 21 день</w:t>
      </w:r>
      <w:r w:rsidR="008D7B6A" w:rsidRPr="00097824">
        <w:rPr>
          <w:i/>
        </w:rPr>
        <w:t xml:space="preserve"> 4 курса</w:t>
      </w:r>
      <w:r w:rsidR="004F13D5" w:rsidRPr="00097824">
        <w:rPr>
          <w:i/>
        </w:rPr>
        <w:t xml:space="preserve"> с последующим одновременным приемом </w:t>
      </w:r>
      <w:proofErr w:type="spellStart"/>
      <w:r w:rsidR="004F13D5" w:rsidRPr="00097824">
        <w:rPr>
          <w:i/>
        </w:rPr>
        <w:t>капецитабина</w:t>
      </w:r>
      <w:proofErr w:type="spellEnd"/>
      <w:r w:rsidR="004F1F9C" w:rsidRPr="00097824">
        <w:rPr>
          <w:i/>
        </w:rPr>
        <w:t>**</w:t>
      </w:r>
      <w:r w:rsidR="004F13D5" w:rsidRPr="00097824">
        <w:rPr>
          <w:i/>
        </w:rPr>
        <w:t xml:space="preserve"> в дозе 1330 мг/м2 в день </w:t>
      </w:r>
      <w:r w:rsidR="008D7B6A" w:rsidRPr="00097824">
        <w:rPr>
          <w:i/>
        </w:rPr>
        <w:t>(</w:t>
      </w:r>
      <w:r w:rsidR="004F13D5" w:rsidRPr="00097824">
        <w:rPr>
          <w:i/>
        </w:rPr>
        <w:t>вместе с лучевой терапией</w:t>
      </w:r>
      <w:r w:rsidR="007F5427" w:rsidRPr="00097824">
        <w:rPr>
          <w:i/>
        </w:rPr>
        <w:t>)</w:t>
      </w:r>
      <w:r w:rsidR="00F3341F" w:rsidRPr="00097824">
        <w:rPr>
          <w:i/>
        </w:rPr>
        <w:t>[18</w:t>
      </w:r>
      <w:r w:rsidR="00627716" w:rsidRPr="00097824">
        <w:rPr>
          <w:i/>
        </w:rPr>
        <w:t>3</w:t>
      </w:r>
      <w:r w:rsidR="00F3341F" w:rsidRPr="00097824">
        <w:rPr>
          <w:i/>
        </w:rPr>
        <w:t>, 18</w:t>
      </w:r>
      <w:r w:rsidR="00627716" w:rsidRPr="00097824">
        <w:rPr>
          <w:i/>
        </w:rPr>
        <w:t>4</w:t>
      </w:r>
      <w:r w:rsidR="00F3341F" w:rsidRPr="00097824">
        <w:rPr>
          <w:i/>
        </w:rPr>
        <w:t>]</w:t>
      </w:r>
      <w:r w:rsidR="007F5427" w:rsidRPr="00097824">
        <w:rPr>
          <w:i/>
        </w:rPr>
        <w:t xml:space="preserve">. Лучевая терапия проводится в режиме стереотаксического облучения за 3–5 фракций до </w:t>
      </w:r>
      <w:r w:rsidR="007F5427" w:rsidRPr="00097824">
        <w:rPr>
          <w:i/>
        </w:rPr>
        <w:lastRenderedPageBreak/>
        <w:t xml:space="preserve">СОД 30–50Гр. Одновременное использование </w:t>
      </w:r>
      <w:proofErr w:type="spellStart"/>
      <w:r w:rsidR="007F5427" w:rsidRPr="00097824">
        <w:rPr>
          <w:i/>
        </w:rPr>
        <w:t>гемцитабина</w:t>
      </w:r>
      <w:proofErr w:type="spellEnd"/>
      <w:r w:rsidR="007F5427" w:rsidRPr="00097824">
        <w:rPr>
          <w:i/>
        </w:rPr>
        <w:t xml:space="preserve"> </w:t>
      </w:r>
      <w:r w:rsidR="008D7B6A" w:rsidRPr="00097824">
        <w:rPr>
          <w:i/>
        </w:rPr>
        <w:t xml:space="preserve">с лучевой терапией </w:t>
      </w:r>
      <w:r w:rsidR="007F5427" w:rsidRPr="00097824">
        <w:rPr>
          <w:i/>
        </w:rPr>
        <w:t>не рекомендуется в связи с ограниченным опытом и высокой токсичностью лечения.</w:t>
      </w:r>
    </w:p>
    <w:p w14:paraId="0A2F1FDB" w14:textId="35432C62" w:rsidR="00222AD6" w:rsidRPr="00097824" w:rsidRDefault="00222AD6" w:rsidP="000D7779">
      <w:pPr>
        <w:pStyle w:val="1"/>
        <w:numPr>
          <w:ilvl w:val="0"/>
          <w:numId w:val="40"/>
        </w:numPr>
        <w:ind w:left="0" w:firstLine="0"/>
      </w:pPr>
      <w:r w:rsidRPr="00097824">
        <w:t xml:space="preserve">При диссеминированном </w:t>
      </w:r>
      <w:r w:rsidRPr="00097824">
        <w:rPr>
          <w:rFonts w:ascii="Times" w:hAnsi="Times" w:cs="Times"/>
          <w:szCs w:val="32"/>
        </w:rPr>
        <w:t xml:space="preserve">раке </w:t>
      </w:r>
      <w:proofErr w:type="spellStart"/>
      <w:r w:rsidRPr="00097824">
        <w:rPr>
          <w:rFonts w:ascii="Times" w:hAnsi="Times" w:cs="Times"/>
          <w:szCs w:val="32"/>
        </w:rPr>
        <w:t>билиарного</w:t>
      </w:r>
      <w:proofErr w:type="spellEnd"/>
      <w:r w:rsidRPr="00097824">
        <w:rPr>
          <w:rFonts w:ascii="Times" w:hAnsi="Times" w:cs="Times"/>
          <w:szCs w:val="32"/>
        </w:rPr>
        <w:t xml:space="preserve"> тракта</w:t>
      </w:r>
      <w:r w:rsidRPr="00097824">
        <w:t xml:space="preserve"> (стадия </w:t>
      </w:r>
      <w:proofErr w:type="spellStart"/>
      <w:r w:rsidRPr="00097824">
        <w:rPr>
          <w:lang w:val="en-US"/>
        </w:rPr>
        <w:t>IVb</w:t>
      </w:r>
      <w:proofErr w:type="spellEnd"/>
      <w:r w:rsidRPr="00097824">
        <w:t xml:space="preserve">, </w:t>
      </w:r>
      <w:r w:rsidRPr="00097824">
        <w:rPr>
          <w:lang w:val="en-US"/>
        </w:rPr>
        <w:t>M</w:t>
      </w:r>
      <w:r w:rsidRPr="00097824">
        <w:t xml:space="preserve">1) у взрослых и удовлетворительном общем состоянии пациента рекомендуется рассмотреть лечение системной химиотерапией </w:t>
      </w:r>
      <w:proofErr w:type="spellStart"/>
      <w:r w:rsidRPr="00097824">
        <w:t>гемцитабином</w:t>
      </w:r>
      <w:proofErr w:type="spellEnd"/>
      <w:r w:rsidRPr="00097824">
        <w:t xml:space="preserve">** в сочетании с производными препаратов платины +/- иммунотерапия в том </w:t>
      </w:r>
      <w:proofErr w:type="gramStart"/>
      <w:r w:rsidRPr="00097824">
        <w:t>числе  или</w:t>
      </w:r>
      <w:proofErr w:type="gramEnd"/>
      <w:r w:rsidRPr="00097824">
        <w:t xml:space="preserve"> на основе </w:t>
      </w:r>
      <w:proofErr w:type="spellStart"/>
      <w:r w:rsidRPr="00097824">
        <w:t>фторпиримидинов</w:t>
      </w:r>
      <w:proofErr w:type="spellEnd"/>
      <w:r w:rsidRPr="00097824">
        <w:t xml:space="preserve"> (L01BC: Аналоги пиримидина). Вариантом лечения взрослых пациентов с распространенным </w:t>
      </w:r>
      <w:proofErr w:type="spellStart"/>
      <w:r w:rsidRPr="00097824">
        <w:t>нерезектабельным</w:t>
      </w:r>
      <w:proofErr w:type="spellEnd"/>
      <w:r w:rsidRPr="00097824">
        <w:t xml:space="preserve"> или метастатическим раком </w:t>
      </w:r>
      <w:proofErr w:type="spellStart"/>
      <w:r w:rsidRPr="00097824">
        <w:t>билиарного</w:t>
      </w:r>
      <w:proofErr w:type="spellEnd"/>
      <w:r w:rsidRPr="00097824">
        <w:t xml:space="preserve"> тракта в первой линии терапии рекомендовано рассмотреть сочетание иммунотерапии и химиотерапии. Добавление </w:t>
      </w:r>
      <w:proofErr w:type="spellStart"/>
      <w:r w:rsidRPr="00097824">
        <w:t>дурвалумаба</w:t>
      </w:r>
      <w:proofErr w:type="spellEnd"/>
      <w:r w:rsidRPr="00097824">
        <w:t xml:space="preserve">** к терапии комбинацией </w:t>
      </w:r>
      <w:proofErr w:type="spellStart"/>
      <w:r w:rsidRPr="00097824">
        <w:t>гемцитабин</w:t>
      </w:r>
      <w:proofErr w:type="spellEnd"/>
      <w:r w:rsidRPr="00097824">
        <w:t xml:space="preserve">**+ </w:t>
      </w:r>
      <w:r w:rsidRPr="00097824">
        <w:rPr>
          <w:iCs/>
        </w:rPr>
        <w:t>#</w:t>
      </w:r>
      <w:r w:rsidRPr="00097824">
        <w:t xml:space="preserve">цисплатин** и </w:t>
      </w:r>
      <w:r w:rsidRPr="00097824">
        <w:rPr>
          <w:i/>
        </w:rPr>
        <w:t>#</w:t>
      </w:r>
      <w:r w:rsidRPr="00097824">
        <w:t xml:space="preserve">пембролизумаба** к терапии комбинацией </w:t>
      </w:r>
      <w:proofErr w:type="spellStart"/>
      <w:r w:rsidRPr="00097824">
        <w:t>гемцитабин</w:t>
      </w:r>
      <w:proofErr w:type="spellEnd"/>
      <w:r w:rsidRPr="00097824">
        <w:t xml:space="preserve">**+ </w:t>
      </w:r>
      <w:r w:rsidRPr="00097824">
        <w:rPr>
          <w:iCs/>
        </w:rPr>
        <w:t>#</w:t>
      </w:r>
      <w:r w:rsidRPr="00097824">
        <w:t>цисплатин** достоверно увеличивает выживаемость пациентов. Дозы препаратов приведены в таблице</w:t>
      </w:r>
      <w:r w:rsidR="000D7779" w:rsidRPr="00097824">
        <w:t xml:space="preserve"> 6</w:t>
      </w:r>
      <w:r w:rsidRPr="00097824">
        <w:t xml:space="preserve"> </w:t>
      </w:r>
      <w:r w:rsidRPr="00097824">
        <w:fldChar w:fldCharType="begin"/>
      </w:r>
      <w:r w:rsidRPr="00097824">
        <w:instrText xml:space="preserve"> ADDIN ZOTERO_ITEM CSL_CITATION {"citationID":"3k01x7HT","properties":{"formattedCitation":"[19,107\\uc0\\u8211{}114]","plainCitation":"[19,107–114]","noteIndex":0},"citationItems":[{"id":166644,"uris":["http://zotero.org/groups/4764298/items/6QHBBU8X"],"itemData":{"id":166644,"type":"article-journal","container-title":"JNCCN Journal of the National Comprehensive Cancer Network","issue":"8","note":"publisher: Cold Spring Publishing LLC","page":"728–750","source":"Google Scholar","title":"Hepatobiliary cancers clinical practice guidelines in oncology","volume":"4","author":[{"family":"Benson","given":"Al B."},{"family":"Bekaii-Saab","given":"Tanios"},{"family":"Ben-Josef","given":"Edgar"},{"family":"Blumgart","given":"Leslie"},{"family":"Clary","given":"Bryan M."},{"family":"Curley","given":"Steven A."},{"family":"Davila","given":"Rene"},{"family":"Earle","given":"Craig C."},{"family":"Ensminger","given":"William D."},{"family":"Gibbs","given":"John F."}],"issued":{"date-parts":[["2006"]]}},"label":"page"},{"id":166670,"uris":["http://zotero.org/groups/4764298/items/CRHR5ZV3"],"itemData":{"id":166670,"type":"article-journal","container-title":"British journal of cancer","issue":"6","note":"publisher: Nature Publishing Group","page":"896–902","source":"Google Scholar","title":"Chemotherapy in advanced biliary tract carcinoma: a pooled analysis of clinical trials","title-short":"Chemotherapy in advanced biliary tract carcinoma","volume":"96","author":[{"family":"Eckel","given":"F."},{"family":"Schmid","given":"R. M."}],"issued":{"date-parts":[["2007"]]}},"label":"page"},{"id":166671,"uris":["http://zotero.org/groups/4764298/items/4DXYLHIW"],"itemData":{"id":166671,"type":"article-journal","container-title":"Japanese journal of clinical oncology","issue":"11","note":"publisher: Oxford University Press","page":"843–851","source":"Google Scholar","title":"A multi-center retrospective analysis of survival benefits of chemotherapy for unresectable biliary tract cancer","volume":"37","author":[{"family":"Yonemoto","given":"Naohiro"},{"family":"Furuse","given":"Junji"},{"family":"Okusaka","given":"Takuji"},{"family":"Yamao","given":"Kenji"},{"family":"Funakoshi","given":"Akihiro"},{"family":"Ohkawa","given":"Shinichi"},{"family":"Boku","given":"Narikazu"},{"family":"Tanaka","given":"Katsuaki"},{"family":"Nagase","given":"Michitaka"},{"family":"Saisho","given":"Hiromitsu"}],"issued":{"date-parts":[["2007"]]}},"label":"page"},{"id":166669,"uris":["http://zotero.org/groups/4764298/items/KI99IFYJ"],"itemData":{"id":166669,"type":"article-journal","container-title":"New England Journal of Medicine","issue":"14","note":"publisher: Mass Medical Soc","page":"1273–1281","source":"Google Scholar","title":"Cisplatin plus gemcitabine versus gemcitabine for biliary tract cancer","volume":"362","author":[{"family":"Valle","given":"Juan"},{"family":"Wasan","given":"Harpreet"},{"family":"Palmer","given":"Daniel H."},{"family":"Cunningham","given":"David"},{"family":"Anthoney","given":"Alan"},{"family":"Maraveyas","given":"Anthony"},{"family":"Madhusudan","given":"Srinivasan"},{"family":"Iveson","given":"Tim"},{"family":"Hughes","given":"Sharon"},{"family":"Pereira","given":"Stephen P."}],"issued":{"date-parts":[["2010"]]}},"label":"page"},{"id":166614,"uris":["http://zotero.org/groups/4764298/items/89PL8VII"],"itemData":{"id":166614,"type":"article-journal","abstract":"Background The aim of this multi-institutional study was to assess the feasibility and the efficacy of gemcitabine plus cisplatin (CDDP) combination therapy (GC therapy) for biliary tract cancer (BTC) in the adjuvant setting. Methods Eligible patients identified between January 2008 and January 2013 were enrolled. GC therapy at 1,000 mg/m2 of gemcitabine and 25 mg/m2 of CDDP on days 1 and 8 repeated every 3 weeks was performed for 6 months. The primary endpoint was the feasibility and the adverse events, and the secondary endpoint was recurrence-free survival (RFS) and overall survival (OS). Results Among 29 evaluable patients, the protocol was completed in 21 (72%) patients. Relative dose intensity (RDI) of gemcitabine and CDDP was 77% and 81%, respectively. There was no difference in the completion rate and the RDI between patients who underwent resection with vs. without major hepatectomy. Grade 3–4 toxicities included leukopenia (14%) and neutropenia (27%). Two-year RFS and 2-year OS was 59% and 90%, respectively. Conclusions Standard dose of GC therapy is tolerable in patients with BTC who underwent curative resection either with or without major hepatectomy. The survival effect of this regimen is promising, but further comparative study is needed.","container-title":"Journal of Hepato-Biliary-Pancreatic Sciences","DOI":"10.1002/jhbp.283","ISSN":"1868-6982","issue":"11","language":"en","note":"_eprint: https://onlinelibrary.wiley.com/doi/pdf/10.1002/jhbp.283","page":"789-794","source":"Wiley Online Library","title":"Feasibility and efficacy of gemcitabine plus cisplatin combination therapy after curative resection for biliary tract cancer","volume":"22","author":[{"family":"Kainuma","given":"Osamu"},{"family":"Miura","given":"Fumihiko"},{"family":"Furukawa","given":"Daisuke"},{"family":"Yamamoto","given":"Hiroshi"},{"family":"Cho","given":"Akihiro"},{"family":"Sano","given":"Keiji"},{"family":"Nakagohri","given":"Toshio"},{"family":"Asano","given":"Takehide"}],"issued":{"date-parts":[["2015"]]}},"label":"page"},{"id":166616,"uris":["http://zotero.org/groups/4764298/items/MA8YTGBX"],"itemData":{"id":166616,"type":"article-journal","abstract":"Objectives\nThe adjuvant therapy (AT) for biliary tract cancer (BTC) patients after surgery has always been controversial. More therapeutic regimens and high-quality evidence were needed to evaluate AT's survival benefit further. Thus, this study was performed to investigate the efficacy and safety of the 5-fluorouracil (5-FU) regimen in resected BTC patients.\nMethods\nPubMed, Cochrane Library, Web of Science, and the Embase were systematically searched from inception to Feb.3, 2021, for eligible studies. The pooled analyses were performed using Review Manager, Stata, and SPSS software.\nResults\nA total of 9 trials involving 1339 participants were included in the meta-analysis. Resected BTC patients could significantly benefit from a 5-FU regimen (HR:0.51, 95%CI, 0.38-0.69, P&lt;0.0001), regardless of gallbladder carcinoma (GBC) or cholangiocarcinoma (CCA). Moreover, both adjuvant chemotherapy (HR:0.61, 95%CI, 0.47-0.79, P=0.0003) and chemoradiotherapy (HR:0.35, 95%CI, 0.14-0.83, P=0.02) could significantly improve clinical survival of resected BTC patients than the surgery alone group. In the subgroup analyses, patients with node-positive (P=0.02) or vascular invasion disease (P=0.002) could better benefit from postoperative AT.\nConclusion\nThis study provides the latest evidence to support the 5-FU regimen in resected BTC patients regardless of GBC or CCA. Furthermore, high-risk patients are more likely to benefit from it, such as node-positive or vascular invasion disease.","container-title":"Clinics and Research in Hepatology and Gastroenterology","DOI":"10.1016/j.clinre.2021.101788","ISSN":"2210-7401","issue":"2","journalAbbreviation":"Clinics and Research in Hepatology and Gastroenterology","language":"en","page":"101788","source":"ScienceDirect","title":"The efficacy and safety of 5-fluorouracil based adjuvant therapy in resected biliary tract cancer: A systematic review and meta-analysis","title-short":"The efficacy and safety of 5-fluorouracil based adjuvant therapy in resected biliary tract cancer","volume":"46","author":[{"family":"Song","given":"Shaoming"},{"family":"Yang","given":"Wenwen"},{"family":"Tian","given":"Hongwei"},{"family":"Gong","given":"Shiyi"},{"family":"Lei","given":"Caining"},{"family":"Lv","given":"Kun"},{"family":"Lu","given":"Tingting"},{"family":"Cheng","given":"Qinghao"},{"family":"Yang","given":"Kehu"},{"family":"Guo","given":"Tiankang"}],"issued":{"date-parts":[["2022",2,1]]}},"label":"page"},{"id":166619,"uris":["http://zotero.org/groups/4764298/items/THGNEKCY"],"itemData":{"id":166619,"type":"article-journal","abstract":"The objective of this study was to carry out a meta-analysis of the efficacy of gemcitabine+platinum agent regimens in the treatment of advanced biliary tract cancer (BTC). PubMed and Google Scholar were searched using the following combination of search terms: gemcitabine, oxaliplatin, cholangiocarcinoma, biliary, gallbladder, bile duct. Studies were eligible for inclusion in the meta-analysis if they were randomized trials on the use of gemcitabine plus a platinum agent for the treatment of advanced (unresectable or metastatic cancer) BTC. Outcomes of interest were response rate, overall survival, and progression-free survival. Pooled odds ratios/differences in median survival and 95% confidence intervals (CIs) were determined for each outcome. A total of 47 records were identified in the initial search. Ultimately, three open-label randomized trials (two phase 2 and one phase 3) met the eligibility criteria and were included in the meta-analysis. Two studies compared gemcitabine plus cisplatin with gemcitabine alone, whereas the other study compared gemcitabine plus oxaliplatin with fluorouracil–folinic acid. The total number of patients in the studies ranged from 54 to 410. The overall analyses revealed that all survival outcomes assessed were significantly more favorable for patients treated with gemcitabine plus platinum agents than for patients not treated with this combination. Response rates: odds ratio=2.639, 95% CI=1.210–5.757, Z=2.439, P=0.015; pooled difference in median overall survival=3.822 months, 95% CI=1.798–5.845 months, Z=3.702, P&lt;0.001; pooled difference in median progression-free survival=3.268 months, 95% CI=1.996–4.541 months, Z=5.035, P&lt;0.001. Patients with advanced BTC who are treated with gemcitabine plus platinum agents may experience better survival outcomes compared with patients who are not treated with this combination of chemotherapy.","container-title":"Anti-Cancer Drugs","DOI":"10.1097/CAD.0b013e3283637292","ISSN":"0959-4973","issue":"8","language":"en-US","page":"871–877","source":"journals.lww.com","title":"Efficacy of gemcitabine plus platinum agents for biliary tract cancers: a meta-analysis","title-short":"Efficacy of gemcitabine plus platinum agents for biliary tract cancers","volume":"24","author":[{"family":"Yang","given":"Rui"},{"family":"Wang","given":"Bing"},{"family":"Chen","given":"Yong-jun"},{"family":"Li","given":"Hong-bo"},{"family":"Hu","given":"Jun-bo"},{"family":"Zou","given":"Sheng-quan"}],"issued":{"date-parts":[["2013",9]]}},"label":"page"},{"id":166620,"uris":["http://zotero.org/groups/4764298/items/Z4CUDDZL"],"itemData":{"id":166620,"type":"article-journal","abstract":"Background Major adjuvant therapies for biliary tract cancer (BTC) include fluorouracil, gemcitabine and chemoradiation (CRT), but the optimum regimen remains inconclusive. Aim To compare these therapies in terms of patient survival rates after resection and toxic effects. Methods We searched PubMed for controlled trials comparing the above three therapies with each other or observation alone until 31 January 2014. We estimated the hazard ratios (HRs) for death and odds ratios (ORs) for toxic effects among different therapies. Subgroup analyses based on positive lymph node or resection margin were also performed. Results Twelve eligible articles were included. Gemcitabine improved 5-year survival (HR 2.12, 95% CI, confidence interval 1.23–4.02, P = 0.01), whereas fluorouracil (HR 1.61, 95% CI 0.74–3.67) and CRT (HR 1.55, 95% CI 0.82–3.32) provided a poorer survival outcome compared with gemcitabine after 1 year. Similarly, for 5-year survival rates, although differing, CRT did not provide a significant improvement in survival (HR 0.46, 95% CI 0.20–0.97) compared with gemcitabine. Fluorouracil did not appear to provide benefit over gemcitabine (HR 1.56, 95% CI 0.77–3.35). CRT was ranked highest for toxic effects including haematological (OR 5.45, 95% CI 0.01–483.85) and nonhaematological (OR 5.77, 95% CI 0.01–3807.40). Conclusions Chemotherapy with gemcitabine is the optimum adjuvant treatment with a balanced benefit-toxicity ratio for resected biliary tract cancer. Chemoradiation was more likely to cause toxic effects.","container-title":"Alimentary Pharmacology &amp; Therapeutics","DOI":"10.1111/apt.12900","ISSN":"1365-2036","issue":"7","language":"en","note":"_eprint: https://onlinelibrary.wiley.com/doi/pdf/10.1111/apt.12900","page":"759-770","source":"Wiley Online Library","title":"Systematic review with network meta-analysis: adjuvant therapy for resected biliary tract cancer","title-short":"Systematic review with network meta-analysis","volume":"40","author":[{"family":"Zhu","given":"G.-Q."},{"family":"Shi","given":"K.-Q."},{"family":"You","given":"J."},{"family":"Zou","given":"H."},{"family":"Lin","given":"Y.-Q."},{"family":"Wang","given":"L.-R."},{"family":"Braddock","given":"M."},{"family":"Chen","given":"Y.-P."},{"family":"Zheng","given":"M.-H."}],"issued":{"date-parts":[["2014"]]}},"label":"page"},{"id":167050,"uris":["http://zotero.org/groups/4764298/items/ATH3BMZT"],"itemData":{"id":167050,"type":"article-journal","abstract":"PURPOSE: We designed this study to evaluate efficacy of modified gemcitabine and oxaliplatin (mGEMOX) over best supportive care (BSC) or fluorouracil (FU) and folinic acid (FA) in unresectable gall bladder cancer (GBC).\nPATIENTS AND METHODS: Patients with unresectable GBC were enrolled for single center randomized study. Arm A, BSC; arm B, FU 425 mg/m(2) and FA 20 mg/m(2) intravenous (IV) bolus weekly for 30 weeks (FUFA); arm C, gemcitabine 900 mg/m(2) and oxaliplatin 80 mg/m(2) IV infusion on days 1 and 8 every 3 weeks for maximum of six cycles. Eighty-one patients were randomly assigned, arms A (n = 27), B (n = 28), and C (n = 26).\nRESULTS: Complete response plus partial response in the three groups was 0 (0%), four (14.3%), and eight (30.8%) respectively (P &lt; .001). Two patients in the mGEMOX arm and one patient in the FUFA arm underwent curative resection after chemotherapy. One patient in the mGEMOX arm had complete pathologic response. Median overall survival (OS) was 4.5, 4.6, and 9.5 months for the BSC, FUFA, and mGEMOX arms (P = .039), respectively. Progression-free survival (PFS) was 2.8, 3.5, and 8.5 months for the three groups (P &lt; .001). There was no difference in grade 3/4 toxicities in the chemotherapy arms except transaminitis, which was more prevalent in mGEMOX arm (P = .04). Two patients in the FUFA arm and 10 patients in the mGEMOX arm had grade 3 or 4 myelosuppression. Two patients in the mGEMOX group had neutropenic fever that resolved with antibiotics.\nCONCLUSION: This randomized controlled trial confirmed the efficacy of chemotherapy (mGEMOX) compared with BSC and FUFA in improving OS and PFS in unresectable GBC.","container-title":"Journal of Clinical Oncology: Official Journal of the American Society of Clinical Oncology","DOI":"10.1200/JCO.2010.29.3605","ISSN":"1527-7755","issue":"30","journalAbbreviation":"J Clin Oncol","language":"eng","note":"PMID: 20855823","page":"4581-4586","source":"PubMed","title":"Best supportive care compared with chemotherapy for unresectable gall bladder cancer: a randomized controlled study","title-short":"Best supportive care compared with chemotherapy for unresectable gall bladder cancer","volume":"28","author":[{"family":"Sharma","given":"Atul"},{"family":"Dwary","given":"Amit Dutt"},{"family":"Mohanti","given":"Bidhu Kalyan"},{"family":"Deo","given":"Surya V."},{"family":"Pal","given":"Sujoy"},{"family":"Sreenivas","given":"Vishnu"},{"family":"Raina","given":"Vinod"},{"family":"Shukla","given":"Nootan Kumar"},{"family":"Thulkar","given":"Sanjay"},{"family":"Garg","given":"Pramod"},{"family":"Chaudhary","given":"Surendra Pal"}],"issued":{"date-parts":[["2010",10,20]]}},"label":"page"}],"schema":"https://github.com/citation-style-language/schema/raw/master/csl-citation.json"} </w:instrText>
      </w:r>
      <w:r w:rsidRPr="00097824">
        <w:fldChar w:fldCharType="separate"/>
      </w:r>
      <w:r w:rsidRPr="00097824">
        <w:rPr>
          <w:szCs w:val="24"/>
        </w:rPr>
        <w:t>[19,107–114, 122, 173]</w:t>
      </w:r>
      <w:r w:rsidRPr="00097824">
        <w:fldChar w:fldCharType="end"/>
      </w:r>
      <w:r w:rsidRPr="00097824">
        <w:t xml:space="preserve">. </w:t>
      </w:r>
    </w:p>
    <w:p w14:paraId="6466194B" w14:textId="77777777" w:rsidR="00822795" w:rsidRPr="00097824" w:rsidRDefault="00822795" w:rsidP="00822795">
      <w:pPr>
        <w:pStyle w:val="32"/>
        <w:ind w:left="397"/>
      </w:pPr>
      <w:r w:rsidRPr="00097824">
        <w:rPr>
          <w:color w:val="auto"/>
        </w:rPr>
        <w:t xml:space="preserve">Уровень убедительности рекомендаций – </w:t>
      </w:r>
      <w:r w:rsidRPr="00097824">
        <w:rPr>
          <w:color w:val="auto"/>
          <w:lang w:val="en-US"/>
        </w:rPr>
        <w:t>A</w:t>
      </w:r>
      <w:r w:rsidRPr="00097824">
        <w:rPr>
          <w:color w:val="auto"/>
        </w:rPr>
        <w:t xml:space="preserve"> (уровень достоверности доказательств – 2).</w:t>
      </w:r>
    </w:p>
    <w:p w14:paraId="62C40D58" w14:textId="4F194DF2" w:rsidR="009D3AB7" w:rsidRPr="00097824" w:rsidRDefault="00FF29B1" w:rsidP="00A37046">
      <w:pPr>
        <w:pStyle w:val="1"/>
        <w:numPr>
          <w:ilvl w:val="0"/>
          <w:numId w:val="0"/>
        </w:numPr>
        <w:spacing w:before="0"/>
        <w:rPr>
          <w:b/>
          <w:bCs/>
          <w:i/>
        </w:rPr>
      </w:pPr>
      <w:r w:rsidRPr="00097824">
        <w:rPr>
          <w:b/>
          <w:bCs/>
        </w:rPr>
        <w:t>Комментари</w:t>
      </w:r>
      <w:r w:rsidR="009D3AB7" w:rsidRPr="00097824">
        <w:rPr>
          <w:b/>
          <w:bCs/>
        </w:rPr>
        <w:t>и</w:t>
      </w:r>
      <w:r w:rsidRPr="00097824">
        <w:rPr>
          <w:b/>
          <w:bCs/>
        </w:rPr>
        <w:t xml:space="preserve">: </w:t>
      </w:r>
      <w:r w:rsidR="009D3AB7" w:rsidRPr="00097824">
        <w:rPr>
          <w:bCs/>
          <w:i/>
        </w:rPr>
        <w:t xml:space="preserve">по данным двойного слепого плацебо-контролируемого исследования </w:t>
      </w:r>
      <w:r w:rsidR="009D3AB7" w:rsidRPr="00097824">
        <w:rPr>
          <w:bCs/>
          <w:i/>
          <w:lang w:val="en-GB"/>
        </w:rPr>
        <w:t>III</w:t>
      </w:r>
      <w:r w:rsidR="009D3AB7" w:rsidRPr="00097824">
        <w:rPr>
          <w:bCs/>
          <w:i/>
        </w:rPr>
        <w:t xml:space="preserve"> фазы (</w:t>
      </w:r>
      <w:r w:rsidR="009D3AB7" w:rsidRPr="00097824">
        <w:rPr>
          <w:bCs/>
          <w:i/>
          <w:lang w:val="en-US"/>
        </w:rPr>
        <w:t>n</w:t>
      </w:r>
      <w:r w:rsidR="009D3AB7" w:rsidRPr="00097824">
        <w:rPr>
          <w:bCs/>
          <w:i/>
        </w:rPr>
        <w:t xml:space="preserve">=685 пациентов) с ранее не леченым </w:t>
      </w:r>
      <w:proofErr w:type="spellStart"/>
      <w:r w:rsidR="009D3AB7" w:rsidRPr="00097824">
        <w:rPr>
          <w:bCs/>
          <w:i/>
        </w:rPr>
        <w:t>нерезектабельным</w:t>
      </w:r>
      <w:proofErr w:type="spellEnd"/>
      <w:r w:rsidR="009D3AB7" w:rsidRPr="00097824">
        <w:rPr>
          <w:bCs/>
          <w:i/>
        </w:rPr>
        <w:t xml:space="preserve"> или метастатическим раком </w:t>
      </w:r>
      <w:proofErr w:type="spellStart"/>
      <w:r w:rsidR="009D3AB7" w:rsidRPr="00097824">
        <w:rPr>
          <w:bCs/>
          <w:i/>
        </w:rPr>
        <w:t>билиарного</w:t>
      </w:r>
      <w:proofErr w:type="spellEnd"/>
      <w:r w:rsidR="009D3AB7" w:rsidRPr="00097824">
        <w:rPr>
          <w:bCs/>
          <w:i/>
        </w:rPr>
        <w:t xml:space="preserve"> тракта добавление </w:t>
      </w:r>
      <w:proofErr w:type="spellStart"/>
      <w:r w:rsidR="009D3AB7" w:rsidRPr="00097824">
        <w:rPr>
          <w:bCs/>
          <w:i/>
        </w:rPr>
        <w:t>дурвалумаба</w:t>
      </w:r>
      <w:proofErr w:type="spellEnd"/>
      <w:r w:rsidR="009D3AB7" w:rsidRPr="00097824">
        <w:rPr>
          <w:bCs/>
          <w:i/>
        </w:rPr>
        <w:t xml:space="preserve">** к терапии комбинацией </w:t>
      </w:r>
      <w:proofErr w:type="spellStart"/>
      <w:r w:rsidR="009D3AB7" w:rsidRPr="00097824">
        <w:rPr>
          <w:bCs/>
          <w:i/>
        </w:rPr>
        <w:t>гемцитабин</w:t>
      </w:r>
      <w:proofErr w:type="spellEnd"/>
      <w:r w:rsidR="009D3AB7" w:rsidRPr="00097824">
        <w:rPr>
          <w:bCs/>
          <w:i/>
        </w:rPr>
        <w:t xml:space="preserve">** + </w:t>
      </w:r>
      <w:r w:rsidR="009D3AB7" w:rsidRPr="00097824">
        <w:rPr>
          <w:iCs/>
        </w:rPr>
        <w:t>#</w:t>
      </w:r>
      <w:r w:rsidR="009D3AB7" w:rsidRPr="00097824">
        <w:rPr>
          <w:bCs/>
          <w:i/>
        </w:rPr>
        <w:t xml:space="preserve">цисплатин** приводило к значимому повышению эффективности терапии.  Медианы ОВ в группах </w:t>
      </w:r>
      <w:proofErr w:type="spellStart"/>
      <w:r w:rsidR="009D3AB7" w:rsidRPr="00097824">
        <w:rPr>
          <w:bCs/>
          <w:i/>
        </w:rPr>
        <w:t>дурвалумаба</w:t>
      </w:r>
      <w:proofErr w:type="spellEnd"/>
      <w:r w:rsidR="009D3AB7" w:rsidRPr="00097824">
        <w:rPr>
          <w:bCs/>
          <w:i/>
        </w:rPr>
        <w:t xml:space="preserve">** и плацебо составила 12,8 (95% ДИ = 11,1–14,0) и 11,5 (95% ДИ = 10,1–12,5) месяцев соответственно, а </w:t>
      </w:r>
      <w:r w:rsidR="009D3AB7" w:rsidRPr="00097824">
        <w:rPr>
          <w:bCs/>
          <w:i/>
          <w:lang w:val="en-GB"/>
        </w:rPr>
        <w:t>HR</w:t>
      </w:r>
      <w:r w:rsidR="009D3AB7" w:rsidRPr="00097824">
        <w:rPr>
          <w:bCs/>
          <w:i/>
        </w:rPr>
        <w:t xml:space="preserve"> для ОВ составило 0,80 (95% ДИ = 0,66–0,97, </w:t>
      </w:r>
      <w:r w:rsidR="009D3AB7" w:rsidRPr="00097824">
        <w:rPr>
          <w:bCs/>
          <w:i/>
          <w:lang w:val="en-GB"/>
        </w:rPr>
        <w:t>p</w:t>
      </w:r>
      <w:r w:rsidR="009D3AB7" w:rsidRPr="00097824">
        <w:rPr>
          <w:bCs/>
          <w:i/>
        </w:rPr>
        <w:t xml:space="preserve"> = 0,021). ОВ за 24 мес. составила 24,9% (95% ДИ = 17,9–32,5) для пациентов, получавших </w:t>
      </w:r>
      <w:proofErr w:type="spellStart"/>
      <w:r w:rsidR="009D3AB7" w:rsidRPr="00097824">
        <w:rPr>
          <w:bCs/>
          <w:i/>
        </w:rPr>
        <w:t>дурвалумаб</w:t>
      </w:r>
      <w:proofErr w:type="spellEnd"/>
      <w:r w:rsidR="009D3AB7" w:rsidRPr="00097824">
        <w:rPr>
          <w:bCs/>
          <w:i/>
        </w:rPr>
        <w:t xml:space="preserve">**, и 10,4% (95% ДИ = 4,7–18,8) для пациентов, получавших плацебо. Медианная ВБП в группах </w:t>
      </w:r>
      <w:proofErr w:type="spellStart"/>
      <w:r w:rsidR="009D3AB7" w:rsidRPr="00097824">
        <w:rPr>
          <w:bCs/>
          <w:i/>
        </w:rPr>
        <w:t>дурвалумаба</w:t>
      </w:r>
      <w:proofErr w:type="spellEnd"/>
      <w:r w:rsidR="009D3AB7" w:rsidRPr="00097824">
        <w:rPr>
          <w:bCs/>
          <w:i/>
        </w:rPr>
        <w:t xml:space="preserve">** и плацебо составила 7,2 (95% ДИ = 6,7–7,4) и 5,7 (95% ДИ = 5,6–6,7) месяцев, а </w:t>
      </w:r>
      <w:r w:rsidR="009D3AB7" w:rsidRPr="00097824">
        <w:rPr>
          <w:bCs/>
          <w:i/>
          <w:lang w:val="en-GB"/>
        </w:rPr>
        <w:t>HR</w:t>
      </w:r>
      <w:r w:rsidR="009D3AB7" w:rsidRPr="00097824">
        <w:rPr>
          <w:bCs/>
          <w:i/>
        </w:rPr>
        <w:t xml:space="preserve"> для ВБП составило 0,75 (95% ДИ = 0,63–0,89, </w:t>
      </w:r>
      <w:r w:rsidR="009D3AB7" w:rsidRPr="00097824">
        <w:rPr>
          <w:bCs/>
          <w:i/>
          <w:lang w:val="en-GB"/>
        </w:rPr>
        <w:t>p</w:t>
      </w:r>
      <w:r w:rsidR="009D3AB7" w:rsidRPr="00097824">
        <w:rPr>
          <w:bCs/>
          <w:i/>
        </w:rPr>
        <w:t xml:space="preserve"> = 0,001). Частота объективного ответа (ЧОО) достигла 26,7% у получавших комбинацию </w:t>
      </w:r>
      <w:proofErr w:type="spellStart"/>
      <w:r w:rsidR="009D3AB7" w:rsidRPr="00097824">
        <w:rPr>
          <w:bCs/>
          <w:i/>
        </w:rPr>
        <w:t>гемцитабин</w:t>
      </w:r>
      <w:proofErr w:type="spellEnd"/>
      <w:r w:rsidR="009D3AB7" w:rsidRPr="00097824">
        <w:rPr>
          <w:bCs/>
          <w:i/>
        </w:rPr>
        <w:t xml:space="preserve">** + </w:t>
      </w:r>
      <w:r w:rsidR="009D3AB7" w:rsidRPr="00097824">
        <w:rPr>
          <w:iCs/>
        </w:rPr>
        <w:t>#</w:t>
      </w:r>
      <w:r w:rsidR="009D3AB7" w:rsidRPr="00097824">
        <w:rPr>
          <w:bCs/>
          <w:i/>
        </w:rPr>
        <w:t xml:space="preserve">цисплатин** + </w:t>
      </w:r>
      <w:proofErr w:type="spellStart"/>
      <w:r w:rsidR="009D3AB7" w:rsidRPr="00097824">
        <w:rPr>
          <w:bCs/>
          <w:i/>
        </w:rPr>
        <w:t>дурвалумаб</w:t>
      </w:r>
      <w:proofErr w:type="spellEnd"/>
      <w:r w:rsidR="009D3AB7" w:rsidRPr="00097824">
        <w:rPr>
          <w:bCs/>
          <w:i/>
        </w:rPr>
        <w:t xml:space="preserve">**, при этом в группе сравнения показатель составил только 18,7%. Добавление </w:t>
      </w:r>
      <w:proofErr w:type="spellStart"/>
      <w:r w:rsidR="009D3AB7" w:rsidRPr="00097824">
        <w:rPr>
          <w:bCs/>
          <w:i/>
        </w:rPr>
        <w:t>дурвалумаба</w:t>
      </w:r>
      <w:proofErr w:type="spellEnd"/>
      <w:r w:rsidR="009D3AB7" w:rsidRPr="00097824">
        <w:rPr>
          <w:bCs/>
          <w:i/>
        </w:rPr>
        <w:t xml:space="preserve">** к терапии комбинацией </w:t>
      </w:r>
      <w:proofErr w:type="spellStart"/>
      <w:r w:rsidR="009D3AB7" w:rsidRPr="00097824">
        <w:rPr>
          <w:bCs/>
          <w:i/>
        </w:rPr>
        <w:t>гемцитабин</w:t>
      </w:r>
      <w:proofErr w:type="spellEnd"/>
      <w:r w:rsidR="009D3AB7" w:rsidRPr="00097824">
        <w:rPr>
          <w:bCs/>
          <w:i/>
        </w:rPr>
        <w:t xml:space="preserve">** + </w:t>
      </w:r>
      <w:r w:rsidR="009D3AB7" w:rsidRPr="00097824">
        <w:rPr>
          <w:iCs/>
        </w:rPr>
        <w:t>#</w:t>
      </w:r>
      <w:r w:rsidR="009D3AB7" w:rsidRPr="00097824">
        <w:rPr>
          <w:bCs/>
          <w:i/>
        </w:rPr>
        <w:t xml:space="preserve">цисплатин** не приводило к ухудшению переносимости и безопасности лечения: частота нежелательных явлений 3 и 4 степени составила 75,7% у пациентов, получавших </w:t>
      </w:r>
      <w:proofErr w:type="spellStart"/>
      <w:r w:rsidR="009D3AB7" w:rsidRPr="00097824">
        <w:rPr>
          <w:bCs/>
          <w:i/>
        </w:rPr>
        <w:t>дурвалумаб</w:t>
      </w:r>
      <w:proofErr w:type="spellEnd"/>
      <w:r w:rsidR="009D3AB7" w:rsidRPr="00097824">
        <w:rPr>
          <w:bCs/>
          <w:i/>
        </w:rPr>
        <w:t xml:space="preserve">**, и 77,8% у пациентов, получавших плацебо </w:t>
      </w:r>
      <w:r w:rsidR="009D3AB7" w:rsidRPr="00097824">
        <w:rPr>
          <w:b/>
          <w:bCs/>
          <w:i/>
        </w:rPr>
        <w:fldChar w:fldCharType="begin"/>
      </w:r>
      <w:r w:rsidR="009D3AB7" w:rsidRPr="00097824">
        <w:rPr>
          <w:bCs/>
          <w:i/>
        </w:rPr>
        <w:instrText xml:space="preserve"> ADDIN ZOTERO_ITEM CSL_CITATION {"citationID":"GpWNQ8RG","properties":{"unsorted":true,"formattedCitation":"[122]","plainCitation":"[122]","noteIndex":0},"citationItems":[{"id":167549,"uris":["http://zotero.org/groups/4764298/items/LC8JNVQ3"],"itemData":{"id":167549,"type":"article-journal","container-title":"NEJM Evidence","note":"publisher: Massachusetts Medical Society","page":"EVIDoa2200015","source":"Google Scholar","title":"Durvalumab plus Gemcitabine and Cisplatin in Advanced Biliary Tract Cancer","author":[{"family":"Oh","given":"Do-Youn"},{"family":"Ruth He","given":"Aiwu"},{"family":"Qin","given":"Shukui"},{"family":"Chen","given":"Li-Tzong"},{"family":"Okusaka","given":"Takuji"},{"family":"Vogel","given":"Arndt"},{"family":"Kim","given":"Jin Won"},{"family":"Suksombooncharoen","given":"Thatthan"},{"family":"Ah Lee","given":"Myung"},{"family":"Kitano","given":"Masayuki"}],"issued":{"date-parts":[["2022"]]}}}],"schema":"https://github.com/citation-style-language/schema/raw/master/csl-citation.json"} </w:instrText>
      </w:r>
      <w:r w:rsidR="009D3AB7" w:rsidRPr="00097824">
        <w:rPr>
          <w:b/>
          <w:bCs/>
          <w:i/>
        </w:rPr>
        <w:fldChar w:fldCharType="separate"/>
      </w:r>
      <w:r w:rsidR="009D3AB7" w:rsidRPr="00097824">
        <w:rPr>
          <w:bCs/>
        </w:rPr>
        <w:t>[122]</w:t>
      </w:r>
      <w:r w:rsidR="009D3AB7" w:rsidRPr="00097824">
        <w:rPr>
          <w:b/>
          <w:bCs/>
          <w:i/>
        </w:rPr>
        <w:fldChar w:fldCharType="end"/>
      </w:r>
      <w:r w:rsidR="009D3AB7" w:rsidRPr="00097824">
        <w:rPr>
          <w:bCs/>
          <w:i/>
        </w:rPr>
        <w:t>.</w:t>
      </w:r>
      <w:r w:rsidR="009D3AB7" w:rsidRPr="00097824">
        <w:rPr>
          <w:b/>
          <w:bCs/>
          <w:i/>
        </w:rPr>
        <w:t xml:space="preserve"> </w:t>
      </w:r>
    </w:p>
    <w:p w14:paraId="4221362A" w14:textId="4773D857" w:rsidR="009D3AB7" w:rsidRPr="00097824" w:rsidRDefault="009D3AB7" w:rsidP="00A37046">
      <w:pPr>
        <w:pStyle w:val="1"/>
        <w:numPr>
          <w:ilvl w:val="0"/>
          <w:numId w:val="0"/>
        </w:numPr>
        <w:spacing w:before="0"/>
        <w:rPr>
          <w:b/>
          <w:bCs/>
        </w:rPr>
      </w:pPr>
      <w:r w:rsidRPr="00097824">
        <w:rPr>
          <w:bCs/>
          <w:i/>
          <w:color w:val="000000" w:themeColor="text1"/>
        </w:rPr>
        <w:t xml:space="preserve">По данным двойного слепого плацебо-контролируемого исследования </w:t>
      </w:r>
      <w:r w:rsidRPr="00097824">
        <w:rPr>
          <w:bCs/>
          <w:i/>
          <w:color w:val="000000" w:themeColor="text1"/>
          <w:lang w:val="en-GB"/>
        </w:rPr>
        <w:t>III</w:t>
      </w:r>
      <w:r w:rsidRPr="00097824">
        <w:rPr>
          <w:bCs/>
          <w:i/>
          <w:color w:val="000000" w:themeColor="text1"/>
        </w:rPr>
        <w:t xml:space="preserve"> фазы с участием 1069 пациентов с ранее не леченым </w:t>
      </w:r>
      <w:proofErr w:type="spellStart"/>
      <w:r w:rsidRPr="00097824">
        <w:rPr>
          <w:bCs/>
          <w:i/>
          <w:color w:val="000000" w:themeColor="text1"/>
        </w:rPr>
        <w:t>нерезектабельным</w:t>
      </w:r>
      <w:proofErr w:type="spellEnd"/>
      <w:r w:rsidRPr="00097824">
        <w:rPr>
          <w:bCs/>
          <w:i/>
          <w:color w:val="000000" w:themeColor="text1"/>
        </w:rPr>
        <w:t xml:space="preserve"> или метастатическим раком </w:t>
      </w:r>
      <w:proofErr w:type="spellStart"/>
      <w:r w:rsidRPr="00097824">
        <w:rPr>
          <w:bCs/>
          <w:i/>
          <w:color w:val="000000" w:themeColor="text1"/>
        </w:rPr>
        <w:lastRenderedPageBreak/>
        <w:t>билиарного</w:t>
      </w:r>
      <w:proofErr w:type="spellEnd"/>
      <w:r w:rsidRPr="00097824">
        <w:rPr>
          <w:bCs/>
          <w:i/>
          <w:color w:val="000000" w:themeColor="text1"/>
        </w:rPr>
        <w:t xml:space="preserve"> тракта добавление </w:t>
      </w:r>
      <w:proofErr w:type="spellStart"/>
      <w:r w:rsidRPr="00097824">
        <w:rPr>
          <w:bCs/>
          <w:i/>
          <w:color w:val="000000" w:themeColor="text1"/>
        </w:rPr>
        <w:t>пембролизумаба</w:t>
      </w:r>
      <w:proofErr w:type="spellEnd"/>
      <w:r w:rsidRPr="00097824">
        <w:rPr>
          <w:bCs/>
          <w:i/>
          <w:color w:val="000000" w:themeColor="text1"/>
        </w:rPr>
        <w:t xml:space="preserve">** к терапии комбинацией </w:t>
      </w:r>
      <w:proofErr w:type="spellStart"/>
      <w:r w:rsidRPr="00097824">
        <w:rPr>
          <w:bCs/>
          <w:i/>
          <w:color w:val="000000" w:themeColor="text1"/>
        </w:rPr>
        <w:t>гемцитабин</w:t>
      </w:r>
      <w:proofErr w:type="spellEnd"/>
      <w:r w:rsidRPr="00097824">
        <w:rPr>
          <w:bCs/>
          <w:i/>
          <w:color w:val="000000" w:themeColor="text1"/>
        </w:rPr>
        <w:t xml:space="preserve">** + </w:t>
      </w:r>
      <w:r w:rsidRPr="00097824">
        <w:rPr>
          <w:iCs/>
        </w:rPr>
        <w:t>#</w:t>
      </w:r>
      <w:r w:rsidRPr="00097824">
        <w:rPr>
          <w:bCs/>
          <w:i/>
          <w:color w:val="000000" w:themeColor="text1"/>
        </w:rPr>
        <w:t xml:space="preserve">цисплатин** </w:t>
      </w:r>
      <w:proofErr w:type="gramStart"/>
      <w:r w:rsidRPr="00097824">
        <w:rPr>
          <w:bCs/>
          <w:i/>
          <w:color w:val="000000" w:themeColor="text1"/>
        </w:rPr>
        <w:t xml:space="preserve">приводило  </w:t>
      </w:r>
      <w:r w:rsidR="00BF4B88" w:rsidRPr="00097824">
        <w:rPr>
          <w:bCs/>
          <w:i/>
          <w:color w:val="000000" w:themeColor="text1"/>
        </w:rPr>
        <w:t>достоверному</w:t>
      </w:r>
      <w:proofErr w:type="gramEnd"/>
      <w:r w:rsidR="00BF4B88" w:rsidRPr="00097824">
        <w:rPr>
          <w:bCs/>
          <w:i/>
          <w:color w:val="000000" w:themeColor="text1"/>
        </w:rPr>
        <w:t xml:space="preserve"> </w:t>
      </w:r>
      <w:r w:rsidRPr="00097824">
        <w:rPr>
          <w:bCs/>
          <w:i/>
          <w:color w:val="000000" w:themeColor="text1"/>
        </w:rPr>
        <w:t xml:space="preserve">повышению </w:t>
      </w:r>
      <w:r w:rsidRPr="00097824">
        <w:rPr>
          <w:i/>
          <w:color w:val="000000" w:themeColor="text1"/>
          <w:szCs w:val="24"/>
        </w:rPr>
        <w:t xml:space="preserve">ОВ. Комбинация </w:t>
      </w:r>
      <w:proofErr w:type="spellStart"/>
      <w:r w:rsidRPr="00097824">
        <w:rPr>
          <w:bCs/>
          <w:i/>
          <w:color w:val="000000" w:themeColor="text1"/>
        </w:rPr>
        <w:t>пембролизумаба</w:t>
      </w:r>
      <w:proofErr w:type="spellEnd"/>
      <w:r w:rsidRPr="00097824">
        <w:rPr>
          <w:bCs/>
          <w:i/>
          <w:color w:val="000000" w:themeColor="text1"/>
        </w:rPr>
        <w:t>**</w:t>
      </w:r>
      <w:r w:rsidRPr="00097824">
        <w:rPr>
          <w:i/>
          <w:color w:val="000000" w:themeColor="text1"/>
          <w:szCs w:val="24"/>
        </w:rPr>
        <w:t xml:space="preserve"> и </w:t>
      </w:r>
      <w:proofErr w:type="spellStart"/>
      <w:r w:rsidRPr="00097824">
        <w:rPr>
          <w:bCs/>
          <w:i/>
          <w:color w:val="000000" w:themeColor="text1"/>
        </w:rPr>
        <w:t>гемцитабин</w:t>
      </w:r>
      <w:proofErr w:type="spellEnd"/>
      <w:r w:rsidRPr="00097824">
        <w:rPr>
          <w:bCs/>
          <w:i/>
          <w:color w:val="000000" w:themeColor="text1"/>
        </w:rPr>
        <w:t xml:space="preserve">** + </w:t>
      </w:r>
      <w:r w:rsidRPr="00097824">
        <w:rPr>
          <w:iCs/>
        </w:rPr>
        <w:t>#</w:t>
      </w:r>
      <w:r w:rsidRPr="00097824">
        <w:rPr>
          <w:bCs/>
          <w:i/>
          <w:color w:val="000000" w:themeColor="text1"/>
        </w:rPr>
        <w:t>цисплатин*</w:t>
      </w:r>
      <w:proofErr w:type="gramStart"/>
      <w:r w:rsidRPr="00097824">
        <w:rPr>
          <w:bCs/>
          <w:i/>
          <w:color w:val="000000" w:themeColor="text1"/>
        </w:rPr>
        <w:t>*</w:t>
      </w:r>
      <w:r w:rsidRPr="00097824">
        <w:rPr>
          <w:i/>
          <w:color w:val="000000" w:themeColor="text1"/>
          <w:szCs w:val="24"/>
        </w:rPr>
        <w:t xml:space="preserve">  улучшила</w:t>
      </w:r>
      <w:proofErr w:type="gramEnd"/>
      <w:r w:rsidRPr="00097824">
        <w:rPr>
          <w:i/>
          <w:color w:val="000000" w:themeColor="text1"/>
          <w:szCs w:val="24"/>
        </w:rPr>
        <w:t xml:space="preserve"> общую выживаемость (р = 0,0034). Медиана ОВ составила 12,7 в группе </w:t>
      </w:r>
      <w:proofErr w:type="spellStart"/>
      <w:r w:rsidRPr="00097824">
        <w:rPr>
          <w:bCs/>
          <w:i/>
          <w:color w:val="000000" w:themeColor="text1"/>
        </w:rPr>
        <w:t>пембролизумаба</w:t>
      </w:r>
      <w:proofErr w:type="spellEnd"/>
      <w:r w:rsidRPr="00097824">
        <w:rPr>
          <w:bCs/>
          <w:i/>
          <w:color w:val="000000" w:themeColor="text1"/>
        </w:rPr>
        <w:t>**</w:t>
      </w:r>
      <w:r w:rsidRPr="00097824">
        <w:rPr>
          <w:i/>
          <w:color w:val="000000" w:themeColor="text1"/>
          <w:szCs w:val="24"/>
        </w:rPr>
        <w:t xml:space="preserve"> и 10,9 месяцев в группе плацебо соответственно. Общая 12-месячная выживаемость составила 52% против 44%, а 24-месячная выживаемость — 25% против 18% соответственно </w:t>
      </w:r>
      <w:r w:rsidRPr="00097824">
        <w:rPr>
          <w:color w:val="000000" w:themeColor="text1"/>
          <w:szCs w:val="24"/>
        </w:rPr>
        <w:t>[173]</w:t>
      </w:r>
      <w:r w:rsidRPr="00097824">
        <w:rPr>
          <w:i/>
          <w:color w:val="000000" w:themeColor="text1"/>
          <w:szCs w:val="24"/>
        </w:rPr>
        <w:t xml:space="preserve">. </w:t>
      </w:r>
    </w:p>
    <w:p w14:paraId="15BA1366" w14:textId="1C6FCB23" w:rsidR="00FF29B1" w:rsidRPr="00097824" w:rsidRDefault="009D3AB7" w:rsidP="0096386D">
      <w:pPr>
        <w:pStyle w:val="1"/>
        <w:numPr>
          <w:ilvl w:val="0"/>
          <w:numId w:val="0"/>
        </w:numPr>
        <w:spacing w:before="0"/>
        <w:rPr>
          <w:szCs w:val="24"/>
          <w:shd w:val="clear" w:color="auto" w:fill="FFFFFF"/>
        </w:rPr>
      </w:pPr>
      <w:r w:rsidRPr="00097824">
        <w:rPr>
          <w:bCs/>
          <w:i/>
        </w:rPr>
        <w:t>Х</w:t>
      </w:r>
      <w:r w:rsidR="00FF29B1" w:rsidRPr="00097824">
        <w:rPr>
          <w:bCs/>
          <w:i/>
        </w:rPr>
        <w:t xml:space="preserve">имиотерапия при наличии дренажей и стентов в </w:t>
      </w:r>
      <w:proofErr w:type="spellStart"/>
      <w:r w:rsidR="00FF29B1" w:rsidRPr="00097824">
        <w:rPr>
          <w:bCs/>
          <w:i/>
        </w:rPr>
        <w:t>билиарном</w:t>
      </w:r>
      <w:proofErr w:type="spellEnd"/>
      <w:r w:rsidR="00FF29B1" w:rsidRPr="00097824">
        <w:rPr>
          <w:bCs/>
          <w:i/>
        </w:rPr>
        <w:t xml:space="preserve"> дереве часто (&gt;50% пациентов) осложняется обострением острого холангита, холестазом и холестатическим гепатитом. С целью профилактики инфекционных осложнений (холангит) необходим активный мониторинг состоятельности дренирования, своевременная замена дренажей, профилактические промывания дренажей растворами антибактериальных препаратов. При подозрении на инфицирование – своевременная антибактериальная терапия препаратами широкого спектра действия (J01: Антибактериальные препараты системного действия), при необходимости корригируемая на основании результатов бактериального посева с определением индивидуальной чувствительности микробной флоры к антибиотикам (J01: Антибактериальные препараты системного действия).</w:t>
      </w:r>
      <w:r w:rsidR="00FF29B1" w:rsidRPr="00097824">
        <w:rPr>
          <w:b/>
          <w:szCs w:val="24"/>
          <w:shd w:val="clear" w:color="auto" w:fill="FFFFFF"/>
        </w:rPr>
        <w:t xml:space="preserve"> </w:t>
      </w:r>
      <w:r w:rsidR="00FF29B1" w:rsidRPr="00097824">
        <w:rPr>
          <w:i/>
          <w:szCs w:val="24"/>
          <w:shd w:val="clear" w:color="auto" w:fill="FFFFFF"/>
        </w:rPr>
        <w:t xml:space="preserve">Длительность лечения определяется переносимостью, влиянием на качество жизни пациента, непосредственной эффективностью, нет доказательств дополнительной пользы лечения длительностью более 6 мес. </w:t>
      </w:r>
      <w:r w:rsidR="00FF29B1" w:rsidRPr="00097824">
        <w:rPr>
          <w:iCs/>
        </w:rPr>
        <w:t>#</w:t>
      </w:r>
      <w:r w:rsidR="00FF29B1" w:rsidRPr="00097824">
        <w:rPr>
          <w:i/>
          <w:szCs w:val="24"/>
          <w:shd w:val="clear" w:color="auto" w:fill="FFFFFF"/>
        </w:rPr>
        <w:t xml:space="preserve">Оксалиплатин** в дозе </w:t>
      </w:r>
      <w:r w:rsidR="00FF29B1" w:rsidRPr="00097824">
        <w:rPr>
          <w:i/>
        </w:rPr>
        <w:t>100 мг/м</w:t>
      </w:r>
      <w:r w:rsidR="00FF29B1" w:rsidRPr="00097824">
        <w:rPr>
          <w:i/>
          <w:vertAlign w:val="superscript"/>
        </w:rPr>
        <w:t>2</w:t>
      </w:r>
      <w:r w:rsidR="00FF29B1" w:rsidRPr="00097824">
        <w:rPr>
          <w:i/>
        </w:rPr>
        <w:t xml:space="preserve"> в/в во 1-й день, интервал –3 недели</w:t>
      </w:r>
      <w:r w:rsidR="00FF29B1" w:rsidRPr="00097824">
        <w:rPr>
          <w:i/>
          <w:szCs w:val="24"/>
          <w:shd w:val="clear" w:color="auto" w:fill="FFFFFF"/>
        </w:rPr>
        <w:t xml:space="preserve"> может заменить </w:t>
      </w:r>
      <w:r w:rsidR="00FF29B1" w:rsidRPr="00097824">
        <w:rPr>
          <w:iCs/>
        </w:rPr>
        <w:t>#</w:t>
      </w:r>
      <w:r w:rsidR="00FF29B1" w:rsidRPr="00097824">
        <w:rPr>
          <w:i/>
          <w:szCs w:val="24"/>
          <w:shd w:val="clear" w:color="auto" w:fill="FFFFFF"/>
        </w:rPr>
        <w:t xml:space="preserve">цисплатин** в сочетании с </w:t>
      </w:r>
      <w:proofErr w:type="spellStart"/>
      <w:r w:rsidR="00FF29B1" w:rsidRPr="00097824">
        <w:rPr>
          <w:i/>
          <w:szCs w:val="24"/>
          <w:shd w:val="clear" w:color="auto" w:fill="FFFFFF"/>
        </w:rPr>
        <w:t>гемцитабином</w:t>
      </w:r>
      <w:proofErr w:type="spellEnd"/>
      <w:r w:rsidR="00FF29B1" w:rsidRPr="00097824">
        <w:rPr>
          <w:i/>
          <w:szCs w:val="24"/>
          <w:shd w:val="clear" w:color="auto" w:fill="FFFFFF"/>
        </w:rPr>
        <w:t xml:space="preserve">** 1000 мг/м2 при нарушенной функции почек, высокой токсичности </w:t>
      </w:r>
      <w:proofErr w:type="spellStart"/>
      <w:r w:rsidR="00FF29B1" w:rsidRPr="00097824">
        <w:rPr>
          <w:i/>
          <w:szCs w:val="24"/>
          <w:shd w:val="clear" w:color="auto" w:fill="FFFFFF"/>
        </w:rPr>
        <w:t>цисплатина</w:t>
      </w:r>
      <w:proofErr w:type="spellEnd"/>
      <w:r w:rsidR="00FF29B1" w:rsidRPr="00097824">
        <w:rPr>
          <w:i/>
          <w:szCs w:val="24"/>
          <w:shd w:val="clear" w:color="auto" w:fill="FFFFFF"/>
        </w:rPr>
        <w:t xml:space="preserve">**, других противопоказаниях к </w:t>
      </w:r>
      <w:proofErr w:type="spellStart"/>
      <w:r w:rsidR="00FF29B1" w:rsidRPr="00097824">
        <w:rPr>
          <w:i/>
          <w:szCs w:val="24"/>
          <w:shd w:val="clear" w:color="auto" w:fill="FFFFFF"/>
        </w:rPr>
        <w:t>цисплатину</w:t>
      </w:r>
      <w:proofErr w:type="spellEnd"/>
      <w:r w:rsidR="00FF29B1" w:rsidRPr="00097824">
        <w:rPr>
          <w:i/>
          <w:szCs w:val="24"/>
          <w:shd w:val="clear" w:color="auto" w:fill="FFFFFF"/>
        </w:rPr>
        <w:t>** [154].</w:t>
      </w:r>
      <w:r w:rsidR="00FF29B1" w:rsidRPr="00097824">
        <w:rPr>
          <w:szCs w:val="24"/>
          <w:shd w:val="clear" w:color="auto" w:fill="FFFFFF"/>
        </w:rPr>
        <w:t xml:space="preserve"> </w:t>
      </w:r>
      <w:r w:rsidR="00FF29B1" w:rsidRPr="00097824">
        <w:rPr>
          <w:i/>
          <w:sz w:val="22"/>
          <w:szCs w:val="24"/>
          <w:shd w:val="clear" w:color="auto" w:fill="FFFFFF"/>
        </w:rPr>
        <w:t xml:space="preserve"> </w:t>
      </w:r>
      <w:r w:rsidR="00FF29B1" w:rsidRPr="00097824">
        <w:rPr>
          <w:i/>
          <w:szCs w:val="27"/>
          <w:shd w:val="clear" w:color="auto" w:fill="FFFFFF"/>
        </w:rPr>
        <w:t xml:space="preserve">Химиотерапия </w:t>
      </w:r>
      <w:proofErr w:type="spellStart"/>
      <w:r w:rsidR="00FF29B1" w:rsidRPr="00097824">
        <w:rPr>
          <w:i/>
          <w:szCs w:val="27"/>
          <w:shd w:val="clear" w:color="auto" w:fill="FFFFFF"/>
        </w:rPr>
        <w:t>гемцитабин</w:t>
      </w:r>
      <w:proofErr w:type="spellEnd"/>
      <w:r w:rsidR="00FF29B1" w:rsidRPr="00097824">
        <w:rPr>
          <w:i/>
          <w:szCs w:val="27"/>
          <w:shd w:val="clear" w:color="auto" w:fill="FFFFFF"/>
        </w:rPr>
        <w:t xml:space="preserve">** + </w:t>
      </w:r>
      <w:r w:rsidR="00FF29B1" w:rsidRPr="00097824">
        <w:rPr>
          <w:iCs/>
        </w:rPr>
        <w:t>#</w:t>
      </w:r>
      <w:r w:rsidR="00FF29B1" w:rsidRPr="00097824">
        <w:rPr>
          <w:i/>
          <w:szCs w:val="27"/>
          <w:shd w:val="clear" w:color="auto" w:fill="FFFFFF"/>
        </w:rPr>
        <w:t xml:space="preserve">цисплатин** возможна при умеренно повышенном уровне </w:t>
      </w:r>
      <w:proofErr w:type="gramStart"/>
      <w:r w:rsidR="00FF29B1" w:rsidRPr="00097824">
        <w:rPr>
          <w:i/>
          <w:szCs w:val="27"/>
          <w:shd w:val="clear" w:color="auto" w:fill="FFFFFF"/>
        </w:rPr>
        <w:t>билирубина  вследствие</w:t>
      </w:r>
      <w:proofErr w:type="gramEnd"/>
      <w:r w:rsidR="00FF29B1" w:rsidRPr="00097824">
        <w:rPr>
          <w:i/>
          <w:szCs w:val="27"/>
          <w:shd w:val="clear" w:color="auto" w:fill="FFFFFF"/>
        </w:rPr>
        <w:t xml:space="preserve"> внутрипеченочного холестаза при адекватном оттоке желчи [155].</w:t>
      </w:r>
      <w:r w:rsidR="00FF29B1" w:rsidRPr="00097824">
        <w:rPr>
          <w:b/>
          <w:bCs/>
          <w:i/>
          <w:szCs w:val="27"/>
          <w:lang w:eastAsia="ru-RU"/>
        </w:rPr>
        <w:t xml:space="preserve"> </w:t>
      </w:r>
    </w:p>
    <w:p w14:paraId="3B03BAAD" w14:textId="5CE193B7" w:rsidR="00784873" w:rsidRPr="00097824" w:rsidRDefault="00784873" w:rsidP="00784873">
      <w:pPr>
        <w:pStyle w:val="1"/>
        <w:tabs>
          <w:tab w:val="clear" w:pos="786"/>
          <w:tab w:val="num" w:pos="720"/>
        </w:tabs>
        <w:ind w:left="720"/>
      </w:pPr>
      <w:r w:rsidRPr="00097824">
        <w:t>У пациентов</w:t>
      </w:r>
      <w:r w:rsidR="00EE7E11" w:rsidRPr="00097824">
        <w:t xml:space="preserve"> старше 18 лет</w:t>
      </w:r>
      <w:r w:rsidRPr="00097824">
        <w:t xml:space="preserve"> с первично неоперабельным </w:t>
      </w:r>
      <w:proofErr w:type="spellStart"/>
      <w:r w:rsidRPr="00097824">
        <w:t>местнораспространенным</w:t>
      </w:r>
      <w:proofErr w:type="spellEnd"/>
      <w:r w:rsidRPr="00097824">
        <w:t xml:space="preserve"> раком </w:t>
      </w:r>
      <w:proofErr w:type="spellStart"/>
      <w:r w:rsidRPr="00097824">
        <w:t>билиарного</w:t>
      </w:r>
      <w:proofErr w:type="spellEnd"/>
      <w:r w:rsidRPr="00097824">
        <w:t xml:space="preserve"> тракта при эффективной локо-регионарной и/или системной химиотерапии и уменьшении локальной распространенности опухоли до достижения критериев </w:t>
      </w:r>
      <w:proofErr w:type="spellStart"/>
      <w:r w:rsidRPr="00097824">
        <w:t>резектабельности</w:t>
      </w:r>
      <w:proofErr w:type="spellEnd"/>
      <w:r w:rsidRPr="00097824">
        <w:t xml:space="preserve"> за счет уменьшения размера опухоли</w:t>
      </w:r>
      <w:r w:rsidRPr="00097824" w:rsidDel="00B05B00">
        <w:t xml:space="preserve"> </w:t>
      </w:r>
      <w:r w:rsidRPr="00097824">
        <w:t xml:space="preserve">целесообразно повторное обсуждение междисциплинарной командой возможности </w:t>
      </w:r>
      <w:r w:rsidR="007D0234" w:rsidRPr="00097824">
        <w:t xml:space="preserve">радикального </w:t>
      </w:r>
      <w:r w:rsidRPr="00097824">
        <w:t xml:space="preserve">хирургического лечения </w:t>
      </w:r>
      <w:r w:rsidRPr="00097824">
        <w:fldChar w:fldCharType="begin"/>
      </w:r>
      <w:r w:rsidRPr="00097824">
        <w:instrText xml:space="preserve"> ADDIN ZOTERO_ITEM CSL_CITATION {"citationID":"BaZyNN4n","properties":{"formattedCitation":"[115]","plainCitation":"[115]","noteIndex":0},"citationItems":[{"id":166633,"uris":["http://zotero.org/groups/4764298/items/AVWRJ5UH"],"itemData":{"id":166633,"type":"article-journal","abstract":"Surgical resection is the only method for curative treatment of biliary tract cancer (BTC). Recently, an improved efficacy has been revealed in patients with initially unresectable locally advanced BTC to improve the prognosis by the advent of useful cancer chemotherapy. The aim of this study was to evaluate the effect of downsizing chemotherapy in patients with initially unresectable locally advanced BTC.","container-title":"Annals of Surgical Oncology","DOI":"10.1245/s10434-012-2312-8","ISSN":"1534-4681","issue":"1","journalAbbreviation":"Ann Surg Oncol","language":"en","page":"318-324","source":"Springer Link","title":"Surgical Resection after Downsizing Chemotherapy for Initially Unresectable Locally Advanced Biliary Tract Cancer: A Retrospective Single-center Study","title-short":"Surgical Resection after Downsizing Chemotherapy for Initially Unresectable Locally Advanced Biliary Tract Cancer","volume":"20","author":[{"family":"Kato","given":"Atsushi"},{"family":"Shimizu","given":"Hiroaki"},{"family":"Ohtsuka","given":"Masayuki"},{"family":"Yoshidome","given":"Hiroyuki"},{"family":"Yoshitomi","given":"Hideyuki"},{"family":"Furukawa","given":"Katsunori"},{"family":"Takeuchi","given":"Dan"},{"family":"Takayashiki","given":"Tsukasa"},{"family":"Kimura","given":"Fumio"},{"family":"Miyazaki","given":"Masaru"}],"issued":{"date-parts":[["2013",1,1]]}}}],"schema":"https://github.com/citation-style-language/schema/raw/master/csl-citation.json"} </w:instrText>
      </w:r>
      <w:r w:rsidRPr="00097824">
        <w:fldChar w:fldCharType="separate"/>
      </w:r>
      <w:r w:rsidRPr="00097824">
        <w:t>[115,</w:t>
      </w:r>
      <w:r w:rsidR="007D0234" w:rsidRPr="00097824">
        <w:t xml:space="preserve"> 119, 120, 156</w:t>
      </w:r>
      <w:r w:rsidRPr="00097824">
        <w:t>]</w:t>
      </w:r>
      <w:r w:rsidRPr="00097824">
        <w:fldChar w:fldCharType="end"/>
      </w:r>
      <w:r w:rsidRPr="00097824">
        <w:t xml:space="preserve">. </w:t>
      </w:r>
    </w:p>
    <w:p w14:paraId="3BB4D0F9" w14:textId="63C1388F" w:rsidR="00784873" w:rsidRPr="00097824" w:rsidRDefault="00784873" w:rsidP="00A37046">
      <w:pPr>
        <w:pStyle w:val="32"/>
        <w:spacing w:after="240"/>
        <w:ind w:firstLine="0"/>
        <w:rPr>
          <w:color w:val="auto"/>
        </w:rPr>
      </w:pPr>
      <w:r w:rsidRPr="00097824">
        <w:rPr>
          <w:color w:val="auto"/>
        </w:rPr>
        <w:t xml:space="preserve">Уровень убедительности рекомендаций – </w:t>
      </w:r>
      <w:r w:rsidRPr="00097824">
        <w:rPr>
          <w:color w:val="auto"/>
          <w:lang w:val="en-GB"/>
        </w:rPr>
        <w:t>C</w:t>
      </w:r>
      <w:r w:rsidRPr="00097824">
        <w:rPr>
          <w:color w:val="auto"/>
        </w:rPr>
        <w:t xml:space="preserve"> (уровень достоверности доказательств 4).</w:t>
      </w:r>
    </w:p>
    <w:p w14:paraId="35862CD1" w14:textId="433BAAF4" w:rsidR="00B3245E" w:rsidRPr="00097824" w:rsidRDefault="00B3245E" w:rsidP="00B3245E">
      <w:pPr>
        <w:pStyle w:val="1"/>
        <w:spacing w:before="0"/>
        <w:ind w:left="397" w:firstLine="357"/>
      </w:pPr>
      <w:r w:rsidRPr="00097824">
        <w:lastRenderedPageBreak/>
        <w:t xml:space="preserve">Рекомендовано проведение химиотерапии второй линии диссеминированного </w:t>
      </w:r>
      <w:r w:rsidRPr="00097824">
        <w:rPr>
          <w:szCs w:val="32"/>
        </w:rPr>
        <w:t xml:space="preserve">рака </w:t>
      </w:r>
      <w:proofErr w:type="spellStart"/>
      <w:r w:rsidRPr="00097824">
        <w:rPr>
          <w:szCs w:val="32"/>
        </w:rPr>
        <w:t>билиарного</w:t>
      </w:r>
      <w:proofErr w:type="spellEnd"/>
      <w:r w:rsidRPr="00097824">
        <w:rPr>
          <w:szCs w:val="32"/>
        </w:rPr>
        <w:t xml:space="preserve"> тракта</w:t>
      </w:r>
      <w:r w:rsidRPr="00097824">
        <w:t>, при удовлетворительном состоянии пациента</w:t>
      </w:r>
      <w:r w:rsidR="00EE7E11" w:rsidRPr="00097824">
        <w:t xml:space="preserve"> старше 18 лет</w:t>
      </w:r>
      <w:r w:rsidRPr="00097824">
        <w:t xml:space="preserve"> с использованием режима лечения, учитывающего эффективность 1-й линии, с целью контроля симптомов заболевания и увеличения продолжительности жизни </w:t>
      </w:r>
      <w:r w:rsidRPr="00097824">
        <w:fldChar w:fldCharType="begin"/>
      </w:r>
      <w:r w:rsidRPr="00097824">
        <w:instrText xml:space="preserve"> ADDIN ZOTERO_ITEM CSL_CITATION {"citationID":"uaV0ncF2","properties":{"formattedCitation":"[10,19,43]","plainCitation":"[10,19,43]","noteIndex":0},"citationItems":[{"id":166644,"uris":["http://zotero.org/groups/4764298/items/6QHBBU8X"],"itemData":{"id":166644,"type":"article-journal","container-title":"JNCCN Journal of the National Comprehensive Cancer Network","issue":"8","note":"publisher: Cold Spring Publishing LLC","page":"728–750","source":"Google Scholar","title":"Hepatobiliary cancers clinical practice guidelines in oncology","volume":"4","author":[{"family":"Benson","given":"Al B."},{"family":"Bekaii-Saab","given":"Tanios"},{"family":"Ben-Josef","given":"Edgar"},{"family":"Blumgart","given":"Leslie"},{"family":"Clary","given":"Bryan M."},{"family":"Curley","given":"Steven A."},{"family":"Davila","given":"Rene"},{"family":"Earle","given":"Craig C."},{"family":"Ensminger","given":"William D."},{"family":"Gibbs","given":"John F."}],"issued":{"date-parts":[["2006"]]}},"label":"page"},{"id":166676,"uris":["http://zotero.org/groups/4764298/items/HLCDHDCZ"],"itemData":{"id":166676,"type":"article-journal","container-title":"Annals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166691,"uris":["http://zotero.org/groups/4764298/items/VYFPKCAQ"],"itemData":{"id":166691,"type":"document","publisher":"American Society of Clinical Oncology","source":"Google Scholar","title":"ABC-06| A randomised phase III, multi-centre, open-label study of active symptom control (ASC) alone or ASC with oxaliplatin/5-FU chemotherapy (ASC+ mFOLFOX) for patients (pts) with locally advanced/metastatic biliary tract cancers (ABC) previously-treated with cisplatin/gemcitabine (CisGem) chemotherapy.","author":[{"family":"Lamarca","given":"Angela"},{"family":"Palmer","given":"Daniel H."},{"family":"Wasan","given":"Harpreet Singh"},{"family":"Ross","given":"Paul J."},{"family":"Ma","given":"Yuk Ting"},{"family":"Arora","given":"Arvind"},{"family":"Falk","given":"Stephen"},{"family":"Gillmore","given":"Roopinder"},{"family":"Wadsley","given":"Jonathan"},{"family":"Patel","given":"Kinnari"}],"issued":{"date-parts":[["2019"]]}},"label":"page"}],"schema":"https://github.com/citation-style-language/schema/raw/master/csl-citation.json"} </w:instrText>
      </w:r>
      <w:r w:rsidRPr="00097824">
        <w:fldChar w:fldCharType="separate"/>
      </w:r>
      <w:r w:rsidRPr="00097824">
        <w:t>[10,19,43]</w:t>
      </w:r>
      <w:r w:rsidRPr="00097824">
        <w:fldChar w:fldCharType="end"/>
      </w:r>
      <w:r w:rsidRPr="00097824">
        <w:t xml:space="preserve">. </w:t>
      </w:r>
    </w:p>
    <w:p w14:paraId="7772218B" w14:textId="1CFC586B" w:rsidR="00B3245E" w:rsidRPr="00097824" w:rsidRDefault="00B3245E" w:rsidP="009D3AB7">
      <w:pPr>
        <w:pStyle w:val="32"/>
        <w:ind w:firstLine="0"/>
        <w:rPr>
          <w:color w:val="auto"/>
        </w:rPr>
      </w:pPr>
      <w:r w:rsidRPr="00097824">
        <w:rPr>
          <w:color w:val="auto"/>
        </w:rPr>
        <w:t xml:space="preserve">Уровень убедительности рекомендаций – </w:t>
      </w:r>
      <w:r w:rsidR="00B60607" w:rsidRPr="00097824">
        <w:rPr>
          <w:color w:val="auto"/>
        </w:rPr>
        <w:t>С</w:t>
      </w:r>
      <w:r w:rsidRPr="00097824">
        <w:rPr>
          <w:color w:val="auto"/>
        </w:rPr>
        <w:t xml:space="preserve"> (уровень достоверности </w:t>
      </w:r>
      <w:proofErr w:type="gramStart"/>
      <w:r w:rsidRPr="00097824">
        <w:rPr>
          <w:color w:val="auto"/>
        </w:rPr>
        <w:t xml:space="preserve">доказательств  </w:t>
      </w:r>
      <w:r w:rsidR="00B60607" w:rsidRPr="00097824">
        <w:rPr>
          <w:color w:val="auto"/>
        </w:rPr>
        <w:t>5</w:t>
      </w:r>
      <w:proofErr w:type="gramEnd"/>
      <w:r w:rsidRPr="00097824">
        <w:rPr>
          <w:color w:val="auto"/>
        </w:rPr>
        <w:t>).</w:t>
      </w:r>
    </w:p>
    <w:p w14:paraId="707DC69B" w14:textId="69588249" w:rsidR="00B3245E" w:rsidRPr="00097824" w:rsidRDefault="00B3245E" w:rsidP="00B3245E">
      <w:pPr>
        <w:pStyle w:val="32"/>
        <w:ind w:left="397" w:firstLine="0"/>
        <w:rPr>
          <w:rFonts w:asciiTheme="minorHAnsi" w:hAnsiTheme="minorHAnsi" w:cs="Helvetica"/>
          <w:color w:val="505050"/>
          <w:sz w:val="27"/>
          <w:szCs w:val="27"/>
        </w:rPr>
      </w:pPr>
      <w:r w:rsidRPr="00097824">
        <w:rPr>
          <w:color w:val="auto"/>
          <w:szCs w:val="27"/>
        </w:rPr>
        <w:t>Комментарии:</w:t>
      </w:r>
      <w:r w:rsidRPr="00097824">
        <w:rPr>
          <w:b w:val="0"/>
          <w:i/>
          <w:color w:val="auto"/>
          <w:szCs w:val="27"/>
        </w:rPr>
        <w:t xml:space="preserve"> </w:t>
      </w:r>
      <w:r w:rsidR="008928A4" w:rsidRPr="00097824">
        <w:rPr>
          <w:b w:val="0"/>
          <w:i/>
          <w:color w:val="auto"/>
          <w:szCs w:val="27"/>
        </w:rPr>
        <w:t>Исследование ABC-06 подтвердило умеренное увеличение ОВ химиотерапии (FOLFOX) в сравнении с тактикой активной симптоматической терапии (ОР 0.69).</w:t>
      </w:r>
      <w:r w:rsidR="008928A4" w:rsidRPr="00097824">
        <w:rPr>
          <w:b w:val="0"/>
          <w:bCs/>
          <w:i/>
          <w:iCs/>
          <w:sz w:val="22"/>
          <w:lang w:eastAsia="ru-RU"/>
        </w:rPr>
        <w:t xml:space="preserve"> </w:t>
      </w:r>
    </w:p>
    <w:p w14:paraId="3A42D010" w14:textId="13DBC331" w:rsidR="00816FA1" w:rsidRPr="00097824" w:rsidRDefault="00F85923" w:rsidP="00A37046">
      <w:pPr>
        <w:pStyle w:val="1"/>
        <w:numPr>
          <w:ilvl w:val="0"/>
          <w:numId w:val="0"/>
        </w:numPr>
        <w:ind w:left="426"/>
        <w:rPr>
          <w:szCs w:val="24"/>
          <w:lang w:eastAsia="ru-RU"/>
        </w:rPr>
      </w:pPr>
      <w:r w:rsidRPr="00097824">
        <w:rPr>
          <w:rFonts w:eastAsia="MS Mincho"/>
          <w:i/>
          <w:szCs w:val="24"/>
          <w:shd w:val="clear" w:color="auto" w:fill="FFFFFF"/>
        </w:rPr>
        <w:t xml:space="preserve">Лечение </w:t>
      </w:r>
      <w:r w:rsidR="009D3AB7" w:rsidRPr="00097824">
        <w:rPr>
          <w:rFonts w:eastAsia="MS Mincho"/>
          <w:i/>
          <w:szCs w:val="24"/>
          <w:shd w:val="clear" w:color="auto" w:fill="FFFFFF"/>
        </w:rPr>
        <w:t xml:space="preserve">во </w:t>
      </w:r>
      <w:r w:rsidRPr="00097824">
        <w:rPr>
          <w:rFonts w:eastAsia="MS Mincho"/>
          <w:i/>
          <w:szCs w:val="24"/>
          <w:shd w:val="clear" w:color="auto" w:fill="FFFFFF"/>
        </w:rPr>
        <w:t>второй линии</w:t>
      </w:r>
      <w:r w:rsidR="008928A4" w:rsidRPr="00097824">
        <w:rPr>
          <w:b/>
          <w:i/>
        </w:rPr>
        <w:t xml:space="preserve"> с использованием</w:t>
      </w:r>
      <w:r w:rsidRPr="00097824">
        <w:rPr>
          <w:rFonts w:eastAsia="MS Mincho"/>
          <w:i/>
          <w:szCs w:val="24"/>
          <w:shd w:val="clear" w:color="auto" w:fill="FFFFFF"/>
        </w:rPr>
        <w:t xml:space="preserve"> </w:t>
      </w:r>
      <w:proofErr w:type="spellStart"/>
      <w:r w:rsidRPr="00097824">
        <w:rPr>
          <w:i/>
          <w:szCs w:val="27"/>
        </w:rPr>
        <w:t>фторурацил</w:t>
      </w:r>
      <w:r w:rsidR="008928A4" w:rsidRPr="00097824">
        <w:rPr>
          <w:b/>
          <w:i/>
          <w:szCs w:val="27"/>
        </w:rPr>
        <w:t>а</w:t>
      </w:r>
      <w:proofErr w:type="spellEnd"/>
      <w:r w:rsidRPr="00097824">
        <w:rPr>
          <w:i/>
          <w:szCs w:val="27"/>
        </w:rPr>
        <w:t>**</w:t>
      </w:r>
      <w:r w:rsidRPr="00097824">
        <w:rPr>
          <w:rFonts w:eastAsia="MS Mincho"/>
          <w:i/>
          <w:szCs w:val="24"/>
          <w:shd w:val="clear" w:color="auto" w:fill="FFFFFF"/>
        </w:rPr>
        <w:t xml:space="preserve"> и </w:t>
      </w:r>
      <w:r w:rsidR="00786412" w:rsidRPr="00097824">
        <w:rPr>
          <w:iCs/>
        </w:rPr>
        <w:t>#</w:t>
      </w:r>
      <w:r w:rsidRPr="00097824">
        <w:rPr>
          <w:i/>
          <w:szCs w:val="27"/>
        </w:rPr>
        <w:t>иринотекан</w:t>
      </w:r>
      <w:r w:rsidR="008928A4" w:rsidRPr="00097824">
        <w:rPr>
          <w:b/>
          <w:i/>
          <w:szCs w:val="27"/>
        </w:rPr>
        <w:t>а</w:t>
      </w:r>
      <w:r w:rsidRPr="00097824">
        <w:rPr>
          <w:i/>
          <w:szCs w:val="27"/>
        </w:rPr>
        <w:t>**</w:t>
      </w:r>
      <w:r w:rsidRPr="00097824">
        <w:rPr>
          <w:rFonts w:eastAsia="MS Mincho"/>
          <w:i/>
          <w:szCs w:val="24"/>
          <w:shd w:val="clear" w:color="auto" w:fill="FFFFFF"/>
        </w:rPr>
        <w:t xml:space="preserve"> (FOLFIRI) также принес</w:t>
      </w:r>
      <w:r w:rsidR="008928A4" w:rsidRPr="00097824">
        <w:rPr>
          <w:b/>
          <w:i/>
        </w:rPr>
        <w:t>ло</w:t>
      </w:r>
      <w:r w:rsidRPr="00097824">
        <w:rPr>
          <w:i/>
        </w:rPr>
        <w:t xml:space="preserve"> некоторую пользу пациентам. </w:t>
      </w:r>
      <w:r w:rsidRPr="00097824">
        <w:rPr>
          <w:rFonts w:eastAsia="MS Mincho"/>
          <w:bCs/>
          <w:i/>
          <w:szCs w:val="24"/>
          <w:shd w:val="clear" w:color="auto" w:fill="FFFFFF"/>
        </w:rPr>
        <w:t xml:space="preserve">Рандомизированное </w:t>
      </w:r>
      <w:r w:rsidRPr="00097824">
        <w:rPr>
          <w:rFonts w:eastAsia="MS Mincho"/>
          <w:i/>
          <w:szCs w:val="24"/>
          <w:shd w:val="clear" w:color="auto" w:fill="FFFFFF"/>
        </w:rPr>
        <w:t xml:space="preserve">исследование II фазы, сравнивающее </w:t>
      </w:r>
      <w:proofErr w:type="spellStart"/>
      <w:r w:rsidRPr="00097824">
        <w:rPr>
          <w:rFonts w:eastAsia="MS Mincho"/>
          <w:i/>
          <w:szCs w:val="24"/>
          <w:shd w:val="clear" w:color="auto" w:fill="FFFFFF"/>
        </w:rPr>
        <w:t>mFOLFOX</w:t>
      </w:r>
      <w:proofErr w:type="spellEnd"/>
      <w:r w:rsidRPr="00097824">
        <w:rPr>
          <w:rFonts w:eastAsia="MS Mincho"/>
          <w:i/>
          <w:szCs w:val="24"/>
          <w:shd w:val="clear" w:color="auto" w:fill="FFFFFF"/>
        </w:rPr>
        <w:t xml:space="preserve"> и </w:t>
      </w:r>
      <w:proofErr w:type="spellStart"/>
      <w:r w:rsidRPr="00097824">
        <w:rPr>
          <w:rFonts w:eastAsia="MS Mincho"/>
          <w:i/>
          <w:szCs w:val="24"/>
          <w:shd w:val="clear" w:color="auto" w:fill="FFFFFF"/>
        </w:rPr>
        <w:t>mFOLFIRI</w:t>
      </w:r>
      <w:proofErr w:type="spellEnd"/>
      <w:r w:rsidRPr="00097824">
        <w:rPr>
          <w:rFonts w:eastAsia="MS Mincho"/>
          <w:i/>
          <w:szCs w:val="24"/>
          <w:shd w:val="clear" w:color="auto" w:fill="FFFFFF"/>
        </w:rPr>
        <w:t xml:space="preserve"> у пациентов </w:t>
      </w:r>
      <w:r w:rsidRPr="00097824">
        <w:rPr>
          <w:i/>
        </w:rPr>
        <w:t>с местно-распространенным или метастатическим</w:t>
      </w:r>
      <w:r w:rsidRPr="00097824">
        <w:rPr>
          <w:rFonts w:eastAsia="MS Mincho"/>
          <w:i/>
          <w:szCs w:val="24"/>
          <w:shd w:val="clear" w:color="auto" w:fill="FFFFFF"/>
        </w:rPr>
        <w:t xml:space="preserve"> </w:t>
      </w:r>
      <w:proofErr w:type="spellStart"/>
      <w:r w:rsidRPr="00097824">
        <w:rPr>
          <w:i/>
        </w:rPr>
        <w:t>билиарным</w:t>
      </w:r>
      <w:proofErr w:type="spellEnd"/>
      <w:r w:rsidRPr="00097824">
        <w:rPr>
          <w:i/>
        </w:rPr>
        <w:t xml:space="preserve"> раком</w:t>
      </w:r>
      <w:r w:rsidRPr="00097824">
        <w:rPr>
          <w:rFonts w:eastAsia="MS Mincho"/>
          <w:i/>
          <w:szCs w:val="24"/>
          <w:shd w:val="clear" w:color="auto" w:fill="FFFFFF"/>
        </w:rPr>
        <w:t xml:space="preserve">, ранее получавшими лечение </w:t>
      </w:r>
      <w:proofErr w:type="spellStart"/>
      <w:r w:rsidRPr="00097824">
        <w:rPr>
          <w:b/>
          <w:i/>
          <w:color w:val="000000" w:themeColor="text1"/>
        </w:rPr>
        <w:t>гемцитабин</w:t>
      </w:r>
      <w:proofErr w:type="spellEnd"/>
      <w:r w:rsidRPr="00097824">
        <w:rPr>
          <w:b/>
          <w:i/>
          <w:color w:val="000000" w:themeColor="text1"/>
        </w:rPr>
        <w:t>** +</w:t>
      </w:r>
      <w:r w:rsidR="00B3280D" w:rsidRPr="00097824">
        <w:rPr>
          <w:b/>
          <w:i/>
          <w:color w:val="000000" w:themeColor="text1"/>
        </w:rPr>
        <w:t xml:space="preserve"> </w:t>
      </w:r>
      <w:r w:rsidR="006C36CE" w:rsidRPr="00097824">
        <w:rPr>
          <w:iCs/>
        </w:rPr>
        <w:t>#</w:t>
      </w:r>
      <w:r w:rsidRPr="00097824">
        <w:rPr>
          <w:b/>
          <w:i/>
          <w:color w:val="000000" w:themeColor="text1"/>
        </w:rPr>
        <w:t>цисплатин**</w:t>
      </w:r>
      <w:r w:rsidRPr="00097824">
        <w:rPr>
          <w:rFonts w:eastAsia="MS Mincho"/>
          <w:i/>
          <w:szCs w:val="24"/>
          <w:shd w:val="clear" w:color="auto" w:fill="FFFFFF"/>
        </w:rPr>
        <w:t xml:space="preserve"> продемонстрировали одинаковую эффективность между двумя </w:t>
      </w:r>
      <w:r w:rsidRPr="00097824">
        <w:rPr>
          <w:i/>
        </w:rPr>
        <w:t xml:space="preserve">схемами </w:t>
      </w:r>
      <w:r w:rsidRPr="00097824">
        <w:rPr>
          <w:rFonts w:eastAsia="MS Mincho"/>
          <w:i/>
          <w:szCs w:val="24"/>
          <w:shd w:val="clear" w:color="auto" w:fill="FFFFFF"/>
        </w:rPr>
        <w:t>[174]. Медиана ОВ и ВБ</w:t>
      </w:r>
      <w:r w:rsidRPr="00097824">
        <w:rPr>
          <w:i/>
        </w:rPr>
        <w:t>П составила 6,3 месяца (95% ДИ</w:t>
      </w:r>
      <w:r w:rsidRPr="00097824">
        <w:rPr>
          <w:rFonts w:eastAsia="MS Mincho"/>
          <w:i/>
          <w:szCs w:val="24"/>
          <w:shd w:val="clear" w:color="auto" w:fill="FFFFFF"/>
        </w:rPr>
        <w:t xml:space="preserve"> = 4,4–8,2)</w:t>
      </w:r>
      <w:r w:rsidRPr="00097824">
        <w:rPr>
          <w:i/>
        </w:rPr>
        <w:t xml:space="preserve">) и 2,8 </w:t>
      </w:r>
      <w:proofErr w:type="spellStart"/>
      <w:r w:rsidRPr="00097824">
        <w:rPr>
          <w:i/>
        </w:rPr>
        <w:t>мес</w:t>
      </w:r>
      <w:proofErr w:type="spellEnd"/>
      <w:r w:rsidRPr="00097824">
        <w:rPr>
          <w:i/>
        </w:rPr>
        <w:t xml:space="preserve"> (95% ДИ</w:t>
      </w:r>
      <w:r w:rsidRPr="00097824">
        <w:rPr>
          <w:rFonts w:eastAsia="MS Mincho"/>
          <w:i/>
          <w:szCs w:val="24"/>
          <w:shd w:val="clear" w:color="auto" w:fill="FFFFFF"/>
        </w:rPr>
        <w:t xml:space="preserve"> = 2,3–3,3 </w:t>
      </w:r>
      <w:proofErr w:type="spellStart"/>
      <w:r w:rsidRPr="00097824">
        <w:rPr>
          <w:rFonts w:eastAsia="MS Mincho"/>
          <w:i/>
          <w:szCs w:val="24"/>
          <w:shd w:val="clear" w:color="auto" w:fill="FFFFFF"/>
        </w:rPr>
        <w:t>мес</w:t>
      </w:r>
      <w:proofErr w:type="spellEnd"/>
      <w:r w:rsidRPr="00097824">
        <w:rPr>
          <w:rFonts w:eastAsia="MS Mincho"/>
          <w:i/>
          <w:szCs w:val="24"/>
          <w:shd w:val="clear" w:color="auto" w:fill="FFFFFF"/>
        </w:rPr>
        <w:t xml:space="preserve">) соответственно в </w:t>
      </w:r>
      <w:r w:rsidRPr="00097824">
        <w:rPr>
          <w:i/>
        </w:rPr>
        <w:t>групп</w:t>
      </w:r>
      <w:r w:rsidR="00B3280D" w:rsidRPr="00097824">
        <w:rPr>
          <w:i/>
        </w:rPr>
        <w:t>е</w:t>
      </w:r>
      <w:r w:rsidRPr="00097824">
        <w:rPr>
          <w:i/>
        </w:rPr>
        <w:t xml:space="preserve"> </w:t>
      </w:r>
      <w:proofErr w:type="spellStart"/>
      <w:r w:rsidRPr="00097824">
        <w:rPr>
          <w:i/>
        </w:rPr>
        <w:t>mFOLFOX</w:t>
      </w:r>
      <w:proofErr w:type="spellEnd"/>
      <w:r w:rsidRPr="00097824">
        <w:rPr>
          <w:i/>
        </w:rPr>
        <w:t xml:space="preserve"> и 5,7 месяцев (95% ДИ</w:t>
      </w:r>
      <w:r w:rsidRPr="00097824">
        <w:rPr>
          <w:rFonts w:eastAsia="MS Mincho"/>
          <w:i/>
          <w:szCs w:val="24"/>
          <w:shd w:val="clear" w:color="auto" w:fill="FFFFFF"/>
        </w:rPr>
        <w:t xml:space="preserve"> = </w:t>
      </w:r>
      <w:r w:rsidRPr="00097824">
        <w:rPr>
          <w:i/>
        </w:rPr>
        <w:t xml:space="preserve"> 4,7–6,7, р</w:t>
      </w:r>
      <w:r w:rsidRPr="00097824">
        <w:rPr>
          <w:rFonts w:eastAsia="MS Mincho"/>
          <w:i/>
          <w:szCs w:val="24"/>
          <w:shd w:val="clear" w:color="auto" w:fill="FFFFFF"/>
        </w:rPr>
        <w:t xml:space="preserve"> = 0,677) и 2,1 месяцев (</w:t>
      </w:r>
      <w:r w:rsidRPr="00097824">
        <w:rPr>
          <w:i/>
        </w:rPr>
        <w:t>95% ДИ = 1,1–3,1 месяца, р</w:t>
      </w:r>
      <w:r w:rsidRPr="00097824">
        <w:rPr>
          <w:rFonts w:eastAsia="MS Mincho"/>
          <w:i/>
          <w:szCs w:val="24"/>
          <w:shd w:val="clear" w:color="auto" w:fill="FFFFFF"/>
        </w:rPr>
        <w:t xml:space="preserve"> = 0,974) в группе </w:t>
      </w:r>
      <w:proofErr w:type="spellStart"/>
      <w:r w:rsidRPr="00097824">
        <w:rPr>
          <w:rFonts w:eastAsia="MS Mincho"/>
          <w:i/>
          <w:szCs w:val="24"/>
          <w:shd w:val="clear" w:color="auto" w:fill="FFFFFF"/>
        </w:rPr>
        <w:t>mFOLIFIRI</w:t>
      </w:r>
      <w:proofErr w:type="spellEnd"/>
      <w:r w:rsidRPr="00097824">
        <w:rPr>
          <w:rFonts w:eastAsia="MS Mincho"/>
          <w:i/>
          <w:szCs w:val="24"/>
          <w:shd w:val="clear" w:color="auto" w:fill="FFFFFF"/>
        </w:rPr>
        <w:t>,</w:t>
      </w:r>
      <w:r w:rsidRPr="00097824">
        <w:rPr>
          <w:i/>
        </w:rPr>
        <w:t xml:space="preserve"> </w:t>
      </w:r>
      <w:r w:rsidRPr="00097824">
        <w:rPr>
          <w:rFonts w:eastAsia="MS Mincho"/>
          <w:i/>
          <w:szCs w:val="24"/>
          <w:shd w:val="clear" w:color="auto" w:fill="FFFFFF"/>
        </w:rPr>
        <w:t>соответственно. ЧОО 5,9% и 4,0% (</w:t>
      </w:r>
      <w:r w:rsidRPr="00097824">
        <w:rPr>
          <w:i/>
        </w:rPr>
        <w:t>р</w:t>
      </w:r>
      <w:r w:rsidRPr="00097824">
        <w:rPr>
          <w:rFonts w:eastAsia="MS Mincho"/>
          <w:i/>
          <w:szCs w:val="24"/>
          <w:shd w:val="clear" w:color="auto" w:fill="FFFFFF"/>
        </w:rPr>
        <w:t xml:space="preserve"> = 0,663) был достигнут в групп</w:t>
      </w:r>
      <w:r w:rsidRPr="00097824">
        <w:rPr>
          <w:i/>
        </w:rPr>
        <w:t>ах</w:t>
      </w:r>
      <w:r w:rsidRPr="00097824">
        <w:rPr>
          <w:rFonts w:eastAsia="MS Mincho"/>
          <w:i/>
          <w:szCs w:val="24"/>
          <w:shd w:val="clear" w:color="auto" w:fill="FFFFFF"/>
        </w:rPr>
        <w:t xml:space="preserve"> </w:t>
      </w:r>
      <w:proofErr w:type="spellStart"/>
      <w:r w:rsidRPr="00097824">
        <w:rPr>
          <w:rFonts w:eastAsia="MS Mincho"/>
          <w:i/>
          <w:szCs w:val="24"/>
          <w:shd w:val="clear" w:color="auto" w:fill="FFFFFF"/>
        </w:rPr>
        <w:t>mFOLFOX</w:t>
      </w:r>
      <w:proofErr w:type="spellEnd"/>
      <w:r w:rsidRPr="00097824">
        <w:rPr>
          <w:rFonts w:eastAsia="MS Mincho"/>
          <w:i/>
          <w:szCs w:val="24"/>
          <w:shd w:val="clear" w:color="auto" w:fill="FFFFFF"/>
        </w:rPr>
        <w:t xml:space="preserve"> и </w:t>
      </w:r>
      <w:proofErr w:type="spellStart"/>
      <w:r w:rsidRPr="00097824">
        <w:rPr>
          <w:rFonts w:eastAsia="MS Mincho"/>
          <w:i/>
          <w:szCs w:val="24"/>
          <w:shd w:val="clear" w:color="auto" w:fill="FFFFFF"/>
        </w:rPr>
        <w:t>mFOLFIRI</w:t>
      </w:r>
      <w:proofErr w:type="spellEnd"/>
      <w:r w:rsidR="00816FA1" w:rsidRPr="00097824">
        <w:rPr>
          <w:b/>
          <w:i/>
        </w:rPr>
        <w:t>,</w:t>
      </w:r>
      <w:r w:rsidRPr="00097824">
        <w:rPr>
          <w:rFonts w:eastAsia="MS Mincho"/>
          <w:i/>
          <w:szCs w:val="24"/>
          <w:shd w:val="clear" w:color="auto" w:fill="FFFFFF"/>
        </w:rPr>
        <w:t xml:space="preserve"> соответственно</w:t>
      </w:r>
      <w:r w:rsidR="00816FA1" w:rsidRPr="00097824">
        <w:rPr>
          <w:b/>
          <w:i/>
        </w:rPr>
        <w:t>,</w:t>
      </w:r>
      <w:r w:rsidRPr="00097824">
        <w:rPr>
          <w:rFonts w:eastAsia="MS Mincho"/>
          <w:i/>
          <w:szCs w:val="24"/>
          <w:shd w:val="clear" w:color="auto" w:fill="FFFFFF"/>
        </w:rPr>
        <w:t xml:space="preserve"> и </w:t>
      </w:r>
      <w:r w:rsidR="00B4400E" w:rsidRPr="00097824">
        <w:rPr>
          <w:i/>
        </w:rPr>
        <w:t>частота контроля</w:t>
      </w:r>
      <w:r w:rsidRPr="00097824">
        <w:rPr>
          <w:rFonts w:eastAsia="MS Mincho"/>
          <w:i/>
          <w:szCs w:val="24"/>
          <w:shd w:val="clear" w:color="auto" w:fill="FFFFFF"/>
        </w:rPr>
        <w:t xml:space="preserve"> заболевания</w:t>
      </w:r>
      <w:r w:rsidR="00B4400E" w:rsidRPr="00097824">
        <w:rPr>
          <w:i/>
        </w:rPr>
        <w:t xml:space="preserve"> </w:t>
      </w:r>
      <w:r w:rsidRPr="00097824">
        <w:rPr>
          <w:rFonts w:eastAsia="MS Mincho"/>
          <w:i/>
          <w:szCs w:val="24"/>
          <w:shd w:val="clear" w:color="auto" w:fill="FFFFFF"/>
        </w:rPr>
        <w:t>составил</w:t>
      </w:r>
      <w:r w:rsidR="00B4400E" w:rsidRPr="00097824">
        <w:rPr>
          <w:i/>
        </w:rPr>
        <w:t>а</w:t>
      </w:r>
      <w:r w:rsidRPr="00097824">
        <w:rPr>
          <w:rFonts w:eastAsia="MS Mincho"/>
          <w:i/>
          <w:szCs w:val="24"/>
          <w:shd w:val="clear" w:color="auto" w:fill="FFFFFF"/>
        </w:rPr>
        <w:t xml:space="preserve"> 66,7% и 64,0% (</w:t>
      </w:r>
      <w:r w:rsidR="00B4400E" w:rsidRPr="00097824">
        <w:rPr>
          <w:i/>
        </w:rPr>
        <w:t>р</w:t>
      </w:r>
      <w:r w:rsidRPr="00097824">
        <w:rPr>
          <w:rFonts w:eastAsia="MS Mincho"/>
          <w:i/>
          <w:szCs w:val="24"/>
          <w:shd w:val="clear" w:color="auto" w:fill="FFFFFF"/>
        </w:rPr>
        <w:t xml:space="preserve"> = 0,778) соответственно. </w:t>
      </w:r>
    </w:p>
    <w:p w14:paraId="6B24E095" w14:textId="158610EA" w:rsidR="00B3280D" w:rsidRPr="00097824" w:rsidRDefault="00816FA1" w:rsidP="00B3280D">
      <w:pPr>
        <w:pStyle w:val="1"/>
        <w:numPr>
          <w:ilvl w:val="0"/>
          <w:numId w:val="0"/>
        </w:numPr>
        <w:tabs>
          <w:tab w:val="num" w:pos="786"/>
        </w:tabs>
        <w:ind w:left="786" w:hanging="360"/>
      </w:pPr>
      <w:r w:rsidRPr="00097824">
        <w:rPr>
          <w:lang w:eastAsia="ru-RU"/>
        </w:rPr>
        <w:t xml:space="preserve">Молекулярно-направленная терапия </w:t>
      </w:r>
      <w:proofErr w:type="spellStart"/>
      <w:r w:rsidR="00C904C9" w:rsidRPr="00097824">
        <w:rPr>
          <w:lang w:eastAsia="ru-RU"/>
        </w:rPr>
        <w:t>нерезектабельного</w:t>
      </w:r>
      <w:proofErr w:type="spellEnd"/>
      <w:r w:rsidR="00C904C9" w:rsidRPr="00097824">
        <w:rPr>
          <w:lang w:eastAsia="ru-RU"/>
        </w:rPr>
        <w:t xml:space="preserve"> </w:t>
      </w:r>
      <w:proofErr w:type="spellStart"/>
      <w:r w:rsidRPr="00097824">
        <w:rPr>
          <w:lang w:eastAsia="ru-RU"/>
        </w:rPr>
        <w:t>билиарного</w:t>
      </w:r>
      <w:proofErr w:type="spellEnd"/>
      <w:r w:rsidRPr="00097824">
        <w:rPr>
          <w:lang w:eastAsia="ru-RU"/>
        </w:rPr>
        <w:t xml:space="preserve"> рака </w:t>
      </w:r>
      <w:r w:rsidR="00B3280D" w:rsidRPr="00097824">
        <w:rPr>
          <w:lang w:eastAsia="ru-RU"/>
        </w:rPr>
        <w:t xml:space="preserve">может быть рекомендована </w:t>
      </w:r>
      <w:r w:rsidRPr="00097824">
        <w:rPr>
          <w:lang w:eastAsia="ru-RU"/>
        </w:rPr>
        <w:t xml:space="preserve">при выявлении </w:t>
      </w:r>
      <w:proofErr w:type="spellStart"/>
      <w:r w:rsidRPr="00097824">
        <w:rPr>
          <w:lang w:eastAsia="ru-RU"/>
        </w:rPr>
        <w:t>таргетируемых</w:t>
      </w:r>
      <w:proofErr w:type="spellEnd"/>
      <w:r w:rsidRPr="00097824">
        <w:rPr>
          <w:lang w:eastAsia="ru-RU"/>
        </w:rPr>
        <w:t xml:space="preserve"> молекулярных альтераций в опухоли</w:t>
      </w:r>
      <w:r w:rsidR="001141EC" w:rsidRPr="00097824">
        <w:rPr>
          <w:lang w:eastAsia="ru-RU"/>
        </w:rPr>
        <w:t xml:space="preserve"> для лечения рефрактерного к стандартной химиотерапии распространенного опухолевого процесса</w:t>
      </w:r>
      <w:r w:rsidR="009D139A" w:rsidRPr="00097824">
        <w:rPr>
          <w:lang w:eastAsia="ru-RU"/>
        </w:rPr>
        <w:t xml:space="preserve">, </w:t>
      </w:r>
      <w:r w:rsidR="0048615F" w:rsidRPr="00097824">
        <w:rPr>
          <w:lang w:eastAsia="ru-RU"/>
        </w:rPr>
        <w:t xml:space="preserve">объективном </w:t>
      </w:r>
      <w:r w:rsidR="009D139A" w:rsidRPr="00097824">
        <w:rPr>
          <w:lang w:eastAsia="ru-RU"/>
        </w:rPr>
        <w:t xml:space="preserve">статусе </w:t>
      </w:r>
      <w:r w:rsidR="0048615F" w:rsidRPr="00097824">
        <w:rPr>
          <w:lang w:eastAsia="ru-RU"/>
        </w:rPr>
        <w:t xml:space="preserve">пациента </w:t>
      </w:r>
      <w:r w:rsidR="009D139A" w:rsidRPr="00097824">
        <w:rPr>
          <w:lang w:val="en-US" w:eastAsia="ru-RU"/>
        </w:rPr>
        <w:t>ECOG</w:t>
      </w:r>
      <w:r w:rsidR="009D139A" w:rsidRPr="00097824">
        <w:rPr>
          <w:lang w:eastAsia="ru-RU"/>
        </w:rPr>
        <w:t xml:space="preserve"> не хуже 2 и компенсированной функции печени</w:t>
      </w:r>
      <w:r w:rsidR="001141EC" w:rsidRPr="00097824">
        <w:rPr>
          <w:lang w:eastAsia="ru-RU"/>
        </w:rPr>
        <w:t>.</w:t>
      </w:r>
      <w:r w:rsidRPr="00097824">
        <w:rPr>
          <w:lang w:eastAsia="ru-RU"/>
        </w:rPr>
        <w:t xml:space="preserve"> </w:t>
      </w:r>
      <w:r w:rsidR="001141EC" w:rsidRPr="00097824">
        <w:rPr>
          <w:lang w:eastAsia="ru-RU"/>
        </w:rPr>
        <w:t>Молекулярные альтерации</w:t>
      </w:r>
      <w:r w:rsidRPr="00097824">
        <w:rPr>
          <w:lang w:eastAsia="ru-RU"/>
        </w:rPr>
        <w:t xml:space="preserve"> </w:t>
      </w:r>
      <w:r w:rsidRPr="00097824">
        <w:rPr>
          <w:rStyle w:val="affe"/>
          <w:szCs w:val="24"/>
          <w:lang w:val="en-US"/>
        </w:rPr>
        <w:t>HER</w:t>
      </w:r>
      <w:r w:rsidRPr="00097824">
        <w:rPr>
          <w:rStyle w:val="affe"/>
          <w:szCs w:val="24"/>
        </w:rPr>
        <w:t>2/</w:t>
      </w:r>
      <w:r w:rsidRPr="00097824">
        <w:rPr>
          <w:rStyle w:val="affe"/>
          <w:szCs w:val="24"/>
          <w:lang w:val="en-US"/>
        </w:rPr>
        <w:t>neu</w:t>
      </w:r>
      <w:r w:rsidRPr="00097824">
        <w:rPr>
          <w:lang w:val="en-US"/>
        </w:rPr>
        <w:t> </w:t>
      </w:r>
      <w:r w:rsidRPr="00097824">
        <w:t>(</w:t>
      </w:r>
      <w:r w:rsidRPr="00097824">
        <w:rPr>
          <w:rStyle w:val="affe"/>
          <w:szCs w:val="24"/>
          <w:lang w:val="en-US"/>
        </w:rPr>
        <w:t>ERBB</w:t>
      </w:r>
      <w:r w:rsidRPr="00097824">
        <w:rPr>
          <w:rStyle w:val="affe"/>
          <w:szCs w:val="24"/>
        </w:rPr>
        <w:t xml:space="preserve">2 </w:t>
      </w:r>
      <w:r w:rsidR="0048615F" w:rsidRPr="00097824">
        <w:rPr>
          <w:rStyle w:val="affe"/>
          <w:szCs w:val="24"/>
        </w:rPr>
        <w:t>–</w:t>
      </w:r>
      <w:r w:rsidRPr="00097824">
        <w:rPr>
          <w:rStyle w:val="affe"/>
          <w:szCs w:val="24"/>
        </w:rPr>
        <w:t xml:space="preserve"> </w:t>
      </w:r>
      <w:proofErr w:type="spellStart"/>
      <w:r w:rsidR="0048615F" w:rsidRPr="00097824">
        <w:rPr>
          <w:rStyle w:val="affe"/>
          <w:szCs w:val="24"/>
        </w:rPr>
        <w:t>гиперэкспрессия</w:t>
      </w:r>
      <w:proofErr w:type="spellEnd"/>
      <w:r w:rsidR="0048615F" w:rsidRPr="00097824">
        <w:rPr>
          <w:rStyle w:val="affe"/>
          <w:szCs w:val="24"/>
        </w:rPr>
        <w:t>/</w:t>
      </w:r>
      <w:r w:rsidRPr="00097824">
        <w:rPr>
          <w:rStyle w:val="affe"/>
          <w:szCs w:val="24"/>
        </w:rPr>
        <w:t>амплификация</w:t>
      </w:r>
      <w:r w:rsidRPr="00097824">
        <w:t xml:space="preserve">), мутации </w:t>
      </w:r>
      <w:r w:rsidRPr="00097824">
        <w:rPr>
          <w:rStyle w:val="affe"/>
          <w:szCs w:val="24"/>
          <w:lang w:val="en-US"/>
        </w:rPr>
        <w:t>BRAFV</w:t>
      </w:r>
      <w:r w:rsidRPr="00097824">
        <w:rPr>
          <w:rStyle w:val="affe"/>
          <w:szCs w:val="24"/>
        </w:rPr>
        <w:t>600</w:t>
      </w:r>
      <w:r w:rsidRPr="00097824">
        <w:rPr>
          <w:rStyle w:val="affe"/>
          <w:szCs w:val="24"/>
          <w:lang w:val="en-US"/>
        </w:rPr>
        <w:t>E</w:t>
      </w:r>
      <w:r w:rsidRPr="00097824">
        <w:t xml:space="preserve">, </w:t>
      </w:r>
      <w:proofErr w:type="spellStart"/>
      <w:r w:rsidRPr="00097824">
        <w:t>микросателлитн</w:t>
      </w:r>
      <w:r w:rsidR="009D139A" w:rsidRPr="00097824">
        <w:t>ая</w:t>
      </w:r>
      <w:proofErr w:type="spellEnd"/>
      <w:r w:rsidRPr="00097824">
        <w:t xml:space="preserve"> нестабильност</w:t>
      </w:r>
      <w:r w:rsidR="009D139A" w:rsidRPr="00097824">
        <w:t>ь</w:t>
      </w:r>
      <w:r w:rsidRPr="00097824">
        <w:t xml:space="preserve"> </w:t>
      </w:r>
      <w:r w:rsidRPr="00097824">
        <w:rPr>
          <w:lang w:val="en-US"/>
        </w:rPr>
        <w:t>MSI</w:t>
      </w:r>
      <w:r w:rsidRPr="00097824">
        <w:t>-</w:t>
      </w:r>
      <w:r w:rsidRPr="00097824">
        <w:rPr>
          <w:lang w:val="en-US"/>
        </w:rPr>
        <w:t>H</w:t>
      </w:r>
      <w:r w:rsidRPr="00097824">
        <w:t>/</w:t>
      </w:r>
      <w:proofErr w:type="spellStart"/>
      <w:r w:rsidRPr="00097824">
        <w:rPr>
          <w:lang w:val="en-US"/>
        </w:rPr>
        <w:t>dMMR</w:t>
      </w:r>
      <w:proofErr w:type="spellEnd"/>
      <w:r w:rsidRPr="00097824">
        <w:t>,</w:t>
      </w:r>
      <w:r w:rsidR="0048615F" w:rsidRPr="00097824">
        <w:t xml:space="preserve"> мутационная нагрузка (</w:t>
      </w:r>
      <w:r w:rsidR="0048615F" w:rsidRPr="00097824">
        <w:rPr>
          <w:lang w:val="en-US"/>
        </w:rPr>
        <w:t>TMB</w:t>
      </w:r>
      <w:r w:rsidR="0048615F" w:rsidRPr="00097824">
        <w:t>)</w:t>
      </w:r>
      <w:r w:rsidRPr="00097824">
        <w:t xml:space="preserve"> </w:t>
      </w:r>
      <w:r w:rsidR="009D139A" w:rsidRPr="00097824">
        <w:t xml:space="preserve">транслокации </w:t>
      </w:r>
      <w:r w:rsidRPr="00097824">
        <w:t xml:space="preserve">гена </w:t>
      </w:r>
      <w:r w:rsidRPr="00097824">
        <w:rPr>
          <w:i/>
          <w:lang w:val="en-US"/>
        </w:rPr>
        <w:t>FGFR</w:t>
      </w:r>
      <w:r w:rsidRPr="00097824">
        <w:rPr>
          <w:i/>
        </w:rPr>
        <w:t>2, ген</w:t>
      </w:r>
      <w:r w:rsidR="0048615F" w:rsidRPr="00097824">
        <w:rPr>
          <w:i/>
        </w:rPr>
        <w:t xml:space="preserve">ов </w:t>
      </w:r>
      <w:r w:rsidR="0048615F" w:rsidRPr="00097824">
        <w:rPr>
          <w:i/>
          <w:lang w:val="en-US"/>
        </w:rPr>
        <w:t>ALK</w:t>
      </w:r>
      <w:r w:rsidR="0048615F" w:rsidRPr="00097824">
        <w:rPr>
          <w:i/>
        </w:rPr>
        <w:t xml:space="preserve">, </w:t>
      </w:r>
      <w:r w:rsidR="0048615F" w:rsidRPr="00097824">
        <w:rPr>
          <w:i/>
          <w:lang w:val="en-US"/>
        </w:rPr>
        <w:t>NTRK</w:t>
      </w:r>
      <w:r w:rsidR="0048615F" w:rsidRPr="00097824">
        <w:rPr>
          <w:i/>
        </w:rPr>
        <w:t>,</w:t>
      </w:r>
      <w:r w:rsidRPr="00097824">
        <w:rPr>
          <w:i/>
        </w:rPr>
        <w:t xml:space="preserve"> </w:t>
      </w:r>
      <w:r w:rsidRPr="00097824">
        <w:rPr>
          <w:i/>
          <w:lang w:val="en-US"/>
        </w:rPr>
        <w:t>RET</w:t>
      </w:r>
      <w:r w:rsidR="009D139A" w:rsidRPr="00097824">
        <w:rPr>
          <w:i/>
        </w:rPr>
        <w:t xml:space="preserve"> определяются доступным валидированным тестом</w:t>
      </w:r>
      <w:r w:rsidR="00AD01C9" w:rsidRPr="00097824">
        <w:rPr>
          <w:i/>
        </w:rPr>
        <w:t xml:space="preserve"> </w:t>
      </w:r>
      <w:r w:rsidR="00F4091F" w:rsidRPr="00097824">
        <w:rPr>
          <w:lang w:eastAsia="ru-RU"/>
        </w:rPr>
        <w:t>[10, 19, 17]</w:t>
      </w:r>
      <w:r w:rsidRPr="00097824">
        <w:rPr>
          <w:i/>
        </w:rPr>
        <w:t>.</w:t>
      </w:r>
      <w:r w:rsidRPr="00097824">
        <w:t xml:space="preserve"> (таблица 6)</w:t>
      </w:r>
      <w:bookmarkStart w:id="89" w:name="_Ref113035375"/>
      <w:bookmarkStart w:id="90" w:name="_Hlk185596007"/>
    </w:p>
    <w:p w14:paraId="7218A6C0" w14:textId="03B692F3" w:rsidR="00DB2B07" w:rsidRPr="00097824" w:rsidRDefault="00B3280D" w:rsidP="00B3280D">
      <w:pPr>
        <w:pStyle w:val="1"/>
        <w:numPr>
          <w:ilvl w:val="0"/>
          <w:numId w:val="0"/>
        </w:numPr>
        <w:tabs>
          <w:tab w:val="num" w:pos="786"/>
        </w:tabs>
        <w:ind w:left="786" w:hanging="360"/>
      </w:pPr>
      <w:r w:rsidRPr="00097824">
        <w:t>Т</w:t>
      </w:r>
      <w:r w:rsidR="006120EA" w:rsidRPr="00097824">
        <w:t xml:space="preserve">аблица </w:t>
      </w:r>
      <w:r w:rsidR="007F5427" w:rsidRPr="00097824">
        <w:fldChar w:fldCharType="begin"/>
      </w:r>
      <w:r w:rsidR="006120EA" w:rsidRPr="00097824">
        <w:instrText xml:space="preserve"> SEQ Таблица \* ARABIC </w:instrText>
      </w:r>
      <w:r w:rsidR="007F5427" w:rsidRPr="00097824">
        <w:fldChar w:fldCharType="separate"/>
      </w:r>
      <w:r w:rsidR="006752A2" w:rsidRPr="00097824">
        <w:rPr>
          <w:noProof/>
        </w:rPr>
        <w:t>6</w:t>
      </w:r>
      <w:r w:rsidR="007F5427" w:rsidRPr="00097824">
        <w:fldChar w:fldCharType="end"/>
      </w:r>
      <w:bookmarkEnd w:id="89"/>
      <w:r w:rsidR="006120EA" w:rsidRPr="00097824">
        <w:t xml:space="preserve"> Режимы лекарственного лечения рака </w:t>
      </w:r>
      <w:proofErr w:type="spellStart"/>
      <w:r w:rsidR="006120EA" w:rsidRPr="00097824">
        <w:t>билиарного</w:t>
      </w:r>
      <w:proofErr w:type="spellEnd"/>
      <w:r w:rsidR="006120EA" w:rsidRPr="00097824">
        <w:t xml:space="preserve"> тракта</w:t>
      </w:r>
      <w:r w:rsidR="00BD6F57" w:rsidRPr="00097824">
        <w:t xml:space="preserve"> у взрослы</w:t>
      </w:r>
      <w:r w:rsidR="00DB2B07" w:rsidRPr="00097824">
        <w:t>х</w:t>
      </w:r>
    </w:p>
    <w:tbl>
      <w:tblPr>
        <w:tblStyle w:val="affb"/>
        <w:tblW w:w="10207" w:type="dxa"/>
        <w:tblInd w:w="-431" w:type="dxa"/>
        <w:tblLayout w:type="fixed"/>
        <w:tblLook w:val="04A0" w:firstRow="1" w:lastRow="0" w:firstColumn="1" w:lastColumn="0" w:noHBand="0" w:noVBand="1"/>
      </w:tblPr>
      <w:tblGrid>
        <w:gridCol w:w="1986"/>
        <w:gridCol w:w="8221"/>
      </w:tblGrid>
      <w:tr w:rsidR="00317315" w:rsidRPr="00097824" w14:paraId="3999BB4A" w14:textId="77777777" w:rsidTr="00317315">
        <w:tc>
          <w:tcPr>
            <w:tcW w:w="1986" w:type="dxa"/>
          </w:tcPr>
          <w:p w14:paraId="60910DF4" w14:textId="77777777" w:rsidR="00317315" w:rsidRPr="00097824" w:rsidRDefault="00317315" w:rsidP="00317315">
            <w:pPr>
              <w:keepNext/>
              <w:autoSpaceDE w:val="0"/>
              <w:autoSpaceDN w:val="0"/>
              <w:adjustRightInd w:val="0"/>
              <w:ind w:firstLine="0"/>
              <w:contextualSpacing/>
              <w:jc w:val="left"/>
            </w:pPr>
            <w:proofErr w:type="spellStart"/>
            <w:r w:rsidRPr="00097824">
              <w:rPr>
                <w:i/>
              </w:rPr>
              <w:lastRenderedPageBreak/>
              <w:t>Монохимио</w:t>
            </w:r>
            <w:proofErr w:type="spellEnd"/>
            <w:r w:rsidRPr="00097824">
              <w:rPr>
                <w:i/>
              </w:rPr>
              <w:t>-терапия</w:t>
            </w:r>
          </w:p>
        </w:tc>
        <w:tc>
          <w:tcPr>
            <w:tcW w:w="8221" w:type="dxa"/>
          </w:tcPr>
          <w:p w14:paraId="37D125CE" w14:textId="77777777" w:rsidR="00317315" w:rsidRPr="00097824" w:rsidRDefault="00317315" w:rsidP="00317315">
            <w:pPr>
              <w:keepNext/>
              <w:numPr>
                <w:ilvl w:val="0"/>
                <w:numId w:val="5"/>
              </w:numPr>
              <w:autoSpaceDE w:val="0"/>
              <w:autoSpaceDN w:val="0"/>
              <w:adjustRightInd w:val="0"/>
              <w:ind w:left="0" w:firstLine="0"/>
              <w:contextualSpacing/>
              <w:rPr>
                <w:i/>
              </w:rPr>
            </w:pPr>
            <w:proofErr w:type="spellStart"/>
            <w:r w:rsidRPr="00097824">
              <w:rPr>
                <w:bCs/>
                <w:i/>
                <w:szCs w:val="22"/>
              </w:rPr>
              <w:t>Гемцитабин</w:t>
            </w:r>
            <w:proofErr w:type="spellEnd"/>
            <w:r w:rsidRPr="00097824">
              <w:rPr>
                <w:bCs/>
                <w:i/>
                <w:szCs w:val="22"/>
              </w:rPr>
              <w:t>** 1000 мг/м</w:t>
            </w:r>
            <w:r w:rsidRPr="00097824">
              <w:rPr>
                <w:bCs/>
                <w:i/>
                <w:szCs w:val="22"/>
                <w:vertAlign w:val="superscript"/>
              </w:rPr>
              <w:t>2</w:t>
            </w:r>
            <w:r w:rsidRPr="00097824">
              <w:rPr>
                <w:bCs/>
                <w:i/>
                <w:szCs w:val="22"/>
              </w:rPr>
              <w:t xml:space="preserve"> в 1-й,8-й,15-й дни.  Интервал – 4 недели </w:t>
            </w:r>
            <w:r w:rsidRPr="00097824">
              <w:rPr>
                <w:bCs/>
                <w:i/>
                <w:lang w:val="en-GB"/>
              </w:rPr>
              <w:fldChar w:fldCharType="begin"/>
            </w:r>
            <w:r w:rsidRPr="00097824">
              <w:rPr>
                <w:bCs/>
                <w:i/>
                <w:szCs w:val="22"/>
              </w:rPr>
              <w:instrText xml:space="preserve"> </w:instrText>
            </w:r>
            <w:r w:rsidRPr="00097824">
              <w:rPr>
                <w:bCs/>
                <w:i/>
                <w:szCs w:val="22"/>
                <w:lang w:val="en-GB"/>
              </w:rPr>
              <w:instrText>ADDIN</w:instrText>
            </w:r>
            <w:r w:rsidRPr="00097824">
              <w:rPr>
                <w:bCs/>
                <w:i/>
                <w:szCs w:val="22"/>
              </w:rPr>
              <w:instrText xml:space="preserve"> </w:instrText>
            </w:r>
            <w:r w:rsidRPr="00097824">
              <w:rPr>
                <w:bCs/>
                <w:i/>
                <w:szCs w:val="22"/>
                <w:lang w:val="en-GB"/>
              </w:rPr>
              <w:instrText>ZOTERO</w:instrText>
            </w:r>
            <w:r w:rsidRPr="00097824">
              <w:rPr>
                <w:bCs/>
                <w:i/>
                <w:szCs w:val="22"/>
              </w:rPr>
              <w:instrText>_</w:instrText>
            </w:r>
            <w:r w:rsidRPr="00097824">
              <w:rPr>
                <w:bCs/>
                <w:i/>
                <w:szCs w:val="22"/>
                <w:lang w:val="en-GB"/>
              </w:rPr>
              <w:instrText>ITEM</w:instrText>
            </w:r>
            <w:r w:rsidRPr="00097824">
              <w:rPr>
                <w:bCs/>
                <w:i/>
                <w:szCs w:val="22"/>
              </w:rPr>
              <w:instrText xml:space="preserve"> </w:instrText>
            </w:r>
            <w:r w:rsidRPr="00097824">
              <w:rPr>
                <w:bCs/>
                <w:i/>
                <w:szCs w:val="22"/>
                <w:lang w:val="en-GB"/>
              </w:rPr>
              <w:instrText>CSL</w:instrText>
            </w:r>
            <w:r w:rsidRPr="00097824">
              <w:rPr>
                <w:bCs/>
                <w:i/>
                <w:szCs w:val="22"/>
              </w:rPr>
              <w:instrText>_</w:instrText>
            </w:r>
            <w:r w:rsidRPr="00097824">
              <w:rPr>
                <w:bCs/>
                <w:i/>
                <w:szCs w:val="22"/>
                <w:lang w:val="en-GB"/>
              </w:rPr>
              <w:instrText>CITATION</w:instrText>
            </w:r>
            <w:r w:rsidRPr="00097824">
              <w:rPr>
                <w:bCs/>
                <w:i/>
                <w:szCs w:val="22"/>
              </w:rPr>
              <w:instrText xml:space="preserve"> {"</w:instrText>
            </w:r>
            <w:r w:rsidRPr="00097824">
              <w:rPr>
                <w:bCs/>
                <w:i/>
                <w:szCs w:val="22"/>
                <w:lang w:val="en-GB"/>
              </w:rPr>
              <w:instrText>citationID</w:instrText>
            </w:r>
            <w:r w:rsidRPr="00097824">
              <w:rPr>
                <w:bCs/>
                <w:i/>
                <w:szCs w:val="22"/>
              </w:rPr>
              <w:instrText>":"</w:instrText>
            </w:r>
            <w:r w:rsidRPr="00097824">
              <w:rPr>
                <w:bCs/>
                <w:i/>
                <w:szCs w:val="22"/>
                <w:lang w:val="en-GB"/>
              </w:rPr>
              <w:instrText>ZEHIvNwj</w:instrText>
            </w:r>
            <w:r w:rsidRPr="00097824">
              <w:rPr>
                <w:bCs/>
                <w:i/>
                <w:szCs w:val="22"/>
              </w:rPr>
              <w:instrText>","</w:instrText>
            </w:r>
            <w:r w:rsidRPr="00097824">
              <w:rPr>
                <w:bCs/>
                <w:i/>
                <w:szCs w:val="22"/>
                <w:lang w:val="en-GB"/>
              </w:rPr>
              <w:instrText>properties</w:instrText>
            </w:r>
            <w:r w:rsidRPr="00097824">
              <w:rPr>
                <w:bCs/>
                <w:i/>
                <w:szCs w:val="22"/>
              </w:rPr>
              <w:instrText>":{"</w:instrText>
            </w:r>
            <w:r w:rsidRPr="00097824">
              <w:rPr>
                <w:bCs/>
                <w:i/>
                <w:szCs w:val="22"/>
                <w:lang w:val="en-GB"/>
              </w:rPr>
              <w:instrText>formattedCitation</w:instrText>
            </w:r>
            <w:r w:rsidRPr="00097824">
              <w:rPr>
                <w:bCs/>
                <w:i/>
                <w:szCs w:val="22"/>
              </w:rPr>
              <w:instrText>":"[10,19,109]","</w:instrText>
            </w:r>
            <w:r w:rsidRPr="00097824">
              <w:rPr>
                <w:bCs/>
                <w:i/>
                <w:szCs w:val="22"/>
                <w:lang w:val="en-GB"/>
              </w:rPr>
              <w:instrText>plainCitation</w:instrText>
            </w:r>
            <w:r w:rsidRPr="00097824">
              <w:rPr>
                <w:bCs/>
                <w:i/>
                <w:szCs w:val="22"/>
              </w:rPr>
              <w:instrText>":"[10,19,109]","</w:instrText>
            </w:r>
            <w:r w:rsidRPr="00097824">
              <w:rPr>
                <w:bCs/>
                <w:i/>
                <w:szCs w:val="22"/>
                <w:lang w:val="en-GB"/>
              </w:rPr>
              <w:instrText>noteIndex</w:instrText>
            </w:r>
            <w:r w:rsidRPr="00097824">
              <w:rPr>
                <w:bCs/>
                <w:i/>
                <w:szCs w:val="22"/>
              </w:rPr>
              <w:instrText>":0},"</w:instrText>
            </w:r>
            <w:r w:rsidRPr="00097824">
              <w:rPr>
                <w:bCs/>
                <w:i/>
                <w:szCs w:val="22"/>
                <w:lang w:val="en-GB"/>
              </w:rPr>
              <w:instrText>citationItems</w:instrText>
            </w:r>
            <w:r w:rsidRPr="00097824">
              <w:rPr>
                <w:bCs/>
                <w:i/>
                <w:szCs w:val="22"/>
              </w:rPr>
              <w:instrText>":[{"</w:instrText>
            </w:r>
            <w:r w:rsidRPr="00097824">
              <w:rPr>
                <w:bCs/>
                <w:i/>
                <w:szCs w:val="22"/>
                <w:lang w:val="en-GB"/>
              </w:rPr>
              <w:instrText>id</w:instrText>
            </w:r>
            <w:r w:rsidRPr="00097824">
              <w:rPr>
                <w:bCs/>
                <w:i/>
                <w:szCs w:val="22"/>
              </w:rPr>
              <w:instrText>":166644,"</w:instrText>
            </w:r>
            <w:r w:rsidRPr="00097824">
              <w:rPr>
                <w:bCs/>
                <w:i/>
                <w:szCs w:val="22"/>
                <w:lang w:val="en-GB"/>
              </w:rPr>
              <w:instrText>uris</w:instrText>
            </w:r>
            <w:r w:rsidRPr="00097824">
              <w:rPr>
                <w:bCs/>
                <w:i/>
                <w:szCs w:val="22"/>
              </w:rPr>
              <w:instrText>":["</w:instrText>
            </w:r>
            <w:r w:rsidRPr="00097824">
              <w:rPr>
                <w:bCs/>
                <w:i/>
                <w:szCs w:val="22"/>
                <w:lang w:val="en-GB"/>
              </w:rPr>
              <w:instrText>http</w:instrText>
            </w:r>
            <w:r w:rsidRPr="00097824">
              <w:rPr>
                <w:bCs/>
                <w:i/>
                <w:szCs w:val="22"/>
              </w:rPr>
              <w:instrText>://</w:instrText>
            </w:r>
            <w:r w:rsidRPr="00097824">
              <w:rPr>
                <w:bCs/>
                <w:i/>
                <w:szCs w:val="22"/>
                <w:lang w:val="en-GB"/>
              </w:rPr>
              <w:instrText>zotero</w:instrText>
            </w:r>
            <w:r w:rsidRPr="00097824">
              <w:rPr>
                <w:bCs/>
                <w:i/>
                <w:szCs w:val="22"/>
              </w:rPr>
              <w:instrText>.</w:instrText>
            </w:r>
            <w:r w:rsidRPr="00097824">
              <w:rPr>
                <w:bCs/>
                <w:i/>
                <w:szCs w:val="22"/>
                <w:lang w:val="en-GB"/>
              </w:rPr>
              <w:instrText>org</w:instrText>
            </w:r>
            <w:r w:rsidRPr="00097824">
              <w:rPr>
                <w:bCs/>
                <w:i/>
                <w:szCs w:val="22"/>
              </w:rPr>
              <w:instrText>/</w:instrText>
            </w:r>
            <w:r w:rsidRPr="00097824">
              <w:rPr>
                <w:bCs/>
                <w:i/>
                <w:szCs w:val="22"/>
                <w:lang w:val="en-GB"/>
              </w:rPr>
              <w:instrText>groups</w:instrText>
            </w:r>
            <w:r w:rsidRPr="00097824">
              <w:rPr>
                <w:bCs/>
                <w:i/>
                <w:szCs w:val="22"/>
              </w:rPr>
              <w:instrText>/4764298/</w:instrText>
            </w:r>
            <w:r w:rsidRPr="00097824">
              <w:rPr>
                <w:bCs/>
                <w:i/>
                <w:szCs w:val="22"/>
                <w:lang w:val="en-GB"/>
              </w:rPr>
              <w:instrText>items</w:instrText>
            </w:r>
            <w:r w:rsidRPr="00097824">
              <w:rPr>
                <w:bCs/>
                <w:i/>
                <w:szCs w:val="22"/>
              </w:rPr>
              <w:instrText>/6</w:instrText>
            </w:r>
            <w:r w:rsidRPr="00097824">
              <w:rPr>
                <w:bCs/>
                <w:i/>
                <w:szCs w:val="22"/>
                <w:lang w:val="en-GB"/>
              </w:rPr>
              <w:instrText>QHBBU</w:instrText>
            </w:r>
            <w:r w:rsidRPr="00097824">
              <w:rPr>
                <w:bCs/>
                <w:i/>
                <w:szCs w:val="22"/>
              </w:rPr>
              <w:instrText>8</w:instrText>
            </w:r>
            <w:r w:rsidRPr="00097824">
              <w:rPr>
                <w:bCs/>
                <w:i/>
                <w:szCs w:val="22"/>
                <w:lang w:val="en-GB"/>
              </w:rPr>
              <w:instrText>X</w:instrText>
            </w:r>
            <w:r w:rsidRPr="00097824">
              <w:rPr>
                <w:bCs/>
                <w:i/>
                <w:szCs w:val="22"/>
              </w:rPr>
              <w:instrText>"],"</w:instrText>
            </w:r>
            <w:r w:rsidRPr="00097824">
              <w:rPr>
                <w:bCs/>
                <w:i/>
                <w:szCs w:val="22"/>
                <w:lang w:val="en-GB"/>
              </w:rPr>
              <w:instrText>itemData</w:instrText>
            </w:r>
            <w:r w:rsidRPr="00097824">
              <w:rPr>
                <w:bCs/>
                <w:i/>
                <w:szCs w:val="22"/>
              </w:rPr>
              <w:instrText>":{"</w:instrText>
            </w:r>
            <w:r w:rsidRPr="00097824">
              <w:rPr>
                <w:bCs/>
                <w:i/>
                <w:szCs w:val="22"/>
                <w:lang w:val="en-GB"/>
              </w:rPr>
              <w:instrText>id</w:instrText>
            </w:r>
            <w:r w:rsidRPr="00097824">
              <w:rPr>
                <w:bCs/>
                <w:i/>
                <w:szCs w:val="22"/>
              </w:rPr>
              <w:instrText>":166644,"</w:instrText>
            </w:r>
            <w:r w:rsidRPr="00097824">
              <w:rPr>
                <w:bCs/>
                <w:i/>
                <w:szCs w:val="22"/>
                <w:lang w:val="en-GB"/>
              </w:rPr>
              <w:instrText>type</w:instrText>
            </w:r>
            <w:r w:rsidRPr="00097824">
              <w:rPr>
                <w:bCs/>
                <w:i/>
                <w:szCs w:val="22"/>
              </w:rPr>
              <w:instrText>":"</w:instrText>
            </w:r>
            <w:r w:rsidRPr="00097824">
              <w:rPr>
                <w:bCs/>
                <w:i/>
                <w:szCs w:val="22"/>
                <w:lang w:val="en-GB"/>
              </w:rPr>
              <w:instrText>article</w:instrText>
            </w:r>
            <w:r w:rsidRPr="00097824">
              <w:rPr>
                <w:bCs/>
                <w:i/>
                <w:szCs w:val="22"/>
              </w:rPr>
              <w:instrText>-</w:instrText>
            </w:r>
            <w:r w:rsidRPr="00097824">
              <w:rPr>
                <w:bCs/>
                <w:i/>
                <w:szCs w:val="22"/>
                <w:lang w:val="en-GB"/>
              </w:rPr>
              <w:instrText>journal</w:instrText>
            </w:r>
            <w:r w:rsidRPr="00097824">
              <w:rPr>
                <w:bCs/>
                <w:i/>
                <w:szCs w:val="22"/>
              </w:rPr>
              <w:instrText>","</w:instrText>
            </w:r>
            <w:r w:rsidRPr="00097824">
              <w:rPr>
                <w:bCs/>
                <w:i/>
                <w:szCs w:val="22"/>
                <w:lang w:val="en-GB"/>
              </w:rPr>
              <w:instrText>container</w:instrText>
            </w:r>
            <w:r w:rsidRPr="00097824">
              <w:rPr>
                <w:bCs/>
                <w:i/>
                <w:szCs w:val="22"/>
              </w:rPr>
              <w:instrText>-</w:instrText>
            </w:r>
            <w:r w:rsidRPr="00097824">
              <w:rPr>
                <w:bCs/>
                <w:i/>
                <w:szCs w:val="22"/>
                <w:lang w:val="en-GB"/>
              </w:rPr>
              <w:instrText>title</w:instrText>
            </w:r>
            <w:r w:rsidRPr="00097824">
              <w:rPr>
                <w:bCs/>
                <w:i/>
                <w:szCs w:val="22"/>
              </w:rPr>
              <w:instrText>":"</w:instrText>
            </w:r>
            <w:r w:rsidRPr="00097824">
              <w:rPr>
                <w:bCs/>
                <w:i/>
                <w:szCs w:val="22"/>
                <w:lang w:val="en-GB"/>
              </w:rPr>
              <w:instrText>JNCCN</w:instrText>
            </w:r>
            <w:r w:rsidRPr="00097824">
              <w:rPr>
                <w:bCs/>
                <w:i/>
                <w:szCs w:val="22"/>
              </w:rPr>
              <w:instrText xml:space="preserve"> </w:instrText>
            </w:r>
            <w:r w:rsidRPr="00097824">
              <w:rPr>
                <w:bCs/>
                <w:i/>
                <w:szCs w:val="22"/>
                <w:lang w:val="en-GB"/>
              </w:rPr>
              <w:instrText>Journal</w:instrText>
            </w:r>
            <w:r w:rsidRPr="00097824">
              <w:rPr>
                <w:bCs/>
                <w:i/>
                <w:szCs w:val="22"/>
              </w:rPr>
              <w:instrText xml:space="preserve"> </w:instrText>
            </w:r>
            <w:r w:rsidRPr="00097824">
              <w:rPr>
                <w:bCs/>
                <w:i/>
                <w:szCs w:val="22"/>
                <w:lang w:val="en-GB"/>
              </w:rPr>
              <w:instrText>of</w:instrText>
            </w:r>
            <w:r w:rsidRPr="00097824">
              <w:rPr>
                <w:bCs/>
                <w:i/>
                <w:szCs w:val="22"/>
              </w:rPr>
              <w:instrText xml:space="preserve"> </w:instrText>
            </w:r>
            <w:r w:rsidRPr="00097824">
              <w:rPr>
                <w:bCs/>
                <w:i/>
                <w:szCs w:val="22"/>
                <w:lang w:val="en-GB"/>
              </w:rPr>
              <w:instrText>the</w:instrText>
            </w:r>
            <w:r w:rsidRPr="00097824">
              <w:rPr>
                <w:bCs/>
                <w:i/>
                <w:szCs w:val="22"/>
              </w:rPr>
              <w:instrText xml:space="preserve"> </w:instrText>
            </w:r>
            <w:r w:rsidRPr="00097824">
              <w:rPr>
                <w:bCs/>
                <w:i/>
                <w:szCs w:val="22"/>
                <w:lang w:val="en-GB"/>
              </w:rPr>
              <w:instrText>National</w:instrText>
            </w:r>
            <w:r w:rsidRPr="00097824">
              <w:rPr>
                <w:bCs/>
                <w:i/>
                <w:szCs w:val="22"/>
              </w:rPr>
              <w:instrText xml:space="preserve"> </w:instrText>
            </w:r>
            <w:r w:rsidRPr="00097824">
              <w:rPr>
                <w:bCs/>
                <w:i/>
                <w:szCs w:val="22"/>
                <w:lang w:val="en-GB"/>
              </w:rPr>
              <w:instrText>Comprehensive</w:instrText>
            </w:r>
            <w:r w:rsidRPr="00097824">
              <w:rPr>
                <w:bCs/>
                <w:i/>
                <w:szCs w:val="22"/>
              </w:rPr>
              <w:instrText xml:space="preserve"> </w:instrText>
            </w:r>
            <w:r w:rsidRPr="00097824">
              <w:rPr>
                <w:bCs/>
                <w:i/>
                <w:szCs w:val="22"/>
                <w:lang w:val="en-GB"/>
              </w:rPr>
              <w:instrText>Cancer</w:instrText>
            </w:r>
            <w:r w:rsidRPr="00097824">
              <w:rPr>
                <w:bCs/>
                <w:i/>
                <w:szCs w:val="22"/>
              </w:rPr>
              <w:instrText xml:space="preserve"> </w:instrText>
            </w:r>
            <w:r w:rsidRPr="00097824">
              <w:rPr>
                <w:bCs/>
                <w:i/>
                <w:szCs w:val="22"/>
                <w:lang w:val="en-GB"/>
              </w:rPr>
              <w:instrText>Network</w:instrText>
            </w:r>
            <w:r w:rsidRPr="00097824">
              <w:rPr>
                <w:bCs/>
                <w:i/>
                <w:szCs w:val="22"/>
              </w:rPr>
              <w:instrText>","</w:instrText>
            </w:r>
            <w:r w:rsidRPr="00097824">
              <w:rPr>
                <w:bCs/>
                <w:i/>
                <w:szCs w:val="22"/>
                <w:lang w:val="en-GB"/>
              </w:rPr>
              <w:instrText>issue</w:instrText>
            </w:r>
            <w:r w:rsidRPr="00097824">
              <w:rPr>
                <w:bCs/>
                <w:i/>
                <w:szCs w:val="22"/>
              </w:rPr>
              <w:instrText>":"8","</w:instrText>
            </w:r>
            <w:r w:rsidRPr="00097824">
              <w:rPr>
                <w:bCs/>
                <w:i/>
                <w:szCs w:val="22"/>
                <w:lang w:val="en-GB"/>
              </w:rPr>
              <w:instrText>note</w:instrText>
            </w:r>
            <w:r w:rsidRPr="00097824">
              <w:rPr>
                <w:bCs/>
                <w:i/>
                <w:szCs w:val="22"/>
              </w:rPr>
              <w:instrText>":"</w:instrText>
            </w:r>
            <w:r w:rsidRPr="00097824">
              <w:rPr>
                <w:bCs/>
                <w:i/>
                <w:szCs w:val="22"/>
                <w:lang w:val="en-GB"/>
              </w:rPr>
              <w:instrText>publisher</w:instrText>
            </w:r>
            <w:r w:rsidRPr="00097824">
              <w:rPr>
                <w:bCs/>
                <w:i/>
                <w:szCs w:val="22"/>
              </w:rPr>
              <w:instrText xml:space="preserve">: </w:instrText>
            </w:r>
            <w:r w:rsidRPr="00097824">
              <w:rPr>
                <w:bCs/>
                <w:i/>
                <w:szCs w:val="22"/>
                <w:lang w:val="en-GB"/>
              </w:rPr>
              <w:instrText>Cold</w:instrText>
            </w:r>
            <w:r w:rsidRPr="00097824">
              <w:rPr>
                <w:bCs/>
                <w:i/>
                <w:szCs w:val="22"/>
              </w:rPr>
              <w:instrText xml:space="preserve"> </w:instrText>
            </w:r>
            <w:r w:rsidRPr="00097824">
              <w:rPr>
                <w:bCs/>
                <w:i/>
                <w:szCs w:val="22"/>
                <w:lang w:val="en-GB"/>
              </w:rPr>
              <w:instrText>Spring</w:instrText>
            </w:r>
            <w:r w:rsidRPr="00097824">
              <w:rPr>
                <w:bCs/>
                <w:i/>
                <w:szCs w:val="22"/>
              </w:rPr>
              <w:instrText xml:space="preserve"> </w:instrText>
            </w:r>
            <w:r w:rsidRPr="00097824">
              <w:rPr>
                <w:bCs/>
                <w:i/>
                <w:szCs w:val="22"/>
                <w:lang w:val="en-GB"/>
              </w:rPr>
              <w:instrText>Publishing</w:instrText>
            </w:r>
            <w:r w:rsidRPr="00097824">
              <w:rPr>
                <w:bCs/>
                <w:i/>
                <w:szCs w:val="22"/>
              </w:rPr>
              <w:instrText xml:space="preserve"> </w:instrText>
            </w:r>
            <w:r w:rsidRPr="00097824">
              <w:rPr>
                <w:bCs/>
                <w:i/>
                <w:szCs w:val="22"/>
                <w:lang w:val="en-GB"/>
              </w:rPr>
              <w:instrText>LLC</w:instrText>
            </w:r>
            <w:r w:rsidRPr="00097824">
              <w:rPr>
                <w:bCs/>
                <w:i/>
                <w:szCs w:val="22"/>
              </w:rPr>
              <w:instrText>","</w:instrText>
            </w:r>
            <w:r w:rsidRPr="00097824">
              <w:rPr>
                <w:bCs/>
                <w:i/>
                <w:szCs w:val="22"/>
                <w:lang w:val="en-GB"/>
              </w:rPr>
              <w:instrText>page</w:instrText>
            </w:r>
            <w:r w:rsidRPr="00097824">
              <w:rPr>
                <w:bCs/>
                <w:i/>
                <w:szCs w:val="22"/>
              </w:rPr>
              <w:instrText>":"728–750","</w:instrText>
            </w:r>
            <w:r w:rsidRPr="00097824">
              <w:rPr>
                <w:bCs/>
                <w:i/>
                <w:szCs w:val="22"/>
                <w:lang w:val="en-GB"/>
              </w:rPr>
              <w:instrText>source</w:instrText>
            </w:r>
            <w:r w:rsidRPr="00097824">
              <w:rPr>
                <w:bCs/>
                <w:i/>
                <w:szCs w:val="22"/>
              </w:rPr>
              <w:instrText>":"</w:instrText>
            </w:r>
            <w:r w:rsidRPr="00097824">
              <w:rPr>
                <w:bCs/>
                <w:i/>
                <w:szCs w:val="22"/>
                <w:lang w:val="en-GB"/>
              </w:rPr>
              <w:instrText>Google</w:instrText>
            </w:r>
            <w:r w:rsidRPr="00097824">
              <w:rPr>
                <w:bCs/>
                <w:i/>
                <w:szCs w:val="22"/>
              </w:rPr>
              <w:instrText xml:space="preserve"> </w:instrText>
            </w:r>
            <w:r w:rsidRPr="00097824">
              <w:rPr>
                <w:bCs/>
                <w:i/>
                <w:szCs w:val="22"/>
                <w:lang w:val="en-GB"/>
              </w:rPr>
              <w:instrText>Scholar</w:instrText>
            </w:r>
            <w:r w:rsidRPr="00097824">
              <w:rPr>
                <w:bCs/>
                <w:i/>
                <w:szCs w:val="22"/>
              </w:rPr>
              <w:instrText>","</w:instrText>
            </w:r>
            <w:r w:rsidRPr="00097824">
              <w:rPr>
                <w:bCs/>
                <w:i/>
                <w:szCs w:val="22"/>
                <w:lang w:val="en-GB"/>
              </w:rPr>
              <w:instrText>title</w:instrText>
            </w:r>
            <w:r w:rsidRPr="00097824">
              <w:rPr>
                <w:bCs/>
                <w:i/>
                <w:szCs w:val="22"/>
              </w:rPr>
              <w:instrText>":"</w:instrText>
            </w:r>
            <w:r w:rsidRPr="00097824">
              <w:rPr>
                <w:bCs/>
                <w:i/>
                <w:szCs w:val="22"/>
                <w:lang w:val="en-GB"/>
              </w:rPr>
              <w:instrText>Hepatobiliary</w:instrText>
            </w:r>
            <w:r w:rsidRPr="00097824">
              <w:rPr>
                <w:bCs/>
                <w:i/>
                <w:szCs w:val="22"/>
              </w:rPr>
              <w:instrText xml:space="preserve"> </w:instrText>
            </w:r>
            <w:r w:rsidRPr="00097824">
              <w:rPr>
                <w:bCs/>
                <w:i/>
                <w:szCs w:val="22"/>
                <w:lang w:val="en-GB"/>
              </w:rPr>
              <w:instrText>cancers</w:instrText>
            </w:r>
            <w:r w:rsidRPr="00097824">
              <w:rPr>
                <w:bCs/>
                <w:i/>
                <w:szCs w:val="22"/>
              </w:rPr>
              <w:instrText xml:space="preserve"> </w:instrText>
            </w:r>
            <w:r w:rsidRPr="00097824">
              <w:rPr>
                <w:bCs/>
                <w:i/>
                <w:szCs w:val="22"/>
                <w:lang w:val="en-GB"/>
              </w:rPr>
              <w:instrText>clinical</w:instrText>
            </w:r>
            <w:r w:rsidRPr="00097824">
              <w:rPr>
                <w:bCs/>
                <w:i/>
                <w:szCs w:val="22"/>
              </w:rPr>
              <w:instrText xml:space="preserve"> </w:instrText>
            </w:r>
            <w:r w:rsidRPr="00097824">
              <w:rPr>
                <w:bCs/>
                <w:i/>
                <w:szCs w:val="22"/>
                <w:lang w:val="en-GB"/>
              </w:rPr>
              <w:instrText>practice</w:instrText>
            </w:r>
            <w:r w:rsidRPr="00097824">
              <w:rPr>
                <w:bCs/>
                <w:i/>
                <w:szCs w:val="22"/>
              </w:rPr>
              <w:instrText xml:space="preserve"> </w:instrText>
            </w:r>
            <w:r w:rsidRPr="00097824">
              <w:rPr>
                <w:bCs/>
                <w:i/>
                <w:szCs w:val="22"/>
                <w:lang w:val="en-GB"/>
              </w:rPr>
              <w:instrText>guidelines</w:instrText>
            </w:r>
            <w:r w:rsidRPr="00097824">
              <w:rPr>
                <w:bCs/>
                <w:i/>
                <w:szCs w:val="22"/>
              </w:rPr>
              <w:instrText xml:space="preserve"> </w:instrText>
            </w:r>
            <w:r w:rsidRPr="00097824">
              <w:rPr>
                <w:bCs/>
                <w:i/>
                <w:szCs w:val="22"/>
                <w:lang w:val="en-GB"/>
              </w:rPr>
              <w:instrText>in</w:instrText>
            </w:r>
            <w:r w:rsidRPr="00097824">
              <w:rPr>
                <w:bCs/>
                <w:i/>
                <w:szCs w:val="22"/>
              </w:rPr>
              <w:instrText xml:space="preserve"> </w:instrText>
            </w:r>
            <w:r w:rsidRPr="00097824">
              <w:rPr>
                <w:bCs/>
                <w:i/>
                <w:szCs w:val="22"/>
                <w:lang w:val="en-GB"/>
              </w:rPr>
              <w:instrText>oncology</w:instrText>
            </w:r>
            <w:r w:rsidRPr="00097824">
              <w:rPr>
                <w:bCs/>
                <w:i/>
                <w:szCs w:val="22"/>
              </w:rPr>
              <w:instrText>","</w:instrText>
            </w:r>
            <w:r w:rsidRPr="00097824">
              <w:rPr>
                <w:bCs/>
                <w:i/>
                <w:szCs w:val="22"/>
                <w:lang w:val="en-GB"/>
              </w:rPr>
              <w:instrText>volume</w:instrText>
            </w:r>
            <w:r w:rsidRPr="00097824">
              <w:rPr>
                <w:bCs/>
                <w:i/>
                <w:szCs w:val="22"/>
              </w:rPr>
              <w:instrText>":"4","</w:instrText>
            </w:r>
            <w:r w:rsidRPr="00097824">
              <w:rPr>
                <w:bCs/>
                <w:i/>
                <w:szCs w:val="22"/>
                <w:lang w:val="en-GB"/>
              </w:rPr>
              <w:instrText>author</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Benson</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Al</w:instrText>
            </w:r>
            <w:r w:rsidRPr="00097824">
              <w:rPr>
                <w:bCs/>
                <w:i/>
                <w:szCs w:val="22"/>
              </w:rPr>
              <w:instrText xml:space="preserve"> </w:instrText>
            </w:r>
            <w:r w:rsidRPr="00097824">
              <w:rPr>
                <w:bCs/>
                <w:i/>
                <w:szCs w:val="22"/>
                <w:lang w:val="en-GB"/>
              </w:rPr>
              <w:instrText>B</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Bekaii</w:instrText>
            </w:r>
            <w:r w:rsidRPr="00097824">
              <w:rPr>
                <w:bCs/>
                <w:i/>
                <w:szCs w:val="22"/>
              </w:rPr>
              <w:instrText>-</w:instrText>
            </w:r>
            <w:r w:rsidRPr="00097824">
              <w:rPr>
                <w:bCs/>
                <w:i/>
                <w:szCs w:val="22"/>
                <w:lang w:val="en-GB"/>
              </w:rPr>
              <w:instrText>Saab</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Tanios</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Ben</w:instrText>
            </w:r>
            <w:r w:rsidRPr="00097824">
              <w:rPr>
                <w:bCs/>
                <w:i/>
                <w:szCs w:val="22"/>
              </w:rPr>
              <w:instrText>-</w:instrText>
            </w:r>
            <w:r w:rsidRPr="00097824">
              <w:rPr>
                <w:bCs/>
                <w:i/>
                <w:szCs w:val="22"/>
                <w:lang w:val="en-GB"/>
              </w:rPr>
              <w:instrText>Josef</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Edgar</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Blumgart</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Leslie</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Clary</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Bryan</w:instrText>
            </w:r>
            <w:r w:rsidRPr="00097824">
              <w:rPr>
                <w:bCs/>
                <w:i/>
                <w:szCs w:val="22"/>
              </w:rPr>
              <w:instrText xml:space="preserve"> </w:instrText>
            </w:r>
            <w:r w:rsidRPr="00097824">
              <w:rPr>
                <w:bCs/>
                <w:i/>
                <w:szCs w:val="22"/>
                <w:lang w:val="en-GB"/>
              </w:rPr>
              <w:instrText>M</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Curley</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Steven</w:instrText>
            </w:r>
            <w:r w:rsidRPr="00097824">
              <w:rPr>
                <w:bCs/>
                <w:i/>
                <w:szCs w:val="22"/>
              </w:rPr>
              <w:instrText xml:space="preserve"> </w:instrText>
            </w:r>
            <w:r w:rsidRPr="00097824">
              <w:rPr>
                <w:bCs/>
                <w:i/>
                <w:szCs w:val="22"/>
                <w:lang w:val="en-GB"/>
              </w:rPr>
              <w:instrText>A</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Davila</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Rene</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Earle</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Craig</w:instrText>
            </w:r>
            <w:r w:rsidRPr="00097824">
              <w:rPr>
                <w:bCs/>
                <w:i/>
                <w:szCs w:val="22"/>
              </w:rPr>
              <w:instrText xml:space="preserve"> </w:instrText>
            </w:r>
            <w:r w:rsidRPr="00097824">
              <w:rPr>
                <w:bCs/>
                <w:i/>
                <w:szCs w:val="22"/>
                <w:lang w:val="en-GB"/>
              </w:rPr>
              <w:instrText>C</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Ensminger</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William</w:instrText>
            </w:r>
            <w:r w:rsidRPr="00097824">
              <w:rPr>
                <w:bCs/>
                <w:i/>
                <w:szCs w:val="22"/>
              </w:rPr>
              <w:instrText xml:space="preserve"> </w:instrText>
            </w:r>
            <w:r w:rsidRPr="00097824">
              <w:rPr>
                <w:bCs/>
                <w:i/>
                <w:szCs w:val="22"/>
                <w:lang w:val="en-GB"/>
              </w:rPr>
              <w:instrText>D</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Gibbs</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John</w:instrText>
            </w:r>
            <w:r w:rsidRPr="00097824">
              <w:rPr>
                <w:bCs/>
                <w:i/>
                <w:szCs w:val="22"/>
              </w:rPr>
              <w:instrText xml:space="preserve"> </w:instrText>
            </w:r>
            <w:r w:rsidRPr="00097824">
              <w:rPr>
                <w:bCs/>
                <w:i/>
                <w:szCs w:val="22"/>
                <w:lang w:val="en-GB"/>
              </w:rPr>
              <w:instrText>F</w:instrText>
            </w:r>
            <w:r w:rsidRPr="00097824">
              <w:rPr>
                <w:bCs/>
                <w:i/>
                <w:szCs w:val="22"/>
              </w:rPr>
              <w:instrText>."}],"</w:instrText>
            </w:r>
            <w:r w:rsidRPr="00097824">
              <w:rPr>
                <w:bCs/>
                <w:i/>
                <w:szCs w:val="22"/>
                <w:lang w:val="en-GB"/>
              </w:rPr>
              <w:instrText>issued</w:instrText>
            </w:r>
            <w:r w:rsidRPr="00097824">
              <w:rPr>
                <w:bCs/>
                <w:i/>
                <w:szCs w:val="22"/>
              </w:rPr>
              <w:instrText>":{"</w:instrText>
            </w:r>
            <w:r w:rsidRPr="00097824">
              <w:rPr>
                <w:bCs/>
                <w:i/>
                <w:szCs w:val="22"/>
                <w:lang w:val="en-GB"/>
              </w:rPr>
              <w:instrText>date</w:instrText>
            </w:r>
            <w:r w:rsidRPr="00097824">
              <w:rPr>
                <w:bCs/>
                <w:i/>
                <w:szCs w:val="22"/>
              </w:rPr>
              <w:instrText>-</w:instrText>
            </w:r>
            <w:r w:rsidRPr="00097824">
              <w:rPr>
                <w:bCs/>
                <w:i/>
                <w:szCs w:val="22"/>
                <w:lang w:val="en-GB"/>
              </w:rPr>
              <w:instrText>parts</w:instrText>
            </w:r>
            <w:r w:rsidRPr="00097824">
              <w:rPr>
                <w:bCs/>
                <w:i/>
                <w:szCs w:val="22"/>
              </w:rPr>
              <w:instrText>":[["2006"]]}},"</w:instrText>
            </w:r>
            <w:r w:rsidRPr="00097824">
              <w:rPr>
                <w:bCs/>
                <w:i/>
                <w:szCs w:val="22"/>
                <w:lang w:val="en-GB"/>
              </w:rPr>
              <w:instrText>label</w:instrText>
            </w:r>
            <w:r w:rsidRPr="00097824">
              <w:rPr>
                <w:bCs/>
                <w:i/>
                <w:szCs w:val="22"/>
              </w:rPr>
              <w:instrText>":"</w:instrText>
            </w:r>
            <w:r w:rsidRPr="00097824">
              <w:rPr>
                <w:bCs/>
                <w:i/>
                <w:szCs w:val="22"/>
                <w:lang w:val="en-GB"/>
              </w:rPr>
              <w:instrText>page</w:instrText>
            </w:r>
            <w:r w:rsidRPr="00097824">
              <w:rPr>
                <w:bCs/>
                <w:i/>
                <w:szCs w:val="22"/>
              </w:rPr>
              <w:instrText>"},{"</w:instrText>
            </w:r>
            <w:r w:rsidRPr="00097824">
              <w:rPr>
                <w:bCs/>
                <w:i/>
                <w:szCs w:val="22"/>
                <w:lang w:val="en-GB"/>
              </w:rPr>
              <w:instrText>id</w:instrText>
            </w:r>
            <w:r w:rsidRPr="00097824">
              <w:rPr>
                <w:bCs/>
                <w:i/>
                <w:szCs w:val="22"/>
              </w:rPr>
              <w:instrText>":166669,"</w:instrText>
            </w:r>
            <w:r w:rsidRPr="00097824">
              <w:rPr>
                <w:bCs/>
                <w:i/>
                <w:szCs w:val="22"/>
                <w:lang w:val="en-GB"/>
              </w:rPr>
              <w:instrText>uris</w:instrText>
            </w:r>
            <w:r w:rsidRPr="00097824">
              <w:rPr>
                <w:bCs/>
                <w:i/>
                <w:szCs w:val="22"/>
              </w:rPr>
              <w:instrText>":["</w:instrText>
            </w:r>
            <w:r w:rsidRPr="00097824">
              <w:rPr>
                <w:bCs/>
                <w:i/>
                <w:szCs w:val="22"/>
                <w:lang w:val="en-GB"/>
              </w:rPr>
              <w:instrText>http</w:instrText>
            </w:r>
            <w:r w:rsidRPr="00097824">
              <w:rPr>
                <w:bCs/>
                <w:i/>
                <w:szCs w:val="22"/>
              </w:rPr>
              <w:instrText>://</w:instrText>
            </w:r>
            <w:r w:rsidRPr="00097824">
              <w:rPr>
                <w:bCs/>
                <w:i/>
                <w:szCs w:val="22"/>
                <w:lang w:val="en-GB"/>
              </w:rPr>
              <w:instrText>zotero</w:instrText>
            </w:r>
            <w:r w:rsidRPr="00097824">
              <w:rPr>
                <w:bCs/>
                <w:i/>
                <w:szCs w:val="22"/>
              </w:rPr>
              <w:instrText>.</w:instrText>
            </w:r>
            <w:r w:rsidRPr="00097824">
              <w:rPr>
                <w:bCs/>
                <w:i/>
                <w:szCs w:val="22"/>
                <w:lang w:val="en-GB"/>
              </w:rPr>
              <w:instrText>org</w:instrText>
            </w:r>
            <w:r w:rsidRPr="00097824">
              <w:rPr>
                <w:bCs/>
                <w:i/>
                <w:szCs w:val="22"/>
              </w:rPr>
              <w:instrText>/</w:instrText>
            </w:r>
            <w:r w:rsidRPr="00097824">
              <w:rPr>
                <w:bCs/>
                <w:i/>
                <w:szCs w:val="22"/>
                <w:lang w:val="en-GB"/>
              </w:rPr>
              <w:instrText>groups</w:instrText>
            </w:r>
            <w:r w:rsidRPr="00097824">
              <w:rPr>
                <w:bCs/>
                <w:i/>
                <w:szCs w:val="22"/>
              </w:rPr>
              <w:instrText>/4764298/</w:instrText>
            </w:r>
            <w:r w:rsidRPr="00097824">
              <w:rPr>
                <w:bCs/>
                <w:i/>
                <w:szCs w:val="22"/>
                <w:lang w:val="en-GB"/>
              </w:rPr>
              <w:instrText>items</w:instrText>
            </w:r>
            <w:r w:rsidRPr="00097824">
              <w:rPr>
                <w:bCs/>
                <w:i/>
                <w:szCs w:val="22"/>
              </w:rPr>
              <w:instrText>/</w:instrText>
            </w:r>
            <w:r w:rsidRPr="00097824">
              <w:rPr>
                <w:bCs/>
                <w:i/>
                <w:szCs w:val="22"/>
                <w:lang w:val="en-GB"/>
              </w:rPr>
              <w:instrText>KI</w:instrText>
            </w:r>
            <w:r w:rsidRPr="00097824">
              <w:rPr>
                <w:bCs/>
                <w:i/>
                <w:szCs w:val="22"/>
              </w:rPr>
              <w:instrText>99</w:instrText>
            </w:r>
            <w:r w:rsidRPr="00097824">
              <w:rPr>
                <w:bCs/>
                <w:i/>
                <w:szCs w:val="22"/>
                <w:lang w:val="en-GB"/>
              </w:rPr>
              <w:instrText>IFYJ</w:instrText>
            </w:r>
            <w:r w:rsidRPr="00097824">
              <w:rPr>
                <w:bCs/>
                <w:i/>
                <w:szCs w:val="22"/>
              </w:rPr>
              <w:instrText>"],"</w:instrText>
            </w:r>
            <w:r w:rsidRPr="00097824">
              <w:rPr>
                <w:bCs/>
                <w:i/>
                <w:szCs w:val="22"/>
                <w:lang w:val="en-GB"/>
              </w:rPr>
              <w:instrText>itemData</w:instrText>
            </w:r>
            <w:r w:rsidRPr="00097824">
              <w:rPr>
                <w:bCs/>
                <w:i/>
                <w:szCs w:val="22"/>
              </w:rPr>
              <w:instrText>":{"</w:instrText>
            </w:r>
            <w:r w:rsidRPr="00097824">
              <w:rPr>
                <w:bCs/>
                <w:i/>
                <w:szCs w:val="22"/>
                <w:lang w:val="en-GB"/>
              </w:rPr>
              <w:instrText>id</w:instrText>
            </w:r>
            <w:r w:rsidRPr="00097824">
              <w:rPr>
                <w:bCs/>
                <w:i/>
                <w:szCs w:val="22"/>
              </w:rPr>
              <w:instrText>":166669,"</w:instrText>
            </w:r>
            <w:r w:rsidRPr="00097824">
              <w:rPr>
                <w:bCs/>
                <w:i/>
                <w:szCs w:val="22"/>
                <w:lang w:val="en-GB"/>
              </w:rPr>
              <w:instrText>type</w:instrText>
            </w:r>
            <w:r w:rsidRPr="00097824">
              <w:rPr>
                <w:bCs/>
                <w:i/>
                <w:szCs w:val="22"/>
              </w:rPr>
              <w:instrText>":"</w:instrText>
            </w:r>
            <w:r w:rsidRPr="00097824">
              <w:rPr>
                <w:bCs/>
                <w:i/>
                <w:szCs w:val="22"/>
                <w:lang w:val="en-GB"/>
              </w:rPr>
              <w:instrText>article</w:instrText>
            </w:r>
            <w:r w:rsidRPr="00097824">
              <w:rPr>
                <w:bCs/>
                <w:i/>
                <w:szCs w:val="22"/>
              </w:rPr>
              <w:instrText>-</w:instrText>
            </w:r>
            <w:r w:rsidRPr="00097824">
              <w:rPr>
                <w:bCs/>
                <w:i/>
                <w:szCs w:val="22"/>
                <w:lang w:val="en-GB"/>
              </w:rPr>
              <w:instrText>journal</w:instrText>
            </w:r>
            <w:r w:rsidRPr="00097824">
              <w:rPr>
                <w:bCs/>
                <w:i/>
                <w:szCs w:val="22"/>
              </w:rPr>
              <w:instrText>","</w:instrText>
            </w:r>
            <w:r w:rsidRPr="00097824">
              <w:rPr>
                <w:bCs/>
                <w:i/>
                <w:szCs w:val="22"/>
                <w:lang w:val="en-GB"/>
              </w:rPr>
              <w:instrText>container</w:instrText>
            </w:r>
            <w:r w:rsidRPr="00097824">
              <w:rPr>
                <w:bCs/>
                <w:i/>
                <w:szCs w:val="22"/>
              </w:rPr>
              <w:instrText>-</w:instrText>
            </w:r>
            <w:r w:rsidRPr="00097824">
              <w:rPr>
                <w:bCs/>
                <w:i/>
                <w:szCs w:val="22"/>
                <w:lang w:val="en-GB"/>
              </w:rPr>
              <w:instrText>title</w:instrText>
            </w:r>
            <w:r w:rsidRPr="00097824">
              <w:rPr>
                <w:bCs/>
                <w:i/>
                <w:szCs w:val="22"/>
              </w:rPr>
              <w:instrText>":"</w:instrText>
            </w:r>
            <w:r w:rsidRPr="00097824">
              <w:rPr>
                <w:bCs/>
                <w:i/>
                <w:szCs w:val="22"/>
                <w:lang w:val="en-GB"/>
              </w:rPr>
              <w:instrText>New</w:instrText>
            </w:r>
            <w:r w:rsidRPr="00097824">
              <w:rPr>
                <w:bCs/>
                <w:i/>
                <w:szCs w:val="22"/>
              </w:rPr>
              <w:instrText xml:space="preserve"> </w:instrText>
            </w:r>
            <w:r w:rsidRPr="00097824">
              <w:rPr>
                <w:bCs/>
                <w:i/>
                <w:szCs w:val="22"/>
                <w:lang w:val="en-GB"/>
              </w:rPr>
              <w:instrText>England</w:instrText>
            </w:r>
            <w:r w:rsidRPr="00097824">
              <w:rPr>
                <w:bCs/>
                <w:i/>
                <w:szCs w:val="22"/>
              </w:rPr>
              <w:instrText xml:space="preserve"> </w:instrText>
            </w:r>
            <w:r w:rsidRPr="00097824">
              <w:rPr>
                <w:bCs/>
                <w:i/>
                <w:szCs w:val="22"/>
                <w:lang w:val="en-GB"/>
              </w:rPr>
              <w:instrText>Journal</w:instrText>
            </w:r>
            <w:r w:rsidRPr="00097824">
              <w:rPr>
                <w:bCs/>
                <w:i/>
                <w:szCs w:val="22"/>
              </w:rPr>
              <w:instrText xml:space="preserve"> </w:instrText>
            </w:r>
            <w:r w:rsidRPr="00097824">
              <w:rPr>
                <w:bCs/>
                <w:i/>
                <w:szCs w:val="22"/>
                <w:lang w:val="en-GB"/>
              </w:rPr>
              <w:instrText>of</w:instrText>
            </w:r>
            <w:r w:rsidRPr="00097824">
              <w:rPr>
                <w:bCs/>
                <w:i/>
                <w:szCs w:val="22"/>
              </w:rPr>
              <w:instrText xml:space="preserve"> </w:instrText>
            </w:r>
            <w:r w:rsidRPr="00097824">
              <w:rPr>
                <w:bCs/>
                <w:i/>
                <w:szCs w:val="22"/>
                <w:lang w:val="en-GB"/>
              </w:rPr>
              <w:instrText>Medicine</w:instrText>
            </w:r>
            <w:r w:rsidRPr="00097824">
              <w:rPr>
                <w:bCs/>
                <w:i/>
                <w:szCs w:val="22"/>
              </w:rPr>
              <w:instrText>","</w:instrText>
            </w:r>
            <w:r w:rsidRPr="00097824">
              <w:rPr>
                <w:bCs/>
                <w:i/>
                <w:szCs w:val="22"/>
                <w:lang w:val="en-GB"/>
              </w:rPr>
              <w:instrText>issue</w:instrText>
            </w:r>
            <w:r w:rsidRPr="00097824">
              <w:rPr>
                <w:bCs/>
                <w:i/>
                <w:szCs w:val="22"/>
              </w:rPr>
              <w:instrText>":"14","</w:instrText>
            </w:r>
            <w:r w:rsidRPr="00097824">
              <w:rPr>
                <w:bCs/>
                <w:i/>
                <w:szCs w:val="22"/>
                <w:lang w:val="en-GB"/>
              </w:rPr>
              <w:instrText>note</w:instrText>
            </w:r>
            <w:r w:rsidRPr="00097824">
              <w:rPr>
                <w:bCs/>
                <w:i/>
                <w:szCs w:val="22"/>
              </w:rPr>
              <w:instrText>":"</w:instrText>
            </w:r>
            <w:r w:rsidRPr="00097824">
              <w:rPr>
                <w:bCs/>
                <w:i/>
                <w:szCs w:val="22"/>
                <w:lang w:val="en-GB"/>
              </w:rPr>
              <w:instrText>publisher</w:instrText>
            </w:r>
            <w:r w:rsidRPr="00097824">
              <w:rPr>
                <w:bCs/>
                <w:i/>
                <w:szCs w:val="22"/>
              </w:rPr>
              <w:instrText xml:space="preserve">: </w:instrText>
            </w:r>
            <w:r w:rsidRPr="00097824">
              <w:rPr>
                <w:bCs/>
                <w:i/>
                <w:szCs w:val="22"/>
                <w:lang w:val="en-GB"/>
              </w:rPr>
              <w:instrText>Mass</w:instrText>
            </w:r>
            <w:r w:rsidRPr="00097824">
              <w:rPr>
                <w:bCs/>
                <w:i/>
                <w:szCs w:val="22"/>
              </w:rPr>
              <w:instrText xml:space="preserve"> </w:instrText>
            </w:r>
            <w:r w:rsidRPr="00097824">
              <w:rPr>
                <w:bCs/>
                <w:i/>
                <w:szCs w:val="22"/>
                <w:lang w:val="en-GB"/>
              </w:rPr>
              <w:instrText>Medical</w:instrText>
            </w:r>
            <w:r w:rsidRPr="00097824">
              <w:rPr>
                <w:bCs/>
                <w:i/>
                <w:szCs w:val="22"/>
              </w:rPr>
              <w:instrText xml:space="preserve"> </w:instrText>
            </w:r>
            <w:r w:rsidRPr="00097824">
              <w:rPr>
                <w:bCs/>
                <w:i/>
                <w:szCs w:val="22"/>
                <w:lang w:val="en-GB"/>
              </w:rPr>
              <w:instrText>Soc</w:instrText>
            </w:r>
            <w:r w:rsidRPr="00097824">
              <w:rPr>
                <w:bCs/>
                <w:i/>
                <w:szCs w:val="22"/>
              </w:rPr>
              <w:instrText>","</w:instrText>
            </w:r>
            <w:r w:rsidRPr="00097824">
              <w:rPr>
                <w:bCs/>
                <w:i/>
                <w:szCs w:val="22"/>
                <w:lang w:val="en-GB"/>
              </w:rPr>
              <w:instrText>page</w:instrText>
            </w:r>
            <w:r w:rsidRPr="00097824">
              <w:rPr>
                <w:bCs/>
                <w:i/>
                <w:szCs w:val="22"/>
              </w:rPr>
              <w:instrText>":"1273–1281","</w:instrText>
            </w:r>
            <w:r w:rsidRPr="00097824">
              <w:rPr>
                <w:bCs/>
                <w:i/>
                <w:szCs w:val="22"/>
                <w:lang w:val="en-GB"/>
              </w:rPr>
              <w:instrText>source</w:instrText>
            </w:r>
            <w:r w:rsidRPr="00097824">
              <w:rPr>
                <w:bCs/>
                <w:i/>
                <w:szCs w:val="22"/>
              </w:rPr>
              <w:instrText>":"</w:instrText>
            </w:r>
            <w:r w:rsidRPr="00097824">
              <w:rPr>
                <w:bCs/>
                <w:i/>
                <w:szCs w:val="22"/>
                <w:lang w:val="en-GB"/>
              </w:rPr>
              <w:instrText>Google</w:instrText>
            </w:r>
            <w:r w:rsidRPr="00097824">
              <w:rPr>
                <w:bCs/>
                <w:i/>
                <w:szCs w:val="22"/>
              </w:rPr>
              <w:instrText xml:space="preserve"> </w:instrText>
            </w:r>
            <w:r w:rsidRPr="00097824">
              <w:rPr>
                <w:bCs/>
                <w:i/>
                <w:szCs w:val="22"/>
                <w:lang w:val="en-GB"/>
              </w:rPr>
              <w:instrText>Scholar</w:instrText>
            </w:r>
            <w:r w:rsidRPr="00097824">
              <w:rPr>
                <w:bCs/>
                <w:i/>
                <w:szCs w:val="22"/>
              </w:rPr>
              <w:instrText>","</w:instrText>
            </w:r>
            <w:r w:rsidRPr="00097824">
              <w:rPr>
                <w:bCs/>
                <w:i/>
                <w:szCs w:val="22"/>
                <w:lang w:val="en-GB"/>
              </w:rPr>
              <w:instrText>title</w:instrText>
            </w:r>
            <w:r w:rsidRPr="00097824">
              <w:rPr>
                <w:bCs/>
                <w:i/>
                <w:szCs w:val="22"/>
              </w:rPr>
              <w:instrText>":"</w:instrText>
            </w:r>
            <w:r w:rsidRPr="00097824">
              <w:rPr>
                <w:bCs/>
                <w:i/>
                <w:szCs w:val="22"/>
                <w:lang w:val="en-GB"/>
              </w:rPr>
              <w:instrText>Cisplatin</w:instrText>
            </w:r>
            <w:r w:rsidRPr="00097824">
              <w:rPr>
                <w:bCs/>
                <w:i/>
                <w:szCs w:val="22"/>
              </w:rPr>
              <w:instrText xml:space="preserve"> </w:instrText>
            </w:r>
            <w:r w:rsidRPr="00097824">
              <w:rPr>
                <w:bCs/>
                <w:i/>
                <w:szCs w:val="22"/>
                <w:lang w:val="en-GB"/>
              </w:rPr>
              <w:instrText>plus</w:instrText>
            </w:r>
            <w:r w:rsidRPr="00097824">
              <w:rPr>
                <w:bCs/>
                <w:i/>
                <w:szCs w:val="22"/>
              </w:rPr>
              <w:instrText xml:space="preserve"> </w:instrText>
            </w:r>
            <w:r w:rsidRPr="00097824">
              <w:rPr>
                <w:bCs/>
                <w:i/>
                <w:szCs w:val="22"/>
                <w:lang w:val="en-GB"/>
              </w:rPr>
              <w:instrText>gemcitabine</w:instrText>
            </w:r>
            <w:r w:rsidRPr="00097824">
              <w:rPr>
                <w:bCs/>
                <w:i/>
                <w:szCs w:val="22"/>
              </w:rPr>
              <w:instrText xml:space="preserve"> </w:instrText>
            </w:r>
            <w:r w:rsidRPr="00097824">
              <w:rPr>
                <w:bCs/>
                <w:i/>
                <w:szCs w:val="22"/>
                <w:lang w:val="en-GB"/>
              </w:rPr>
              <w:instrText>versus</w:instrText>
            </w:r>
            <w:r w:rsidRPr="00097824">
              <w:rPr>
                <w:bCs/>
                <w:i/>
                <w:szCs w:val="22"/>
              </w:rPr>
              <w:instrText xml:space="preserve"> </w:instrText>
            </w:r>
            <w:r w:rsidRPr="00097824">
              <w:rPr>
                <w:bCs/>
                <w:i/>
                <w:szCs w:val="22"/>
                <w:lang w:val="en-GB"/>
              </w:rPr>
              <w:instrText>gemcitabine</w:instrText>
            </w:r>
            <w:r w:rsidRPr="00097824">
              <w:rPr>
                <w:bCs/>
                <w:i/>
                <w:szCs w:val="22"/>
              </w:rPr>
              <w:instrText xml:space="preserve"> </w:instrText>
            </w:r>
            <w:r w:rsidRPr="00097824">
              <w:rPr>
                <w:bCs/>
                <w:i/>
                <w:szCs w:val="22"/>
                <w:lang w:val="en-GB"/>
              </w:rPr>
              <w:instrText>for</w:instrText>
            </w:r>
            <w:r w:rsidRPr="00097824">
              <w:rPr>
                <w:bCs/>
                <w:i/>
                <w:szCs w:val="22"/>
              </w:rPr>
              <w:instrText xml:space="preserve"> </w:instrText>
            </w:r>
            <w:r w:rsidRPr="00097824">
              <w:rPr>
                <w:bCs/>
                <w:i/>
                <w:szCs w:val="22"/>
                <w:lang w:val="en-GB"/>
              </w:rPr>
              <w:instrText>biliary</w:instrText>
            </w:r>
            <w:r w:rsidRPr="00097824">
              <w:rPr>
                <w:bCs/>
                <w:i/>
                <w:szCs w:val="22"/>
              </w:rPr>
              <w:instrText xml:space="preserve"> </w:instrText>
            </w:r>
            <w:r w:rsidRPr="00097824">
              <w:rPr>
                <w:bCs/>
                <w:i/>
                <w:szCs w:val="22"/>
                <w:lang w:val="en-GB"/>
              </w:rPr>
              <w:instrText>tract</w:instrText>
            </w:r>
            <w:r w:rsidRPr="00097824">
              <w:rPr>
                <w:bCs/>
                <w:i/>
                <w:szCs w:val="22"/>
              </w:rPr>
              <w:instrText xml:space="preserve"> </w:instrText>
            </w:r>
            <w:r w:rsidRPr="00097824">
              <w:rPr>
                <w:bCs/>
                <w:i/>
                <w:szCs w:val="22"/>
                <w:lang w:val="en-GB"/>
              </w:rPr>
              <w:instrText>cancer</w:instrText>
            </w:r>
            <w:r w:rsidRPr="00097824">
              <w:rPr>
                <w:bCs/>
                <w:i/>
                <w:szCs w:val="22"/>
              </w:rPr>
              <w:instrText>","</w:instrText>
            </w:r>
            <w:r w:rsidRPr="00097824">
              <w:rPr>
                <w:bCs/>
                <w:i/>
                <w:szCs w:val="22"/>
                <w:lang w:val="en-GB"/>
              </w:rPr>
              <w:instrText>volume</w:instrText>
            </w:r>
            <w:r w:rsidRPr="00097824">
              <w:rPr>
                <w:bCs/>
                <w:i/>
                <w:szCs w:val="22"/>
              </w:rPr>
              <w:instrText>":"362","</w:instrText>
            </w:r>
            <w:r w:rsidRPr="00097824">
              <w:rPr>
                <w:bCs/>
                <w:i/>
                <w:szCs w:val="22"/>
                <w:lang w:val="en-GB"/>
              </w:rPr>
              <w:instrText>author</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Valle</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Juan</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Wasan</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Harpreet</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Palmer</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Daniel</w:instrText>
            </w:r>
            <w:r w:rsidRPr="00097824">
              <w:rPr>
                <w:bCs/>
                <w:i/>
                <w:szCs w:val="22"/>
              </w:rPr>
              <w:instrText xml:space="preserve"> </w:instrText>
            </w:r>
            <w:r w:rsidRPr="00097824">
              <w:rPr>
                <w:bCs/>
                <w:i/>
                <w:szCs w:val="22"/>
                <w:lang w:val="en-GB"/>
              </w:rPr>
              <w:instrText>H</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Cunningham</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David</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Anthoney</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Alan</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Maraveyas</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Anthony</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Madhusudan</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Srinivasan</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Iveson</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Tim</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Hughes</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Sharon</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Pereira</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Stephen</w:instrText>
            </w:r>
            <w:r w:rsidRPr="00097824">
              <w:rPr>
                <w:bCs/>
                <w:i/>
                <w:szCs w:val="22"/>
              </w:rPr>
              <w:instrText xml:space="preserve"> </w:instrText>
            </w:r>
            <w:r w:rsidRPr="00097824">
              <w:rPr>
                <w:bCs/>
                <w:i/>
                <w:szCs w:val="22"/>
                <w:lang w:val="en-GB"/>
              </w:rPr>
              <w:instrText>P</w:instrText>
            </w:r>
            <w:r w:rsidRPr="00097824">
              <w:rPr>
                <w:bCs/>
                <w:i/>
                <w:szCs w:val="22"/>
              </w:rPr>
              <w:instrText>."}],"</w:instrText>
            </w:r>
            <w:r w:rsidRPr="00097824">
              <w:rPr>
                <w:bCs/>
                <w:i/>
                <w:szCs w:val="22"/>
                <w:lang w:val="en-GB"/>
              </w:rPr>
              <w:instrText>issued</w:instrText>
            </w:r>
            <w:r w:rsidRPr="00097824">
              <w:rPr>
                <w:bCs/>
                <w:i/>
                <w:szCs w:val="22"/>
              </w:rPr>
              <w:instrText>":{"</w:instrText>
            </w:r>
            <w:r w:rsidRPr="00097824">
              <w:rPr>
                <w:bCs/>
                <w:i/>
                <w:szCs w:val="22"/>
                <w:lang w:val="en-GB"/>
              </w:rPr>
              <w:instrText>date</w:instrText>
            </w:r>
            <w:r w:rsidRPr="00097824">
              <w:rPr>
                <w:bCs/>
                <w:i/>
                <w:szCs w:val="22"/>
              </w:rPr>
              <w:instrText>-</w:instrText>
            </w:r>
            <w:r w:rsidRPr="00097824">
              <w:rPr>
                <w:bCs/>
                <w:i/>
                <w:szCs w:val="22"/>
                <w:lang w:val="en-GB"/>
              </w:rPr>
              <w:instrText>parts</w:instrText>
            </w:r>
            <w:r w:rsidRPr="00097824">
              <w:rPr>
                <w:bCs/>
                <w:i/>
                <w:szCs w:val="22"/>
              </w:rPr>
              <w:instrText>":[["2010"]]}},"</w:instrText>
            </w:r>
            <w:r w:rsidRPr="00097824">
              <w:rPr>
                <w:bCs/>
                <w:i/>
                <w:szCs w:val="22"/>
                <w:lang w:val="en-GB"/>
              </w:rPr>
              <w:instrText>label</w:instrText>
            </w:r>
            <w:r w:rsidRPr="00097824">
              <w:rPr>
                <w:bCs/>
                <w:i/>
                <w:szCs w:val="22"/>
              </w:rPr>
              <w:instrText>":"</w:instrText>
            </w:r>
            <w:r w:rsidRPr="00097824">
              <w:rPr>
                <w:bCs/>
                <w:i/>
                <w:szCs w:val="22"/>
                <w:lang w:val="en-GB"/>
              </w:rPr>
              <w:instrText>page</w:instrText>
            </w:r>
            <w:r w:rsidRPr="00097824">
              <w:rPr>
                <w:bCs/>
                <w:i/>
                <w:szCs w:val="22"/>
              </w:rPr>
              <w:instrText>"},{"</w:instrText>
            </w:r>
            <w:r w:rsidRPr="00097824">
              <w:rPr>
                <w:bCs/>
                <w:i/>
                <w:szCs w:val="22"/>
                <w:lang w:val="en-GB"/>
              </w:rPr>
              <w:instrText>id</w:instrText>
            </w:r>
            <w:r w:rsidRPr="00097824">
              <w:rPr>
                <w:bCs/>
                <w:i/>
                <w:szCs w:val="22"/>
              </w:rPr>
              <w:instrText>":166676,"</w:instrText>
            </w:r>
            <w:r w:rsidRPr="00097824">
              <w:rPr>
                <w:bCs/>
                <w:i/>
                <w:szCs w:val="22"/>
                <w:lang w:val="en-GB"/>
              </w:rPr>
              <w:instrText>uris</w:instrText>
            </w:r>
            <w:r w:rsidRPr="00097824">
              <w:rPr>
                <w:bCs/>
                <w:i/>
                <w:szCs w:val="22"/>
              </w:rPr>
              <w:instrText>":["</w:instrText>
            </w:r>
            <w:r w:rsidRPr="00097824">
              <w:rPr>
                <w:bCs/>
                <w:i/>
                <w:szCs w:val="22"/>
                <w:lang w:val="en-GB"/>
              </w:rPr>
              <w:instrText>http</w:instrText>
            </w:r>
            <w:r w:rsidRPr="00097824">
              <w:rPr>
                <w:bCs/>
                <w:i/>
                <w:szCs w:val="22"/>
              </w:rPr>
              <w:instrText>://</w:instrText>
            </w:r>
            <w:r w:rsidRPr="00097824">
              <w:rPr>
                <w:bCs/>
                <w:i/>
                <w:szCs w:val="22"/>
                <w:lang w:val="en-GB"/>
              </w:rPr>
              <w:instrText>zotero</w:instrText>
            </w:r>
            <w:r w:rsidRPr="00097824">
              <w:rPr>
                <w:bCs/>
                <w:i/>
                <w:szCs w:val="22"/>
              </w:rPr>
              <w:instrText>.</w:instrText>
            </w:r>
            <w:r w:rsidRPr="00097824">
              <w:rPr>
                <w:bCs/>
                <w:i/>
                <w:szCs w:val="22"/>
                <w:lang w:val="en-GB"/>
              </w:rPr>
              <w:instrText>org</w:instrText>
            </w:r>
            <w:r w:rsidRPr="00097824">
              <w:rPr>
                <w:bCs/>
                <w:i/>
                <w:szCs w:val="22"/>
              </w:rPr>
              <w:instrText>/</w:instrText>
            </w:r>
            <w:r w:rsidRPr="00097824">
              <w:rPr>
                <w:bCs/>
                <w:i/>
                <w:szCs w:val="22"/>
                <w:lang w:val="en-GB"/>
              </w:rPr>
              <w:instrText>groups</w:instrText>
            </w:r>
            <w:r w:rsidRPr="00097824">
              <w:rPr>
                <w:bCs/>
                <w:i/>
                <w:szCs w:val="22"/>
              </w:rPr>
              <w:instrText>/4764298/</w:instrText>
            </w:r>
            <w:r w:rsidRPr="00097824">
              <w:rPr>
                <w:bCs/>
                <w:i/>
                <w:szCs w:val="22"/>
                <w:lang w:val="en-GB"/>
              </w:rPr>
              <w:instrText>items</w:instrText>
            </w:r>
            <w:r w:rsidRPr="00097824">
              <w:rPr>
                <w:bCs/>
                <w:i/>
                <w:szCs w:val="22"/>
              </w:rPr>
              <w:instrText>/</w:instrText>
            </w:r>
            <w:r w:rsidRPr="00097824">
              <w:rPr>
                <w:bCs/>
                <w:i/>
                <w:szCs w:val="22"/>
                <w:lang w:val="en-GB"/>
              </w:rPr>
              <w:instrText>HLCDHDCZ</w:instrText>
            </w:r>
            <w:r w:rsidRPr="00097824">
              <w:rPr>
                <w:bCs/>
                <w:i/>
                <w:szCs w:val="22"/>
              </w:rPr>
              <w:instrText>"],"</w:instrText>
            </w:r>
            <w:r w:rsidRPr="00097824">
              <w:rPr>
                <w:bCs/>
                <w:i/>
                <w:szCs w:val="22"/>
                <w:lang w:val="en-GB"/>
              </w:rPr>
              <w:instrText>itemData</w:instrText>
            </w:r>
            <w:r w:rsidRPr="00097824">
              <w:rPr>
                <w:bCs/>
                <w:i/>
                <w:szCs w:val="22"/>
              </w:rPr>
              <w:instrText>":{"</w:instrText>
            </w:r>
            <w:r w:rsidRPr="00097824">
              <w:rPr>
                <w:bCs/>
                <w:i/>
                <w:szCs w:val="22"/>
                <w:lang w:val="en-GB"/>
              </w:rPr>
              <w:instrText>id</w:instrText>
            </w:r>
            <w:r w:rsidRPr="00097824">
              <w:rPr>
                <w:bCs/>
                <w:i/>
                <w:szCs w:val="22"/>
              </w:rPr>
              <w:instrText>":166676,"</w:instrText>
            </w:r>
            <w:r w:rsidRPr="00097824">
              <w:rPr>
                <w:bCs/>
                <w:i/>
                <w:szCs w:val="22"/>
                <w:lang w:val="en-GB"/>
              </w:rPr>
              <w:instrText>type</w:instrText>
            </w:r>
            <w:r w:rsidRPr="00097824">
              <w:rPr>
                <w:bCs/>
                <w:i/>
                <w:szCs w:val="22"/>
              </w:rPr>
              <w:instrText>":"</w:instrText>
            </w:r>
            <w:r w:rsidRPr="00097824">
              <w:rPr>
                <w:bCs/>
                <w:i/>
                <w:szCs w:val="22"/>
                <w:lang w:val="en-GB"/>
              </w:rPr>
              <w:instrText>article</w:instrText>
            </w:r>
            <w:r w:rsidRPr="00097824">
              <w:rPr>
                <w:bCs/>
                <w:i/>
                <w:szCs w:val="22"/>
              </w:rPr>
              <w:instrText>-</w:instrText>
            </w:r>
            <w:r w:rsidRPr="00097824">
              <w:rPr>
                <w:bCs/>
                <w:i/>
                <w:szCs w:val="22"/>
                <w:lang w:val="en-GB"/>
              </w:rPr>
              <w:instrText>journal</w:instrText>
            </w:r>
            <w:r w:rsidRPr="00097824">
              <w:rPr>
                <w:bCs/>
                <w:i/>
                <w:szCs w:val="22"/>
              </w:rPr>
              <w:instrText>","</w:instrText>
            </w:r>
            <w:r w:rsidRPr="00097824">
              <w:rPr>
                <w:bCs/>
                <w:i/>
                <w:szCs w:val="22"/>
                <w:lang w:val="en-GB"/>
              </w:rPr>
              <w:instrText>container</w:instrText>
            </w:r>
            <w:r w:rsidRPr="00097824">
              <w:rPr>
                <w:bCs/>
                <w:i/>
                <w:szCs w:val="22"/>
              </w:rPr>
              <w:instrText>-</w:instrText>
            </w:r>
            <w:r w:rsidRPr="00097824">
              <w:rPr>
                <w:bCs/>
                <w:i/>
                <w:szCs w:val="22"/>
                <w:lang w:val="en-GB"/>
              </w:rPr>
              <w:instrText>title</w:instrText>
            </w:r>
            <w:r w:rsidRPr="00097824">
              <w:rPr>
                <w:bCs/>
                <w:i/>
                <w:szCs w:val="22"/>
              </w:rPr>
              <w:instrText>":"</w:instrText>
            </w:r>
            <w:r w:rsidRPr="00097824">
              <w:rPr>
                <w:bCs/>
                <w:i/>
                <w:szCs w:val="22"/>
                <w:lang w:val="en-GB"/>
              </w:rPr>
              <w:instrText>Annals</w:instrText>
            </w:r>
            <w:r w:rsidRPr="00097824">
              <w:rPr>
                <w:bCs/>
                <w:i/>
                <w:szCs w:val="22"/>
              </w:rPr>
              <w:instrText xml:space="preserve"> </w:instrText>
            </w:r>
            <w:r w:rsidRPr="00097824">
              <w:rPr>
                <w:bCs/>
                <w:i/>
                <w:szCs w:val="22"/>
                <w:lang w:val="en-GB"/>
              </w:rPr>
              <w:instrText>of</w:instrText>
            </w:r>
            <w:r w:rsidRPr="00097824">
              <w:rPr>
                <w:bCs/>
                <w:i/>
                <w:szCs w:val="22"/>
              </w:rPr>
              <w:instrText xml:space="preserve"> </w:instrText>
            </w:r>
            <w:r w:rsidRPr="00097824">
              <w:rPr>
                <w:bCs/>
                <w:i/>
                <w:szCs w:val="22"/>
                <w:lang w:val="en-GB"/>
              </w:rPr>
              <w:instrText>Oncology</w:instrText>
            </w:r>
            <w:r w:rsidRPr="00097824">
              <w:rPr>
                <w:bCs/>
                <w:i/>
                <w:szCs w:val="22"/>
              </w:rPr>
              <w:instrText>","</w:instrText>
            </w:r>
            <w:r w:rsidRPr="00097824">
              <w:rPr>
                <w:bCs/>
                <w:i/>
                <w:szCs w:val="22"/>
                <w:lang w:val="en-GB"/>
              </w:rPr>
              <w:instrText>note</w:instrText>
            </w:r>
            <w:r w:rsidRPr="00097824">
              <w:rPr>
                <w:bCs/>
                <w:i/>
                <w:szCs w:val="22"/>
              </w:rPr>
              <w:instrText>":"</w:instrText>
            </w:r>
            <w:r w:rsidRPr="00097824">
              <w:rPr>
                <w:bCs/>
                <w:i/>
                <w:szCs w:val="22"/>
                <w:lang w:val="en-GB"/>
              </w:rPr>
              <w:instrText>publisher</w:instrText>
            </w:r>
            <w:r w:rsidRPr="00097824">
              <w:rPr>
                <w:bCs/>
                <w:i/>
                <w:szCs w:val="22"/>
              </w:rPr>
              <w:instrText xml:space="preserve">: </w:instrText>
            </w:r>
            <w:r w:rsidRPr="00097824">
              <w:rPr>
                <w:bCs/>
                <w:i/>
                <w:szCs w:val="22"/>
                <w:lang w:val="en-GB"/>
              </w:rPr>
              <w:instrText>Elsevier</w:instrText>
            </w:r>
            <w:r w:rsidRPr="00097824">
              <w:rPr>
                <w:bCs/>
                <w:i/>
                <w:szCs w:val="22"/>
              </w:rPr>
              <w:instrText>","</w:instrText>
            </w:r>
            <w:r w:rsidRPr="00097824">
              <w:rPr>
                <w:bCs/>
                <w:i/>
                <w:szCs w:val="22"/>
                <w:lang w:val="en-GB"/>
              </w:rPr>
              <w:instrText>page</w:instrText>
            </w:r>
            <w:r w:rsidRPr="00097824">
              <w:rPr>
                <w:bCs/>
                <w:i/>
                <w:szCs w:val="22"/>
              </w:rPr>
              <w:instrText>":"</w:instrText>
            </w:r>
            <w:r w:rsidRPr="00097824">
              <w:rPr>
                <w:bCs/>
                <w:i/>
                <w:szCs w:val="22"/>
                <w:lang w:val="en-GB"/>
              </w:rPr>
              <w:instrText>v</w:instrText>
            </w:r>
            <w:r w:rsidRPr="00097824">
              <w:rPr>
                <w:bCs/>
                <w:i/>
                <w:szCs w:val="22"/>
              </w:rPr>
              <w:instrText>28–</w:instrText>
            </w:r>
            <w:r w:rsidRPr="00097824">
              <w:rPr>
                <w:bCs/>
                <w:i/>
                <w:szCs w:val="22"/>
                <w:lang w:val="en-GB"/>
              </w:rPr>
              <w:instrText>v</w:instrText>
            </w:r>
            <w:r w:rsidRPr="00097824">
              <w:rPr>
                <w:bCs/>
                <w:i/>
                <w:szCs w:val="22"/>
              </w:rPr>
              <w:instrText>37","</w:instrText>
            </w:r>
            <w:r w:rsidRPr="00097824">
              <w:rPr>
                <w:bCs/>
                <w:i/>
                <w:szCs w:val="22"/>
                <w:lang w:val="en-GB"/>
              </w:rPr>
              <w:instrText>source</w:instrText>
            </w:r>
            <w:r w:rsidRPr="00097824">
              <w:rPr>
                <w:bCs/>
                <w:i/>
                <w:szCs w:val="22"/>
              </w:rPr>
              <w:instrText>":"</w:instrText>
            </w:r>
            <w:r w:rsidRPr="00097824">
              <w:rPr>
                <w:bCs/>
                <w:i/>
                <w:szCs w:val="22"/>
                <w:lang w:val="en-GB"/>
              </w:rPr>
              <w:instrText>Google</w:instrText>
            </w:r>
            <w:r w:rsidRPr="00097824">
              <w:rPr>
                <w:bCs/>
                <w:i/>
                <w:szCs w:val="22"/>
              </w:rPr>
              <w:instrText xml:space="preserve"> </w:instrText>
            </w:r>
            <w:r w:rsidRPr="00097824">
              <w:rPr>
                <w:bCs/>
                <w:i/>
                <w:szCs w:val="22"/>
                <w:lang w:val="en-GB"/>
              </w:rPr>
              <w:instrText>Scholar</w:instrText>
            </w:r>
            <w:r w:rsidRPr="00097824">
              <w:rPr>
                <w:bCs/>
                <w:i/>
                <w:szCs w:val="22"/>
              </w:rPr>
              <w:instrText>","</w:instrText>
            </w:r>
            <w:r w:rsidRPr="00097824">
              <w:rPr>
                <w:bCs/>
                <w:i/>
                <w:szCs w:val="22"/>
                <w:lang w:val="en-GB"/>
              </w:rPr>
              <w:instrText>title</w:instrText>
            </w:r>
            <w:r w:rsidRPr="00097824">
              <w:rPr>
                <w:bCs/>
                <w:i/>
                <w:szCs w:val="22"/>
              </w:rPr>
              <w:instrText>":"</w:instrText>
            </w:r>
            <w:r w:rsidRPr="00097824">
              <w:rPr>
                <w:bCs/>
                <w:i/>
                <w:szCs w:val="22"/>
                <w:lang w:val="en-GB"/>
              </w:rPr>
              <w:instrText>Biliary</w:instrText>
            </w:r>
            <w:r w:rsidRPr="00097824">
              <w:rPr>
                <w:bCs/>
                <w:i/>
                <w:szCs w:val="22"/>
              </w:rPr>
              <w:instrText xml:space="preserve"> </w:instrText>
            </w:r>
            <w:r w:rsidRPr="00097824">
              <w:rPr>
                <w:bCs/>
                <w:i/>
                <w:szCs w:val="22"/>
                <w:lang w:val="en-GB"/>
              </w:rPr>
              <w:instrText>cancer</w:instrText>
            </w:r>
            <w:r w:rsidRPr="00097824">
              <w:rPr>
                <w:bCs/>
                <w:i/>
                <w:szCs w:val="22"/>
              </w:rPr>
              <w:instrText xml:space="preserve">: </w:instrText>
            </w:r>
            <w:r w:rsidRPr="00097824">
              <w:rPr>
                <w:bCs/>
                <w:i/>
                <w:szCs w:val="22"/>
                <w:lang w:val="en-GB"/>
              </w:rPr>
              <w:instrText>ESMO</w:instrText>
            </w:r>
            <w:r w:rsidRPr="00097824">
              <w:rPr>
                <w:bCs/>
                <w:i/>
                <w:szCs w:val="22"/>
              </w:rPr>
              <w:instrText xml:space="preserve"> </w:instrText>
            </w:r>
            <w:r w:rsidRPr="00097824">
              <w:rPr>
                <w:bCs/>
                <w:i/>
                <w:szCs w:val="22"/>
                <w:lang w:val="en-GB"/>
              </w:rPr>
              <w:instrText>Clinical</w:instrText>
            </w:r>
            <w:r w:rsidRPr="00097824">
              <w:rPr>
                <w:bCs/>
                <w:i/>
                <w:szCs w:val="22"/>
              </w:rPr>
              <w:instrText xml:space="preserve"> </w:instrText>
            </w:r>
            <w:r w:rsidRPr="00097824">
              <w:rPr>
                <w:bCs/>
                <w:i/>
                <w:szCs w:val="22"/>
                <w:lang w:val="en-GB"/>
              </w:rPr>
              <w:instrText>Practice</w:instrText>
            </w:r>
            <w:r w:rsidRPr="00097824">
              <w:rPr>
                <w:bCs/>
                <w:i/>
                <w:szCs w:val="22"/>
              </w:rPr>
              <w:instrText xml:space="preserve"> </w:instrText>
            </w:r>
            <w:r w:rsidRPr="00097824">
              <w:rPr>
                <w:bCs/>
                <w:i/>
                <w:szCs w:val="22"/>
                <w:lang w:val="en-GB"/>
              </w:rPr>
              <w:instrText>Guidelines</w:instrText>
            </w:r>
            <w:r w:rsidRPr="00097824">
              <w:rPr>
                <w:bCs/>
                <w:i/>
                <w:szCs w:val="22"/>
              </w:rPr>
              <w:instrText xml:space="preserve"> </w:instrText>
            </w:r>
            <w:r w:rsidRPr="00097824">
              <w:rPr>
                <w:bCs/>
                <w:i/>
                <w:szCs w:val="22"/>
                <w:lang w:val="en-GB"/>
              </w:rPr>
              <w:instrText>for</w:instrText>
            </w:r>
            <w:r w:rsidRPr="00097824">
              <w:rPr>
                <w:bCs/>
                <w:i/>
                <w:szCs w:val="22"/>
              </w:rPr>
              <w:instrText xml:space="preserve"> </w:instrText>
            </w:r>
            <w:r w:rsidRPr="00097824">
              <w:rPr>
                <w:bCs/>
                <w:i/>
                <w:szCs w:val="22"/>
                <w:lang w:val="en-GB"/>
              </w:rPr>
              <w:instrText>diagnosis</w:instrText>
            </w:r>
            <w:r w:rsidRPr="00097824">
              <w:rPr>
                <w:bCs/>
                <w:i/>
                <w:szCs w:val="22"/>
              </w:rPr>
              <w:instrText xml:space="preserve">, </w:instrText>
            </w:r>
            <w:r w:rsidRPr="00097824">
              <w:rPr>
                <w:bCs/>
                <w:i/>
                <w:szCs w:val="22"/>
                <w:lang w:val="en-GB"/>
              </w:rPr>
              <w:instrText>treatment</w:instrText>
            </w:r>
            <w:r w:rsidRPr="00097824">
              <w:rPr>
                <w:bCs/>
                <w:i/>
                <w:szCs w:val="22"/>
              </w:rPr>
              <w:instrText xml:space="preserve"> </w:instrText>
            </w:r>
            <w:r w:rsidRPr="00097824">
              <w:rPr>
                <w:bCs/>
                <w:i/>
                <w:szCs w:val="22"/>
                <w:lang w:val="en-GB"/>
              </w:rPr>
              <w:instrText>and</w:instrText>
            </w:r>
            <w:r w:rsidRPr="00097824">
              <w:rPr>
                <w:bCs/>
                <w:i/>
                <w:szCs w:val="22"/>
              </w:rPr>
              <w:instrText xml:space="preserve"> </w:instrText>
            </w:r>
            <w:r w:rsidRPr="00097824">
              <w:rPr>
                <w:bCs/>
                <w:i/>
                <w:szCs w:val="22"/>
                <w:lang w:val="en-GB"/>
              </w:rPr>
              <w:instrText>follow</w:instrText>
            </w:r>
            <w:r w:rsidRPr="00097824">
              <w:rPr>
                <w:bCs/>
                <w:i/>
                <w:szCs w:val="22"/>
              </w:rPr>
              <w:instrText>-</w:instrText>
            </w:r>
            <w:r w:rsidRPr="00097824">
              <w:rPr>
                <w:bCs/>
                <w:i/>
                <w:szCs w:val="22"/>
                <w:lang w:val="en-GB"/>
              </w:rPr>
              <w:instrText>up</w:instrText>
            </w:r>
            <w:r w:rsidRPr="00097824">
              <w:rPr>
                <w:bCs/>
                <w:i/>
                <w:szCs w:val="22"/>
              </w:rPr>
              <w:instrText>","</w:instrText>
            </w:r>
            <w:r w:rsidRPr="00097824">
              <w:rPr>
                <w:bCs/>
                <w:i/>
                <w:szCs w:val="22"/>
                <w:lang w:val="en-GB"/>
              </w:rPr>
              <w:instrText>title</w:instrText>
            </w:r>
            <w:r w:rsidRPr="00097824">
              <w:rPr>
                <w:bCs/>
                <w:i/>
                <w:szCs w:val="22"/>
              </w:rPr>
              <w:instrText>-</w:instrText>
            </w:r>
            <w:r w:rsidRPr="00097824">
              <w:rPr>
                <w:bCs/>
                <w:i/>
                <w:szCs w:val="22"/>
                <w:lang w:val="en-GB"/>
              </w:rPr>
              <w:instrText>short</w:instrText>
            </w:r>
            <w:r w:rsidRPr="00097824">
              <w:rPr>
                <w:bCs/>
                <w:i/>
                <w:szCs w:val="22"/>
              </w:rPr>
              <w:instrText>":"</w:instrText>
            </w:r>
            <w:r w:rsidRPr="00097824">
              <w:rPr>
                <w:bCs/>
                <w:i/>
                <w:szCs w:val="22"/>
                <w:lang w:val="en-GB"/>
              </w:rPr>
              <w:instrText>Biliary</w:instrText>
            </w:r>
            <w:r w:rsidRPr="00097824">
              <w:rPr>
                <w:bCs/>
                <w:i/>
                <w:szCs w:val="22"/>
              </w:rPr>
              <w:instrText xml:space="preserve"> </w:instrText>
            </w:r>
            <w:r w:rsidRPr="00097824">
              <w:rPr>
                <w:bCs/>
                <w:i/>
                <w:szCs w:val="22"/>
                <w:lang w:val="en-GB"/>
              </w:rPr>
              <w:instrText>cancer</w:instrText>
            </w:r>
            <w:r w:rsidRPr="00097824">
              <w:rPr>
                <w:bCs/>
                <w:i/>
                <w:szCs w:val="22"/>
              </w:rPr>
              <w:instrText>","</w:instrText>
            </w:r>
            <w:r w:rsidRPr="00097824">
              <w:rPr>
                <w:bCs/>
                <w:i/>
                <w:szCs w:val="22"/>
                <w:lang w:val="en-GB"/>
              </w:rPr>
              <w:instrText>volume</w:instrText>
            </w:r>
            <w:r w:rsidRPr="00097824">
              <w:rPr>
                <w:bCs/>
                <w:i/>
                <w:szCs w:val="22"/>
              </w:rPr>
              <w:instrText>":"27","</w:instrText>
            </w:r>
            <w:r w:rsidRPr="00097824">
              <w:rPr>
                <w:bCs/>
                <w:i/>
                <w:szCs w:val="22"/>
                <w:lang w:val="en-GB"/>
              </w:rPr>
              <w:instrText>author</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Valle</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Juan</w:instrText>
            </w:r>
            <w:r w:rsidRPr="00097824">
              <w:rPr>
                <w:bCs/>
                <w:i/>
                <w:szCs w:val="22"/>
              </w:rPr>
              <w:instrText xml:space="preserve"> </w:instrText>
            </w:r>
            <w:r w:rsidRPr="00097824">
              <w:rPr>
                <w:bCs/>
                <w:i/>
                <w:szCs w:val="22"/>
                <w:lang w:val="en-GB"/>
              </w:rPr>
              <w:instrText>W</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Borbath</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Ivan</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Khan</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Shahid</w:instrText>
            </w:r>
            <w:r w:rsidRPr="00097824">
              <w:rPr>
                <w:bCs/>
                <w:i/>
                <w:szCs w:val="22"/>
              </w:rPr>
              <w:instrText xml:space="preserve"> </w:instrText>
            </w:r>
            <w:r w:rsidRPr="00097824">
              <w:rPr>
                <w:bCs/>
                <w:i/>
                <w:szCs w:val="22"/>
                <w:lang w:val="en-GB"/>
              </w:rPr>
              <w:instrText>A</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Huguet</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Florence</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Gruenberger</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Thomas</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Arnold</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Dirk</w:instrText>
            </w:r>
            <w:r w:rsidRPr="00097824">
              <w:rPr>
                <w:bCs/>
                <w:i/>
                <w:szCs w:val="22"/>
              </w:rPr>
              <w:instrText>"}],"</w:instrText>
            </w:r>
            <w:r w:rsidRPr="00097824">
              <w:rPr>
                <w:bCs/>
                <w:i/>
                <w:szCs w:val="22"/>
                <w:lang w:val="en-GB"/>
              </w:rPr>
              <w:instrText>issued</w:instrText>
            </w:r>
            <w:r w:rsidRPr="00097824">
              <w:rPr>
                <w:bCs/>
                <w:i/>
                <w:szCs w:val="22"/>
              </w:rPr>
              <w:instrText>":{"</w:instrText>
            </w:r>
            <w:r w:rsidRPr="00097824">
              <w:rPr>
                <w:bCs/>
                <w:i/>
                <w:szCs w:val="22"/>
                <w:lang w:val="en-GB"/>
              </w:rPr>
              <w:instrText>date</w:instrText>
            </w:r>
            <w:r w:rsidRPr="00097824">
              <w:rPr>
                <w:bCs/>
                <w:i/>
                <w:szCs w:val="22"/>
              </w:rPr>
              <w:instrText>-</w:instrText>
            </w:r>
            <w:r w:rsidRPr="00097824">
              <w:rPr>
                <w:bCs/>
                <w:i/>
                <w:szCs w:val="22"/>
                <w:lang w:val="en-GB"/>
              </w:rPr>
              <w:instrText>parts</w:instrText>
            </w:r>
            <w:r w:rsidRPr="00097824">
              <w:rPr>
                <w:bCs/>
                <w:i/>
                <w:szCs w:val="22"/>
              </w:rPr>
              <w:instrText>":[["2016"]]}},"</w:instrText>
            </w:r>
            <w:r w:rsidRPr="00097824">
              <w:rPr>
                <w:bCs/>
                <w:i/>
                <w:szCs w:val="22"/>
                <w:lang w:val="en-GB"/>
              </w:rPr>
              <w:instrText>label</w:instrText>
            </w:r>
            <w:r w:rsidRPr="00097824">
              <w:rPr>
                <w:bCs/>
                <w:i/>
                <w:szCs w:val="22"/>
              </w:rPr>
              <w:instrText>":"</w:instrText>
            </w:r>
            <w:r w:rsidRPr="00097824">
              <w:rPr>
                <w:bCs/>
                <w:i/>
                <w:szCs w:val="22"/>
                <w:lang w:val="en-GB"/>
              </w:rPr>
              <w:instrText>page</w:instrText>
            </w:r>
            <w:r w:rsidRPr="00097824">
              <w:rPr>
                <w:bCs/>
                <w:i/>
                <w:szCs w:val="22"/>
              </w:rPr>
              <w:instrText>"}],"</w:instrText>
            </w:r>
            <w:r w:rsidRPr="00097824">
              <w:rPr>
                <w:bCs/>
                <w:i/>
                <w:szCs w:val="22"/>
                <w:lang w:val="en-GB"/>
              </w:rPr>
              <w:instrText>schema</w:instrText>
            </w:r>
            <w:r w:rsidRPr="00097824">
              <w:rPr>
                <w:bCs/>
                <w:i/>
                <w:szCs w:val="22"/>
              </w:rPr>
              <w:instrText>":"</w:instrText>
            </w:r>
            <w:r w:rsidRPr="00097824">
              <w:rPr>
                <w:bCs/>
                <w:i/>
                <w:szCs w:val="22"/>
                <w:lang w:val="en-GB"/>
              </w:rPr>
              <w:instrText>https</w:instrText>
            </w:r>
            <w:r w:rsidRPr="00097824">
              <w:rPr>
                <w:bCs/>
                <w:i/>
                <w:szCs w:val="22"/>
              </w:rPr>
              <w:instrText>://</w:instrText>
            </w:r>
            <w:r w:rsidRPr="00097824">
              <w:rPr>
                <w:bCs/>
                <w:i/>
                <w:szCs w:val="22"/>
                <w:lang w:val="en-GB"/>
              </w:rPr>
              <w:instrText>github</w:instrText>
            </w:r>
            <w:r w:rsidRPr="00097824">
              <w:rPr>
                <w:bCs/>
                <w:i/>
                <w:szCs w:val="22"/>
              </w:rPr>
              <w:instrText>.</w:instrText>
            </w:r>
            <w:r w:rsidRPr="00097824">
              <w:rPr>
                <w:bCs/>
                <w:i/>
                <w:szCs w:val="22"/>
                <w:lang w:val="en-GB"/>
              </w:rPr>
              <w:instrText>com</w:instrText>
            </w:r>
            <w:r w:rsidRPr="00097824">
              <w:rPr>
                <w:bCs/>
                <w:i/>
                <w:szCs w:val="22"/>
              </w:rPr>
              <w:instrText>/</w:instrText>
            </w:r>
            <w:r w:rsidRPr="00097824">
              <w:rPr>
                <w:bCs/>
                <w:i/>
                <w:szCs w:val="22"/>
                <w:lang w:val="en-GB"/>
              </w:rPr>
              <w:instrText>citation</w:instrText>
            </w:r>
            <w:r w:rsidRPr="00097824">
              <w:rPr>
                <w:bCs/>
                <w:i/>
                <w:szCs w:val="22"/>
              </w:rPr>
              <w:instrText>-</w:instrText>
            </w:r>
            <w:r w:rsidRPr="00097824">
              <w:rPr>
                <w:bCs/>
                <w:i/>
                <w:szCs w:val="22"/>
                <w:lang w:val="en-GB"/>
              </w:rPr>
              <w:instrText>style</w:instrText>
            </w:r>
            <w:r w:rsidRPr="00097824">
              <w:rPr>
                <w:bCs/>
                <w:i/>
                <w:szCs w:val="22"/>
              </w:rPr>
              <w:instrText>-</w:instrText>
            </w:r>
            <w:r w:rsidRPr="00097824">
              <w:rPr>
                <w:bCs/>
                <w:i/>
                <w:szCs w:val="22"/>
                <w:lang w:val="en-GB"/>
              </w:rPr>
              <w:instrText>language</w:instrText>
            </w:r>
            <w:r w:rsidRPr="00097824">
              <w:rPr>
                <w:bCs/>
                <w:i/>
                <w:szCs w:val="22"/>
              </w:rPr>
              <w:instrText>/</w:instrText>
            </w:r>
            <w:r w:rsidRPr="00097824">
              <w:rPr>
                <w:bCs/>
                <w:i/>
                <w:szCs w:val="22"/>
                <w:lang w:val="en-GB"/>
              </w:rPr>
              <w:instrText>schema</w:instrText>
            </w:r>
            <w:r w:rsidRPr="00097824">
              <w:rPr>
                <w:bCs/>
                <w:i/>
                <w:szCs w:val="22"/>
              </w:rPr>
              <w:instrText>/</w:instrText>
            </w:r>
            <w:r w:rsidRPr="00097824">
              <w:rPr>
                <w:bCs/>
                <w:i/>
                <w:szCs w:val="22"/>
                <w:lang w:val="en-GB"/>
              </w:rPr>
              <w:instrText>raw</w:instrText>
            </w:r>
            <w:r w:rsidRPr="00097824">
              <w:rPr>
                <w:bCs/>
                <w:i/>
                <w:szCs w:val="22"/>
              </w:rPr>
              <w:instrText>/</w:instrText>
            </w:r>
            <w:r w:rsidRPr="00097824">
              <w:rPr>
                <w:bCs/>
                <w:i/>
                <w:szCs w:val="22"/>
                <w:lang w:val="en-GB"/>
              </w:rPr>
              <w:instrText>master</w:instrText>
            </w:r>
            <w:r w:rsidRPr="00097824">
              <w:rPr>
                <w:bCs/>
                <w:i/>
                <w:szCs w:val="22"/>
              </w:rPr>
              <w:instrText>/</w:instrText>
            </w:r>
            <w:r w:rsidRPr="00097824">
              <w:rPr>
                <w:bCs/>
                <w:i/>
                <w:szCs w:val="22"/>
                <w:lang w:val="en-GB"/>
              </w:rPr>
              <w:instrText>csl</w:instrText>
            </w:r>
            <w:r w:rsidRPr="00097824">
              <w:rPr>
                <w:bCs/>
                <w:i/>
                <w:szCs w:val="22"/>
              </w:rPr>
              <w:instrText>-</w:instrText>
            </w:r>
            <w:r w:rsidRPr="00097824">
              <w:rPr>
                <w:bCs/>
                <w:i/>
                <w:szCs w:val="22"/>
                <w:lang w:val="en-GB"/>
              </w:rPr>
              <w:instrText>citation</w:instrText>
            </w:r>
            <w:r w:rsidRPr="00097824">
              <w:rPr>
                <w:bCs/>
                <w:i/>
                <w:szCs w:val="22"/>
              </w:rPr>
              <w:instrText>.</w:instrText>
            </w:r>
            <w:r w:rsidRPr="00097824">
              <w:rPr>
                <w:bCs/>
                <w:i/>
                <w:szCs w:val="22"/>
                <w:lang w:val="en-GB"/>
              </w:rPr>
              <w:instrText>json</w:instrText>
            </w:r>
            <w:r w:rsidRPr="00097824">
              <w:rPr>
                <w:bCs/>
                <w:i/>
                <w:szCs w:val="22"/>
              </w:rPr>
              <w:instrText xml:space="preserve">"} </w:instrText>
            </w:r>
            <w:r w:rsidRPr="00097824">
              <w:rPr>
                <w:bCs/>
                <w:i/>
                <w:lang w:val="en-GB"/>
              </w:rPr>
              <w:fldChar w:fldCharType="separate"/>
            </w:r>
            <w:r w:rsidRPr="00097824">
              <w:t>[10,19,109]</w:t>
            </w:r>
            <w:r w:rsidRPr="00097824">
              <w:rPr>
                <w:bCs/>
                <w:i/>
                <w:lang w:val="en-GB"/>
              </w:rPr>
              <w:fldChar w:fldCharType="end"/>
            </w:r>
            <w:r w:rsidRPr="00097824">
              <w:rPr>
                <w:bCs/>
                <w:i/>
                <w:szCs w:val="22"/>
              </w:rPr>
              <w:t>.</w:t>
            </w:r>
          </w:p>
          <w:p w14:paraId="6DA41358" w14:textId="77777777" w:rsidR="00317315" w:rsidRPr="00097824" w:rsidRDefault="00317315" w:rsidP="00317315">
            <w:pPr>
              <w:keepNext/>
              <w:numPr>
                <w:ilvl w:val="0"/>
                <w:numId w:val="5"/>
              </w:numPr>
              <w:autoSpaceDE w:val="0"/>
              <w:autoSpaceDN w:val="0"/>
              <w:adjustRightInd w:val="0"/>
              <w:ind w:left="0" w:firstLine="0"/>
              <w:contextualSpacing/>
              <w:rPr>
                <w:i/>
              </w:rPr>
            </w:pPr>
            <w:r w:rsidRPr="00097824">
              <w:rPr>
                <w:rFonts w:asciiTheme="minorHAnsi" w:hAnsiTheme="minorHAnsi"/>
                <w:i/>
                <w:noProof/>
                <w:color w:val="000000" w:themeColor="text1"/>
                <w:lang w:val="ka-GE"/>
              </w:rPr>
              <w:t>#</w:t>
            </w:r>
            <w:r w:rsidRPr="00097824">
              <w:rPr>
                <w:i/>
                <w:noProof/>
                <w:color w:val="000000" w:themeColor="text1"/>
              </w:rPr>
              <w:t>Капецитабин** по 1250 мг/м</w:t>
            </w:r>
            <w:r w:rsidRPr="00097824">
              <w:rPr>
                <w:i/>
                <w:noProof/>
                <w:color w:val="000000" w:themeColor="text1"/>
                <w:position w:val="5"/>
                <w:vertAlign w:val="superscript"/>
              </w:rPr>
              <w:t>2</w:t>
            </w:r>
            <w:r w:rsidRPr="00097824">
              <w:rPr>
                <w:i/>
                <w:noProof/>
                <w:color w:val="000000" w:themeColor="text1"/>
                <w:position w:val="5"/>
              </w:rPr>
              <w:t xml:space="preserve"> </w:t>
            </w:r>
            <w:r w:rsidRPr="00097824">
              <w:rPr>
                <w:i/>
                <w:noProof/>
                <w:color w:val="000000" w:themeColor="text1"/>
              </w:rPr>
              <w:t xml:space="preserve">х 2 раза в день внутрь в 1–14-й дни каждые 21 день </w:t>
            </w:r>
            <w:r w:rsidRPr="00097824">
              <w:rPr>
                <w:noProof/>
                <w:color w:val="000000" w:themeColor="text1"/>
              </w:rPr>
              <w:t>[187]</w:t>
            </w:r>
          </w:p>
          <w:p w14:paraId="4A870A0F" w14:textId="77777777" w:rsidR="00317315" w:rsidRPr="00097824" w:rsidRDefault="00317315" w:rsidP="00317315">
            <w:pPr>
              <w:keepNext/>
              <w:numPr>
                <w:ilvl w:val="0"/>
                <w:numId w:val="5"/>
              </w:numPr>
              <w:autoSpaceDE w:val="0"/>
              <w:autoSpaceDN w:val="0"/>
              <w:adjustRightInd w:val="0"/>
              <w:ind w:left="0" w:firstLine="0"/>
              <w:contextualSpacing/>
              <w:rPr>
                <w:i/>
              </w:rPr>
            </w:pPr>
            <w:r w:rsidRPr="00097824">
              <w:rPr>
                <w:rFonts w:asciiTheme="minorHAnsi" w:hAnsiTheme="minorHAnsi"/>
                <w:i/>
                <w:noProof/>
                <w:color w:val="000000" w:themeColor="text1"/>
                <w:lang w:val="ka-GE"/>
              </w:rPr>
              <w:t>#</w:t>
            </w:r>
            <w:proofErr w:type="spellStart"/>
            <w:r w:rsidRPr="00097824">
              <w:rPr>
                <w:bCs/>
                <w:i/>
              </w:rPr>
              <w:t>Иринотекан</w:t>
            </w:r>
            <w:proofErr w:type="spellEnd"/>
            <w:r w:rsidRPr="00097824">
              <w:rPr>
                <w:bCs/>
                <w:i/>
              </w:rPr>
              <w:t xml:space="preserve"> 240 мг/м2 в 1-й день. Интервал – 3 недели [182].</w:t>
            </w:r>
          </w:p>
        </w:tc>
      </w:tr>
      <w:tr w:rsidR="00317315" w:rsidRPr="00097824" w14:paraId="6CBDE943" w14:textId="77777777" w:rsidTr="00317315">
        <w:tc>
          <w:tcPr>
            <w:tcW w:w="1986" w:type="dxa"/>
          </w:tcPr>
          <w:p w14:paraId="59B2D78E" w14:textId="77777777" w:rsidR="00317315" w:rsidRPr="00097824" w:rsidRDefault="00317315" w:rsidP="00317315">
            <w:pPr>
              <w:keepNext/>
              <w:autoSpaceDE w:val="0"/>
              <w:autoSpaceDN w:val="0"/>
              <w:adjustRightInd w:val="0"/>
              <w:ind w:firstLine="0"/>
              <w:contextualSpacing/>
              <w:jc w:val="left"/>
            </w:pPr>
            <w:proofErr w:type="spellStart"/>
            <w:r w:rsidRPr="00097824">
              <w:rPr>
                <w:i/>
              </w:rPr>
              <w:t>Полихимио</w:t>
            </w:r>
            <w:proofErr w:type="spellEnd"/>
            <w:r w:rsidRPr="00097824">
              <w:rPr>
                <w:i/>
              </w:rPr>
              <w:t>-терапия</w:t>
            </w:r>
          </w:p>
        </w:tc>
        <w:tc>
          <w:tcPr>
            <w:tcW w:w="8221" w:type="dxa"/>
          </w:tcPr>
          <w:p w14:paraId="3D043BFA" w14:textId="77777777" w:rsidR="00317315" w:rsidRPr="00097824" w:rsidRDefault="00317315" w:rsidP="00317315">
            <w:pPr>
              <w:keepNext/>
              <w:numPr>
                <w:ilvl w:val="0"/>
                <w:numId w:val="6"/>
              </w:numPr>
              <w:autoSpaceDE w:val="0"/>
              <w:autoSpaceDN w:val="0"/>
              <w:adjustRightInd w:val="0"/>
              <w:ind w:left="0" w:firstLine="0"/>
              <w:contextualSpacing/>
              <w:rPr>
                <w:i/>
              </w:rPr>
            </w:pPr>
            <w:proofErr w:type="spellStart"/>
            <w:r w:rsidRPr="00097824">
              <w:rPr>
                <w:i/>
                <w:szCs w:val="22"/>
              </w:rPr>
              <w:t>Гемцитабин</w:t>
            </w:r>
            <w:proofErr w:type="spellEnd"/>
            <w:r w:rsidRPr="00097824">
              <w:rPr>
                <w:i/>
                <w:szCs w:val="22"/>
              </w:rPr>
              <w:t>** 1000 мг/м</w:t>
            </w:r>
            <w:r w:rsidRPr="00097824">
              <w:rPr>
                <w:i/>
                <w:szCs w:val="22"/>
                <w:vertAlign w:val="superscript"/>
              </w:rPr>
              <w:t>2</w:t>
            </w:r>
            <w:r w:rsidRPr="00097824">
              <w:rPr>
                <w:i/>
                <w:szCs w:val="22"/>
              </w:rPr>
              <w:t xml:space="preserve"> в 1-й и 8-й дни. </w:t>
            </w:r>
          </w:p>
          <w:p w14:paraId="667DB40B" w14:textId="77777777" w:rsidR="00317315" w:rsidRPr="00097824" w:rsidRDefault="00317315" w:rsidP="00317315">
            <w:pPr>
              <w:keepNext/>
              <w:autoSpaceDE w:val="0"/>
              <w:autoSpaceDN w:val="0"/>
              <w:adjustRightInd w:val="0"/>
              <w:ind w:firstLine="0"/>
              <w:contextualSpacing/>
              <w:rPr>
                <w:rFonts w:ascii="Sylfaen" w:hAnsi="Sylfaen"/>
                <w:i/>
              </w:rPr>
            </w:pPr>
            <w:r w:rsidRPr="00097824">
              <w:t>#</w:t>
            </w:r>
            <w:r w:rsidRPr="00097824">
              <w:rPr>
                <w:i/>
                <w:szCs w:val="22"/>
              </w:rPr>
              <w:t>Цисплатин**25мг/м</w:t>
            </w:r>
            <w:r w:rsidRPr="00097824">
              <w:rPr>
                <w:i/>
                <w:szCs w:val="22"/>
                <w:vertAlign w:val="superscript"/>
              </w:rPr>
              <w:t>2</w:t>
            </w:r>
            <w:r w:rsidRPr="00097824">
              <w:rPr>
                <w:i/>
                <w:szCs w:val="22"/>
              </w:rPr>
              <w:t xml:space="preserve"> в 1-й и 8-й дни, интервал – 3 недели</w:t>
            </w:r>
            <w:r w:rsidRPr="00097824">
              <w:rPr>
                <w:i/>
              </w:rPr>
              <w:t>)</w:t>
            </w:r>
            <w:r w:rsidRPr="00097824">
              <w:rPr>
                <w:i/>
              </w:rPr>
              <w:fldChar w:fldCharType="begin"/>
            </w:r>
            <w:r w:rsidRPr="00097824">
              <w:rPr>
                <w:i/>
                <w:szCs w:val="22"/>
              </w:rPr>
              <w:instrText xml:space="preserve"> ADDIN ZOTERO_ITEM CSL_CITATION {"citationID":"y0KU9D8v","properties":{"formattedCitation":"[109]","plainCitation":"[109]","noteIndex":0},"citationItems":[{"id":166669,"uris":["http://zotero.org/groups/4764298/items/KI99IFYJ"],"itemData":{"id":166669,"type":"article-journal","container-title":"New England Journal of Medicine","issue":"14","note":"publisher: Mass Medical Soc","page":"1273–1281","source":"Google Scholar","title":"Cisplatin plus gemcitabine versus gemcitabine for biliary tract cancer","volume":"362","author":[{"family":"Valle","given":"Juan"},{"family":"Wasan","given":"Harpreet"},{"family":"Palmer","given":"Daniel H."},{"family":"Cunningham","given":"David"},{"family":"Anthoney","given":"Alan"},{"family":"Maraveyas","given":"Anthony"},{"family":"Madhusudan","given":"Srinivasan"},{"family":"Iveson","given":"Tim"},{"family":"Hughes","given":"Sharon"},{"family":"Pereira","given":"Stephen P."}],"issued":{"date-parts":[["2010"]]}}}],"schema":"https://github.com/citation-style-language/schema/raw/master/csl-citation.json"} </w:instrText>
            </w:r>
            <w:r w:rsidRPr="00097824">
              <w:rPr>
                <w:i/>
              </w:rPr>
              <w:fldChar w:fldCharType="separate"/>
            </w:r>
            <w:r w:rsidRPr="00097824">
              <w:t>[109]</w:t>
            </w:r>
            <w:r w:rsidRPr="00097824">
              <w:rPr>
                <w:i/>
              </w:rPr>
              <w:fldChar w:fldCharType="end"/>
            </w:r>
          </w:p>
          <w:p w14:paraId="7F70FC1C" w14:textId="77777777" w:rsidR="00317315" w:rsidRPr="00097824" w:rsidRDefault="00317315" w:rsidP="00317315">
            <w:pPr>
              <w:keepNext/>
              <w:numPr>
                <w:ilvl w:val="0"/>
                <w:numId w:val="6"/>
              </w:numPr>
              <w:tabs>
                <w:tab w:val="left" w:pos="-108"/>
              </w:tabs>
              <w:autoSpaceDE w:val="0"/>
              <w:autoSpaceDN w:val="0"/>
              <w:adjustRightInd w:val="0"/>
              <w:ind w:left="0" w:firstLine="0"/>
              <w:contextualSpacing/>
              <w:rPr>
                <w:i/>
              </w:rPr>
            </w:pPr>
            <w:r w:rsidRPr="00097824">
              <w:t>#</w:t>
            </w:r>
            <w:r w:rsidRPr="00097824">
              <w:rPr>
                <w:i/>
                <w:szCs w:val="22"/>
              </w:rPr>
              <w:t>Гемцитабин** 1000 мг/м</w:t>
            </w:r>
            <w:r w:rsidRPr="00097824">
              <w:rPr>
                <w:i/>
                <w:szCs w:val="22"/>
                <w:vertAlign w:val="superscript"/>
              </w:rPr>
              <w:t>2</w:t>
            </w:r>
            <w:r w:rsidRPr="00097824">
              <w:rPr>
                <w:i/>
                <w:szCs w:val="22"/>
              </w:rPr>
              <w:t xml:space="preserve"> в 1-й и 8-й дни.</w:t>
            </w:r>
          </w:p>
          <w:p w14:paraId="2C84B084" w14:textId="77777777" w:rsidR="00317315" w:rsidRPr="00097824" w:rsidRDefault="00317315" w:rsidP="00317315">
            <w:pPr>
              <w:keepNext/>
              <w:tabs>
                <w:tab w:val="left" w:pos="743"/>
              </w:tabs>
              <w:autoSpaceDE w:val="0"/>
              <w:autoSpaceDN w:val="0"/>
              <w:adjustRightInd w:val="0"/>
              <w:ind w:firstLine="0"/>
              <w:contextualSpacing/>
              <w:rPr>
                <w:i/>
              </w:rPr>
            </w:pPr>
            <w:r w:rsidRPr="00097824">
              <w:rPr>
                <w:rFonts w:ascii="Sylfaen" w:hAnsi="Sylfaen"/>
                <w:i/>
                <w:szCs w:val="22"/>
                <w:lang w:val="ka-GE"/>
              </w:rPr>
              <w:t>#</w:t>
            </w:r>
            <w:proofErr w:type="spellStart"/>
            <w:r w:rsidRPr="00097824">
              <w:rPr>
                <w:i/>
                <w:szCs w:val="22"/>
              </w:rPr>
              <w:t>Оксалиплатин</w:t>
            </w:r>
            <w:proofErr w:type="spellEnd"/>
            <w:r w:rsidRPr="00097824">
              <w:rPr>
                <w:i/>
                <w:szCs w:val="22"/>
              </w:rPr>
              <w:t>** 100 мг/м</w:t>
            </w:r>
            <w:r w:rsidRPr="00097824">
              <w:rPr>
                <w:i/>
                <w:szCs w:val="22"/>
                <w:vertAlign w:val="superscript"/>
              </w:rPr>
              <w:t>2</w:t>
            </w:r>
            <w:r w:rsidRPr="00097824">
              <w:rPr>
                <w:i/>
                <w:szCs w:val="22"/>
              </w:rPr>
              <w:t xml:space="preserve"> в/в во 1-й день, интервал –3 недели</w:t>
            </w:r>
            <w:r w:rsidRPr="00097824">
              <w:rPr>
                <w:bCs/>
                <w:i/>
                <w:szCs w:val="22"/>
              </w:rPr>
              <w:t xml:space="preserve">. </w:t>
            </w:r>
            <w:r w:rsidRPr="00097824">
              <w:rPr>
                <w:bCs/>
                <w:i/>
                <w:lang w:val="en-GB"/>
              </w:rPr>
              <w:fldChar w:fldCharType="begin"/>
            </w:r>
            <w:r w:rsidRPr="00097824">
              <w:rPr>
                <w:bCs/>
                <w:i/>
                <w:szCs w:val="22"/>
              </w:rPr>
              <w:instrText xml:space="preserve"> ADDIN ZOTERO_ITEM CSL_CITATION {"citationID":"xVI2JtSI","properties":{"formattedCitation":"[10,19,116]","plainCitation":"[10,19,116]","noteIndex":0},"citationItems":[{"id":166644,"uris":["http://zotero.org/groups/4764298/items/6QHBBU8X"],"itemData":{"id":166644,"type":"article-journal","container-title":"JNCCN Journal of the National Comprehensive Cancer Network","issue":"8","note":"publisher: Cold Spring Publishing LLC","page":"728–750","source":"Google Scholar","title":"Hepatobiliary cancers clinical practice guidelines in oncology","volume":"4","author":[{"family":"Benson","given":"Al B."},{"family":"Bekaii-Saab","given":"Tanios"},{"family":"Ben-Josef","given":"Edgar"},{"family":"Blumgart","given":"Leslie"},{"family":"Clary","given":"Bryan M."},{"family":"Curley","given":"Steven A."},{"family":"Davila","given":"Rene"},{"family":"Earle","given":"Craig C."},{"family":"Ensminger","given":"William D."},{"family":"Gibbs","given":"John F."}],"issued":{"date-parts":[["2006"]]}},"label":"page"},{"id":166676,"uris":["http://zotero.org/groups/4764298/items/HLCDHDCZ"],"itemData":{"id":166676,"type":"article-journal","container-title":"Annals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166677,"uris":["http://zotero.org/groups/4764298/items/KDY2PF9J"],"itemData":{"id":166677,"type":"article-journal","container-title":"Cancer chemotherapy and pharmacology","issue":"4","note":"publisher: Springer","page":"641–647","source":"Google Scholar","title":"Gemcitabine and oxaliplatin in patients with unresectable biliary cancer including gall bladder cancer: a Korean Cancer Study Group phase II trial","title-short":"Gemcitabine and oxaliplatin in patients with unresectable biliary cancer including gall bladder cancer","volume":"65","author":[{"family":"Jang","given":"Joung-Soon"},{"family":"Lim","given":"Ho Yeong"},{"family":"Hwang","given":"In Gyu"},{"family":"Song","given":"Hong Suk"},{"family":"Yoo","given":"NaeChoon"},{"family":"Yoon","given":"SoYoung"},{"family":"Kim","given":"Yeul Hong"},{"family":"Park","given":"Eunsik"},{"family":"Byun","given":"Jae Ho"},{"family":"Lee","given":"Myung Ah"}],"issued":{"date-parts":[["2010"]]}},"label":"page"}],"schema":"https://github.com/citation-style-language/schema/raw/master/csl-citation.json"} </w:instrText>
            </w:r>
            <w:r w:rsidRPr="00097824">
              <w:rPr>
                <w:bCs/>
                <w:i/>
                <w:lang w:val="en-GB"/>
              </w:rPr>
              <w:fldChar w:fldCharType="separate"/>
            </w:r>
            <w:r w:rsidRPr="00097824">
              <w:t>[10,19,116]</w:t>
            </w:r>
            <w:r w:rsidRPr="00097824">
              <w:rPr>
                <w:bCs/>
                <w:i/>
                <w:lang w:val="en-GB"/>
              </w:rPr>
              <w:fldChar w:fldCharType="end"/>
            </w:r>
            <w:r w:rsidRPr="00097824">
              <w:rPr>
                <w:i/>
                <w:szCs w:val="22"/>
              </w:rPr>
              <w:t>.</w:t>
            </w:r>
          </w:p>
          <w:p w14:paraId="7974729E" w14:textId="77777777" w:rsidR="00317315" w:rsidRPr="00097824" w:rsidRDefault="00317315" w:rsidP="00317315">
            <w:pPr>
              <w:keepNext/>
              <w:numPr>
                <w:ilvl w:val="0"/>
                <w:numId w:val="5"/>
              </w:numPr>
              <w:autoSpaceDE w:val="0"/>
              <w:autoSpaceDN w:val="0"/>
              <w:adjustRightInd w:val="0"/>
              <w:ind w:left="0" w:firstLine="0"/>
              <w:contextualSpacing/>
              <w:rPr>
                <w:bCs/>
                <w:i/>
              </w:rPr>
            </w:pPr>
            <w:r w:rsidRPr="00097824">
              <w:rPr>
                <w:bCs/>
                <w:i/>
                <w:szCs w:val="22"/>
              </w:rPr>
              <w:t>FOLFOX6 (</w:t>
            </w:r>
            <w:r w:rsidRPr="00097824">
              <w:t>#</w:t>
            </w:r>
            <w:r w:rsidRPr="00097824">
              <w:rPr>
                <w:bCs/>
                <w:i/>
                <w:szCs w:val="22"/>
              </w:rPr>
              <w:t>Оксалиплатин** 85 мг/м</w:t>
            </w:r>
            <w:r w:rsidRPr="00097824">
              <w:rPr>
                <w:bCs/>
                <w:i/>
                <w:szCs w:val="22"/>
                <w:vertAlign w:val="superscript"/>
              </w:rPr>
              <w:t>2</w:t>
            </w:r>
            <w:r w:rsidRPr="00097824">
              <w:rPr>
                <w:bCs/>
                <w:i/>
                <w:szCs w:val="22"/>
              </w:rPr>
              <w:t xml:space="preserve"> 2-часовая инфузия в 1-й день, </w:t>
            </w:r>
            <w:r w:rsidRPr="00097824">
              <w:t>#</w:t>
            </w:r>
            <w:r w:rsidRPr="00097824">
              <w:rPr>
                <w:bCs/>
                <w:i/>
                <w:szCs w:val="22"/>
              </w:rPr>
              <w:t xml:space="preserve">кальция </w:t>
            </w:r>
            <w:proofErr w:type="spellStart"/>
            <w:r w:rsidRPr="00097824">
              <w:rPr>
                <w:bCs/>
                <w:i/>
                <w:szCs w:val="22"/>
              </w:rPr>
              <w:t>фолинат</w:t>
            </w:r>
            <w:proofErr w:type="spellEnd"/>
            <w:r w:rsidRPr="00097824">
              <w:rPr>
                <w:bCs/>
                <w:i/>
                <w:szCs w:val="22"/>
              </w:rPr>
              <w:t>** по 400 мг/м</w:t>
            </w:r>
            <w:r w:rsidRPr="00097824">
              <w:rPr>
                <w:bCs/>
                <w:i/>
                <w:szCs w:val="22"/>
                <w:vertAlign w:val="superscript"/>
              </w:rPr>
              <w:t>2</w:t>
            </w:r>
            <w:r w:rsidRPr="00097824">
              <w:rPr>
                <w:bCs/>
                <w:i/>
                <w:szCs w:val="22"/>
              </w:rPr>
              <w:t xml:space="preserve"> в/в 2-часовая инфузия в 1-й день, </w:t>
            </w:r>
            <w:r w:rsidRPr="00097824">
              <w:t>#</w:t>
            </w:r>
            <w:r w:rsidRPr="00097824">
              <w:rPr>
                <w:bCs/>
                <w:i/>
                <w:szCs w:val="22"/>
              </w:rPr>
              <w:t xml:space="preserve">фторурацил** 400 мг/м2 в/в </w:t>
            </w:r>
            <w:proofErr w:type="spellStart"/>
            <w:r w:rsidRPr="00097824">
              <w:rPr>
                <w:bCs/>
                <w:i/>
                <w:szCs w:val="22"/>
              </w:rPr>
              <w:t>струйно</w:t>
            </w:r>
            <w:proofErr w:type="spellEnd"/>
            <w:r w:rsidRPr="00097824">
              <w:rPr>
                <w:bCs/>
                <w:i/>
                <w:szCs w:val="22"/>
              </w:rPr>
              <w:t xml:space="preserve"> в 1-й день, и 46-часовая инфузия </w:t>
            </w:r>
            <w:r w:rsidRPr="00097824">
              <w:t>#</w:t>
            </w:r>
            <w:r w:rsidRPr="00097824">
              <w:rPr>
                <w:bCs/>
                <w:i/>
                <w:szCs w:val="22"/>
              </w:rPr>
              <w:t>Фторурацил** 2400 мг/м</w:t>
            </w:r>
            <w:r w:rsidRPr="00097824">
              <w:rPr>
                <w:bCs/>
                <w:i/>
                <w:szCs w:val="22"/>
                <w:vertAlign w:val="superscript"/>
              </w:rPr>
              <w:t>2</w:t>
            </w:r>
            <w:r w:rsidRPr="00097824">
              <w:rPr>
                <w:bCs/>
                <w:i/>
                <w:szCs w:val="22"/>
              </w:rPr>
              <w:t xml:space="preserve"> (1200 мг/м2 в сутки). Интервал – 2 недели </w:t>
            </w:r>
            <w:r w:rsidRPr="00097824">
              <w:rPr>
                <w:bCs/>
                <w:i/>
              </w:rPr>
              <w:fldChar w:fldCharType="begin"/>
            </w:r>
            <w:r w:rsidRPr="00097824">
              <w:rPr>
                <w:bCs/>
                <w:i/>
              </w:rPr>
              <w:instrText xml:space="preserve"> ADDIN ZOTERO_ITEM CSL_CITATION {"citationID":"fzxdsmL5","properties":{"formattedCitation":"[89,117]","plainCitation":"[89,117]","noteIndex":0},"citationItems":[{"id":166643,"uris":["http://zotero.org/groups/4764298/items/6EC6XVJP"],"itemData":{"id":166643,"type":"article-journal","container-title":"Злокачественные опухоли","issue":"3-S2","page":"352–366","source":"Google Scholar","title":"Практические рекомендации по лекарственному лечению билиарного рака","volume":"7","author":[{"family":"Бредер","given":"В. В."},{"family":"Косырев","given":"В. Ю."},{"family":"Ледин","given":"Е. В."}],"issued":{"date-parts":[["2017"]]}},"label":"page"},{"id":166685,"uris":["http://zotero.org/groups/4764298/items/CV7VH3LK"],"itemData":{"id":166685,"type":"article-journal","container-title":"Japanese journal of clinical oncology","issue":"1","note":"publisher: Oxford University Press","page":"57–62","source":"Google Scholar","title":"FOLFOX-4 as second-line therapy after failure of gemcitabine and platinum combination in advanced gall bladder cancer patients","volume":"46","author":[{"family":"Dodagoudar","given":"Chandragouda"},{"family":"Doval","given":"Dinesh Chandra"},{"family":"Mahanta","given":"Anupam"},{"family":"Goel","given":"Varun"},{"family":"Upadhyay","given":"Amitabh"},{"family":"Goyal","given":"Pankaj"},{"family":"Talwar","given":"Vineet"},{"family":"Singh","given":"Sajjan"},{"family":"John","given":"Mithun Chacko"},{"family":"Tiwari","given":"Srikant"}],"issued":{"date-parts":[["2016"]]}},"label":"page"}],"schema":"https://github.com/citation-style-language/schema/raw/master/csl-citation.json"} </w:instrText>
            </w:r>
            <w:r w:rsidRPr="00097824">
              <w:rPr>
                <w:bCs/>
                <w:i/>
              </w:rPr>
              <w:fldChar w:fldCharType="separate"/>
            </w:r>
            <w:r w:rsidRPr="00097824">
              <w:t>[89,117]</w:t>
            </w:r>
            <w:r w:rsidRPr="00097824">
              <w:rPr>
                <w:bCs/>
                <w:i/>
              </w:rPr>
              <w:fldChar w:fldCharType="end"/>
            </w:r>
            <w:r w:rsidRPr="00097824">
              <w:rPr>
                <w:bCs/>
                <w:i/>
                <w:szCs w:val="22"/>
              </w:rPr>
              <w:t>.</w:t>
            </w:r>
          </w:p>
          <w:p w14:paraId="035E2039" w14:textId="77777777" w:rsidR="00317315" w:rsidRPr="00097824" w:rsidRDefault="00317315" w:rsidP="00317315">
            <w:pPr>
              <w:keepNext/>
              <w:numPr>
                <w:ilvl w:val="0"/>
                <w:numId w:val="5"/>
              </w:numPr>
              <w:autoSpaceDE w:val="0"/>
              <w:autoSpaceDN w:val="0"/>
              <w:adjustRightInd w:val="0"/>
              <w:ind w:left="0" w:firstLine="0"/>
              <w:contextualSpacing/>
              <w:rPr>
                <w:bCs/>
                <w:i/>
              </w:rPr>
            </w:pPr>
            <w:r w:rsidRPr="00097824">
              <w:rPr>
                <w:bCs/>
                <w:i/>
                <w:szCs w:val="22"/>
              </w:rPr>
              <w:t>FOLF</w:t>
            </w:r>
            <w:r w:rsidRPr="00097824">
              <w:rPr>
                <w:bCs/>
                <w:i/>
                <w:szCs w:val="22"/>
                <w:lang w:val="en-US"/>
              </w:rPr>
              <w:t>IRI</w:t>
            </w:r>
            <w:r w:rsidRPr="00097824">
              <w:rPr>
                <w:bCs/>
                <w:i/>
                <w:szCs w:val="22"/>
              </w:rPr>
              <w:t xml:space="preserve"> (</w:t>
            </w:r>
            <w:r w:rsidRPr="00097824">
              <w:t>#</w:t>
            </w:r>
            <w:r w:rsidRPr="00097824">
              <w:rPr>
                <w:bCs/>
                <w:i/>
                <w:szCs w:val="22"/>
              </w:rPr>
              <w:t>Иринотекан** 180 мг/м</w:t>
            </w:r>
            <w:r w:rsidRPr="00097824">
              <w:rPr>
                <w:bCs/>
                <w:i/>
                <w:szCs w:val="22"/>
                <w:vertAlign w:val="superscript"/>
              </w:rPr>
              <w:t>2</w:t>
            </w:r>
            <w:r w:rsidRPr="00097824">
              <w:rPr>
                <w:bCs/>
                <w:i/>
                <w:szCs w:val="22"/>
              </w:rPr>
              <w:t xml:space="preserve"> 90-минутная инфузия в 1-й день, </w:t>
            </w:r>
            <w:r w:rsidRPr="00097824">
              <w:t>#</w:t>
            </w:r>
            <w:r w:rsidRPr="00097824">
              <w:rPr>
                <w:bCs/>
                <w:i/>
                <w:szCs w:val="22"/>
              </w:rPr>
              <w:t xml:space="preserve">кальция </w:t>
            </w:r>
            <w:proofErr w:type="spellStart"/>
            <w:r w:rsidRPr="00097824">
              <w:rPr>
                <w:bCs/>
                <w:i/>
                <w:szCs w:val="22"/>
              </w:rPr>
              <w:t>фолинат</w:t>
            </w:r>
            <w:proofErr w:type="spellEnd"/>
            <w:r w:rsidRPr="00097824">
              <w:rPr>
                <w:bCs/>
                <w:i/>
                <w:szCs w:val="22"/>
              </w:rPr>
              <w:t>** по 400 мг/м</w:t>
            </w:r>
            <w:r w:rsidRPr="00097824">
              <w:rPr>
                <w:bCs/>
                <w:i/>
                <w:szCs w:val="22"/>
                <w:vertAlign w:val="superscript"/>
              </w:rPr>
              <w:t>2</w:t>
            </w:r>
            <w:r w:rsidRPr="00097824">
              <w:rPr>
                <w:bCs/>
                <w:i/>
                <w:szCs w:val="22"/>
              </w:rPr>
              <w:t xml:space="preserve"> в/в 2-часовая инфузия в 1-й день, </w:t>
            </w:r>
            <w:r w:rsidRPr="00097824">
              <w:t>#</w:t>
            </w:r>
            <w:r w:rsidRPr="00097824">
              <w:rPr>
                <w:bCs/>
                <w:i/>
                <w:szCs w:val="22"/>
              </w:rPr>
              <w:t xml:space="preserve">фторурацил** 400 мг/м2 в/в </w:t>
            </w:r>
            <w:proofErr w:type="spellStart"/>
            <w:r w:rsidRPr="00097824">
              <w:rPr>
                <w:bCs/>
                <w:i/>
                <w:szCs w:val="22"/>
              </w:rPr>
              <w:t>струйно</w:t>
            </w:r>
            <w:proofErr w:type="spellEnd"/>
            <w:r w:rsidRPr="00097824">
              <w:rPr>
                <w:bCs/>
                <w:i/>
                <w:szCs w:val="22"/>
              </w:rPr>
              <w:t xml:space="preserve"> в 1-й день, и 46-часовая инфузия </w:t>
            </w:r>
            <w:r w:rsidRPr="00097824">
              <w:t>#</w:t>
            </w:r>
            <w:r w:rsidRPr="00097824">
              <w:rPr>
                <w:bCs/>
                <w:i/>
                <w:szCs w:val="22"/>
              </w:rPr>
              <w:t>Фторурацил** 2400 мг/м</w:t>
            </w:r>
            <w:r w:rsidRPr="00097824">
              <w:rPr>
                <w:bCs/>
                <w:i/>
                <w:szCs w:val="22"/>
                <w:vertAlign w:val="superscript"/>
              </w:rPr>
              <w:t>2</w:t>
            </w:r>
            <w:r w:rsidRPr="00097824">
              <w:rPr>
                <w:bCs/>
                <w:i/>
                <w:szCs w:val="22"/>
              </w:rPr>
              <w:t xml:space="preserve"> (1200 мг/м2 в сутки). Интервал – 2 недели </w:t>
            </w:r>
            <w:r w:rsidRPr="00097824">
              <w:rPr>
                <w:bCs/>
                <w:i/>
              </w:rPr>
              <w:fldChar w:fldCharType="begin"/>
            </w:r>
            <w:r w:rsidRPr="00097824">
              <w:rPr>
                <w:bCs/>
                <w:i/>
              </w:rPr>
              <w:instrText xml:space="preserve"> ADDIN ZOTERO_ITEM CSL_CITATION {"citationID":"fzxdsmL5","properties":{"formattedCitation":"[89,117]","plainCitation":"[89,117]","noteIndex":0},"citationItems":[{"id":166643,"uris":["http://zotero.org/groups/4764298/items/6EC6XVJP"],"itemData":{"id":166643,"type":"article-journal","container-title":"Злокачественные опухоли","issue":"3-S2","page":"352–366","source":"Google Scholar","title":"Практические рекомендации по лекарственному лечению билиарного рака","volume":"7","author":[{"family":"Бредер","given":"В. В."},{"family":"Косырев","given":"В. Ю."},{"family":"Ледин","given":"Е. В."}],"issued":{"date-parts":[["2017"]]}},"label":"page"},{"id":166685,"uris":["http://zotero.org/groups/4764298/items/CV7VH3LK"],"itemData":{"id":166685,"type":"article-journal","container-title":"Japanese journal of clinical oncology","issue":"1","note":"publisher: Oxford University Press","page":"57–62","source":"Google Scholar","title":"FOLFOX-4 as second-line therapy after failure of gemcitabine and platinum combination in advanced gall bladder cancer patients","volume":"46","author":[{"family":"Dodagoudar","given":"Chandragouda"},{"family":"Doval","given":"Dinesh Chandra"},{"family":"Mahanta","given":"Anupam"},{"family":"Goel","given":"Varun"},{"family":"Upadhyay","given":"Amitabh"},{"family":"Goyal","given":"Pankaj"},{"family":"Talwar","given":"Vineet"},{"family":"Singh","given":"Sajjan"},{"family":"John","given":"Mithun Chacko"},{"family":"Tiwari","given":"Srikant"}],"issued":{"date-parts":[["2016"]]}},"label":"page"}],"schema":"https://github.com/citation-style-language/schema/raw/master/csl-citation.json"} </w:instrText>
            </w:r>
            <w:r w:rsidRPr="00097824">
              <w:rPr>
                <w:bCs/>
                <w:i/>
              </w:rPr>
              <w:fldChar w:fldCharType="separate"/>
            </w:r>
            <w:r w:rsidRPr="00097824">
              <w:t>[174]</w:t>
            </w:r>
            <w:r w:rsidRPr="00097824">
              <w:rPr>
                <w:bCs/>
                <w:i/>
              </w:rPr>
              <w:fldChar w:fldCharType="end"/>
            </w:r>
          </w:p>
          <w:p w14:paraId="4D06D1E5" w14:textId="77777777" w:rsidR="00317315" w:rsidRPr="00097824" w:rsidRDefault="00317315" w:rsidP="00317315">
            <w:pPr>
              <w:keepNext/>
              <w:numPr>
                <w:ilvl w:val="0"/>
                <w:numId w:val="5"/>
              </w:numPr>
              <w:autoSpaceDE w:val="0"/>
              <w:autoSpaceDN w:val="0"/>
              <w:adjustRightInd w:val="0"/>
              <w:ind w:left="0" w:firstLine="0"/>
              <w:contextualSpacing/>
              <w:rPr>
                <w:bCs/>
                <w:i/>
              </w:rPr>
            </w:pPr>
            <w:r w:rsidRPr="00097824">
              <w:rPr>
                <w:bCs/>
                <w:i/>
                <w:szCs w:val="22"/>
              </w:rPr>
              <w:t>XELOX (</w:t>
            </w:r>
            <w:r w:rsidRPr="00097824">
              <w:t>#</w:t>
            </w:r>
            <w:r w:rsidRPr="00097824">
              <w:rPr>
                <w:bCs/>
                <w:i/>
                <w:szCs w:val="22"/>
              </w:rPr>
              <w:t>Оксалиплатин** 130 мг/</w:t>
            </w:r>
            <w:r w:rsidRPr="00097824">
              <w:rPr>
                <w:bCs/>
                <w:i/>
                <w:szCs w:val="22"/>
                <w:vertAlign w:val="superscript"/>
              </w:rPr>
              <w:t>м2</w:t>
            </w:r>
            <w:r w:rsidRPr="00097824">
              <w:rPr>
                <w:bCs/>
                <w:i/>
                <w:szCs w:val="22"/>
              </w:rPr>
              <w:t xml:space="preserve"> в 1-й день, </w:t>
            </w:r>
            <w:r w:rsidRPr="00097824">
              <w:t>#</w:t>
            </w:r>
            <w:r w:rsidRPr="00097824">
              <w:rPr>
                <w:bCs/>
                <w:i/>
                <w:szCs w:val="22"/>
              </w:rPr>
              <w:t>капецитабин** 1000 мг/м</w:t>
            </w:r>
            <w:r w:rsidRPr="00097824">
              <w:rPr>
                <w:bCs/>
                <w:i/>
                <w:szCs w:val="22"/>
                <w:vertAlign w:val="superscript"/>
              </w:rPr>
              <w:t>2</w:t>
            </w:r>
            <w:r w:rsidRPr="00097824">
              <w:rPr>
                <w:bCs/>
                <w:i/>
                <w:szCs w:val="22"/>
              </w:rPr>
              <w:t xml:space="preserve"> 2 раза в сутки 1-й–14-й дни). Интервал – 3 недели. </w:t>
            </w:r>
            <w:r w:rsidRPr="00097824">
              <w:rPr>
                <w:bCs/>
                <w:i/>
                <w:lang w:val="en-GB"/>
              </w:rPr>
              <w:fldChar w:fldCharType="begin"/>
            </w:r>
            <w:r w:rsidRPr="00097824">
              <w:rPr>
                <w:bCs/>
                <w:i/>
                <w:szCs w:val="22"/>
              </w:rPr>
              <w:instrText xml:space="preserve"> </w:instrText>
            </w:r>
            <w:r w:rsidRPr="00097824">
              <w:rPr>
                <w:bCs/>
                <w:i/>
                <w:szCs w:val="22"/>
                <w:lang w:val="en-GB"/>
              </w:rPr>
              <w:instrText>ADDIN</w:instrText>
            </w:r>
            <w:r w:rsidRPr="00097824">
              <w:rPr>
                <w:bCs/>
                <w:i/>
                <w:szCs w:val="22"/>
              </w:rPr>
              <w:instrText xml:space="preserve"> </w:instrText>
            </w:r>
            <w:r w:rsidRPr="00097824">
              <w:rPr>
                <w:bCs/>
                <w:i/>
                <w:szCs w:val="22"/>
                <w:lang w:val="en-GB"/>
              </w:rPr>
              <w:instrText>ZOTERO</w:instrText>
            </w:r>
            <w:r w:rsidRPr="00097824">
              <w:rPr>
                <w:bCs/>
                <w:i/>
                <w:szCs w:val="22"/>
              </w:rPr>
              <w:instrText>_</w:instrText>
            </w:r>
            <w:r w:rsidRPr="00097824">
              <w:rPr>
                <w:bCs/>
                <w:i/>
                <w:szCs w:val="22"/>
                <w:lang w:val="en-GB"/>
              </w:rPr>
              <w:instrText>ITEM</w:instrText>
            </w:r>
            <w:r w:rsidRPr="00097824">
              <w:rPr>
                <w:bCs/>
                <w:i/>
                <w:szCs w:val="22"/>
              </w:rPr>
              <w:instrText xml:space="preserve"> </w:instrText>
            </w:r>
            <w:r w:rsidRPr="00097824">
              <w:rPr>
                <w:bCs/>
                <w:i/>
                <w:szCs w:val="22"/>
                <w:lang w:val="en-GB"/>
              </w:rPr>
              <w:instrText>CSL</w:instrText>
            </w:r>
            <w:r w:rsidRPr="00097824">
              <w:rPr>
                <w:bCs/>
                <w:i/>
                <w:szCs w:val="22"/>
              </w:rPr>
              <w:instrText>_</w:instrText>
            </w:r>
            <w:r w:rsidRPr="00097824">
              <w:rPr>
                <w:bCs/>
                <w:i/>
                <w:szCs w:val="22"/>
                <w:lang w:val="en-GB"/>
              </w:rPr>
              <w:instrText>CITATION</w:instrText>
            </w:r>
            <w:r w:rsidRPr="00097824">
              <w:rPr>
                <w:bCs/>
                <w:i/>
                <w:szCs w:val="22"/>
              </w:rPr>
              <w:instrText xml:space="preserve"> {"</w:instrText>
            </w:r>
            <w:r w:rsidRPr="00097824">
              <w:rPr>
                <w:bCs/>
                <w:i/>
                <w:szCs w:val="22"/>
                <w:lang w:val="en-GB"/>
              </w:rPr>
              <w:instrText>citationID</w:instrText>
            </w:r>
            <w:r w:rsidRPr="00097824">
              <w:rPr>
                <w:bCs/>
                <w:i/>
                <w:szCs w:val="22"/>
              </w:rPr>
              <w:instrText>":"</w:instrText>
            </w:r>
            <w:r w:rsidRPr="00097824">
              <w:rPr>
                <w:bCs/>
                <w:i/>
                <w:szCs w:val="22"/>
                <w:lang w:val="en-GB"/>
              </w:rPr>
              <w:instrText>d</w:instrText>
            </w:r>
            <w:r w:rsidRPr="00097824">
              <w:rPr>
                <w:bCs/>
                <w:i/>
                <w:szCs w:val="22"/>
              </w:rPr>
              <w:instrText>9</w:instrText>
            </w:r>
            <w:r w:rsidRPr="00097824">
              <w:rPr>
                <w:bCs/>
                <w:i/>
                <w:szCs w:val="22"/>
                <w:lang w:val="en-GB"/>
              </w:rPr>
              <w:instrText>HqK</w:instrText>
            </w:r>
            <w:r w:rsidRPr="00097824">
              <w:rPr>
                <w:bCs/>
                <w:i/>
                <w:szCs w:val="22"/>
              </w:rPr>
              <w:instrText>1</w:instrText>
            </w:r>
            <w:r w:rsidRPr="00097824">
              <w:rPr>
                <w:bCs/>
                <w:i/>
                <w:szCs w:val="22"/>
                <w:lang w:val="en-GB"/>
              </w:rPr>
              <w:instrText>qL</w:instrText>
            </w:r>
            <w:r w:rsidRPr="00097824">
              <w:rPr>
                <w:bCs/>
                <w:i/>
                <w:szCs w:val="22"/>
              </w:rPr>
              <w:instrText>","</w:instrText>
            </w:r>
            <w:r w:rsidRPr="00097824">
              <w:rPr>
                <w:bCs/>
                <w:i/>
                <w:szCs w:val="22"/>
                <w:lang w:val="en-GB"/>
              </w:rPr>
              <w:instrText>properties</w:instrText>
            </w:r>
            <w:r w:rsidRPr="00097824">
              <w:rPr>
                <w:bCs/>
                <w:i/>
                <w:szCs w:val="22"/>
              </w:rPr>
              <w:instrText>":{"</w:instrText>
            </w:r>
            <w:r w:rsidRPr="00097824">
              <w:rPr>
                <w:bCs/>
                <w:i/>
                <w:szCs w:val="22"/>
                <w:lang w:val="en-GB"/>
              </w:rPr>
              <w:instrText>formattedCitation</w:instrText>
            </w:r>
            <w:r w:rsidRPr="00097824">
              <w:rPr>
                <w:bCs/>
                <w:i/>
                <w:szCs w:val="22"/>
              </w:rPr>
              <w:instrText>":"[10,19]","</w:instrText>
            </w:r>
            <w:r w:rsidRPr="00097824">
              <w:rPr>
                <w:bCs/>
                <w:i/>
                <w:szCs w:val="22"/>
                <w:lang w:val="en-GB"/>
              </w:rPr>
              <w:instrText>plainCitation</w:instrText>
            </w:r>
            <w:r w:rsidRPr="00097824">
              <w:rPr>
                <w:bCs/>
                <w:i/>
                <w:szCs w:val="22"/>
              </w:rPr>
              <w:instrText>":"[10,19]","</w:instrText>
            </w:r>
            <w:r w:rsidRPr="00097824">
              <w:rPr>
                <w:bCs/>
                <w:i/>
                <w:szCs w:val="22"/>
                <w:lang w:val="en-GB"/>
              </w:rPr>
              <w:instrText>noteIndex</w:instrText>
            </w:r>
            <w:r w:rsidRPr="00097824">
              <w:rPr>
                <w:bCs/>
                <w:i/>
                <w:szCs w:val="22"/>
              </w:rPr>
              <w:instrText>":0},"</w:instrText>
            </w:r>
            <w:r w:rsidRPr="00097824">
              <w:rPr>
                <w:bCs/>
                <w:i/>
                <w:szCs w:val="22"/>
                <w:lang w:val="en-GB"/>
              </w:rPr>
              <w:instrText>citationItems</w:instrText>
            </w:r>
            <w:r w:rsidRPr="00097824">
              <w:rPr>
                <w:bCs/>
                <w:i/>
                <w:szCs w:val="22"/>
              </w:rPr>
              <w:instrText>":[{"</w:instrText>
            </w:r>
            <w:r w:rsidRPr="00097824">
              <w:rPr>
                <w:bCs/>
                <w:i/>
                <w:szCs w:val="22"/>
                <w:lang w:val="en-GB"/>
              </w:rPr>
              <w:instrText>id</w:instrText>
            </w:r>
            <w:r w:rsidRPr="00097824">
              <w:rPr>
                <w:bCs/>
                <w:i/>
                <w:szCs w:val="22"/>
              </w:rPr>
              <w:instrText>":166644,"</w:instrText>
            </w:r>
            <w:r w:rsidRPr="00097824">
              <w:rPr>
                <w:bCs/>
                <w:i/>
                <w:szCs w:val="22"/>
                <w:lang w:val="en-GB"/>
              </w:rPr>
              <w:instrText>uris</w:instrText>
            </w:r>
            <w:r w:rsidRPr="00097824">
              <w:rPr>
                <w:bCs/>
                <w:i/>
                <w:szCs w:val="22"/>
              </w:rPr>
              <w:instrText>":["</w:instrText>
            </w:r>
            <w:r w:rsidRPr="00097824">
              <w:rPr>
                <w:bCs/>
                <w:i/>
                <w:szCs w:val="22"/>
                <w:lang w:val="en-GB"/>
              </w:rPr>
              <w:instrText>http</w:instrText>
            </w:r>
            <w:r w:rsidRPr="00097824">
              <w:rPr>
                <w:bCs/>
                <w:i/>
                <w:szCs w:val="22"/>
              </w:rPr>
              <w:instrText>://</w:instrText>
            </w:r>
            <w:r w:rsidRPr="00097824">
              <w:rPr>
                <w:bCs/>
                <w:i/>
                <w:szCs w:val="22"/>
                <w:lang w:val="en-GB"/>
              </w:rPr>
              <w:instrText>zotero</w:instrText>
            </w:r>
            <w:r w:rsidRPr="00097824">
              <w:rPr>
                <w:bCs/>
                <w:i/>
                <w:szCs w:val="22"/>
              </w:rPr>
              <w:instrText>.</w:instrText>
            </w:r>
            <w:r w:rsidRPr="00097824">
              <w:rPr>
                <w:bCs/>
                <w:i/>
                <w:szCs w:val="22"/>
                <w:lang w:val="en-GB"/>
              </w:rPr>
              <w:instrText>org</w:instrText>
            </w:r>
            <w:r w:rsidRPr="00097824">
              <w:rPr>
                <w:bCs/>
                <w:i/>
                <w:szCs w:val="22"/>
              </w:rPr>
              <w:instrText>/</w:instrText>
            </w:r>
            <w:r w:rsidRPr="00097824">
              <w:rPr>
                <w:bCs/>
                <w:i/>
                <w:szCs w:val="22"/>
                <w:lang w:val="en-GB"/>
              </w:rPr>
              <w:instrText>groups</w:instrText>
            </w:r>
            <w:r w:rsidRPr="00097824">
              <w:rPr>
                <w:bCs/>
                <w:i/>
                <w:szCs w:val="22"/>
              </w:rPr>
              <w:instrText>/4764298/</w:instrText>
            </w:r>
            <w:r w:rsidRPr="00097824">
              <w:rPr>
                <w:bCs/>
                <w:i/>
                <w:szCs w:val="22"/>
                <w:lang w:val="en-GB"/>
              </w:rPr>
              <w:instrText>items</w:instrText>
            </w:r>
            <w:r w:rsidRPr="00097824">
              <w:rPr>
                <w:bCs/>
                <w:i/>
                <w:szCs w:val="22"/>
              </w:rPr>
              <w:instrText>/6</w:instrText>
            </w:r>
            <w:r w:rsidRPr="00097824">
              <w:rPr>
                <w:bCs/>
                <w:i/>
                <w:szCs w:val="22"/>
                <w:lang w:val="en-GB"/>
              </w:rPr>
              <w:instrText>QHBBU</w:instrText>
            </w:r>
            <w:r w:rsidRPr="00097824">
              <w:rPr>
                <w:bCs/>
                <w:i/>
                <w:szCs w:val="22"/>
              </w:rPr>
              <w:instrText>8</w:instrText>
            </w:r>
            <w:r w:rsidRPr="00097824">
              <w:rPr>
                <w:bCs/>
                <w:i/>
                <w:szCs w:val="22"/>
                <w:lang w:val="en-GB"/>
              </w:rPr>
              <w:instrText>X</w:instrText>
            </w:r>
            <w:r w:rsidRPr="00097824">
              <w:rPr>
                <w:bCs/>
                <w:i/>
                <w:szCs w:val="22"/>
              </w:rPr>
              <w:instrText>"],"</w:instrText>
            </w:r>
            <w:r w:rsidRPr="00097824">
              <w:rPr>
                <w:bCs/>
                <w:i/>
                <w:szCs w:val="22"/>
                <w:lang w:val="en-GB"/>
              </w:rPr>
              <w:instrText>itemData</w:instrText>
            </w:r>
            <w:r w:rsidRPr="00097824">
              <w:rPr>
                <w:bCs/>
                <w:i/>
                <w:szCs w:val="22"/>
              </w:rPr>
              <w:instrText>":{"</w:instrText>
            </w:r>
            <w:r w:rsidRPr="00097824">
              <w:rPr>
                <w:bCs/>
                <w:i/>
                <w:szCs w:val="22"/>
                <w:lang w:val="en-GB"/>
              </w:rPr>
              <w:instrText>id</w:instrText>
            </w:r>
            <w:r w:rsidRPr="00097824">
              <w:rPr>
                <w:bCs/>
                <w:i/>
                <w:szCs w:val="22"/>
              </w:rPr>
              <w:instrText>":166644,"</w:instrText>
            </w:r>
            <w:r w:rsidRPr="00097824">
              <w:rPr>
                <w:bCs/>
                <w:i/>
                <w:szCs w:val="22"/>
                <w:lang w:val="en-GB"/>
              </w:rPr>
              <w:instrText>type</w:instrText>
            </w:r>
            <w:r w:rsidRPr="00097824">
              <w:rPr>
                <w:bCs/>
                <w:i/>
                <w:szCs w:val="22"/>
              </w:rPr>
              <w:instrText>":"</w:instrText>
            </w:r>
            <w:r w:rsidRPr="00097824">
              <w:rPr>
                <w:bCs/>
                <w:i/>
                <w:szCs w:val="22"/>
                <w:lang w:val="en-GB"/>
              </w:rPr>
              <w:instrText>article</w:instrText>
            </w:r>
            <w:r w:rsidRPr="00097824">
              <w:rPr>
                <w:bCs/>
                <w:i/>
                <w:szCs w:val="22"/>
              </w:rPr>
              <w:instrText>-</w:instrText>
            </w:r>
            <w:r w:rsidRPr="00097824">
              <w:rPr>
                <w:bCs/>
                <w:i/>
                <w:szCs w:val="22"/>
                <w:lang w:val="en-GB"/>
              </w:rPr>
              <w:instrText>journal</w:instrText>
            </w:r>
            <w:r w:rsidRPr="00097824">
              <w:rPr>
                <w:bCs/>
                <w:i/>
                <w:szCs w:val="22"/>
              </w:rPr>
              <w:instrText>","</w:instrText>
            </w:r>
            <w:r w:rsidRPr="00097824">
              <w:rPr>
                <w:bCs/>
                <w:i/>
                <w:szCs w:val="22"/>
                <w:lang w:val="en-GB"/>
              </w:rPr>
              <w:instrText>container</w:instrText>
            </w:r>
            <w:r w:rsidRPr="00097824">
              <w:rPr>
                <w:bCs/>
                <w:i/>
                <w:szCs w:val="22"/>
              </w:rPr>
              <w:instrText>-</w:instrText>
            </w:r>
            <w:r w:rsidRPr="00097824">
              <w:rPr>
                <w:bCs/>
                <w:i/>
                <w:szCs w:val="22"/>
                <w:lang w:val="en-GB"/>
              </w:rPr>
              <w:instrText>title</w:instrText>
            </w:r>
            <w:r w:rsidRPr="00097824">
              <w:rPr>
                <w:bCs/>
                <w:i/>
                <w:szCs w:val="22"/>
              </w:rPr>
              <w:instrText>":"</w:instrText>
            </w:r>
            <w:r w:rsidRPr="00097824">
              <w:rPr>
                <w:bCs/>
                <w:i/>
                <w:szCs w:val="22"/>
                <w:lang w:val="en-GB"/>
              </w:rPr>
              <w:instrText>JNCCN</w:instrText>
            </w:r>
            <w:r w:rsidRPr="00097824">
              <w:rPr>
                <w:bCs/>
                <w:i/>
                <w:szCs w:val="22"/>
              </w:rPr>
              <w:instrText xml:space="preserve"> </w:instrText>
            </w:r>
            <w:r w:rsidRPr="00097824">
              <w:rPr>
                <w:bCs/>
                <w:i/>
                <w:szCs w:val="22"/>
                <w:lang w:val="en-GB"/>
              </w:rPr>
              <w:instrText>Journal</w:instrText>
            </w:r>
            <w:r w:rsidRPr="00097824">
              <w:rPr>
                <w:bCs/>
                <w:i/>
                <w:szCs w:val="22"/>
              </w:rPr>
              <w:instrText xml:space="preserve"> </w:instrText>
            </w:r>
            <w:r w:rsidRPr="00097824">
              <w:rPr>
                <w:bCs/>
                <w:i/>
                <w:szCs w:val="22"/>
                <w:lang w:val="en-GB"/>
              </w:rPr>
              <w:instrText>of</w:instrText>
            </w:r>
            <w:r w:rsidRPr="00097824">
              <w:rPr>
                <w:bCs/>
                <w:i/>
                <w:szCs w:val="22"/>
              </w:rPr>
              <w:instrText xml:space="preserve"> </w:instrText>
            </w:r>
            <w:r w:rsidRPr="00097824">
              <w:rPr>
                <w:bCs/>
                <w:i/>
                <w:szCs w:val="22"/>
                <w:lang w:val="en-GB"/>
              </w:rPr>
              <w:instrText>the</w:instrText>
            </w:r>
            <w:r w:rsidRPr="00097824">
              <w:rPr>
                <w:bCs/>
                <w:i/>
                <w:szCs w:val="22"/>
              </w:rPr>
              <w:instrText xml:space="preserve"> </w:instrText>
            </w:r>
            <w:r w:rsidRPr="00097824">
              <w:rPr>
                <w:bCs/>
                <w:i/>
                <w:szCs w:val="22"/>
                <w:lang w:val="en-GB"/>
              </w:rPr>
              <w:instrText>National</w:instrText>
            </w:r>
            <w:r w:rsidRPr="00097824">
              <w:rPr>
                <w:bCs/>
                <w:i/>
                <w:szCs w:val="22"/>
              </w:rPr>
              <w:instrText xml:space="preserve"> </w:instrText>
            </w:r>
            <w:r w:rsidRPr="00097824">
              <w:rPr>
                <w:bCs/>
                <w:i/>
                <w:szCs w:val="22"/>
                <w:lang w:val="en-GB"/>
              </w:rPr>
              <w:instrText>Comprehensive</w:instrText>
            </w:r>
            <w:r w:rsidRPr="00097824">
              <w:rPr>
                <w:bCs/>
                <w:i/>
                <w:szCs w:val="22"/>
              </w:rPr>
              <w:instrText xml:space="preserve"> </w:instrText>
            </w:r>
            <w:r w:rsidRPr="00097824">
              <w:rPr>
                <w:bCs/>
                <w:i/>
                <w:szCs w:val="22"/>
                <w:lang w:val="en-GB"/>
              </w:rPr>
              <w:instrText>Cancer</w:instrText>
            </w:r>
            <w:r w:rsidRPr="00097824">
              <w:rPr>
                <w:bCs/>
                <w:i/>
                <w:szCs w:val="22"/>
              </w:rPr>
              <w:instrText xml:space="preserve"> </w:instrText>
            </w:r>
            <w:r w:rsidRPr="00097824">
              <w:rPr>
                <w:bCs/>
                <w:i/>
                <w:szCs w:val="22"/>
                <w:lang w:val="en-GB"/>
              </w:rPr>
              <w:instrText>Network</w:instrText>
            </w:r>
            <w:r w:rsidRPr="00097824">
              <w:rPr>
                <w:bCs/>
                <w:i/>
                <w:szCs w:val="22"/>
              </w:rPr>
              <w:instrText>","</w:instrText>
            </w:r>
            <w:r w:rsidRPr="00097824">
              <w:rPr>
                <w:bCs/>
                <w:i/>
                <w:szCs w:val="22"/>
                <w:lang w:val="en-GB"/>
              </w:rPr>
              <w:instrText>issue</w:instrText>
            </w:r>
            <w:r w:rsidRPr="00097824">
              <w:rPr>
                <w:bCs/>
                <w:i/>
                <w:szCs w:val="22"/>
              </w:rPr>
              <w:instrText>":"8","</w:instrText>
            </w:r>
            <w:r w:rsidRPr="00097824">
              <w:rPr>
                <w:bCs/>
                <w:i/>
                <w:szCs w:val="22"/>
                <w:lang w:val="en-GB"/>
              </w:rPr>
              <w:instrText>note</w:instrText>
            </w:r>
            <w:r w:rsidRPr="00097824">
              <w:rPr>
                <w:bCs/>
                <w:i/>
                <w:szCs w:val="22"/>
              </w:rPr>
              <w:instrText>":"</w:instrText>
            </w:r>
            <w:r w:rsidRPr="00097824">
              <w:rPr>
                <w:bCs/>
                <w:i/>
                <w:szCs w:val="22"/>
                <w:lang w:val="en-GB"/>
              </w:rPr>
              <w:instrText>publisher</w:instrText>
            </w:r>
            <w:r w:rsidRPr="00097824">
              <w:rPr>
                <w:bCs/>
                <w:i/>
                <w:szCs w:val="22"/>
              </w:rPr>
              <w:instrText xml:space="preserve">: </w:instrText>
            </w:r>
            <w:r w:rsidRPr="00097824">
              <w:rPr>
                <w:bCs/>
                <w:i/>
                <w:szCs w:val="22"/>
                <w:lang w:val="en-GB"/>
              </w:rPr>
              <w:instrText>Cold</w:instrText>
            </w:r>
            <w:r w:rsidRPr="00097824">
              <w:rPr>
                <w:bCs/>
                <w:i/>
                <w:szCs w:val="22"/>
              </w:rPr>
              <w:instrText xml:space="preserve"> </w:instrText>
            </w:r>
            <w:r w:rsidRPr="00097824">
              <w:rPr>
                <w:bCs/>
                <w:i/>
                <w:szCs w:val="22"/>
                <w:lang w:val="en-GB"/>
              </w:rPr>
              <w:instrText>Spring</w:instrText>
            </w:r>
            <w:r w:rsidRPr="00097824">
              <w:rPr>
                <w:bCs/>
                <w:i/>
                <w:szCs w:val="22"/>
              </w:rPr>
              <w:instrText xml:space="preserve"> </w:instrText>
            </w:r>
            <w:r w:rsidRPr="00097824">
              <w:rPr>
                <w:bCs/>
                <w:i/>
                <w:szCs w:val="22"/>
                <w:lang w:val="en-GB"/>
              </w:rPr>
              <w:instrText>Publishing</w:instrText>
            </w:r>
            <w:r w:rsidRPr="00097824">
              <w:rPr>
                <w:bCs/>
                <w:i/>
                <w:szCs w:val="22"/>
              </w:rPr>
              <w:instrText xml:space="preserve"> </w:instrText>
            </w:r>
            <w:r w:rsidRPr="00097824">
              <w:rPr>
                <w:bCs/>
                <w:i/>
                <w:szCs w:val="22"/>
                <w:lang w:val="en-GB"/>
              </w:rPr>
              <w:instrText>LLC</w:instrText>
            </w:r>
            <w:r w:rsidRPr="00097824">
              <w:rPr>
                <w:bCs/>
                <w:i/>
                <w:szCs w:val="22"/>
              </w:rPr>
              <w:instrText>","</w:instrText>
            </w:r>
            <w:r w:rsidRPr="00097824">
              <w:rPr>
                <w:bCs/>
                <w:i/>
                <w:szCs w:val="22"/>
                <w:lang w:val="en-GB"/>
              </w:rPr>
              <w:instrText>page</w:instrText>
            </w:r>
            <w:r w:rsidRPr="00097824">
              <w:rPr>
                <w:bCs/>
                <w:i/>
                <w:szCs w:val="22"/>
              </w:rPr>
              <w:instrText>":"728–750","</w:instrText>
            </w:r>
            <w:r w:rsidRPr="00097824">
              <w:rPr>
                <w:bCs/>
                <w:i/>
                <w:szCs w:val="22"/>
                <w:lang w:val="en-GB"/>
              </w:rPr>
              <w:instrText>source</w:instrText>
            </w:r>
            <w:r w:rsidRPr="00097824">
              <w:rPr>
                <w:bCs/>
                <w:i/>
                <w:szCs w:val="22"/>
              </w:rPr>
              <w:instrText>":"</w:instrText>
            </w:r>
            <w:r w:rsidRPr="00097824">
              <w:rPr>
                <w:bCs/>
                <w:i/>
                <w:szCs w:val="22"/>
                <w:lang w:val="en-GB"/>
              </w:rPr>
              <w:instrText>Google</w:instrText>
            </w:r>
            <w:r w:rsidRPr="00097824">
              <w:rPr>
                <w:bCs/>
                <w:i/>
                <w:szCs w:val="22"/>
              </w:rPr>
              <w:instrText xml:space="preserve"> </w:instrText>
            </w:r>
            <w:r w:rsidRPr="00097824">
              <w:rPr>
                <w:bCs/>
                <w:i/>
                <w:szCs w:val="22"/>
                <w:lang w:val="en-GB"/>
              </w:rPr>
              <w:instrText>Scholar</w:instrText>
            </w:r>
            <w:r w:rsidRPr="00097824">
              <w:rPr>
                <w:bCs/>
                <w:i/>
                <w:szCs w:val="22"/>
              </w:rPr>
              <w:instrText>","</w:instrText>
            </w:r>
            <w:r w:rsidRPr="00097824">
              <w:rPr>
                <w:bCs/>
                <w:i/>
                <w:szCs w:val="22"/>
                <w:lang w:val="en-GB"/>
              </w:rPr>
              <w:instrText>title</w:instrText>
            </w:r>
            <w:r w:rsidRPr="00097824">
              <w:rPr>
                <w:bCs/>
                <w:i/>
                <w:szCs w:val="22"/>
              </w:rPr>
              <w:instrText>":"</w:instrText>
            </w:r>
            <w:r w:rsidRPr="00097824">
              <w:rPr>
                <w:bCs/>
                <w:i/>
                <w:szCs w:val="22"/>
                <w:lang w:val="en-GB"/>
              </w:rPr>
              <w:instrText>Hepatobiliary</w:instrText>
            </w:r>
            <w:r w:rsidRPr="00097824">
              <w:rPr>
                <w:bCs/>
                <w:i/>
                <w:szCs w:val="22"/>
              </w:rPr>
              <w:instrText xml:space="preserve"> </w:instrText>
            </w:r>
            <w:r w:rsidRPr="00097824">
              <w:rPr>
                <w:bCs/>
                <w:i/>
                <w:szCs w:val="22"/>
                <w:lang w:val="en-GB"/>
              </w:rPr>
              <w:instrText>cancers</w:instrText>
            </w:r>
            <w:r w:rsidRPr="00097824">
              <w:rPr>
                <w:bCs/>
                <w:i/>
                <w:szCs w:val="22"/>
              </w:rPr>
              <w:instrText xml:space="preserve"> </w:instrText>
            </w:r>
            <w:r w:rsidRPr="00097824">
              <w:rPr>
                <w:bCs/>
                <w:i/>
                <w:szCs w:val="22"/>
                <w:lang w:val="en-GB"/>
              </w:rPr>
              <w:instrText>clinical</w:instrText>
            </w:r>
            <w:r w:rsidRPr="00097824">
              <w:rPr>
                <w:bCs/>
                <w:i/>
                <w:szCs w:val="22"/>
              </w:rPr>
              <w:instrText xml:space="preserve"> </w:instrText>
            </w:r>
            <w:r w:rsidRPr="00097824">
              <w:rPr>
                <w:bCs/>
                <w:i/>
                <w:szCs w:val="22"/>
                <w:lang w:val="en-GB"/>
              </w:rPr>
              <w:instrText>practice</w:instrText>
            </w:r>
            <w:r w:rsidRPr="00097824">
              <w:rPr>
                <w:bCs/>
                <w:i/>
                <w:szCs w:val="22"/>
              </w:rPr>
              <w:instrText xml:space="preserve"> </w:instrText>
            </w:r>
            <w:r w:rsidRPr="00097824">
              <w:rPr>
                <w:bCs/>
                <w:i/>
                <w:szCs w:val="22"/>
                <w:lang w:val="en-GB"/>
              </w:rPr>
              <w:instrText>guidelines</w:instrText>
            </w:r>
            <w:r w:rsidRPr="00097824">
              <w:rPr>
                <w:bCs/>
                <w:i/>
                <w:szCs w:val="22"/>
              </w:rPr>
              <w:instrText xml:space="preserve"> </w:instrText>
            </w:r>
            <w:r w:rsidRPr="00097824">
              <w:rPr>
                <w:bCs/>
                <w:i/>
                <w:szCs w:val="22"/>
                <w:lang w:val="en-GB"/>
              </w:rPr>
              <w:instrText>in</w:instrText>
            </w:r>
            <w:r w:rsidRPr="00097824">
              <w:rPr>
                <w:bCs/>
                <w:i/>
                <w:szCs w:val="22"/>
              </w:rPr>
              <w:instrText xml:space="preserve"> </w:instrText>
            </w:r>
            <w:r w:rsidRPr="00097824">
              <w:rPr>
                <w:bCs/>
                <w:i/>
                <w:szCs w:val="22"/>
                <w:lang w:val="en-GB"/>
              </w:rPr>
              <w:instrText>oncology</w:instrText>
            </w:r>
            <w:r w:rsidRPr="00097824">
              <w:rPr>
                <w:bCs/>
                <w:i/>
                <w:szCs w:val="22"/>
              </w:rPr>
              <w:instrText>","</w:instrText>
            </w:r>
            <w:r w:rsidRPr="00097824">
              <w:rPr>
                <w:bCs/>
                <w:i/>
                <w:szCs w:val="22"/>
                <w:lang w:val="en-GB"/>
              </w:rPr>
              <w:instrText>volume</w:instrText>
            </w:r>
            <w:r w:rsidRPr="00097824">
              <w:rPr>
                <w:bCs/>
                <w:i/>
                <w:szCs w:val="22"/>
              </w:rPr>
              <w:instrText>":"4","</w:instrText>
            </w:r>
            <w:r w:rsidRPr="00097824">
              <w:rPr>
                <w:bCs/>
                <w:i/>
                <w:szCs w:val="22"/>
                <w:lang w:val="en-GB"/>
              </w:rPr>
              <w:instrText>author</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Benson</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Al</w:instrText>
            </w:r>
            <w:r w:rsidRPr="00097824">
              <w:rPr>
                <w:bCs/>
                <w:i/>
                <w:szCs w:val="22"/>
              </w:rPr>
              <w:instrText xml:space="preserve"> </w:instrText>
            </w:r>
            <w:r w:rsidRPr="00097824">
              <w:rPr>
                <w:bCs/>
                <w:i/>
                <w:szCs w:val="22"/>
                <w:lang w:val="en-GB"/>
              </w:rPr>
              <w:instrText>B</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Bekaii</w:instrText>
            </w:r>
            <w:r w:rsidRPr="00097824">
              <w:rPr>
                <w:bCs/>
                <w:i/>
                <w:szCs w:val="22"/>
              </w:rPr>
              <w:instrText>-</w:instrText>
            </w:r>
            <w:r w:rsidRPr="00097824">
              <w:rPr>
                <w:bCs/>
                <w:i/>
                <w:szCs w:val="22"/>
                <w:lang w:val="en-GB"/>
              </w:rPr>
              <w:instrText>Saab</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Tanios</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Ben</w:instrText>
            </w:r>
            <w:r w:rsidRPr="00097824">
              <w:rPr>
                <w:bCs/>
                <w:i/>
                <w:szCs w:val="22"/>
              </w:rPr>
              <w:instrText>-</w:instrText>
            </w:r>
            <w:r w:rsidRPr="00097824">
              <w:rPr>
                <w:bCs/>
                <w:i/>
                <w:szCs w:val="22"/>
                <w:lang w:val="en-GB"/>
              </w:rPr>
              <w:instrText>Josef</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Edgar</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Blumgart</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Leslie</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Clary</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Bryan</w:instrText>
            </w:r>
            <w:r w:rsidRPr="00097824">
              <w:rPr>
                <w:bCs/>
                <w:i/>
                <w:szCs w:val="22"/>
              </w:rPr>
              <w:instrText xml:space="preserve"> </w:instrText>
            </w:r>
            <w:r w:rsidRPr="00097824">
              <w:rPr>
                <w:bCs/>
                <w:i/>
                <w:szCs w:val="22"/>
                <w:lang w:val="en-GB"/>
              </w:rPr>
              <w:instrText>M</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Curley</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Steven</w:instrText>
            </w:r>
            <w:r w:rsidRPr="00097824">
              <w:rPr>
                <w:bCs/>
                <w:i/>
                <w:szCs w:val="22"/>
              </w:rPr>
              <w:instrText xml:space="preserve"> </w:instrText>
            </w:r>
            <w:r w:rsidRPr="00097824">
              <w:rPr>
                <w:bCs/>
                <w:i/>
                <w:szCs w:val="22"/>
                <w:lang w:val="en-GB"/>
              </w:rPr>
              <w:instrText>A</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Davila</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Rene</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Earle</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Craig</w:instrText>
            </w:r>
            <w:r w:rsidRPr="00097824">
              <w:rPr>
                <w:bCs/>
                <w:i/>
                <w:szCs w:val="22"/>
              </w:rPr>
              <w:instrText xml:space="preserve"> </w:instrText>
            </w:r>
            <w:r w:rsidRPr="00097824">
              <w:rPr>
                <w:bCs/>
                <w:i/>
                <w:szCs w:val="22"/>
                <w:lang w:val="en-GB"/>
              </w:rPr>
              <w:instrText>C</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Ensminger</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William</w:instrText>
            </w:r>
            <w:r w:rsidRPr="00097824">
              <w:rPr>
                <w:bCs/>
                <w:i/>
                <w:szCs w:val="22"/>
              </w:rPr>
              <w:instrText xml:space="preserve"> </w:instrText>
            </w:r>
            <w:r w:rsidRPr="00097824">
              <w:rPr>
                <w:bCs/>
                <w:i/>
                <w:szCs w:val="22"/>
                <w:lang w:val="en-GB"/>
              </w:rPr>
              <w:instrText>D</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Gibbs</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John</w:instrText>
            </w:r>
            <w:r w:rsidRPr="00097824">
              <w:rPr>
                <w:bCs/>
                <w:i/>
                <w:szCs w:val="22"/>
              </w:rPr>
              <w:instrText xml:space="preserve"> </w:instrText>
            </w:r>
            <w:r w:rsidRPr="00097824">
              <w:rPr>
                <w:bCs/>
                <w:i/>
                <w:szCs w:val="22"/>
                <w:lang w:val="en-GB"/>
              </w:rPr>
              <w:instrText>F</w:instrText>
            </w:r>
            <w:r w:rsidRPr="00097824">
              <w:rPr>
                <w:bCs/>
                <w:i/>
                <w:szCs w:val="22"/>
              </w:rPr>
              <w:instrText>."}],"</w:instrText>
            </w:r>
            <w:r w:rsidRPr="00097824">
              <w:rPr>
                <w:bCs/>
                <w:i/>
                <w:szCs w:val="22"/>
                <w:lang w:val="en-GB"/>
              </w:rPr>
              <w:instrText>issued</w:instrText>
            </w:r>
            <w:r w:rsidRPr="00097824">
              <w:rPr>
                <w:bCs/>
                <w:i/>
                <w:szCs w:val="22"/>
              </w:rPr>
              <w:instrText>":{"</w:instrText>
            </w:r>
            <w:r w:rsidRPr="00097824">
              <w:rPr>
                <w:bCs/>
                <w:i/>
                <w:szCs w:val="22"/>
                <w:lang w:val="en-GB"/>
              </w:rPr>
              <w:instrText>date</w:instrText>
            </w:r>
            <w:r w:rsidRPr="00097824">
              <w:rPr>
                <w:bCs/>
                <w:i/>
                <w:szCs w:val="22"/>
              </w:rPr>
              <w:instrText>-</w:instrText>
            </w:r>
            <w:r w:rsidRPr="00097824">
              <w:rPr>
                <w:bCs/>
                <w:i/>
                <w:szCs w:val="22"/>
                <w:lang w:val="en-GB"/>
              </w:rPr>
              <w:instrText>parts</w:instrText>
            </w:r>
            <w:r w:rsidRPr="00097824">
              <w:rPr>
                <w:bCs/>
                <w:i/>
                <w:szCs w:val="22"/>
              </w:rPr>
              <w:instrText>":[["2006"]]}},"</w:instrText>
            </w:r>
            <w:r w:rsidRPr="00097824">
              <w:rPr>
                <w:bCs/>
                <w:i/>
                <w:szCs w:val="22"/>
                <w:lang w:val="en-GB"/>
              </w:rPr>
              <w:instrText>label</w:instrText>
            </w:r>
            <w:r w:rsidRPr="00097824">
              <w:rPr>
                <w:bCs/>
                <w:i/>
                <w:szCs w:val="22"/>
              </w:rPr>
              <w:instrText>":"</w:instrText>
            </w:r>
            <w:r w:rsidRPr="00097824">
              <w:rPr>
                <w:bCs/>
                <w:i/>
                <w:szCs w:val="22"/>
                <w:lang w:val="en-GB"/>
              </w:rPr>
              <w:instrText>page</w:instrText>
            </w:r>
            <w:r w:rsidRPr="00097824">
              <w:rPr>
                <w:bCs/>
                <w:i/>
                <w:szCs w:val="22"/>
              </w:rPr>
              <w:instrText>"},{"</w:instrText>
            </w:r>
            <w:r w:rsidRPr="00097824">
              <w:rPr>
                <w:bCs/>
                <w:i/>
                <w:szCs w:val="22"/>
                <w:lang w:val="en-GB"/>
              </w:rPr>
              <w:instrText>id</w:instrText>
            </w:r>
            <w:r w:rsidRPr="00097824">
              <w:rPr>
                <w:bCs/>
                <w:i/>
                <w:szCs w:val="22"/>
              </w:rPr>
              <w:instrText>":166676,"</w:instrText>
            </w:r>
            <w:r w:rsidRPr="00097824">
              <w:rPr>
                <w:bCs/>
                <w:i/>
                <w:szCs w:val="22"/>
                <w:lang w:val="en-GB"/>
              </w:rPr>
              <w:instrText>uris</w:instrText>
            </w:r>
            <w:r w:rsidRPr="00097824">
              <w:rPr>
                <w:bCs/>
                <w:i/>
                <w:szCs w:val="22"/>
              </w:rPr>
              <w:instrText>":["</w:instrText>
            </w:r>
            <w:r w:rsidRPr="00097824">
              <w:rPr>
                <w:bCs/>
                <w:i/>
                <w:szCs w:val="22"/>
                <w:lang w:val="en-GB"/>
              </w:rPr>
              <w:instrText>http</w:instrText>
            </w:r>
            <w:r w:rsidRPr="00097824">
              <w:rPr>
                <w:bCs/>
                <w:i/>
                <w:szCs w:val="22"/>
              </w:rPr>
              <w:instrText>://</w:instrText>
            </w:r>
            <w:r w:rsidRPr="00097824">
              <w:rPr>
                <w:bCs/>
                <w:i/>
                <w:szCs w:val="22"/>
                <w:lang w:val="en-GB"/>
              </w:rPr>
              <w:instrText>zotero</w:instrText>
            </w:r>
            <w:r w:rsidRPr="00097824">
              <w:rPr>
                <w:bCs/>
                <w:i/>
                <w:szCs w:val="22"/>
              </w:rPr>
              <w:instrText>.</w:instrText>
            </w:r>
            <w:r w:rsidRPr="00097824">
              <w:rPr>
                <w:bCs/>
                <w:i/>
                <w:szCs w:val="22"/>
                <w:lang w:val="en-GB"/>
              </w:rPr>
              <w:instrText>org</w:instrText>
            </w:r>
            <w:r w:rsidRPr="00097824">
              <w:rPr>
                <w:bCs/>
                <w:i/>
                <w:szCs w:val="22"/>
              </w:rPr>
              <w:instrText>/</w:instrText>
            </w:r>
            <w:r w:rsidRPr="00097824">
              <w:rPr>
                <w:bCs/>
                <w:i/>
                <w:szCs w:val="22"/>
                <w:lang w:val="en-GB"/>
              </w:rPr>
              <w:instrText>groups</w:instrText>
            </w:r>
            <w:r w:rsidRPr="00097824">
              <w:rPr>
                <w:bCs/>
                <w:i/>
                <w:szCs w:val="22"/>
              </w:rPr>
              <w:instrText>/4764298/</w:instrText>
            </w:r>
            <w:r w:rsidRPr="00097824">
              <w:rPr>
                <w:bCs/>
                <w:i/>
                <w:szCs w:val="22"/>
                <w:lang w:val="en-GB"/>
              </w:rPr>
              <w:instrText>items</w:instrText>
            </w:r>
            <w:r w:rsidRPr="00097824">
              <w:rPr>
                <w:bCs/>
                <w:i/>
                <w:szCs w:val="22"/>
              </w:rPr>
              <w:instrText>/</w:instrText>
            </w:r>
            <w:r w:rsidRPr="00097824">
              <w:rPr>
                <w:bCs/>
                <w:i/>
                <w:szCs w:val="22"/>
                <w:lang w:val="en-GB"/>
              </w:rPr>
              <w:instrText>HLCDHDCZ</w:instrText>
            </w:r>
            <w:r w:rsidRPr="00097824">
              <w:rPr>
                <w:bCs/>
                <w:i/>
                <w:szCs w:val="22"/>
              </w:rPr>
              <w:instrText>"],"</w:instrText>
            </w:r>
            <w:r w:rsidRPr="00097824">
              <w:rPr>
                <w:bCs/>
                <w:i/>
                <w:szCs w:val="22"/>
                <w:lang w:val="en-GB"/>
              </w:rPr>
              <w:instrText>itemData</w:instrText>
            </w:r>
            <w:r w:rsidRPr="00097824">
              <w:rPr>
                <w:bCs/>
                <w:i/>
                <w:szCs w:val="22"/>
              </w:rPr>
              <w:instrText>":{"</w:instrText>
            </w:r>
            <w:r w:rsidRPr="00097824">
              <w:rPr>
                <w:bCs/>
                <w:i/>
                <w:szCs w:val="22"/>
                <w:lang w:val="en-GB"/>
              </w:rPr>
              <w:instrText>id</w:instrText>
            </w:r>
            <w:r w:rsidRPr="00097824">
              <w:rPr>
                <w:bCs/>
                <w:i/>
                <w:szCs w:val="22"/>
              </w:rPr>
              <w:instrText>":166676,"</w:instrText>
            </w:r>
            <w:r w:rsidRPr="00097824">
              <w:rPr>
                <w:bCs/>
                <w:i/>
                <w:szCs w:val="22"/>
                <w:lang w:val="en-GB"/>
              </w:rPr>
              <w:instrText>type</w:instrText>
            </w:r>
            <w:r w:rsidRPr="00097824">
              <w:rPr>
                <w:bCs/>
                <w:i/>
                <w:szCs w:val="22"/>
              </w:rPr>
              <w:instrText>":"</w:instrText>
            </w:r>
            <w:r w:rsidRPr="00097824">
              <w:rPr>
                <w:bCs/>
                <w:i/>
                <w:szCs w:val="22"/>
                <w:lang w:val="en-GB"/>
              </w:rPr>
              <w:instrText>article</w:instrText>
            </w:r>
            <w:r w:rsidRPr="00097824">
              <w:rPr>
                <w:bCs/>
                <w:i/>
                <w:szCs w:val="22"/>
              </w:rPr>
              <w:instrText>-</w:instrText>
            </w:r>
            <w:r w:rsidRPr="00097824">
              <w:rPr>
                <w:bCs/>
                <w:i/>
                <w:szCs w:val="22"/>
                <w:lang w:val="en-GB"/>
              </w:rPr>
              <w:instrText>journal</w:instrText>
            </w:r>
            <w:r w:rsidRPr="00097824">
              <w:rPr>
                <w:bCs/>
                <w:i/>
                <w:szCs w:val="22"/>
              </w:rPr>
              <w:instrText>","</w:instrText>
            </w:r>
            <w:r w:rsidRPr="00097824">
              <w:rPr>
                <w:bCs/>
                <w:i/>
                <w:szCs w:val="22"/>
                <w:lang w:val="en-GB"/>
              </w:rPr>
              <w:instrText>container</w:instrText>
            </w:r>
            <w:r w:rsidRPr="00097824">
              <w:rPr>
                <w:bCs/>
                <w:i/>
                <w:szCs w:val="22"/>
              </w:rPr>
              <w:instrText>-</w:instrText>
            </w:r>
            <w:r w:rsidRPr="00097824">
              <w:rPr>
                <w:bCs/>
                <w:i/>
                <w:szCs w:val="22"/>
                <w:lang w:val="en-GB"/>
              </w:rPr>
              <w:instrText>title</w:instrText>
            </w:r>
            <w:r w:rsidRPr="00097824">
              <w:rPr>
                <w:bCs/>
                <w:i/>
                <w:szCs w:val="22"/>
              </w:rPr>
              <w:instrText>":"</w:instrText>
            </w:r>
            <w:r w:rsidRPr="00097824">
              <w:rPr>
                <w:bCs/>
                <w:i/>
                <w:szCs w:val="22"/>
                <w:lang w:val="en-GB"/>
              </w:rPr>
              <w:instrText>Annals</w:instrText>
            </w:r>
            <w:r w:rsidRPr="00097824">
              <w:rPr>
                <w:bCs/>
                <w:i/>
                <w:szCs w:val="22"/>
              </w:rPr>
              <w:instrText xml:space="preserve"> </w:instrText>
            </w:r>
            <w:r w:rsidRPr="00097824">
              <w:rPr>
                <w:bCs/>
                <w:i/>
                <w:szCs w:val="22"/>
                <w:lang w:val="en-GB"/>
              </w:rPr>
              <w:instrText>of</w:instrText>
            </w:r>
            <w:r w:rsidRPr="00097824">
              <w:rPr>
                <w:bCs/>
                <w:i/>
                <w:szCs w:val="22"/>
              </w:rPr>
              <w:instrText xml:space="preserve"> </w:instrText>
            </w:r>
            <w:r w:rsidRPr="00097824">
              <w:rPr>
                <w:bCs/>
                <w:i/>
                <w:szCs w:val="22"/>
                <w:lang w:val="en-GB"/>
              </w:rPr>
              <w:instrText>Oncology</w:instrText>
            </w:r>
            <w:r w:rsidRPr="00097824">
              <w:rPr>
                <w:bCs/>
                <w:i/>
                <w:szCs w:val="22"/>
              </w:rPr>
              <w:instrText>","</w:instrText>
            </w:r>
            <w:r w:rsidRPr="00097824">
              <w:rPr>
                <w:bCs/>
                <w:i/>
                <w:szCs w:val="22"/>
                <w:lang w:val="en-GB"/>
              </w:rPr>
              <w:instrText>note</w:instrText>
            </w:r>
            <w:r w:rsidRPr="00097824">
              <w:rPr>
                <w:bCs/>
                <w:i/>
                <w:szCs w:val="22"/>
              </w:rPr>
              <w:instrText>":"</w:instrText>
            </w:r>
            <w:r w:rsidRPr="00097824">
              <w:rPr>
                <w:bCs/>
                <w:i/>
                <w:szCs w:val="22"/>
                <w:lang w:val="en-GB"/>
              </w:rPr>
              <w:instrText>publisher</w:instrText>
            </w:r>
            <w:r w:rsidRPr="00097824">
              <w:rPr>
                <w:bCs/>
                <w:i/>
                <w:szCs w:val="22"/>
              </w:rPr>
              <w:instrText xml:space="preserve">: </w:instrText>
            </w:r>
            <w:r w:rsidRPr="00097824">
              <w:rPr>
                <w:bCs/>
                <w:i/>
                <w:szCs w:val="22"/>
                <w:lang w:val="en-GB"/>
              </w:rPr>
              <w:instrText>Elsevier</w:instrText>
            </w:r>
            <w:r w:rsidRPr="00097824">
              <w:rPr>
                <w:bCs/>
                <w:i/>
                <w:szCs w:val="22"/>
              </w:rPr>
              <w:instrText>","</w:instrText>
            </w:r>
            <w:r w:rsidRPr="00097824">
              <w:rPr>
                <w:bCs/>
                <w:i/>
                <w:szCs w:val="22"/>
                <w:lang w:val="en-GB"/>
              </w:rPr>
              <w:instrText>page</w:instrText>
            </w:r>
            <w:r w:rsidRPr="00097824">
              <w:rPr>
                <w:bCs/>
                <w:i/>
                <w:szCs w:val="22"/>
              </w:rPr>
              <w:instrText>":"</w:instrText>
            </w:r>
            <w:r w:rsidRPr="00097824">
              <w:rPr>
                <w:bCs/>
                <w:i/>
                <w:szCs w:val="22"/>
                <w:lang w:val="en-GB"/>
              </w:rPr>
              <w:instrText>v</w:instrText>
            </w:r>
            <w:r w:rsidRPr="00097824">
              <w:rPr>
                <w:bCs/>
                <w:i/>
                <w:szCs w:val="22"/>
              </w:rPr>
              <w:instrText>28–</w:instrText>
            </w:r>
            <w:r w:rsidRPr="00097824">
              <w:rPr>
                <w:bCs/>
                <w:i/>
                <w:szCs w:val="22"/>
                <w:lang w:val="en-GB"/>
              </w:rPr>
              <w:instrText>v</w:instrText>
            </w:r>
            <w:r w:rsidRPr="00097824">
              <w:rPr>
                <w:bCs/>
                <w:i/>
                <w:szCs w:val="22"/>
              </w:rPr>
              <w:instrText>37","</w:instrText>
            </w:r>
            <w:r w:rsidRPr="00097824">
              <w:rPr>
                <w:bCs/>
                <w:i/>
                <w:szCs w:val="22"/>
                <w:lang w:val="en-GB"/>
              </w:rPr>
              <w:instrText>source</w:instrText>
            </w:r>
            <w:r w:rsidRPr="00097824">
              <w:rPr>
                <w:bCs/>
                <w:i/>
                <w:szCs w:val="22"/>
              </w:rPr>
              <w:instrText>":"</w:instrText>
            </w:r>
            <w:r w:rsidRPr="00097824">
              <w:rPr>
                <w:bCs/>
                <w:i/>
                <w:szCs w:val="22"/>
                <w:lang w:val="en-GB"/>
              </w:rPr>
              <w:instrText>Google</w:instrText>
            </w:r>
            <w:r w:rsidRPr="00097824">
              <w:rPr>
                <w:bCs/>
                <w:i/>
                <w:szCs w:val="22"/>
              </w:rPr>
              <w:instrText xml:space="preserve"> </w:instrText>
            </w:r>
            <w:r w:rsidRPr="00097824">
              <w:rPr>
                <w:bCs/>
                <w:i/>
                <w:szCs w:val="22"/>
                <w:lang w:val="en-GB"/>
              </w:rPr>
              <w:instrText>Scholar</w:instrText>
            </w:r>
            <w:r w:rsidRPr="00097824">
              <w:rPr>
                <w:bCs/>
                <w:i/>
                <w:szCs w:val="22"/>
              </w:rPr>
              <w:instrText>","</w:instrText>
            </w:r>
            <w:r w:rsidRPr="00097824">
              <w:rPr>
                <w:bCs/>
                <w:i/>
                <w:szCs w:val="22"/>
                <w:lang w:val="en-GB"/>
              </w:rPr>
              <w:instrText>title</w:instrText>
            </w:r>
            <w:r w:rsidRPr="00097824">
              <w:rPr>
                <w:bCs/>
                <w:i/>
                <w:szCs w:val="22"/>
              </w:rPr>
              <w:instrText>":"</w:instrText>
            </w:r>
            <w:r w:rsidRPr="00097824">
              <w:rPr>
                <w:bCs/>
                <w:i/>
                <w:szCs w:val="22"/>
                <w:lang w:val="en-GB"/>
              </w:rPr>
              <w:instrText>Biliary</w:instrText>
            </w:r>
            <w:r w:rsidRPr="00097824">
              <w:rPr>
                <w:bCs/>
                <w:i/>
                <w:szCs w:val="22"/>
              </w:rPr>
              <w:instrText xml:space="preserve"> </w:instrText>
            </w:r>
            <w:r w:rsidRPr="00097824">
              <w:rPr>
                <w:bCs/>
                <w:i/>
                <w:szCs w:val="22"/>
                <w:lang w:val="en-GB"/>
              </w:rPr>
              <w:instrText>cancer</w:instrText>
            </w:r>
            <w:r w:rsidRPr="00097824">
              <w:rPr>
                <w:bCs/>
                <w:i/>
                <w:szCs w:val="22"/>
              </w:rPr>
              <w:instrText xml:space="preserve">: </w:instrText>
            </w:r>
            <w:r w:rsidRPr="00097824">
              <w:rPr>
                <w:bCs/>
                <w:i/>
                <w:szCs w:val="22"/>
                <w:lang w:val="en-GB"/>
              </w:rPr>
              <w:instrText>ESMO</w:instrText>
            </w:r>
            <w:r w:rsidRPr="00097824">
              <w:rPr>
                <w:bCs/>
                <w:i/>
                <w:szCs w:val="22"/>
              </w:rPr>
              <w:instrText xml:space="preserve"> </w:instrText>
            </w:r>
            <w:r w:rsidRPr="00097824">
              <w:rPr>
                <w:bCs/>
                <w:i/>
                <w:szCs w:val="22"/>
                <w:lang w:val="en-GB"/>
              </w:rPr>
              <w:instrText>Clinical</w:instrText>
            </w:r>
            <w:r w:rsidRPr="00097824">
              <w:rPr>
                <w:bCs/>
                <w:i/>
                <w:szCs w:val="22"/>
              </w:rPr>
              <w:instrText xml:space="preserve"> </w:instrText>
            </w:r>
            <w:r w:rsidRPr="00097824">
              <w:rPr>
                <w:bCs/>
                <w:i/>
                <w:szCs w:val="22"/>
                <w:lang w:val="en-GB"/>
              </w:rPr>
              <w:instrText>Practice</w:instrText>
            </w:r>
            <w:r w:rsidRPr="00097824">
              <w:rPr>
                <w:bCs/>
                <w:i/>
                <w:szCs w:val="22"/>
              </w:rPr>
              <w:instrText xml:space="preserve"> </w:instrText>
            </w:r>
            <w:r w:rsidRPr="00097824">
              <w:rPr>
                <w:bCs/>
                <w:i/>
                <w:szCs w:val="22"/>
                <w:lang w:val="en-GB"/>
              </w:rPr>
              <w:instrText>Guidelines</w:instrText>
            </w:r>
            <w:r w:rsidRPr="00097824">
              <w:rPr>
                <w:bCs/>
                <w:i/>
                <w:szCs w:val="22"/>
              </w:rPr>
              <w:instrText xml:space="preserve"> </w:instrText>
            </w:r>
            <w:r w:rsidRPr="00097824">
              <w:rPr>
                <w:bCs/>
                <w:i/>
                <w:szCs w:val="22"/>
                <w:lang w:val="en-GB"/>
              </w:rPr>
              <w:instrText>for</w:instrText>
            </w:r>
            <w:r w:rsidRPr="00097824">
              <w:rPr>
                <w:bCs/>
                <w:i/>
                <w:szCs w:val="22"/>
              </w:rPr>
              <w:instrText xml:space="preserve"> </w:instrText>
            </w:r>
            <w:r w:rsidRPr="00097824">
              <w:rPr>
                <w:bCs/>
                <w:i/>
                <w:szCs w:val="22"/>
                <w:lang w:val="en-GB"/>
              </w:rPr>
              <w:instrText>diagnosis</w:instrText>
            </w:r>
            <w:r w:rsidRPr="00097824">
              <w:rPr>
                <w:bCs/>
                <w:i/>
                <w:szCs w:val="22"/>
              </w:rPr>
              <w:instrText xml:space="preserve">, </w:instrText>
            </w:r>
            <w:r w:rsidRPr="00097824">
              <w:rPr>
                <w:bCs/>
                <w:i/>
                <w:szCs w:val="22"/>
                <w:lang w:val="en-GB"/>
              </w:rPr>
              <w:instrText>treatment</w:instrText>
            </w:r>
            <w:r w:rsidRPr="00097824">
              <w:rPr>
                <w:bCs/>
                <w:i/>
                <w:szCs w:val="22"/>
              </w:rPr>
              <w:instrText xml:space="preserve"> </w:instrText>
            </w:r>
            <w:r w:rsidRPr="00097824">
              <w:rPr>
                <w:bCs/>
                <w:i/>
                <w:szCs w:val="22"/>
                <w:lang w:val="en-GB"/>
              </w:rPr>
              <w:instrText>and</w:instrText>
            </w:r>
            <w:r w:rsidRPr="00097824">
              <w:rPr>
                <w:bCs/>
                <w:i/>
                <w:szCs w:val="22"/>
              </w:rPr>
              <w:instrText xml:space="preserve"> </w:instrText>
            </w:r>
            <w:r w:rsidRPr="00097824">
              <w:rPr>
                <w:bCs/>
                <w:i/>
                <w:szCs w:val="22"/>
                <w:lang w:val="en-GB"/>
              </w:rPr>
              <w:instrText>follow</w:instrText>
            </w:r>
            <w:r w:rsidRPr="00097824">
              <w:rPr>
                <w:bCs/>
                <w:i/>
                <w:szCs w:val="22"/>
              </w:rPr>
              <w:instrText>-</w:instrText>
            </w:r>
            <w:r w:rsidRPr="00097824">
              <w:rPr>
                <w:bCs/>
                <w:i/>
                <w:szCs w:val="22"/>
                <w:lang w:val="en-GB"/>
              </w:rPr>
              <w:instrText>up</w:instrText>
            </w:r>
            <w:r w:rsidRPr="00097824">
              <w:rPr>
                <w:bCs/>
                <w:i/>
                <w:szCs w:val="22"/>
              </w:rPr>
              <w:instrText>","</w:instrText>
            </w:r>
            <w:r w:rsidRPr="00097824">
              <w:rPr>
                <w:bCs/>
                <w:i/>
                <w:szCs w:val="22"/>
                <w:lang w:val="en-GB"/>
              </w:rPr>
              <w:instrText>title</w:instrText>
            </w:r>
            <w:r w:rsidRPr="00097824">
              <w:rPr>
                <w:bCs/>
                <w:i/>
                <w:szCs w:val="22"/>
              </w:rPr>
              <w:instrText>-</w:instrText>
            </w:r>
            <w:r w:rsidRPr="00097824">
              <w:rPr>
                <w:bCs/>
                <w:i/>
                <w:szCs w:val="22"/>
                <w:lang w:val="en-GB"/>
              </w:rPr>
              <w:instrText>short</w:instrText>
            </w:r>
            <w:r w:rsidRPr="00097824">
              <w:rPr>
                <w:bCs/>
                <w:i/>
                <w:szCs w:val="22"/>
              </w:rPr>
              <w:instrText>":"</w:instrText>
            </w:r>
            <w:r w:rsidRPr="00097824">
              <w:rPr>
                <w:bCs/>
                <w:i/>
                <w:szCs w:val="22"/>
                <w:lang w:val="en-GB"/>
              </w:rPr>
              <w:instrText>Biliary</w:instrText>
            </w:r>
            <w:r w:rsidRPr="00097824">
              <w:rPr>
                <w:bCs/>
                <w:i/>
                <w:szCs w:val="22"/>
              </w:rPr>
              <w:instrText xml:space="preserve"> </w:instrText>
            </w:r>
            <w:r w:rsidRPr="00097824">
              <w:rPr>
                <w:bCs/>
                <w:i/>
                <w:szCs w:val="22"/>
                <w:lang w:val="en-GB"/>
              </w:rPr>
              <w:instrText>cancer</w:instrText>
            </w:r>
            <w:r w:rsidRPr="00097824">
              <w:rPr>
                <w:bCs/>
                <w:i/>
                <w:szCs w:val="22"/>
              </w:rPr>
              <w:instrText>","</w:instrText>
            </w:r>
            <w:r w:rsidRPr="00097824">
              <w:rPr>
                <w:bCs/>
                <w:i/>
                <w:szCs w:val="22"/>
                <w:lang w:val="en-GB"/>
              </w:rPr>
              <w:instrText>volume</w:instrText>
            </w:r>
            <w:r w:rsidRPr="00097824">
              <w:rPr>
                <w:bCs/>
                <w:i/>
                <w:szCs w:val="22"/>
              </w:rPr>
              <w:instrText>":"27","</w:instrText>
            </w:r>
            <w:r w:rsidRPr="00097824">
              <w:rPr>
                <w:bCs/>
                <w:i/>
                <w:szCs w:val="22"/>
                <w:lang w:val="en-GB"/>
              </w:rPr>
              <w:instrText>author</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Valle</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Juan</w:instrText>
            </w:r>
            <w:r w:rsidRPr="00097824">
              <w:rPr>
                <w:bCs/>
                <w:i/>
                <w:szCs w:val="22"/>
              </w:rPr>
              <w:instrText xml:space="preserve"> </w:instrText>
            </w:r>
            <w:r w:rsidRPr="00097824">
              <w:rPr>
                <w:bCs/>
                <w:i/>
                <w:szCs w:val="22"/>
                <w:lang w:val="en-GB"/>
              </w:rPr>
              <w:instrText>W</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Borbath</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Ivan</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Khan</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Shahid</w:instrText>
            </w:r>
            <w:r w:rsidRPr="00097824">
              <w:rPr>
                <w:bCs/>
                <w:i/>
                <w:szCs w:val="22"/>
              </w:rPr>
              <w:instrText xml:space="preserve"> </w:instrText>
            </w:r>
            <w:r w:rsidRPr="00097824">
              <w:rPr>
                <w:bCs/>
                <w:i/>
                <w:szCs w:val="22"/>
                <w:lang w:val="en-GB"/>
              </w:rPr>
              <w:instrText>A</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Huguet</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Florence</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Gruenberger</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Thomas</w:instrText>
            </w:r>
            <w:r w:rsidRPr="00097824">
              <w:rPr>
                <w:bCs/>
                <w:i/>
                <w:szCs w:val="22"/>
              </w:rPr>
              <w:instrText>"},{"</w:instrText>
            </w:r>
            <w:r w:rsidRPr="00097824">
              <w:rPr>
                <w:bCs/>
                <w:i/>
                <w:szCs w:val="22"/>
                <w:lang w:val="en-GB"/>
              </w:rPr>
              <w:instrText>family</w:instrText>
            </w:r>
            <w:r w:rsidRPr="00097824">
              <w:rPr>
                <w:bCs/>
                <w:i/>
                <w:szCs w:val="22"/>
              </w:rPr>
              <w:instrText>":"</w:instrText>
            </w:r>
            <w:r w:rsidRPr="00097824">
              <w:rPr>
                <w:bCs/>
                <w:i/>
                <w:szCs w:val="22"/>
                <w:lang w:val="en-GB"/>
              </w:rPr>
              <w:instrText>Arnold</w:instrText>
            </w:r>
            <w:r w:rsidRPr="00097824">
              <w:rPr>
                <w:bCs/>
                <w:i/>
                <w:szCs w:val="22"/>
              </w:rPr>
              <w:instrText>","</w:instrText>
            </w:r>
            <w:r w:rsidRPr="00097824">
              <w:rPr>
                <w:bCs/>
                <w:i/>
                <w:szCs w:val="22"/>
                <w:lang w:val="en-GB"/>
              </w:rPr>
              <w:instrText>given</w:instrText>
            </w:r>
            <w:r w:rsidRPr="00097824">
              <w:rPr>
                <w:bCs/>
                <w:i/>
                <w:szCs w:val="22"/>
              </w:rPr>
              <w:instrText>":"</w:instrText>
            </w:r>
            <w:r w:rsidRPr="00097824">
              <w:rPr>
                <w:bCs/>
                <w:i/>
                <w:szCs w:val="22"/>
                <w:lang w:val="en-GB"/>
              </w:rPr>
              <w:instrText>Dirk</w:instrText>
            </w:r>
            <w:r w:rsidRPr="00097824">
              <w:rPr>
                <w:bCs/>
                <w:i/>
                <w:szCs w:val="22"/>
              </w:rPr>
              <w:instrText>"}],"</w:instrText>
            </w:r>
            <w:r w:rsidRPr="00097824">
              <w:rPr>
                <w:bCs/>
                <w:i/>
                <w:szCs w:val="22"/>
                <w:lang w:val="en-GB"/>
              </w:rPr>
              <w:instrText>issued</w:instrText>
            </w:r>
            <w:r w:rsidRPr="00097824">
              <w:rPr>
                <w:bCs/>
                <w:i/>
                <w:szCs w:val="22"/>
              </w:rPr>
              <w:instrText>":{"</w:instrText>
            </w:r>
            <w:r w:rsidRPr="00097824">
              <w:rPr>
                <w:bCs/>
                <w:i/>
                <w:szCs w:val="22"/>
                <w:lang w:val="en-GB"/>
              </w:rPr>
              <w:instrText>date</w:instrText>
            </w:r>
            <w:r w:rsidRPr="00097824">
              <w:rPr>
                <w:bCs/>
                <w:i/>
                <w:szCs w:val="22"/>
              </w:rPr>
              <w:instrText>-</w:instrText>
            </w:r>
            <w:r w:rsidRPr="00097824">
              <w:rPr>
                <w:bCs/>
                <w:i/>
                <w:szCs w:val="22"/>
                <w:lang w:val="en-GB"/>
              </w:rPr>
              <w:instrText>parts</w:instrText>
            </w:r>
            <w:r w:rsidRPr="00097824">
              <w:rPr>
                <w:bCs/>
                <w:i/>
                <w:szCs w:val="22"/>
              </w:rPr>
              <w:instrText>":[["2016"]]}},"</w:instrText>
            </w:r>
            <w:r w:rsidRPr="00097824">
              <w:rPr>
                <w:bCs/>
                <w:i/>
                <w:szCs w:val="22"/>
                <w:lang w:val="en-GB"/>
              </w:rPr>
              <w:instrText>label</w:instrText>
            </w:r>
            <w:r w:rsidRPr="00097824">
              <w:rPr>
                <w:bCs/>
                <w:i/>
                <w:szCs w:val="22"/>
              </w:rPr>
              <w:instrText>":"</w:instrText>
            </w:r>
            <w:r w:rsidRPr="00097824">
              <w:rPr>
                <w:bCs/>
                <w:i/>
                <w:szCs w:val="22"/>
                <w:lang w:val="en-GB"/>
              </w:rPr>
              <w:instrText>page</w:instrText>
            </w:r>
            <w:r w:rsidRPr="00097824">
              <w:rPr>
                <w:bCs/>
                <w:i/>
                <w:szCs w:val="22"/>
              </w:rPr>
              <w:instrText>"}],"</w:instrText>
            </w:r>
            <w:r w:rsidRPr="00097824">
              <w:rPr>
                <w:bCs/>
                <w:i/>
                <w:szCs w:val="22"/>
                <w:lang w:val="en-GB"/>
              </w:rPr>
              <w:instrText>schema</w:instrText>
            </w:r>
            <w:r w:rsidRPr="00097824">
              <w:rPr>
                <w:bCs/>
                <w:i/>
                <w:szCs w:val="22"/>
              </w:rPr>
              <w:instrText>":"</w:instrText>
            </w:r>
            <w:r w:rsidRPr="00097824">
              <w:rPr>
                <w:bCs/>
                <w:i/>
                <w:szCs w:val="22"/>
                <w:lang w:val="en-GB"/>
              </w:rPr>
              <w:instrText>https</w:instrText>
            </w:r>
            <w:r w:rsidRPr="00097824">
              <w:rPr>
                <w:bCs/>
                <w:i/>
                <w:szCs w:val="22"/>
              </w:rPr>
              <w:instrText>://</w:instrText>
            </w:r>
            <w:r w:rsidRPr="00097824">
              <w:rPr>
                <w:bCs/>
                <w:i/>
                <w:szCs w:val="22"/>
                <w:lang w:val="en-GB"/>
              </w:rPr>
              <w:instrText>github</w:instrText>
            </w:r>
            <w:r w:rsidRPr="00097824">
              <w:rPr>
                <w:bCs/>
                <w:i/>
                <w:szCs w:val="22"/>
              </w:rPr>
              <w:instrText>.</w:instrText>
            </w:r>
            <w:r w:rsidRPr="00097824">
              <w:rPr>
                <w:bCs/>
                <w:i/>
                <w:szCs w:val="22"/>
                <w:lang w:val="en-GB"/>
              </w:rPr>
              <w:instrText>com</w:instrText>
            </w:r>
            <w:r w:rsidRPr="00097824">
              <w:rPr>
                <w:bCs/>
                <w:i/>
                <w:szCs w:val="22"/>
              </w:rPr>
              <w:instrText>/</w:instrText>
            </w:r>
            <w:r w:rsidRPr="00097824">
              <w:rPr>
                <w:bCs/>
                <w:i/>
                <w:szCs w:val="22"/>
                <w:lang w:val="en-GB"/>
              </w:rPr>
              <w:instrText>citation</w:instrText>
            </w:r>
            <w:r w:rsidRPr="00097824">
              <w:rPr>
                <w:bCs/>
                <w:i/>
                <w:szCs w:val="22"/>
              </w:rPr>
              <w:instrText>-</w:instrText>
            </w:r>
            <w:r w:rsidRPr="00097824">
              <w:rPr>
                <w:bCs/>
                <w:i/>
                <w:szCs w:val="22"/>
                <w:lang w:val="en-GB"/>
              </w:rPr>
              <w:instrText>style</w:instrText>
            </w:r>
            <w:r w:rsidRPr="00097824">
              <w:rPr>
                <w:bCs/>
                <w:i/>
                <w:szCs w:val="22"/>
              </w:rPr>
              <w:instrText>-</w:instrText>
            </w:r>
            <w:r w:rsidRPr="00097824">
              <w:rPr>
                <w:bCs/>
                <w:i/>
                <w:szCs w:val="22"/>
                <w:lang w:val="en-GB"/>
              </w:rPr>
              <w:instrText>language</w:instrText>
            </w:r>
            <w:r w:rsidRPr="00097824">
              <w:rPr>
                <w:bCs/>
                <w:i/>
                <w:szCs w:val="22"/>
              </w:rPr>
              <w:instrText>/</w:instrText>
            </w:r>
            <w:r w:rsidRPr="00097824">
              <w:rPr>
                <w:bCs/>
                <w:i/>
                <w:szCs w:val="22"/>
                <w:lang w:val="en-GB"/>
              </w:rPr>
              <w:instrText>schema</w:instrText>
            </w:r>
            <w:r w:rsidRPr="00097824">
              <w:rPr>
                <w:bCs/>
                <w:i/>
                <w:szCs w:val="22"/>
              </w:rPr>
              <w:instrText>/</w:instrText>
            </w:r>
            <w:r w:rsidRPr="00097824">
              <w:rPr>
                <w:bCs/>
                <w:i/>
                <w:szCs w:val="22"/>
                <w:lang w:val="en-GB"/>
              </w:rPr>
              <w:instrText>raw</w:instrText>
            </w:r>
            <w:r w:rsidRPr="00097824">
              <w:rPr>
                <w:bCs/>
                <w:i/>
                <w:szCs w:val="22"/>
              </w:rPr>
              <w:instrText>/</w:instrText>
            </w:r>
            <w:r w:rsidRPr="00097824">
              <w:rPr>
                <w:bCs/>
                <w:i/>
                <w:szCs w:val="22"/>
                <w:lang w:val="en-GB"/>
              </w:rPr>
              <w:instrText>master</w:instrText>
            </w:r>
            <w:r w:rsidRPr="00097824">
              <w:rPr>
                <w:bCs/>
                <w:i/>
                <w:szCs w:val="22"/>
              </w:rPr>
              <w:instrText>/</w:instrText>
            </w:r>
            <w:r w:rsidRPr="00097824">
              <w:rPr>
                <w:bCs/>
                <w:i/>
                <w:szCs w:val="22"/>
                <w:lang w:val="en-GB"/>
              </w:rPr>
              <w:instrText>csl</w:instrText>
            </w:r>
            <w:r w:rsidRPr="00097824">
              <w:rPr>
                <w:bCs/>
                <w:i/>
                <w:szCs w:val="22"/>
              </w:rPr>
              <w:instrText>-</w:instrText>
            </w:r>
            <w:r w:rsidRPr="00097824">
              <w:rPr>
                <w:bCs/>
                <w:i/>
                <w:szCs w:val="22"/>
                <w:lang w:val="en-GB"/>
              </w:rPr>
              <w:instrText>citation</w:instrText>
            </w:r>
            <w:r w:rsidRPr="00097824">
              <w:rPr>
                <w:bCs/>
                <w:i/>
                <w:szCs w:val="22"/>
              </w:rPr>
              <w:instrText>.</w:instrText>
            </w:r>
            <w:r w:rsidRPr="00097824">
              <w:rPr>
                <w:bCs/>
                <w:i/>
                <w:szCs w:val="22"/>
                <w:lang w:val="en-GB"/>
              </w:rPr>
              <w:instrText>json</w:instrText>
            </w:r>
            <w:r w:rsidRPr="00097824">
              <w:rPr>
                <w:bCs/>
                <w:i/>
                <w:szCs w:val="22"/>
              </w:rPr>
              <w:instrText xml:space="preserve">"} </w:instrText>
            </w:r>
            <w:r w:rsidRPr="00097824">
              <w:rPr>
                <w:bCs/>
                <w:i/>
                <w:lang w:val="en-GB"/>
              </w:rPr>
              <w:fldChar w:fldCharType="separate"/>
            </w:r>
            <w:r w:rsidRPr="00097824">
              <w:t>[</w:t>
            </w:r>
            <w:r w:rsidRPr="00097824">
              <w:rPr>
                <w:lang w:val="en-US"/>
              </w:rPr>
              <w:t>154</w:t>
            </w:r>
            <w:r w:rsidRPr="00097824">
              <w:t>]</w:t>
            </w:r>
            <w:r w:rsidRPr="00097824">
              <w:rPr>
                <w:bCs/>
                <w:i/>
                <w:lang w:val="en-GB"/>
              </w:rPr>
              <w:fldChar w:fldCharType="end"/>
            </w:r>
            <w:r w:rsidRPr="00097824">
              <w:rPr>
                <w:bCs/>
                <w:i/>
                <w:szCs w:val="22"/>
              </w:rPr>
              <w:t>.</w:t>
            </w:r>
          </w:p>
          <w:p w14:paraId="19AF17F5" w14:textId="77777777" w:rsidR="00317315" w:rsidRPr="00097824" w:rsidRDefault="00317315" w:rsidP="00317315">
            <w:pPr>
              <w:keepNext/>
              <w:numPr>
                <w:ilvl w:val="0"/>
                <w:numId w:val="5"/>
              </w:numPr>
              <w:autoSpaceDE w:val="0"/>
              <w:autoSpaceDN w:val="0"/>
              <w:adjustRightInd w:val="0"/>
              <w:ind w:left="0" w:firstLine="0"/>
              <w:contextualSpacing/>
              <w:rPr>
                <w:bCs/>
                <w:i/>
              </w:rPr>
            </w:pPr>
            <w:r w:rsidRPr="00097824">
              <w:rPr>
                <w:bCs/>
                <w:i/>
                <w:szCs w:val="22"/>
              </w:rPr>
              <w:t>XEL</w:t>
            </w:r>
            <w:r w:rsidRPr="00097824">
              <w:rPr>
                <w:bCs/>
                <w:i/>
                <w:szCs w:val="22"/>
                <w:lang w:val="en-US"/>
              </w:rPr>
              <w:t>IRI</w:t>
            </w:r>
            <w:r w:rsidRPr="00097824">
              <w:rPr>
                <w:bCs/>
                <w:i/>
                <w:szCs w:val="22"/>
              </w:rPr>
              <w:t xml:space="preserve"> (</w:t>
            </w:r>
            <w:r w:rsidRPr="00097824">
              <w:t>#</w:t>
            </w:r>
            <w:r w:rsidRPr="00097824">
              <w:rPr>
                <w:bCs/>
                <w:i/>
                <w:szCs w:val="22"/>
              </w:rPr>
              <w:t>Иринотекан** 200 мг/</w:t>
            </w:r>
            <w:r w:rsidRPr="00097824">
              <w:rPr>
                <w:bCs/>
                <w:i/>
                <w:szCs w:val="22"/>
                <w:vertAlign w:val="superscript"/>
              </w:rPr>
              <w:t>м2</w:t>
            </w:r>
            <w:r w:rsidRPr="00097824">
              <w:rPr>
                <w:bCs/>
                <w:i/>
                <w:szCs w:val="22"/>
              </w:rPr>
              <w:t xml:space="preserve"> в 1-й день, </w:t>
            </w:r>
            <w:r w:rsidRPr="00097824">
              <w:t>#</w:t>
            </w:r>
            <w:r w:rsidRPr="00097824">
              <w:rPr>
                <w:bCs/>
                <w:i/>
                <w:szCs w:val="22"/>
              </w:rPr>
              <w:t>капецитабин** 1</w:t>
            </w:r>
            <w:r w:rsidRPr="00097824">
              <w:rPr>
                <w:bCs/>
                <w:i/>
              </w:rPr>
              <w:t>7</w:t>
            </w:r>
            <w:r w:rsidRPr="00097824">
              <w:rPr>
                <w:bCs/>
                <w:i/>
                <w:szCs w:val="22"/>
              </w:rPr>
              <w:t>00 мг/м</w:t>
            </w:r>
            <w:r w:rsidRPr="00097824">
              <w:rPr>
                <w:bCs/>
                <w:i/>
                <w:szCs w:val="22"/>
                <w:vertAlign w:val="superscript"/>
              </w:rPr>
              <w:t>2</w:t>
            </w:r>
            <w:r w:rsidRPr="00097824">
              <w:rPr>
                <w:bCs/>
                <w:i/>
                <w:szCs w:val="22"/>
              </w:rPr>
              <w:t xml:space="preserve"> в сутки в 2 приема 1-й–14-й дни). Интервал – 3 недели. </w:t>
            </w:r>
            <w:r w:rsidRPr="00097824">
              <w:rPr>
                <w:bCs/>
                <w:i/>
                <w:lang w:val="en-GB"/>
              </w:rPr>
              <w:fldChar w:fldCharType="begin"/>
            </w:r>
            <w:r w:rsidRPr="00097824">
              <w:rPr>
                <w:bCs/>
                <w:i/>
              </w:rPr>
              <w:instrText xml:space="preserve"> </w:instrText>
            </w:r>
            <w:r w:rsidRPr="00097824">
              <w:rPr>
                <w:bCs/>
                <w:i/>
                <w:lang w:val="en-GB"/>
              </w:rPr>
              <w:instrText>ADDIN</w:instrText>
            </w:r>
            <w:r w:rsidRPr="00097824">
              <w:rPr>
                <w:bCs/>
                <w:i/>
              </w:rPr>
              <w:instrText xml:space="preserve"> </w:instrText>
            </w:r>
            <w:r w:rsidRPr="00097824">
              <w:rPr>
                <w:bCs/>
                <w:i/>
                <w:lang w:val="en-GB"/>
              </w:rPr>
              <w:instrText>ZOTERO</w:instrText>
            </w:r>
            <w:r w:rsidRPr="00097824">
              <w:rPr>
                <w:bCs/>
                <w:i/>
              </w:rPr>
              <w:instrText>_</w:instrText>
            </w:r>
            <w:r w:rsidRPr="00097824">
              <w:rPr>
                <w:bCs/>
                <w:i/>
                <w:lang w:val="en-GB"/>
              </w:rPr>
              <w:instrText>ITEM</w:instrText>
            </w:r>
            <w:r w:rsidRPr="00097824">
              <w:rPr>
                <w:bCs/>
                <w:i/>
              </w:rPr>
              <w:instrText xml:space="preserve"> </w:instrText>
            </w:r>
            <w:r w:rsidRPr="00097824">
              <w:rPr>
                <w:bCs/>
                <w:i/>
                <w:lang w:val="en-GB"/>
              </w:rPr>
              <w:instrText>CSL</w:instrText>
            </w:r>
            <w:r w:rsidRPr="00097824">
              <w:rPr>
                <w:bCs/>
                <w:i/>
              </w:rPr>
              <w:instrText>_</w:instrText>
            </w:r>
            <w:r w:rsidRPr="00097824">
              <w:rPr>
                <w:bCs/>
                <w:i/>
                <w:lang w:val="en-GB"/>
              </w:rPr>
              <w:instrText>CITATION</w:instrText>
            </w:r>
            <w:r w:rsidRPr="00097824">
              <w:rPr>
                <w:bCs/>
                <w:i/>
              </w:rPr>
              <w:instrText xml:space="preserve"> {"</w:instrText>
            </w:r>
            <w:r w:rsidRPr="00097824">
              <w:rPr>
                <w:bCs/>
                <w:i/>
                <w:lang w:val="en-GB"/>
              </w:rPr>
              <w:instrText>citationID</w:instrText>
            </w:r>
            <w:r w:rsidRPr="00097824">
              <w:rPr>
                <w:bCs/>
                <w:i/>
              </w:rPr>
              <w:instrText>":"</w:instrText>
            </w:r>
            <w:r w:rsidRPr="00097824">
              <w:rPr>
                <w:bCs/>
                <w:i/>
                <w:lang w:val="en-GB"/>
              </w:rPr>
              <w:instrText>d</w:instrText>
            </w:r>
            <w:r w:rsidRPr="00097824">
              <w:rPr>
                <w:bCs/>
                <w:i/>
              </w:rPr>
              <w:instrText>9</w:instrText>
            </w:r>
            <w:r w:rsidRPr="00097824">
              <w:rPr>
                <w:bCs/>
                <w:i/>
                <w:lang w:val="en-GB"/>
              </w:rPr>
              <w:instrText>HqK</w:instrText>
            </w:r>
            <w:r w:rsidRPr="00097824">
              <w:rPr>
                <w:bCs/>
                <w:i/>
              </w:rPr>
              <w:instrText>1</w:instrText>
            </w:r>
            <w:r w:rsidRPr="00097824">
              <w:rPr>
                <w:bCs/>
                <w:i/>
                <w:lang w:val="en-GB"/>
              </w:rPr>
              <w:instrText>qL</w:instrText>
            </w:r>
            <w:r w:rsidRPr="00097824">
              <w:rPr>
                <w:bCs/>
                <w:i/>
              </w:rPr>
              <w:instrText>","</w:instrText>
            </w:r>
            <w:r w:rsidRPr="00097824">
              <w:rPr>
                <w:bCs/>
                <w:i/>
                <w:lang w:val="en-GB"/>
              </w:rPr>
              <w:instrText>properties</w:instrText>
            </w:r>
            <w:r w:rsidRPr="00097824">
              <w:rPr>
                <w:bCs/>
                <w:i/>
              </w:rPr>
              <w:instrText>":{"</w:instrText>
            </w:r>
            <w:r w:rsidRPr="00097824">
              <w:rPr>
                <w:bCs/>
                <w:i/>
                <w:lang w:val="en-GB"/>
              </w:rPr>
              <w:instrText>formattedCitation</w:instrText>
            </w:r>
            <w:r w:rsidRPr="00097824">
              <w:rPr>
                <w:bCs/>
                <w:i/>
              </w:rPr>
              <w:instrText>":"[10,19]","</w:instrText>
            </w:r>
            <w:r w:rsidRPr="00097824">
              <w:rPr>
                <w:bCs/>
                <w:i/>
                <w:lang w:val="en-GB"/>
              </w:rPr>
              <w:instrText>plainCitation</w:instrText>
            </w:r>
            <w:r w:rsidRPr="00097824">
              <w:rPr>
                <w:bCs/>
                <w:i/>
              </w:rPr>
              <w:instrText>":"[10,19]","</w:instrText>
            </w:r>
            <w:r w:rsidRPr="00097824">
              <w:rPr>
                <w:bCs/>
                <w:i/>
                <w:lang w:val="en-GB"/>
              </w:rPr>
              <w:instrText>noteIndex</w:instrText>
            </w:r>
            <w:r w:rsidRPr="00097824">
              <w:rPr>
                <w:bCs/>
                <w:i/>
              </w:rPr>
              <w:instrText>":0},"</w:instrText>
            </w:r>
            <w:r w:rsidRPr="00097824">
              <w:rPr>
                <w:bCs/>
                <w:i/>
                <w:lang w:val="en-GB"/>
              </w:rPr>
              <w:instrText>citationItems</w:instrText>
            </w:r>
            <w:r w:rsidRPr="00097824">
              <w:rPr>
                <w:bCs/>
                <w:i/>
              </w:rPr>
              <w:instrText>":[{"</w:instrText>
            </w:r>
            <w:r w:rsidRPr="00097824">
              <w:rPr>
                <w:bCs/>
                <w:i/>
                <w:lang w:val="en-GB"/>
              </w:rPr>
              <w:instrText>id</w:instrText>
            </w:r>
            <w:r w:rsidRPr="00097824">
              <w:rPr>
                <w:bCs/>
                <w:i/>
              </w:rPr>
              <w:instrText>":166644,"</w:instrText>
            </w:r>
            <w:r w:rsidRPr="00097824">
              <w:rPr>
                <w:bCs/>
                <w:i/>
                <w:lang w:val="en-GB"/>
              </w:rPr>
              <w:instrText>uris</w:instrText>
            </w:r>
            <w:r w:rsidRPr="00097824">
              <w:rPr>
                <w:bCs/>
                <w:i/>
              </w:rPr>
              <w:instrText>":["</w:instrText>
            </w:r>
            <w:r w:rsidRPr="00097824">
              <w:rPr>
                <w:bCs/>
                <w:i/>
                <w:lang w:val="en-GB"/>
              </w:rPr>
              <w:instrText>http</w:instrText>
            </w:r>
            <w:r w:rsidRPr="00097824">
              <w:rPr>
                <w:bCs/>
                <w:i/>
              </w:rPr>
              <w:instrText>://</w:instrText>
            </w:r>
            <w:r w:rsidRPr="00097824">
              <w:rPr>
                <w:bCs/>
                <w:i/>
                <w:lang w:val="en-GB"/>
              </w:rPr>
              <w:instrText>zotero</w:instrText>
            </w:r>
            <w:r w:rsidRPr="00097824">
              <w:rPr>
                <w:bCs/>
                <w:i/>
              </w:rPr>
              <w:instrText>.</w:instrText>
            </w:r>
            <w:r w:rsidRPr="00097824">
              <w:rPr>
                <w:bCs/>
                <w:i/>
                <w:lang w:val="en-GB"/>
              </w:rPr>
              <w:instrText>org</w:instrText>
            </w:r>
            <w:r w:rsidRPr="00097824">
              <w:rPr>
                <w:bCs/>
                <w:i/>
              </w:rPr>
              <w:instrText>/</w:instrText>
            </w:r>
            <w:r w:rsidRPr="00097824">
              <w:rPr>
                <w:bCs/>
                <w:i/>
                <w:lang w:val="en-GB"/>
              </w:rPr>
              <w:instrText>groups</w:instrText>
            </w:r>
            <w:r w:rsidRPr="00097824">
              <w:rPr>
                <w:bCs/>
                <w:i/>
              </w:rPr>
              <w:instrText>/4764298/</w:instrText>
            </w:r>
            <w:r w:rsidRPr="00097824">
              <w:rPr>
                <w:bCs/>
                <w:i/>
                <w:lang w:val="en-GB"/>
              </w:rPr>
              <w:instrText>items</w:instrText>
            </w:r>
            <w:r w:rsidRPr="00097824">
              <w:rPr>
                <w:bCs/>
                <w:i/>
              </w:rPr>
              <w:instrText>/6</w:instrText>
            </w:r>
            <w:r w:rsidRPr="00097824">
              <w:rPr>
                <w:bCs/>
                <w:i/>
                <w:lang w:val="en-GB"/>
              </w:rPr>
              <w:instrText>QHBBU</w:instrText>
            </w:r>
            <w:r w:rsidRPr="00097824">
              <w:rPr>
                <w:bCs/>
                <w:i/>
              </w:rPr>
              <w:instrText>8</w:instrText>
            </w:r>
            <w:r w:rsidRPr="00097824">
              <w:rPr>
                <w:bCs/>
                <w:i/>
                <w:lang w:val="en-GB"/>
              </w:rPr>
              <w:instrText>X</w:instrText>
            </w:r>
            <w:r w:rsidRPr="00097824">
              <w:rPr>
                <w:bCs/>
                <w:i/>
              </w:rPr>
              <w:instrText>"],"</w:instrText>
            </w:r>
            <w:r w:rsidRPr="00097824">
              <w:rPr>
                <w:bCs/>
                <w:i/>
                <w:lang w:val="en-GB"/>
              </w:rPr>
              <w:instrText>itemData</w:instrText>
            </w:r>
            <w:r w:rsidRPr="00097824">
              <w:rPr>
                <w:bCs/>
                <w:i/>
              </w:rPr>
              <w:instrText>":{"</w:instrText>
            </w:r>
            <w:r w:rsidRPr="00097824">
              <w:rPr>
                <w:bCs/>
                <w:i/>
                <w:lang w:val="en-GB"/>
              </w:rPr>
              <w:instrText>id</w:instrText>
            </w:r>
            <w:r w:rsidRPr="00097824">
              <w:rPr>
                <w:bCs/>
                <w:i/>
              </w:rPr>
              <w:instrText>":166644,"</w:instrText>
            </w:r>
            <w:r w:rsidRPr="00097824">
              <w:rPr>
                <w:bCs/>
                <w:i/>
                <w:lang w:val="en-GB"/>
              </w:rPr>
              <w:instrText>type</w:instrText>
            </w:r>
            <w:r w:rsidRPr="00097824">
              <w:rPr>
                <w:bCs/>
                <w:i/>
              </w:rPr>
              <w:instrText>":"</w:instrText>
            </w:r>
            <w:r w:rsidRPr="00097824">
              <w:rPr>
                <w:bCs/>
                <w:i/>
                <w:lang w:val="en-GB"/>
              </w:rPr>
              <w:instrText>article</w:instrText>
            </w:r>
            <w:r w:rsidRPr="00097824">
              <w:rPr>
                <w:bCs/>
                <w:i/>
              </w:rPr>
              <w:instrText>-</w:instrText>
            </w:r>
            <w:r w:rsidRPr="00097824">
              <w:rPr>
                <w:bCs/>
                <w:i/>
                <w:lang w:val="en-GB"/>
              </w:rPr>
              <w:instrText>journal</w:instrText>
            </w:r>
            <w:r w:rsidRPr="00097824">
              <w:rPr>
                <w:bCs/>
                <w:i/>
              </w:rPr>
              <w:instrText>","</w:instrText>
            </w:r>
            <w:r w:rsidRPr="00097824">
              <w:rPr>
                <w:bCs/>
                <w:i/>
                <w:lang w:val="en-GB"/>
              </w:rPr>
              <w:instrText>container</w:instrText>
            </w:r>
            <w:r w:rsidRPr="00097824">
              <w:rPr>
                <w:bCs/>
                <w:i/>
              </w:rPr>
              <w:instrText>-</w:instrText>
            </w:r>
            <w:r w:rsidRPr="00097824">
              <w:rPr>
                <w:bCs/>
                <w:i/>
                <w:lang w:val="en-GB"/>
              </w:rPr>
              <w:instrText>title</w:instrText>
            </w:r>
            <w:r w:rsidRPr="00097824">
              <w:rPr>
                <w:bCs/>
                <w:i/>
              </w:rPr>
              <w:instrText>":"</w:instrText>
            </w:r>
            <w:r w:rsidRPr="00097824">
              <w:rPr>
                <w:bCs/>
                <w:i/>
                <w:lang w:val="en-GB"/>
              </w:rPr>
              <w:instrText>JNCCN</w:instrText>
            </w:r>
            <w:r w:rsidRPr="00097824">
              <w:rPr>
                <w:bCs/>
                <w:i/>
              </w:rPr>
              <w:instrText xml:space="preserve"> </w:instrText>
            </w:r>
            <w:r w:rsidRPr="00097824">
              <w:rPr>
                <w:bCs/>
                <w:i/>
                <w:lang w:val="en-GB"/>
              </w:rPr>
              <w:instrText>Journal</w:instrText>
            </w:r>
            <w:r w:rsidRPr="00097824">
              <w:rPr>
                <w:bCs/>
                <w:i/>
              </w:rPr>
              <w:instrText xml:space="preserve"> </w:instrText>
            </w:r>
            <w:r w:rsidRPr="00097824">
              <w:rPr>
                <w:bCs/>
                <w:i/>
                <w:lang w:val="en-GB"/>
              </w:rPr>
              <w:instrText>of</w:instrText>
            </w:r>
            <w:r w:rsidRPr="00097824">
              <w:rPr>
                <w:bCs/>
                <w:i/>
              </w:rPr>
              <w:instrText xml:space="preserve"> </w:instrText>
            </w:r>
            <w:r w:rsidRPr="00097824">
              <w:rPr>
                <w:bCs/>
                <w:i/>
                <w:lang w:val="en-GB"/>
              </w:rPr>
              <w:instrText>the</w:instrText>
            </w:r>
            <w:r w:rsidRPr="00097824">
              <w:rPr>
                <w:bCs/>
                <w:i/>
              </w:rPr>
              <w:instrText xml:space="preserve"> </w:instrText>
            </w:r>
            <w:r w:rsidRPr="00097824">
              <w:rPr>
                <w:bCs/>
                <w:i/>
                <w:lang w:val="en-GB"/>
              </w:rPr>
              <w:instrText>National</w:instrText>
            </w:r>
            <w:r w:rsidRPr="00097824">
              <w:rPr>
                <w:bCs/>
                <w:i/>
              </w:rPr>
              <w:instrText xml:space="preserve"> </w:instrText>
            </w:r>
            <w:r w:rsidRPr="00097824">
              <w:rPr>
                <w:bCs/>
                <w:i/>
                <w:lang w:val="en-GB"/>
              </w:rPr>
              <w:instrText>Comprehensive</w:instrText>
            </w:r>
            <w:r w:rsidRPr="00097824">
              <w:rPr>
                <w:bCs/>
                <w:i/>
              </w:rPr>
              <w:instrText xml:space="preserve"> </w:instrText>
            </w:r>
            <w:r w:rsidRPr="00097824">
              <w:rPr>
                <w:bCs/>
                <w:i/>
                <w:lang w:val="en-GB"/>
              </w:rPr>
              <w:instrText>Cancer</w:instrText>
            </w:r>
            <w:r w:rsidRPr="00097824">
              <w:rPr>
                <w:bCs/>
                <w:i/>
              </w:rPr>
              <w:instrText xml:space="preserve"> </w:instrText>
            </w:r>
            <w:r w:rsidRPr="00097824">
              <w:rPr>
                <w:bCs/>
                <w:i/>
                <w:lang w:val="en-GB"/>
              </w:rPr>
              <w:instrText>Network</w:instrText>
            </w:r>
            <w:r w:rsidRPr="00097824">
              <w:rPr>
                <w:bCs/>
                <w:i/>
              </w:rPr>
              <w:instrText>","</w:instrText>
            </w:r>
            <w:r w:rsidRPr="00097824">
              <w:rPr>
                <w:bCs/>
                <w:i/>
                <w:lang w:val="en-GB"/>
              </w:rPr>
              <w:instrText>issue</w:instrText>
            </w:r>
            <w:r w:rsidRPr="00097824">
              <w:rPr>
                <w:bCs/>
                <w:i/>
              </w:rPr>
              <w:instrText>":"8","</w:instrText>
            </w:r>
            <w:r w:rsidRPr="00097824">
              <w:rPr>
                <w:bCs/>
                <w:i/>
                <w:lang w:val="en-GB"/>
              </w:rPr>
              <w:instrText>note</w:instrText>
            </w:r>
            <w:r w:rsidRPr="00097824">
              <w:rPr>
                <w:bCs/>
                <w:i/>
              </w:rPr>
              <w:instrText>":"</w:instrText>
            </w:r>
            <w:r w:rsidRPr="00097824">
              <w:rPr>
                <w:bCs/>
                <w:i/>
                <w:lang w:val="en-GB"/>
              </w:rPr>
              <w:instrText>publisher</w:instrText>
            </w:r>
            <w:r w:rsidRPr="00097824">
              <w:rPr>
                <w:bCs/>
                <w:i/>
              </w:rPr>
              <w:instrText xml:space="preserve">: </w:instrText>
            </w:r>
            <w:r w:rsidRPr="00097824">
              <w:rPr>
                <w:bCs/>
                <w:i/>
                <w:lang w:val="en-GB"/>
              </w:rPr>
              <w:instrText>Cold</w:instrText>
            </w:r>
            <w:r w:rsidRPr="00097824">
              <w:rPr>
                <w:bCs/>
                <w:i/>
              </w:rPr>
              <w:instrText xml:space="preserve"> </w:instrText>
            </w:r>
            <w:r w:rsidRPr="00097824">
              <w:rPr>
                <w:bCs/>
                <w:i/>
                <w:lang w:val="en-GB"/>
              </w:rPr>
              <w:instrText>Spring</w:instrText>
            </w:r>
            <w:r w:rsidRPr="00097824">
              <w:rPr>
                <w:bCs/>
                <w:i/>
              </w:rPr>
              <w:instrText xml:space="preserve"> </w:instrText>
            </w:r>
            <w:r w:rsidRPr="00097824">
              <w:rPr>
                <w:bCs/>
                <w:i/>
                <w:lang w:val="en-GB"/>
              </w:rPr>
              <w:instrText>Publishing</w:instrText>
            </w:r>
            <w:r w:rsidRPr="00097824">
              <w:rPr>
                <w:bCs/>
                <w:i/>
              </w:rPr>
              <w:instrText xml:space="preserve"> </w:instrText>
            </w:r>
            <w:r w:rsidRPr="00097824">
              <w:rPr>
                <w:bCs/>
                <w:i/>
                <w:lang w:val="en-GB"/>
              </w:rPr>
              <w:instrText>LLC</w:instrText>
            </w:r>
            <w:r w:rsidRPr="00097824">
              <w:rPr>
                <w:bCs/>
                <w:i/>
              </w:rPr>
              <w:instrText>","</w:instrText>
            </w:r>
            <w:r w:rsidRPr="00097824">
              <w:rPr>
                <w:bCs/>
                <w:i/>
                <w:lang w:val="en-GB"/>
              </w:rPr>
              <w:instrText>page</w:instrText>
            </w:r>
            <w:r w:rsidRPr="00097824">
              <w:rPr>
                <w:bCs/>
                <w:i/>
              </w:rPr>
              <w:instrText>":"728–750","</w:instrText>
            </w:r>
            <w:r w:rsidRPr="00097824">
              <w:rPr>
                <w:bCs/>
                <w:i/>
                <w:lang w:val="en-GB"/>
              </w:rPr>
              <w:instrText>source</w:instrText>
            </w:r>
            <w:r w:rsidRPr="00097824">
              <w:rPr>
                <w:bCs/>
                <w:i/>
              </w:rPr>
              <w:instrText>":"</w:instrText>
            </w:r>
            <w:r w:rsidRPr="00097824">
              <w:rPr>
                <w:bCs/>
                <w:i/>
                <w:lang w:val="en-GB"/>
              </w:rPr>
              <w:instrText>Google</w:instrText>
            </w:r>
            <w:r w:rsidRPr="00097824">
              <w:rPr>
                <w:bCs/>
                <w:i/>
              </w:rPr>
              <w:instrText xml:space="preserve"> </w:instrText>
            </w:r>
            <w:r w:rsidRPr="00097824">
              <w:rPr>
                <w:bCs/>
                <w:i/>
                <w:lang w:val="en-GB"/>
              </w:rPr>
              <w:instrText>Scholar</w:instrText>
            </w:r>
            <w:r w:rsidRPr="00097824">
              <w:rPr>
                <w:bCs/>
                <w:i/>
              </w:rPr>
              <w:instrText>","</w:instrText>
            </w:r>
            <w:r w:rsidRPr="00097824">
              <w:rPr>
                <w:bCs/>
                <w:i/>
                <w:lang w:val="en-GB"/>
              </w:rPr>
              <w:instrText>title</w:instrText>
            </w:r>
            <w:r w:rsidRPr="00097824">
              <w:rPr>
                <w:bCs/>
                <w:i/>
              </w:rPr>
              <w:instrText>":"</w:instrText>
            </w:r>
            <w:r w:rsidRPr="00097824">
              <w:rPr>
                <w:bCs/>
                <w:i/>
                <w:lang w:val="en-GB"/>
              </w:rPr>
              <w:instrText>Hepatobiliary</w:instrText>
            </w:r>
            <w:r w:rsidRPr="00097824">
              <w:rPr>
                <w:bCs/>
                <w:i/>
              </w:rPr>
              <w:instrText xml:space="preserve"> </w:instrText>
            </w:r>
            <w:r w:rsidRPr="00097824">
              <w:rPr>
                <w:bCs/>
                <w:i/>
                <w:lang w:val="en-GB"/>
              </w:rPr>
              <w:instrText>cancers</w:instrText>
            </w:r>
            <w:r w:rsidRPr="00097824">
              <w:rPr>
                <w:bCs/>
                <w:i/>
              </w:rPr>
              <w:instrText xml:space="preserve"> </w:instrText>
            </w:r>
            <w:r w:rsidRPr="00097824">
              <w:rPr>
                <w:bCs/>
                <w:i/>
                <w:lang w:val="en-GB"/>
              </w:rPr>
              <w:instrText>clinical</w:instrText>
            </w:r>
            <w:r w:rsidRPr="00097824">
              <w:rPr>
                <w:bCs/>
                <w:i/>
              </w:rPr>
              <w:instrText xml:space="preserve"> </w:instrText>
            </w:r>
            <w:r w:rsidRPr="00097824">
              <w:rPr>
                <w:bCs/>
                <w:i/>
                <w:lang w:val="en-GB"/>
              </w:rPr>
              <w:instrText>practice</w:instrText>
            </w:r>
            <w:r w:rsidRPr="00097824">
              <w:rPr>
                <w:bCs/>
                <w:i/>
              </w:rPr>
              <w:instrText xml:space="preserve"> </w:instrText>
            </w:r>
            <w:r w:rsidRPr="00097824">
              <w:rPr>
                <w:bCs/>
                <w:i/>
                <w:lang w:val="en-GB"/>
              </w:rPr>
              <w:instrText>guidelines</w:instrText>
            </w:r>
            <w:r w:rsidRPr="00097824">
              <w:rPr>
                <w:bCs/>
                <w:i/>
              </w:rPr>
              <w:instrText xml:space="preserve"> </w:instrText>
            </w:r>
            <w:r w:rsidRPr="00097824">
              <w:rPr>
                <w:bCs/>
                <w:i/>
                <w:lang w:val="en-GB"/>
              </w:rPr>
              <w:instrText>in</w:instrText>
            </w:r>
            <w:r w:rsidRPr="00097824">
              <w:rPr>
                <w:bCs/>
                <w:i/>
              </w:rPr>
              <w:instrText xml:space="preserve"> </w:instrText>
            </w:r>
            <w:r w:rsidRPr="00097824">
              <w:rPr>
                <w:bCs/>
                <w:i/>
                <w:lang w:val="en-GB"/>
              </w:rPr>
              <w:instrText>oncology</w:instrText>
            </w:r>
            <w:r w:rsidRPr="00097824">
              <w:rPr>
                <w:bCs/>
                <w:i/>
              </w:rPr>
              <w:instrText>","</w:instrText>
            </w:r>
            <w:r w:rsidRPr="00097824">
              <w:rPr>
                <w:bCs/>
                <w:i/>
                <w:lang w:val="en-GB"/>
              </w:rPr>
              <w:instrText>volume</w:instrText>
            </w:r>
            <w:r w:rsidRPr="00097824">
              <w:rPr>
                <w:bCs/>
                <w:i/>
              </w:rPr>
              <w:instrText>":"4","</w:instrText>
            </w:r>
            <w:r w:rsidRPr="00097824">
              <w:rPr>
                <w:bCs/>
                <w:i/>
                <w:lang w:val="en-GB"/>
              </w:rPr>
              <w:instrText>author</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Benson</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Al</w:instrText>
            </w:r>
            <w:r w:rsidRPr="00097824">
              <w:rPr>
                <w:bCs/>
                <w:i/>
              </w:rPr>
              <w:instrText xml:space="preserve"> </w:instrText>
            </w:r>
            <w:r w:rsidRPr="00097824">
              <w:rPr>
                <w:bCs/>
                <w:i/>
                <w:lang w:val="en-GB"/>
              </w:rPr>
              <w:instrText>B</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Bekaii</w:instrText>
            </w:r>
            <w:r w:rsidRPr="00097824">
              <w:rPr>
                <w:bCs/>
                <w:i/>
              </w:rPr>
              <w:instrText>-</w:instrText>
            </w:r>
            <w:r w:rsidRPr="00097824">
              <w:rPr>
                <w:bCs/>
                <w:i/>
                <w:lang w:val="en-GB"/>
              </w:rPr>
              <w:instrText>Saab</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Tanios</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Ben</w:instrText>
            </w:r>
            <w:r w:rsidRPr="00097824">
              <w:rPr>
                <w:bCs/>
                <w:i/>
              </w:rPr>
              <w:instrText>-</w:instrText>
            </w:r>
            <w:r w:rsidRPr="00097824">
              <w:rPr>
                <w:bCs/>
                <w:i/>
                <w:lang w:val="en-GB"/>
              </w:rPr>
              <w:instrText>Josef</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Edgar</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Blumgart</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Leslie</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Clary</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Bryan</w:instrText>
            </w:r>
            <w:r w:rsidRPr="00097824">
              <w:rPr>
                <w:bCs/>
                <w:i/>
              </w:rPr>
              <w:instrText xml:space="preserve"> </w:instrText>
            </w:r>
            <w:r w:rsidRPr="00097824">
              <w:rPr>
                <w:bCs/>
                <w:i/>
                <w:lang w:val="en-GB"/>
              </w:rPr>
              <w:instrText>M</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Curley</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Steven</w:instrText>
            </w:r>
            <w:r w:rsidRPr="00097824">
              <w:rPr>
                <w:bCs/>
                <w:i/>
              </w:rPr>
              <w:instrText xml:space="preserve"> </w:instrText>
            </w:r>
            <w:r w:rsidRPr="00097824">
              <w:rPr>
                <w:bCs/>
                <w:i/>
                <w:lang w:val="en-GB"/>
              </w:rPr>
              <w:instrText>A</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Davila</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Rene</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Earle</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Craig</w:instrText>
            </w:r>
            <w:r w:rsidRPr="00097824">
              <w:rPr>
                <w:bCs/>
                <w:i/>
              </w:rPr>
              <w:instrText xml:space="preserve"> </w:instrText>
            </w:r>
            <w:r w:rsidRPr="00097824">
              <w:rPr>
                <w:bCs/>
                <w:i/>
                <w:lang w:val="en-GB"/>
              </w:rPr>
              <w:instrText>C</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Ensminger</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William</w:instrText>
            </w:r>
            <w:r w:rsidRPr="00097824">
              <w:rPr>
                <w:bCs/>
                <w:i/>
              </w:rPr>
              <w:instrText xml:space="preserve"> </w:instrText>
            </w:r>
            <w:r w:rsidRPr="00097824">
              <w:rPr>
                <w:bCs/>
                <w:i/>
                <w:lang w:val="en-GB"/>
              </w:rPr>
              <w:instrText>D</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Gibbs</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John</w:instrText>
            </w:r>
            <w:r w:rsidRPr="00097824">
              <w:rPr>
                <w:bCs/>
                <w:i/>
              </w:rPr>
              <w:instrText xml:space="preserve"> </w:instrText>
            </w:r>
            <w:r w:rsidRPr="00097824">
              <w:rPr>
                <w:bCs/>
                <w:i/>
                <w:lang w:val="en-GB"/>
              </w:rPr>
              <w:instrText>F</w:instrText>
            </w:r>
            <w:r w:rsidRPr="00097824">
              <w:rPr>
                <w:bCs/>
                <w:i/>
              </w:rPr>
              <w:instrText>."}],"</w:instrText>
            </w:r>
            <w:r w:rsidRPr="00097824">
              <w:rPr>
                <w:bCs/>
                <w:i/>
                <w:lang w:val="en-GB"/>
              </w:rPr>
              <w:instrText>issued</w:instrText>
            </w:r>
            <w:r w:rsidRPr="00097824">
              <w:rPr>
                <w:bCs/>
                <w:i/>
              </w:rPr>
              <w:instrText>":{"</w:instrText>
            </w:r>
            <w:r w:rsidRPr="00097824">
              <w:rPr>
                <w:bCs/>
                <w:i/>
                <w:lang w:val="en-GB"/>
              </w:rPr>
              <w:instrText>date</w:instrText>
            </w:r>
            <w:r w:rsidRPr="00097824">
              <w:rPr>
                <w:bCs/>
                <w:i/>
              </w:rPr>
              <w:instrText>-</w:instrText>
            </w:r>
            <w:r w:rsidRPr="00097824">
              <w:rPr>
                <w:bCs/>
                <w:i/>
                <w:lang w:val="en-GB"/>
              </w:rPr>
              <w:instrText>parts</w:instrText>
            </w:r>
            <w:r w:rsidRPr="00097824">
              <w:rPr>
                <w:bCs/>
                <w:i/>
              </w:rPr>
              <w:instrText>":[["2006"]]}},"</w:instrText>
            </w:r>
            <w:r w:rsidRPr="00097824">
              <w:rPr>
                <w:bCs/>
                <w:i/>
                <w:lang w:val="en-GB"/>
              </w:rPr>
              <w:instrText>label</w:instrText>
            </w:r>
            <w:r w:rsidRPr="00097824">
              <w:rPr>
                <w:bCs/>
                <w:i/>
              </w:rPr>
              <w:instrText>":"</w:instrText>
            </w:r>
            <w:r w:rsidRPr="00097824">
              <w:rPr>
                <w:bCs/>
                <w:i/>
                <w:lang w:val="en-GB"/>
              </w:rPr>
              <w:instrText>page</w:instrText>
            </w:r>
            <w:r w:rsidRPr="00097824">
              <w:rPr>
                <w:bCs/>
                <w:i/>
              </w:rPr>
              <w:instrText>"},{"</w:instrText>
            </w:r>
            <w:r w:rsidRPr="00097824">
              <w:rPr>
                <w:bCs/>
                <w:i/>
                <w:lang w:val="en-GB"/>
              </w:rPr>
              <w:instrText>id</w:instrText>
            </w:r>
            <w:r w:rsidRPr="00097824">
              <w:rPr>
                <w:bCs/>
                <w:i/>
              </w:rPr>
              <w:instrText>":166676,"</w:instrText>
            </w:r>
            <w:r w:rsidRPr="00097824">
              <w:rPr>
                <w:bCs/>
                <w:i/>
                <w:lang w:val="en-GB"/>
              </w:rPr>
              <w:instrText>uris</w:instrText>
            </w:r>
            <w:r w:rsidRPr="00097824">
              <w:rPr>
                <w:bCs/>
                <w:i/>
              </w:rPr>
              <w:instrText>":["</w:instrText>
            </w:r>
            <w:r w:rsidRPr="00097824">
              <w:rPr>
                <w:bCs/>
                <w:i/>
                <w:lang w:val="en-GB"/>
              </w:rPr>
              <w:instrText>http</w:instrText>
            </w:r>
            <w:r w:rsidRPr="00097824">
              <w:rPr>
                <w:bCs/>
                <w:i/>
              </w:rPr>
              <w:instrText>://</w:instrText>
            </w:r>
            <w:r w:rsidRPr="00097824">
              <w:rPr>
                <w:bCs/>
                <w:i/>
                <w:lang w:val="en-GB"/>
              </w:rPr>
              <w:instrText>zotero</w:instrText>
            </w:r>
            <w:r w:rsidRPr="00097824">
              <w:rPr>
                <w:bCs/>
                <w:i/>
              </w:rPr>
              <w:instrText>.</w:instrText>
            </w:r>
            <w:r w:rsidRPr="00097824">
              <w:rPr>
                <w:bCs/>
                <w:i/>
                <w:lang w:val="en-GB"/>
              </w:rPr>
              <w:instrText>org</w:instrText>
            </w:r>
            <w:r w:rsidRPr="00097824">
              <w:rPr>
                <w:bCs/>
                <w:i/>
              </w:rPr>
              <w:instrText>/</w:instrText>
            </w:r>
            <w:r w:rsidRPr="00097824">
              <w:rPr>
                <w:bCs/>
                <w:i/>
                <w:lang w:val="en-GB"/>
              </w:rPr>
              <w:instrText>groups</w:instrText>
            </w:r>
            <w:r w:rsidRPr="00097824">
              <w:rPr>
                <w:bCs/>
                <w:i/>
              </w:rPr>
              <w:instrText>/4764298/</w:instrText>
            </w:r>
            <w:r w:rsidRPr="00097824">
              <w:rPr>
                <w:bCs/>
                <w:i/>
                <w:lang w:val="en-GB"/>
              </w:rPr>
              <w:instrText>items</w:instrText>
            </w:r>
            <w:r w:rsidRPr="00097824">
              <w:rPr>
                <w:bCs/>
                <w:i/>
              </w:rPr>
              <w:instrText>/</w:instrText>
            </w:r>
            <w:r w:rsidRPr="00097824">
              <w:rPr>
                <w:bCs/>
                <w:i/>
                <w:lang w:val="en-GB"/>
              </w:rPr>
              <w:instrText>HLCDHDCZ</w:instrText>
            </w:r>
            <w:r w:rsidRPr="00097824">
              <w:rPr>
                <w:bCs/>
                <w:i/>
              </w:rPr>
              <w:instrText>"],"</w:instrText>
            </w:r>
            <w:r w:rsidRPr="00097824">
              <w:rPr>
                <w:bCs/>
                <w:i/>
                <w:lang w:val="en-GB"/>
              </w:rPr>
              <w:instrText>itemData</w:instrText>
            </w:r>
            <w:r w:rsidRPr="00097824">
              <w:rPr>
                <w:bCs/>
                <w:i/>
              </w:rPr>
              <w:instrText>":{"</w:instrText>
            </w:r>
            <w:r w:rsidRPr="00097824">
              <w:rPr>
                <w:bCs/>
                <w:i/>
                <w:lang w:val="en-GB"/>
              </w:rPr>
              <w:instrText>id</w:instrText>
            </w:r>
            <w:r w:rsidRPr="00097824">
              <w:rPr>
                <w:bCs/>
                <w:i/>
              </w:rPr>
              <w:instrText>":166676,"</w:instrText>
            </w:r>
            <w:r w:rsidRPr="00097824">
              <w:rPr>
                <w:bCs/>
                <w:i/>
                <w:lang w:val="en-GB"/>
              </w:rPr>
              <w:instrText>type</w:instrText>
            </w:r>
            <w:r w:rsidRPr="00097824">
              <w:rPr>
                <w:bCs/>
                <w:i/>
              </w:rPr>
              <w:instrText>":"</w:instrText>
            </w:r>
            <w:r w:rsidRPr="00097824">
              <w:rPr>
                <w:bCs/>
                <w:i/>
                <w:lang w:val="en-GB"/>
              </w:rPr>
              <w:instrText>article</w:instrText>
            </w:r>
            <w:r w:rsidRPr="00097824">
              <w:rPr>
                <w:bCs/>
                <w:i/>
              </w:rPr>
              <w:instrText>-</w:instrText>
            </w:r>
            <w:r w:rsidRPr="00097824">
              <w:rPr>
                <w:bCs/>
                <w:i/>
                <w:lang w:val="en-GB"/>
              </w:rPr>
              <w:instrText>journal</w:instrText>
            </w:r>
            <w:r w:rsidRPr="00097824">
              <w:rPr>
                <w:bCs/>
                <w:i/>
              </w:rPr>
              <w:instrText>","</w:instrText>
            </w:r>
            <w:r w:rsidRPr="00097824">
              <w:rPr>
                <w:bCs/>
                <w:i/>
                <w:lang w:val="en-GB"/>
              </w:rPr>
              <w:instrText>container</w:instrText>
            </w:r>
            <w:r w:rsidRPr="00097824">
              <w:rPr>
                <w:bCs/>
                <w:i/>
              </w:rPr>
              <w:instrText>-</w:instrText>
            </w:r>
            <w:r w:rsidRPr="00097824">
              <w:rPr>
                <w:bCs/>
                <w:i/>
                <w:lang w:val="en-GB"/>
              </w:rPr>
              <w:instrText>title</w:instrText>
            </w:r>
            <w:r w:rsidRPr="00097824">
              <w:rPr>
                <w:bCs/>
                <w:i/>
              </w:rPr>
              <w:instrText>":"</w:instrText>
            </w:r>
            <w:r w:rsidRPr="00097824">
              <w:rPr>
                <w:bCs/>
                <w:i/>
                <w:lang w:val="en-GB"/>
              </w:rPr>
              <w:instrText>Annals</w:instrText>
            </w:r>
            <w:r w:rsidRPr="00097824">
              <w:rPr>
                <w:bCs/>
                <w:i/>
              </w:rPr>
              <w:instrText xml:space="preserve"> </w:instrText>
            </w:r>
            <w:r w:rsidRPr="00097824">
              <w:rPr>
                <w:bCs/>
                <w:i/>
                <w:lang w:val="en-GB"/>
              </w:rPr>
              <w:instrText>of</w:instrText>
            </w:r>
            <w:r w:rsidRPr="00097824">
              <w:rPr>
                <w:bCs/>
                <w:i/>
              </w:rPr>
              <w:instrText xml:space="preserve"> </w:instrText>
            </w:r>
            <w:r w:rsidRPr="00097824">
              <w:rPr>
                <w:bCs/>
                <w:i/>
                <w:lang w:val="en-GB"/>
              </w:rPr>
              <w:instrText>Oncology</w:instrText>
            </w:r>
            <w:r w:rsidRPr="00097824">
              <w:rPr>
                <w:bCs/>
                <w:i/>
              </w:rPr>
              <w:instrText>","</w:instrText>
            </w:r>
            <w:r w:rsidRPr="00097824">
              <w:rPr>
                <w:bCs/>
                <w:i/>
                <w:lang w:val="en-GB"/>
              </w:rPr>
              <w:instrText>note</w:instrText>
            </w:r>
            <w:r w:rsidRPr="00097824">
              <w:rPr>
                <w:bCs/>
                <w:i/>
              </w:rPr>
              <w:instrText>":"</w:instrText>
            </w:r>
            <w:r w:rsidRPr="00097824">
              <w:rPr>
                <w:bCs/>
                <w:i/>
                <w:lang w:val="en-GB"/>
              </w:rPr>
              <w:instrText>publisher</w:instrText>
            </w:r>
            <w:r w:rsidRPr="00097824">
              <w:rPr>
                <w:bCs/>
                <w:i/>
              </w:rPr>
              <w:instrText xml:space="preserve">: </w:instrText>
            </w:r>
            <w:r w:rsidRPr="00097824">
              <w:rPr>
                <w:bCs/>
                <w:i/>
                <w:lang w:val="en-GB"/>
              </w:rPr>
              <w:instrText>Elsevier</w:instrText>
            </w:r>
            <w:r w:rsidRPr="00097824">
              <w:rPr>
                <w:bCs/>
                <w:i/>
              </w:rPr>
              <w:instrText>","</w:instrText>
            </w:r>
            <w:r w:rsidRPr="00097824">
              <w:rPr>
                <w:bCs/>
                <w:i/>
                <w:lang w:val="en-GB"/>
              </w:rPr>
              <w:instrText>page</w:instrText>
            </w:r>
            <w:r w:rsidRPr="00097824">
              <w:rPr>
                <w:bCs/>
                <w:i/>
              </w:rPr>
              <w:instrText>":"</w:instrText>
            </w:r>
            <w:r w:rsidRPr="00097824">
              <w:rPr>
                <w:bCs/>
                <w:i/>
                <w:lang w:val="en-GB"/>
              </w:rPr>
              <w:instrText>v</w:instrText>
            </w:r>
            <w:r w:rsidRPr="00097824">
              <w:rPr>
                <w:bCs/>
                <w:i/>
              </w:rPr>
              <w:instrText>28–</w:instrText>
            </w:r>
            <w:r w:rsidRPr="00097824">
              <w:rPr>
                <w:bCs/>
                <w:i/>
                <w:lang w:val="en-GB"/>
              </w:rPr>
              <w:instrText>v</w:instrText>
            </w:r>
            <w:r w:rsidRPr="00097824">
              <w:rPr>
                <w:bCs/>
                <w:i/>
              </w:rPr>
              <w:instrText>37","</w:instrText>
            </w:r>
            <w:r w:rsidRPr="00097824">
              <w:rPr>
                <w:bCs/>
                <w:i/>
                <w:lang w:val="en-GB"/>
              </w:rPr>
              <w:instrText>source</w:instrText>
            </w:r>
            <w:r w:rsidRPr="00097824">
              <w:rPr>
                <w:bCs/>
                <w:i/>
              </w:rPr>
              <w:instrText>":"</w:instrText>
            </w:r>
            <w:r w:rsidRPr="00097824">
              <w:rPr>
                <w:bCs/>
                <w:i/>
                <w:lang w:val="en-GB"/>
              </w:rPr>
              <w:instrText>Google</w:instrText>
            </w:r>
            <w:r w:rsidRPr="00097824">
              <w:rPr>
                <w:bCs/>
                <w:i/>
              </w:rPr>
              <w:instrText xml:space="preserve"> </w:instrText>
            </w:r>
            <w:r w:rsidRPr="00097824">
              <w:rPr>
                <w:bCs/>
                <w:i/>
                <w:lang w:val="en-GB"/>
              </w:rPr>
              <w:instrText>Scholar</w:instrText>
            </w:r>
            <w:r w:rsidRPr="00097824">
              <w:rPr>
                <w:bCs/>
                <w:i/>
              </w:rPr>
              <w:instrText>","</w:instrText>
            </w:r>
            <w:r w:rsidRPr="00097824">
              <w:rPr>
                <w:bCs/>
                <w:i/>
                <w:lang w:val="en-GB"/>
              </w:rPr>
              <w:instrText>title</w:instrText>
            </w:r>
            <w:r w:rsidRPr="00097824">
              <w:rPr>
                <w:bCs/>
                <w:i/>
              </w:rPr>
              <w:instrText>":"</w:instrText>
            </w:r>
            <w:r w:rsidRPr="00097824">
              <w:rPr>
                <w:bCs/>
                <w:i/>
                <w:lang w:val="en-GB"/>
              </w:rPr>
              <w:instrText>Biliary</w:instrText>
            </w:r>
            <w:r w:rsidRPr="00097824">
              <w:rPr>
                <w:bCs/>
                <w:i/>
              </w:rPr>
              <w:instrText xml:space="preserve"> </w:instrText>
            </w:r>
            <w:r w:rsidRPr="00097824">
              <w:rPr>
                <w:bCs/>
                <w:i/>
                <w:lang w:val="en-GB"/>
              </w:rPr>
              <w:instrText>cancer</w:instrText>
            </w:r>
            <w:r w:rsidRPr="00097824">
              <w:rPr>
                <w:bCs/>
                <w:i/>
              </w:rPr>
              <w:instrText xml:space="preserve">: </w:instrText>
            </w:r>
            <w:r w:rsidRPr="00097824">
              <w:rPr>
                <w:bCs/>
                <w:i/>
                <w:lang w:val="en-GB"/>
              </w:rPr>
              <w:instrText>ESMO</w:instrText>
            </w:r>
            <w:r w:rsidRPr="00097824">
              <w:rPr>
                <w:bCs/>
                <w:i/>
              </w:rPr>
              <w:instrText xml:space="preserve"> </w:instrText>
            </w:r>
            <w:r w:rsidRPr="00097824">
              <w:rPr>
                <w:bCs/>
                <w:i/>
                <w:lang w:val="en-GB"/>
              </w:rPr>
              <w:instrText>Clinical</w:instrText>
            </w:r>
            <w:r w:rsidRPr="00097824">
              <w:rPr>
                <w:bCs/>
                <w:i/>
              </w:rPr>
              <w:instrText xml:space="preserve"> </w:instrText>
            </w:r>
            <w:r w:rsidRPr="00097824">
              <w:rPr>
                <w:bCs/>
                <w:i/>
                <w:lang w:val="en-GB"/>
              </w:rPr>
              <w:instrText>Practice</w:instrText>
            </w:r>
            <w:r w:rsidRPr="00097824">
              <w:rPr>
                <w:bCs/>
                <w:i/>
              </w:rPr>
              <w:instrText xml:space="preserve"> </w:instrText>
            </w:r>
            <w:r w:rsidRPr="00097824">
              <w:rPr>
                <w:bCs/>
                <w:i/>
                <w:lang w:val="en-GB"/>
              </w:rPr>
              <w:instrText>Guidelines</w:instrText>
            </w:r>
            <w:r w:rsidRPr="00097824">
              <w:rPr>
                <w:bCs/>
                <w:i/>
              </w:rPr>
              <w:instrText xml:space="preserve"> </w:instrText>
            </w:r>
            <w:r w:rsidRPr="00097824">
              <w:rPr>
                <w:bCs/>
                <w:i/>
                <w:lang w:val="en-GB"/>
              </w:rPr>
              <w:instrText>for</w:instrText>
            </w:r>
            <w:r w:rsidRPr="00097824">
              <w:rPr>
                <w:bCs/>
                <w:i/>
              </w:rPr>
              <w:instrText xml:space="preserve"> </w:instrText>
            </w:r>
            <w:r w:rsidRPr="00097824">
              <w:rPr>
                <w:bCs/>
                <w:i/>
                <w:lang w:val="en-GB"/>
              </w:rPr>
              <w:instrText>diagnosis</w:instrText>
            </w:r>
            <w:r w:rsidRPr="00097824">
              <w:rPr>
                <w:bCs/>
                <w:i/>
              </w:rPr>
              <w:instrText xml:space="preserve">, </w:instrText>
            </w:r>
            <w:r w:rsidRPr="00097824">
              <w:rPr>
                <w:bCs/>
                <w:i/>
                <w:lang w:val="en-GB"/>
              </w:rPr>
              <w:instrText>treatment</w:instrText>
            </w:r>
            <w:r w:rsidRPr="00097824">
              <w:rPr>
                <w:bCs/>
                <w:i/>
              </w:rPr>
              <w:instrText xml:space="preserve"> </w:instrText>
            </w:r>
            <w:r w:rsidRPr="00097824">
              <w:rPr>
                <w:bCs/>
                <w:i/>
                <w:lang w:val="en-GB"/>
              </w:rPr>
              <w:instrText>and</w:instrText>
            </w:r>
            <w:r w:rsidRPr="00097824">
              <w:rPr>
                <w:bCs/>
                <w:i/>
              </w:rPr>
              <w:instrText xml:space="preserve"> </w:instrText>
            </w:r>
            <w:r w:rsidRPr="00097824">
              <w:rPr>
                <w:bCs/>
                <w:i/>
                <w:lang w:val="en-GB"/>
              </w:rPr>
              <w:instrText>follow</w:instrText>
            </w:r>
            <w:r w:rsidRPr="00097824">
              <w:rPr>
                <w:bCs/>
                <w:i/>
              </w:rPr>
              <w:instrText>-</w:instrText>
            </w:r>
            <w:r w:rsidRPr="00097824">
              <w:rPr>
                <w:bCs/>
                <w:i/>
                <w:lang w:val="en-GB"/>
              </w:rPr>
              <w:instrText>up</w:instrText>
            </w:r>
            <w:r w:rsidRPr="00097824">
              <w:rPr>
                <w:bCs/>
                <w:i/>
              </w:rPr>
              <w:instrText>","</w:instrText>
            </w:r>
            <w:r w:rsidRPr="00097824">
              <w:rPr>
                <w:bCs/>
                <w:i/>
                <w:lang w:val="en-GB"/>
              </w:rPr>
              <w:instrText>title</w:instrText>
            </w:r>
            <w:r w:rsidRPr="00097824">
              <w:rPr>
                <w:bCs/>
                <w:i/>
              </w:rPr>
              <w:instrText>-</w:instrText>
            </w:r>
            <w:r w:rsidRPr="00097824">
              <w:rPr>
                <w:bCs/>
                <w:i/>
                <w:lang w:val="en-GB"/>
              </w:rPr>
              <w:instrText>short</w:instrText>
            </w:r>
            <w:r w:rsidRPr="00097824">
              <w:rPr>
                <w:bCs/>
                <w:i/>
              </w:rPr>
              <w:instrText>":"</w:instrText>
            </w:r>
            <w:r w:rsidRPr="00097824">
              <w:rPr>
                <w:bCs/>
                <w:i/>
                <w:lang w:val="en-GB"/>
              </w:rPr>
              <w:instrText>Biliary</w:instrText>
            </w:r>
            <w:r w:rsidRPr="00097824">
              <w:rPr>
                <w:bCs/>
                <w:i/>
              </w:rPr>
              <w:instrText xml:space="preserve"> </w:instrText>
            </w:r>
            <w:r w:rsidRPr="00097824">
              <w:rPr>
                <w:bCs/>
                <w:i/>
                <w:lang w:val="en-GB"/>
              </w:rPr>
              <w:instrText>cancer</w:instrText>
            </w:r>
            <w:r w:rsidRPr="00097824">
              <w:rPr>
                <w:bCs/>
                <w:i/>
              </w:rPr>
              <w:instrText>","</w:instrText>
            </w:r>
            <w:r w:rsidRPr="00097824">
              <w:rPr>
                <w:bCs/>
                <w:i/>
                <w:lang w:val="en-GB"/>
              </w:rPr>
              <w:instrText>volume</w:instrText>
            </w:r>
            <w:r w:rsidRPr="00097824">
              <w:rPr>
                <w:bCs/>
                <w:i/>
              </w:rPr>
              <w:instrText>":"27","</w:instrText>
            </w:r>
            <w:r w:rsidRPr="00097824">
              <w:rPr>
                <w:bCs/>
                <w:i/>
                <w:lang w:val="en-GB"/>
              </w:rPr>
              <w:instrText>author</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Valle</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Juan</w:instrText>
            </w:r>
            <w:r w:rsidRPr="00097824">
              <w:rPr>
                <w:bCs/>
                <w:i/>
              </w:rPr>
              <w:instrText xml:space="preserve"> </w:instrText>
            </w:r>
            <w:r w:rsidRPr="00097824">
              <w:rPr>
                <w:bCs/>
                <w:i/>
                <w:lang w:val="en-GB"/>
              </w:rPr>
              <w:instrText>W</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Borbath</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Ivan</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Khan</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Shahid</w:instrText>
            </w:r>
            <w:r w:rsidRPr="00097824">
              <w:rPr>
                <w:bCs/>
                <w:i/>
              </w:rPr>
              <w:instrText xml:space="preserve"> </w:instrText>
            </w:r>
            <w:r w:rsidRPr="00097824">
              <w:rPr>
                <w:bCs/>
                <w:i/>
                <w:lang w:val="en-GB"/>
              </w:rPr>
              <w:instrText>A</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Huguet</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Florence</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Gruenberger</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Thomas</w:instrText>
            </w:r>
            <w:r w:rsidRPr="00097824">
              <w:rPr>
                <w:bCs/>
                <w:i/>
              </w:rPr>
              <w:instrText>"},{"</w:instrText>
            </w:r>
            <w:r w:rsidRPr="00097824">
              <w:rPr>
                <w:bCs/>
                <w:i/>
                <w:lang w:val="en-GB"/>
              </w:rPr>
              <w:instrText>family</w:instrText>
            </w:r>
            <w:r w:rsidRPr="00097824">
              <w:rPr>
                <w:bCs/>
                <w:i/>
              </w:rPr>
              <w:instrText>":"</w:instrText>
            </w:r>
            <w:r w:rsidRPr="00097824">
              <w:rPr>
                <w:bCs/>
                <w:i/>
                <w:lang w:val="en-GB"/>
              </w:rPr>
              <w:instrText>Arnold</w:instrText>
            </w:r>
            <w:r w:rsidRPr="00097824">
              <w:rPr>
                <w:bCs/>
                <w:i/>
              </w:rPr>
              <w:instrText>","</w:instrText>
            </w:r>
            <w:r w:rsidRPr="00097824">
              <w:rPr>
                <w:bCs/>
                <w:i/>
                <w:lang w:val="en-GB"/>
              </w:rPr>
              <w:instrText>given</w:instrText>
            </w:r>
            <w:r w:rsidRPr="00097824">
              <w:rPr>
                <w:bCs/>
                <w:i/>
              </w:rPr>
              <w:instrText>":"</w:instrText>
            </w:r>
            <w:r w:rsidRPr="00097824">
              <w:rPr>
                <w:bCs/>
                <w:i/>
                <w:lang w:val="en-GB"/>
              </w:rPr>
              <w:instrText>Dirk</w:instrText>
            </w:r>
            <w:r w:rsidRPr="00097824">
              <w:rPr>
                <w:bCs/>
                <w:i/>
              </w:rPr>
              <w:instrText>"}],"</w:instrText>
            </w:r>
            <w:r w:rsidRPr="00097824">
              <w:rPr>
                <w:bCs/>
                <w:i/>
                <w:lang w:val="en-GB"/>
              </w:rPr>
              <w:instrText>issued</w:instrText>
            </w:r>
            <w:r w:rsidRPr="00097824">
              <w:rPr>
                <w:bCs/>
                <w:i/>
              </w:rPr>
              <w:instrText>":{"</w:instrText>
            </w:r>
            <w:r w:rsidRPr="00097824">
              <w:rPr>
                <w:bCs/>
                <w:i/>
                <w:lang w:val="en-GB"/>
              </w:rPr>
              <w:instrText>date</w:instrText>
            </w:r>
            <w:r w:rsidRPr="00097824">
              <w:rPr>
                <w:bCs/>
                <w:i/>
              </w:rPr>
              <w:instrText>-</w:instrText>
            </w:r>
            <w:r w:rsidRPr="00097824">
              <w:rPr>
                <w:bCs/>
                <w:i/>
                <w:lang w:val="en-GB"/>
              </w:rPr>
              <w:instrText>parts</w:instrText>
            </w:r>
            <w:r w:rsidRPr="00097824">
              <w:rPr>
                <w:bCs/>
                <w:i/>
              </w:rPr>
              <w:instrText>":[["2016"]]}},"</w:instrText>
            </w:r>
            <w:r w:rsidRPr="00097824">
              <w:rPr>
                <w:bCs/>
                <w:i/>
                <w:lang w:val="en-GB"/>
              </w:rPr>
              <w:instrText>label</w:instrText>
            </w:r>
            <w:r w:rsidRPr="00097824">
              <w:rPr>
                <w:bCs/>
                <w:i/>
              </w:rPr>
              <w:instrText>":"</w:instrText>
            </w:r>
            <w:r w:rsidRPr="00097824">
              <w:rPr>
                <w:bCs/>
                <w:i/>
                <w:lang w:val="en-GB"/>
              </w:rPr>
              <w:instrText>page</w:instrText>
            </w:r>
            <w:r w:rsidRPr="00097824">
              <w:rPr>
                <w:bCs/>
                <w:i/>
              </w:rPr>
              <w:instrText>"}],"</w:instrText>
            </w:r>
            <w:r w:rsidRPr="00097824">
              <w:rPr>
                <w:bCs/>
                <w:i/>
                <w:lang w:val="en-GB"/>
              </w:rPr>
              <w:instrText>schema</w:instrText>
            </w:r>
            <w:r w:rsidRPr="00097824">
              <w:rPr>
                <w:bCs/>
                <w:i/>
              </w:rPr>
              <w:instrText>":"</w:instrText>
            </w:r>
            <w:r w:rsidRPr="00097824">
              <w:rPr>
                <w:bCs/>
                <w:i/>
                <w:lang w:val="en-GB"/>
              </w:rPr>
              <w:instrText>https</w:instrText>
            </w:r>
            <w:r w:rsidRPr="00097824">
              <w:rPr>
                <w:bCs/>
                <w:i/>
              </w:rPr>
              <w:instrText>://</w:instrText>
            </w:r>
            <w:r w:rsidRPr="00097824">
              <w:rPr>
                <w:bCs/>
                <w:i/>
                <w:lang w:val="en-GB"/>
              </w:rPr>
              <w:instrText>github</w:instrText>
            </w:r>
            <w:r w:rsidRPr="00097824">
              <w:rPr>
                <w:bCs/>
                <w:i/>
              </w:rPr>
              <w:instrText>.</w:instrText>
            </w:r>
            <w:r w:rsidRPr="00097824">
              <w:rPr>
                <w:bCs/>
                <w:i/>
                <w:lang w:val="en-GB"/>
              </w:rPr>
              <w:instrText>com</w:instrText>
            </w:r>
            <w:r w:rsidRPr="00097824">
              <w:rPr>
                <w:bCs/>
                <w:i/>
              </w:rPr>
              <w:instrText>/</w:instrText>
            </w:r>
            <w:r w:rsidRPr="00097824">
              <w:rPr>
                <w:bCs/>
                <w:i/>
                <w:lang w:val="en-GB"/>
              </w:rPr>
              <w:instrText>citation</w:instrText>
            </w:r>
            <w:r w:rsidRPr="00097824">
              <w:rPr>
                <w:bCs/>
                <w:i/>
              </w:rPr>
              <w:instrText>-</w:instrText>
            </w:r>
            <w:r w:rsidRPr="00097824">
              <w:rPr>
                <w:bCs/>
                <w:i/>
                <w:lang w:val="en-GB"/>
              </w:rPr>
              <w:instrText>style</w:instrText>
            </w:r>
            <w:r w:rsidRPr="00097824">
              <w:rPr>
                <w:bCs/>
                <w:i/>
              </w:rPr>
              <w:instrText>-</w:instrText>
            </w:r>
            <w:r w:rsidRPr="00097824">
              <w:rPr>
                <w:bCs/>
                <w:i/>
                <w:lang w:val="en-GB"/>
              </w:rPr>
              <w:instrText>language</w:instrText>
            </w:r>
            <w:r w:rsidRPr="00097824">
              <w:rPr>
                <w:bCs/>
                <w:i/>
              </w:rPr>
              <w:instrText>/</w:instrText>
            </w:r>
            <w:r w:rsidRPr="00097824">
              <w:rPr>
                <w:bCs/>
                <w:i/>
                <w:lang w:val="en-GB"/>
              </w:rPr>
              <w:instrText>schema</w:instrText>
            </w:r>
            <w:r w:rsidRPr="00097824">
              <w:rPr>
                <w:bCs/>
                <w:i/>
              </w:rPr>
              <w:instrText>/</w:instrText>
            </w:r>
            <w:r w:rsidRPr="00097824">
              <w:rPr>
                <w:bCs/>
                <w:i/>
                <w:lang w:val="en-GB"/>
              </w:rPr>
              <w:instrText>raw</w:instrText>
            </w:r>
            <w:r w:rsidRPr="00097824">
              <w:rPr>
                <w:bCs/>
                <w:i/>
              </w:rPr>
              <w:instrText>/</w:instrText>
            </w:r>
            <w:r w:rsidRPr="00097824">
              <w:rPr>
                <w:bCs/>
                <w:i/>
                <w:lang w:val="en-GB"/>
              </w:rPr>
              <w:instrText>master</w:instrText>
            </w:r>
            <w:r w:rsidRPr="00097824">
              <w:rPr>
                <w:bCs/>
                <w:i/>
              </w:rPr>
              <w:instrText>/</w:instrText>
            </w:r>
            <w:r w:rsidRPr="00097824">
              <w:rPr>
                <w:bCs/>
                <w:i/>
                <w:lang w:val="en-GB"/>
              </w:rPr>
              <w:instrText>csl</w:instrText>
            </w:r>
            <w:r w:rsidRPr="00097824">
              <w:rPr>
                <w:bCs/>
                <w:i/>
              </w:rPr>
              <w:instrText>-</w:instrText>
            </w:r>
            <w:r w:rsidRPr="00097824">
              <w:rPr>
                <w:bCs/>
                <w:i/>
                <w:lang w:val="en-GB"/>
              </w:rPr>
              <w:instrText>citation</w:instrText>
            </w:r>
            <w:r w:rsidRPr="00097824">
              <w:rPr>
                <w:bCs/>
                <w:i/>
              </w:rPr>
              <w:instrText>.</w:instrText>
            </w:r>
            <w:r w:rsidRPr="00097824">
              <w:rPr>
                <w:bCs/>
                <w:i/>
                <w:lang w:val="en-GB"/>
              </w:rPr>
              <w:instrText>json</w:instrText>
            </w:r>
            <w:r w:rsidRPr="00097824">
              <w:rPr>
                <w:bCs/>
                <w:i/>
              </w:rPr>
              <w:instrText xml:space="preserve">"} </w:instrText>
            </w:r>
            <w:r w:rsidRPr="00097824">
              <w:rPr>
                <w:bCs/>
                <w:i/>
                <w:lang w:val="en-GB"/>
              </w:rPr>
              <w:fldChar w:fldCharType="separate"/>
            </w:r>
            <w:r w:rsidRPr="00097824">
              <w:t>[182]</w:t>
            </w:r>
            <w:r w:rsidRPr="00097824">
              <w:rPr>
                <w:bCs/>
                <w:i/>
                <w:lang w:val="en-GB"/>
              </w:rPr>
              <w:fldChar w:fldCharType="end"/>
            </w:r>
            <w:r w:rsidRPr="00097824">
              <w:rPr>
                <w:bCs/>
                <w:i/>
              </w:rPr>
              <w:t>.</w:t>
            </w:r>
          </w:p>
          <w:p w14:paraId="6D36DCB4" w14:textId="77777777" w:rsidR="00317315" w:rsidRPr="00097824" w:rsidRDefault="00317315" w:rsidP="00317315">
            <w:pPr>
              <w:keepNext/>
              <w:numPr>
                <w:ilvl w:val="0"/>
                <w:numId w:val="5"/>
              </w:numPr>
              <w:autoSpaceDE w:val="0"/>
              <w:autoSpaceDN w:val="0"/>
              <w:adjustRightInd w:val="0"/>
              <w:ind w:left="0" w:firstLine="0"/>
              <w:contextualSpacing/>
              <w:rPr>
                <w:i/>
              </w:rPr>
            </w:pPr>
            <w:r w:rsidRPr="00097824">
              <w:rPr>
                <w:bCs/>
                <w:i/>
                <w:szCs w:val="22"/>
              </w:rPr>
              <w:t>GEMCAP (</w:t>
            </w:r>
            <w:r w:rsidRPr="00097824">
              <w:t>#</w:t>
            </w:r>
            <w:r w:rsidRPr="00097824">
              <w:rPr>
                <w:bCs/>
                <w:i/>
                <w:szCs w:val="22"/>
              </w:rPr>
              <w:t>Гемцитабин** 1000 мг/м</w:t>
            </w:r>
            <w:r w:rsidRPr="00097824">
              <w:rPr>
                <w:bCs/>
                <w:i/>
                <w:szCs w:val="22"/>
                <w:vertAlign w:val="superscript"/>
              </w:rPr>
              <w:t>2</w:t>
            </w:r>
            <w:r w:rsidRPr="00097824">
              <w:rPr>
                <w:bCs/>
                <w:i/>
                <w:szCs w:val="22"/>
              </w:rPr>
              <w:t xml:space="preserve"> в 1-й,8-й дни + </w:t>
            </w:r>
            <w:r w:rsidRPr="00097824">
              <w:t>#</w:t>
            </w:r>
            <w:r w:rsidRPr="00097824">
              <w:rPr>
                <w:bCs/>
                <w:i/>
                <w:szCs w:val="22"/>
              </w:rPr>
              <w:t>капецитабин** 1250 мг/м</w:t>
            </w:r>
            <w:r w:rsidRPr="00097824">
              <w:rPr>
                <w:bCs/>
                <w:i/>
                <w:szCs w:val="22"/>
                <w:vertAlign w:val="superscript"/>
              </w:rPr>
              <w:t>2</w:t>
            </w:r>
            <w:r w:rsidRPr="00097824">
              <w:rPr>
                <w:bCs/>
                <w:i/>
                <w:szCs w:val="22"/>
              </w:rPr>
              <w:t xml:space="preserve">/сутки в 2 приема 1-й–14-й дни. Интервал – 3 недели </w:t>
            </w:r>
            <w:r w:rsidRPr="00097824">
              <w:rPr>
                <w:bCs/>
                <w:i/>
              </w:rPr>
              <w:fldChar w:fldCharType="begin"/>
            </w:r>
            <w:r w:rsidRPr="00097824">
              <w:rPr>
                <w:bCs/>
                <w:i/>
              </w:rPr>
              <w:instrText xml:space="preserve"> ADDIN ZOTERO_ITEM CSL_CITATION {"citationID":"6ezsYKu6","properties":{"formattedCitation":"[89,118]","plainCitation":"[89,118]","noteIndex":0},"citationItems":[{"id":166643,"uris":["http://zotero.org/groups/4764298/items/6EC6XVJP"],"itemData":{"id":166643,"type":"article-journal","container-title":"Злокачественные опухоли","issue":"3-S2","page":"352–366","source":"Google Scholar","title":"Практические рекомендации по лекарственному лечению билиарного рака","volume":"7","author":[{"family":"Бредер","given":"В. В."},{"family":"Косырев","given":"В. Ю."},{"family":"Ледин","given":"Е. В."}],"issued":{"date-parts":[["2017"]]}},"label":"page"},{"id":167055,"uris":["http://zotero.org/groups/4764298/items/TTMBEWU2"],"itemData":{"id":167055,"type":"article-journal","abstract":"PURPOSE: Biliary cancer has a poor prognosis, and chemotherapy has had little impact. The objectives of this trial were to determine the response rate, time to disease progression, survival, and safety profile of the combination of gemcitabine and capecitabine (GemCap) in patients with advanced biliary cancer.\nPATIENTS AND METHODS: Eligible patients had pathologically proven, locally advanced or metastatic adenocarcinoma arising from the intra- and extrahepatic bile ducts or gallbladder with no prior chemotherapy. Patients were treated on a 3-week cycle consisting of capecitabine at 650 mg/m(2) orally twice a day for 14 days and gemcitabine at a fixed dose of 1,000 mg/m(2) intravenously over 30 minutes on days 1 and 8.\nRESULTS: Forty-five patients were enrolled between July 2001 and January 2004. Fifty-three percent of patients had cholangiocarcinoma, 47% had gallbladder cancer, and 89% had metastatic disease. The overall objective response rate was 31%, with an additional 42% of patients with stable disease, for a disease control rate of 73%. The median overall survival time was 14 months (95% CI, 7.3 months to not available), and the median progression-free survival time was 7 months (95% CI, 4.6 to 11.8 months). This chemotherapy combination was generally well tolerated. Transient neutropenia, thrombocytopenia, fatigue, and hand-foot syndrome were commonly observed but were easily managed without discontinuing further treatment.\nCONCLUSION: The significant antitumor activity combined with a mild toxicity profile seen in this study argue that GemCap chemotherapy may benefit patients with advanced biliary cancer. This regimen warrants further evaluation in a randomized study with survival and quality of life end points.","container-title":"Journal of Clinical Oncology: Official Journal of the American Society of Clinical Oncology","DOI":"10.1200/JCO.2005.51.008","ISSN":"0732-183X","issue":"10","journalAbbreviation":"J Clin Oncol","language":"eng","note":"PMID: 15800324","page":"2332-2338","source":"PubMed","title":"Combining gemcitabine and capecitabine in patients with advanced biliary cancer: a phase II trial","title-short":"Combining gemcitabine and capecitabine in patients with advanced biliary cancer","volume":"23","author":[{"family":"Knox","given":"Jennifer J."},{"family":"Hedley","given":"David"},{"family":"Oza","given":"Amit"},{"family":"Feld","given":"Ron"},{"family":"Siu","given":"Lillian L."},{"family":"Chen","given":"Eric"},{"family":"Nematollahi","given":"Mahsan"},{"family":"Pond","given":"Gregory R."},{"family":"Zhang","given":"Jessica"},{"family":"Moore","given":"Malcolm J."}],"issued":{"date-parts":[["2005",4,1]]}},"label":"page"}],"schema":"https://github.com/citation-style-language/schema/raw/master/csl-citation.json"} </w:instrText>
            </w:r>
            <w:r w:rsidRPr="00097824">
              <w:rPr>
                <w:bCs/>
                <w:i/>
              </w:rPr>
              <w:fldChar w:fldCharType="separate"/>
            </w:r>
            <w:r w:rsidRPr="00097824">
              <w:t>[89,118]</w:t>
            </w:r>
            <w:r w:rsidRPr="00097824">
              <w:rPr>
                <w:bCs/>
                <w:i/>
              </w:rPr>
              <w:fldChar w:fldCharType="end"/>
            </w:r>
            <w:r w:rsidRPr="00097824">
              <w:rPr>
                <w:bCs/>
                <w:i/>
                <w:szCs w:val="22"/>
              </w:rPr>
              <w:t xml:space="preserve">. </w:t>
            </w:r>
          </w:p>
        </w:tc>
      </w:tr>
      <w:tr w:rsidR="00317315" w:rsidRPr="00097824" w14:paraId="40CC8AC3" w14:textId="77777777" w:rsidTr="00317315">
        <w:tc>
          <w:tcPr>
            <w:tcW w:w="1986" w:type="dxa"/>
          </w:tcPr>
          <w:p w14:paraId="4CAAA38E" w14:textId="77777777" w:rsidR="00317315" w:rsidRPr="00097824" w:rsidRDefault="00317315" w:rsidP="00317315">
            <w:pPr>
              <w:keepNext/>
              <w:autoSpaceDE w:val="0"/>
              <w:autoSpaceDN w:val="0"/>
              <w:adjustRightInd w:val="0"/>
              <w:ind w:firstLine="0"/>
              <w:contextualSpacing/>
              <w:jc w:val="center"/>
              <w:rPr>
                <w:i/>
              </w:rPr>
            </w:pPr>
            <w:proofErr w:type="spellStart"/>
            <w:r w:rsidRPr="00097824">
              <w:rPr>
                <w:i/>
              </w:rPr>
              <w:t>Иммуно</w:t>
            </w:r>
            <w:proofErr w:type="spellEnd"/>
            <w:r w:rsidRPr="00097824">
              <w:rPr>
                <w:i/>
              </w:rPr>
              <w:t>-химиотерапия</w:t>
            </w:r>
          </w:p>
        </w:tc>
        <w:tc>
          <w:tcPr>
            <w:tcW w:w="8221" w:type="dxa"/>
          </w:tcPr>
          <w:p w14:paraId="49514DEF" w14:textId="77777777" w:rsidR="00317315" w:rsidRPr="00097824" w:rsidRDefault="00317315" w:rsidP="00317315">
            <w:pPr>
              <w:keepNext/>
              <w:numPr>
                <w:ilvl w:val="0"/>
                <w:numId w:val="6"/>
              </w:numPr>
              <w:tabs>
                <w:tab w:val="left" w:pos="-108"/>
              </w:tabs>
              <w:autoSpaceDE w:val="0"/>
              <w:autoSpaceDN w:val="0"/>
              <w:adjustRightInd w:val="0"/>
              <w:ind w:left="0" w:firstLine="0"/>
              <w:contextualSpacing/>
              <w:rPr>
                <w:i/>
                <w:szCs w:val="22"/>
              </w:rPr>
            </w:pPr>
            <w:proofErr w:type="spellStart"/>
            <w:r w:rsidRPr="00097824">
              <w:rPr>
                <w:i/>
              </w:rPr>
              <w:t>Гемцитабин</w:t>
            </w:r>
            <w:proofErr w:type="spellEnd"/>
            <w:r w:rsidRPr="00097824">
              <w:rPr>
                <w:i/>
              </w:rPr>
              <w:t>** 1000 мг/м</w:t>
            </w:r>
            <w:r w:rsidRPr="00097824">
              <w:rPr>
                <w:i/>
                <w:vertAlign w:val="superscript"/>
              </w:rPr>
              <w:t>2</w:t>
            </w:r>
            <w:r w:rsidRPr="00097824">
              <w:rPr>
                <w:i/>
              </w:rPr>
              <w:t xml:space="preserve"> в/в в 1 и 8 дни + </w:t>
            </w:r>
            <w:r w:rsidRPr="00097824">
              <w:t>#</w:t>
            </w:r>
            <w:r w:rsidRPr="00097824">
              <w:rPr>
                <w:i/>
              </w:rPr>
              <w:t>цисплатин** 25 мг/м</w:t>
            </w:r>
            <w:r w:rsidRPr="00097824">
              <w:rPr>
                <w:i/>
                <w:vertAlign w:val="superscript"/>
              </w:rPr>
              <w:t>2</w:t>
            </w:r>
            <w:r w:rsidRPr="00097824">
              <w:rPr>
                <w:i/>
              </w:rPr>
              <w:t xml:space="preserve"> в 1 и 8 дни + </w:t>
            </w:r>
            <w:proofErr w:type="spellStart"/>
            <w:r w:rsidRPr="00097824">
              <w:rPr>
                <w:i/>
              </w:rPr>
              <w:t>дурвалумаб</w:t>
            </w:r>
            <w:proofErr w:type="spellEnd"/>
            <w:r w:rsidRPr="00097824">
              <w:rPr>
                <w:i/>
              </w:rPr>
              <w:t xml:space="preserve"> 1500 мг в 1 день каждые 21 день до 8 циклов терапии, далее </w:t>
            </w:r>
            <w:proofErr w:type="spellStart"/>
            <w:r w:rsidRPr="00097824">
              <w:rPr>
                <w:i/>
              </w:rPr>
              <w:t>дурвалумаб</w:t>
            </w:r>
            <w:proofErr w:type="spellEnd"/>
            <w:r w:rsidRPr="00097824">
              <w:rPr>
                <w:i/>
              </w:rPr>
              <w:t xml:space="preserve"> 1500 мг в/в каждые 4 недели до прогрессирования или неприемлемой токсичности </w:t>
            </w:r>
            <w:r w:rsidRPr="00097824">
              <w:rPr>
                <w:bCs/>
              </w:rPr>
              <w:t>[122]</w:t>
            </w:r>
          </w:p>
          <w:p w14:paraId="4F27B160" w14:textId="77777777" w:rsidR="00317315" w:rsidRPr="00097824" w:rsidRDefault="00317315" w:rsidP="00317315">
            <w:pPr>
              <w:keepNext/>
              <w:numPr>
                <w:ilvl w:val="0"/>
                <w:numId w:val="6"/>
              </w:numPr>
              <w:autoSpaceDE w:val="0"/>
              <w:autoSpaceDN w:val="0"/>
              <w:adjustRightInd w:val="0"/>
              <w:ind w:left="0" w:firstLine="0"/>
              <w:contextualSpacing/>
              <w:rPr>
                <w:i/>
              </w:rPr>
            </w:pPr>
            <w:proofErr w:type="spellStart"/>
            <w:r w:rsidRPr="00097824">
              <w:rPr>
                <w:i/>
              </w:rPr>
              <w:t>Гемцитабин</w:t>
            </w:r>
            <w:proofErr w:type="spellEnd"/>
            <w:r w:rsidRPr="00097824">
              <w:rPr>
                <w:i/>
              </w:rPr>
              <w:t>*** 1000 мг/м2 в/в в 1</w:t>
            </w:r>
            <w:r w:rsidRPr="00097824">
              <w:rPr>
                <w:i/>
              </w:rPr>
              <w:noBreakHyphen/>
              <w:t>й и 8</w:t>
            </w:r>
            <w:r w:rsidRPr="00097824">
              <w:rPr>
                <w:i/>
              </w:rPr>
              <w:noBreakHyphen/>
              <w:t xml:space="preserve">й дни без ограничения продолжительности применения + </w:t>
            </w:r>
            <w:r w:rsidRPr="00097824">
              <w:t>#</w:t>
            </w:r>
            <w:r w:rsidRPr="00097824">
              <w:rPr>
                <w:i/>
              </w:rPr>
              <w:t>цисплатин** 25 мг/м2 в/в в 1</w:t>
            </w:r>
            <w:r w:rsidRPr="00097824">
              <w:rPr>
                <w:i/>
              </w:rPr>
              <w:noBreakHyphen/>
              <w:t>й и 8</w:t>
            </w:r>
            <w:r w:rsidRPr="00097824">
              <w:rPr>
                <w:i/>
              </w:rPr>
              <w:noBreakHyphen/>
              <w:t xml:space="preserve">й дни, максимум 8 циклов + </w:t>
            </w:r>
            <w:r w:rsidRPr="00097824">
              <w:t>#</w:t>
            </w:r>
            <w:r w:rsidRPr="00097824">
              <w:rPr>
                <w:i/>
              </w:rPr>
              <w:t>пембролизумаб** 200 мг в/в в 1</w:t>
            </w:r>
            <w:r w:rsidRPr="00097824">
              <w:rPr>
                <w:i/>
              </w:rPr>
              <w:noBreakHyphen/>
              <w:t>й день каждые 3 недели, максимум 35 циклов [173]</w:t>
            </w:r>
          </w:p>
        </w:tc>
      </w:tr>
      <w:tr w:rsidR="00317315" w:rsidRPr="00097824" w14:paraId="69E53C44" w14:textId="77777777" w:rsidTr="00317315">
        <w:tc>
          <w:tcPr>
            <w:tcW w:w="1986" w:type="dxa"/>
          </w:tcPr>
          <w:p w14:paraId="01F44159" w14:textId="77777777" w:rsidR="00317315" w:rsidRPr="00097824" w:rsidRDefault="00317315" w:rsidP="00317315">
            <w:pPr>
              <w:keepNext/>
              <w:autoSpaceDE w:val="0"/>
              <w:autoSpaceDN w:val="0"/>
              <w:adjustRightInd w:val="0"/>
              <w:ind w:firstLine="0"/>
              <w:contextualSpacing/>
              <w:rPr>
                <w:i/>
                <w:iCs/>
              </w:rPr>
            </w:pPr>
            <w:proofErr w:type="spellStart"/>
            <w:proofErr w:type="gramStart"/>
            <w:r w:rsidRPr="00097824">
              <w:rPr>
                <w:i/>
                <w:iCs/>
              </w:rPr>
              <w:t>Иммуно</w:t>
            </w:r>
            <w:proofErr w:type="spellEnd"/>
            <w:r w:rsidRPr="00097824">
              <w:rPr>
                <w:i/>
                <w:iCs/>
              </w:rPr>
              <w:t>-</w:t>
            </w:r>
            <w:r w:rsidRPr="00097824">
              <w:rPr>
                <w:i/>
                <w:iCs/>
              </w:rPr>
              <w:lastRenderedPageBreak/>
              <w:t>терапия</w:t>
            </w:r>
            <w:proofErr w:type="gramEnd"/>
          </w:p>
        </w:tc>
        <w:tc>
          <w:tcPr>
            <w:tcW w:w="8221" w:type="dxa"/>
          </w:tcPr>
          <w:p w14:paraId="127B9308" w14:textId="77777777" w:rsidR="00317315" w:rsidRPr="00097824" w:rsidRDefault="00317315" w:rsidP="00317315">
            <w:pPr>
              <w:keepNext/>
              <w:autoSpaceDE w:val="0"/>
              <w:autoSpaceDN w:val="0"/>
              <w:adjustRightInd w:val="0"/>
              <w:ind w:firstLine="0"/>
              <w:contextualSpacing/>
            </w:pPr>
            <w:proofErr w:type="spellStart"/>
            <w:r w:rsidRPr="00097824">
              <w:rPr>
                <w:szCs w:val="22"/>
              </w:rPr>
              <w:lastRenderedPageBreak/>
              <w:t>Пембролизумаб</w:t>
            </w:r>
            <w:proofErr w:type="spellEnd"/>
            <w:r w:rsidRPr="00097824">
              <w:rPr>
                <w:szCs w:val="22"/>
              </w:rPr>
              <w:t xml:space="preserve">** (только для </w:t>
            </w:r>
            <w:r w:rsidRPr="00097824">
              <w:rPr>
                <w:szCs w:val="22"/>
                <w:lang w:val="en-US"/>
              </w:rPr>
              <w:t>MSI</w:t>
            </w:r>
            <w:r w:rsidRPr="00097824">
              <w:rPr>
                <w:szCs w:val="22"/>
              </w:rPr>
              <w:t>-</w:t>
            </w:r>
            <w:r w:rsidRPr="00097824">
              <w:rPr>
                <w:szCs w:val="22"/>
                <w:lang w:val="en-US"/>
              </w:rPr>
              <w:t>H</w:t>
            </w:r>
            <w:r w:rsidRPr="00097824">
              <w:rPr>
                <w:szCs w:val="22"/>
              </w:rPr>
              <w:t xml:space="preserve"> опухолей)</w:t>
            </w:r>
          </w:p>
          <w:p w14:paraId="29C44704" w14:textId="77777777" w:rsidR="00317315" w:rsidRPr="00097824" w:rsidRDefault="00317315" w:rsidP="00317315">
            <w:pPr>
              <w:widowControl w:val="0"/>
              <w:autoSpaceDE w:val="0"/>
              <w:autoSpaceDN w:val="0"/>
              <w:adjustRightInd w:val="0"/>
              <w:ind w:firstLine="0"/>
              <w:rPr>
                <w:i/>
                <w:iCs/>
                <w:noProof/>
              </w:rPr>
            </w:pPr>
            <w:r w:rsidRPr="00097824">
              <w:rPr>
                <w:i/>
                <w:iCs/>
                <w:noProof/>
                <w:szCs w:val="22"/>
              </w:rPr>
              <w:lastRenderedPageBreak/>
              <w:t>Пембролизумаб** 200 мг в/в капельно (30-минутная инфузия) 1 раз в 3 недели длительно (до двух лет)</w:t>
            </w:r>
            <w:r w:rsidRPr="00097824">
              <w:rPr>
                <w:noProof/>
              </w:rPr>
              <w:t xml:space="preserve"> </w:t>
            </w:r>
            <w:r w:rsidRPr="00097824">
              <w:rPr>
                <w:i/>
                <w:noProof/>
              </w:rPr>
              <w:t>или по 400 мг в/в капельно каждые 42 дня</w:t>
            </w:r>
            <w:r w:rsidRPr="00097824">
              <w:rPr>
                <w:i/>
                <w:iCs/>
                <w:noProof/>
                <w:szCs w:val="22"/>
              </w:rPr>
              <w:t xml:space="preserve"> </w:t>
            </w:r>
            <w:r w:rsidRPr="00097824">
              <w:rPr>
                <w:i/>
                <w:iCs/>
                <w:noProof/>
              </w:rPr>
              <w:fldChar w:fldCharType="begin"/>
            </w:r>
            <w:r w:rsidRPr="00097824">
              <w:rPr>
                <w:i/>
                <w:iCs/>
                <w:noProof/>
                <w:szCs w:val="22"/>
              </w:rPr>
              <w:instrText xml:space="preserve"> ADDIN ZOTERO_ITEM CSL_CITATION {"citationID":"uD3pSFls","properties":{"formattedCitation":"[119\\uc0\\u8211{}121]","plainCitation":"[119–121]","noteIndex":0},"citationItems":[{"id":166629,"uris":["http://zotero.org/groups/4764298/items/3TQCDQ6S"],"itemData":{"id":166629,"type":"article-journal","container-title":"Cancer Research and Treatment : Official Journal of Korean Cancer Association","DOI":"10.4143/crt.2019.493","issue":"2","journalAbbreviation":"Cancer Res Treat","note":"publisher: Korean Cancer Association","page":"594-603","source":"synapse.koreamed.org","title":"Efficacy and Safety of Pembrolizumab in Patients with Refractory Advanced Biliary Tract Cancer: Tumor Proportion Score as a Potential Biomarker for Response","title-short":"Efficacy and Safety of Pembrolizumab in Patients with Refractory Advanced Biliary Tract Cancer","volume":"52","author":[{"family":"Kang","given":"Junho"},{"family":"Jeong","given":"Jae Ho"},{"family":"Hwang","given":"Hee-Sang"},{"family":"Lee","given":"Sang Soo"},{"family":"Park","given":"Do Hyun"},{"family":"Oh","given":"Dong Wook"},{"family":"Song","given":"Tae Jun"},{"family":"Kim","given":"Ki-Hun"},{"family":"Hwang","given":"Shin"},{"family":"Hwang","given":"Dae Wook"},{"family":"Kim","given":"Song Cheol"},{"family":"Park","given":"Jin-hong"},{"family":"Hong","given":"Seung-Mo"},{"family":"Kim","given":"Kyu-pyo"},{"family":"Ryoo","given":"Baek-Yeol"},{"family":"Yoo","given":"Changhoon"}],"issued":{"date-parts":[["2019",12,18]]}},"label":"page"},{"id":166628,"uris":["http://zotero.org/groups/4764298/items/YE2J3JWV"],"itemData":{"id":166628,"type":"article-journal","abstract":"Pembrolizumab, an anti-programmed cell death (PD)-1 monoclonal antibody, is an anticancer agent showing substantial benefit in lung cancer and melanoma treatment. Biliary tract cancer (BTC) has been shown to respond to pembrolizumab; however, no credible data of such treatment outcomes exist. Therefore, we assessed the clinical outcomes and safety of pembrolizumab in patients with gemcitabine/cisplatin-refractory BTC. In this multicenter study, we retrospectively analyzed 51 patients with programmed cell death 1-ligand 1 (PD-L1)-positive gemcitabine/cisplatin-refractory BTC treated with pembrolizumab in four tertiary hospitals in Korea. PD-L1 positivity was defined as the expression of PD-L1 in ≥1% of tumor cells based on immunohistochemical staining (22C3, SP263, and E1L3N assays). The median age of the patients was 66 (range, 43–83) years and 29 (56.9%) were male. Extrahepatic cholangiocarcinoma was the most common cancer type (n = 30, 58.8%). Partial response and stable disease were achieved in 5 (9.8%) and 13 (25.5%) patients, respectively. Median progression-free survival and overall survival were 2.1 (95% CI, 1.7–2.4) and 6.9 (95% CI, 5.4–8.3) months, respectively. Overall, 30 (58.8%) patients experienced treatment-related adverse events (AEs). Only four (7.8%) patients experienced grades 3 and 4 AEs. In PD-L1-positive gemcitabine/cisplatin-refractory BTC, pembrolizumab presented durable efficacy, with a 9.8% response rate and manageable toxicity.","container-title":"Journal of Clinical Medicine","DOI":"10.3390/jcm9061769","ISSN":"2077-0383","issue":"6","language":"en","license":"http://creativecommons.org/licenses/by/3.0/","note":"number: 6\npublisher: Multidisciplinary Digital Publishing Institute","page":"1769","source":"www.mdpi.com","title":"Efficacy and Safety of Pembrolizumab for Gemcitabine/Cisplatin-Refractory Biliary Tract Cancer: A Multicenter Retrospective Study","title-short":"Efficacy and Safety of Pembrolizumab for Gemcitabine/Cisplatin-Refractory Biliary Tract Cancer","volume":"9","author":[{"family":"Lee","given":"Sang Hoon"},{"family":"Lee","given":"Hee Seung"},{"family":"Lee","given":"Sang Hyub"},{"family":"Woo","given":"Sang Myung"},{"family":"Kim","given":"Dong Uk"},{"family":"Bang","given":"Seungmin"}],"issued":{"date-parts":[["2020",6]]}},"label":"page"},{"id":166674,"uris":["http://zotero.org/groups/4764298/items/CDLPAJ74"],"itemData":{"id":166674,"type":"article-journal","container-title":"Journal of Clinical Oncology","issue":"1","note":"publisher: American Society of Clinical Oncology","page":"1","source":"Google Scholar","title":"Efficacy of pembrolizumab in patients with noncolorectal high microsatellite instability/mismatch repair–deficient cancer: Results from the phase II KEYNOTE-158 study","title-short":"Efficacy of pembrolizumab in patients with noncolorectal high microsatellite instability/mismatch repair–deficient cancer","volume":"38","author":[{"family":"Marabelle","given":"Aurelien"},{"family":"Le","given":"Dung T."},{"family":"Ascierto","given":"Paolo A."},{"family":"Di Giacomo","given":"Anna Maria"},{"family":"De Jesus-Acosta","given":"Ana"},{"family":"Delord","given":"Jean-Pierre"},{"family":"Geva","given":"Ravit"},{"family":"Gottfried","given":"Maya"},{"family":"Penel","given":"Nicolas"},{"family":"Hansen","given":"Aaron R."}],"issued":{"date-parts":[["2020"]]}},"label":"page"}],"schema":"https://github.com/citation-style-language/schema/raw/master/csl-citation.json"} </w:instrText>
            </w:r>
            <w:r w:rsidRPr="00097824">
              <w:rPr>
                <w:i/>
                <w:iCs/>
                <w:noProof/>
              </w:rPr>
              <w:fldChar w:fldCharType="separate"/>
            </w:r>
            <w:r w:rsidRPr="00097824">
              <w:rPr>
                <w:szCs w:val="24"/>
              </w:rPr>
              <w:t>[159]</w:t>
            </w:r>
            <w:r w:rsidRPr="00097824">
              <w:rPr>
                <w:i/>
                <w:iCs/>
                <w:noProof/>
              </w:rPr>
              <w:fldChar w:fldCharType="end"/>
            </w:r>
          </w:p>
        </w:tc>
      </w:tr>
      <w:tr w:rsidR="00317315" w:rsidRPr="00097824" w14:paraId="6B99E066" w14:textId="77777777" w:rsidTr="00317315">
        <w:tc>
          <w:tcPr>
            <w:tcW w:w="1986" w:type="dxa"/>
          </w:tcPr>
          <w:p w14:paraId="1A45F86A" w14:textId="77777777" w:rsidR="00317315" w:rsidRPr="00097824" w:rsidRDefault="00317315" w:rsidP="00317315">
            <w:pPr>
              <w:pStyle w:val="afd"/>
              <w:shd w:val="clear" w:color="auto" w:fill="FFFFFF"/>
              <w:spacing w:before="100" w:after="100" w:line="360" w:lineRule="auto"/>
              <w:ind w:firstLine="0"/>
              <w:contextualSpacing/>
              <w:rPr>
                <w:i/>
                <w:position w:val="4"/>
              </w:rPr>
            </w:pPr>
            <w:r w:rsidRPr="00097824">
              <w:lastRenderedPageBreak/>
              <w:t>#</w:t>
            </w:r>
            <w:r w:rsidRPr="00097824">
              <w:rPr>
                <w:i/>
              </w:rPr>
              <w:t xml:space="preserve">Трастузумаб**+ </w:t>
            </w:r>
            <w:r w:rsidRPr="00097824">
              <w:t>#</w:t>
            </w:r>
            <w:r w:rsidRPr="00097824">
              <w:rPr>
                <w:i/>
              </w:rPr>
              <w:t>пертузумаб**</w:t>
            </w:r>
            <w:r w:rsidRPr="00097824">
              <w:rPr>
                <w:i/>
                <w:position w:val="4"/>
              </w:rPr>
              <w:t xml:space="preserve"> </w:t>
            </w:r>
          </w:p>
          <w:p w14:paraId="0957A9B7" w14:textId="77777777" w:rsidR="00317315" w:rsidRPr="00097824" w:rsidRDefault="00317315" w:rsidP="00317315">
            <w:pPr>
              <w:pStyle w:val="afd"/>
              <w:shd w:val="clear" w:color="auto" w:fill="FFFFFF"/>
              <w:spacing w:before="100" w:after="100" w:line="360" w:lineRule="auto"/>
              <w:ind w:firstLine="0"/>
              <w:contextualSpacing/>
              <w:jc w:val="left"/>
              <w:rPr>
                <w:i/>
              </w:rPr>
            </w:pPr>
            <w:r w:rsidRPr="00097824">
              <w:rPr>
                <w:i/>
              </w:rPr>
              <w:t xml:space="preserve">(при «диком» типе гена </w:t>
            </w:r>
            <w:r w:rsidRPr="00097824">
              <w:rPr>
                <w:i/>
                <w:lang w:val="en-US"/>
              </w:rPr>
              <w:t>RAS</w:t>
            </w:r>
            <w:r w:rsidRPr="00097824">
              <w:rPr>
                <w:i/>
              </w:rPr>
              <w:t xml:space="preserve"> и </w:t>
            </w:r>
            <w:proofErr w:type="spellStart"/>
            <w:r w:rsidRPr="00097824">
              <w:rPr>
                <w:i/>
              </w:rPr>
              <w:t>гиперэкспре</w:t>
            </w:r>
            <w:proofErr w:type="spellEnd"/>
            <w:r w:rsidRPr="00097824">
              <w:rPr>
                <w:i/>
                <w:lang w:val="en-US"/>
              </w:rPr>
              <w:t>c</w:t>
            </w:r>
            <w:r w:rsidRPr="00097824">
              <w:rPr>
                <w:i/>
              </w:rPr>
              <w:t xml:space="preserve">сии или амплификации </w:t>
            </w:r>
          </w:p>
          <w:p w14:paraId="03169598" w14:textId="77777777" w:rsidR="00317315" w:rsidRPr="00097824" w:rsidRDefault="00317315" w:rsidP="00317315">
            <w:pPr>
              <w:pStyle w:val="afd"/>
              <w:spacing w:before="100" w:after="100" w:line="360" w:lineRule="auto"/>
              <w:ind w:firstLine="0"/>
              <w:contextualSpacing/>
              <w:rPr>
                <w:i/>
              </w:rPr>
            </w:pPr>
            <w:r w:rsidRPr="00097824">
              <w:rPr>
                <w:i/>
              </w:rPr>
              <w:t>HER2/</w:t>
            </w:r>
            <w:proofErr w:type="spellStart"/>
            <w:r w:rsidRPr="00097824">
              <w:rPr>
                <w:i/>
              </w:rPr>
              <w:t>neu</w:t>
            </w:r>
            <w:proofErr w:type="spellEnd"/>
            <w:r w:rsidRPr="00097824">
              <w:rPr>
                <w:i/>
              </w:rPr>
              <w:t>)</w:t>
            </w:r>
          </w:p>
        </w:tc>
        <w:tc>
          <w:tcPr>
            <w:tcW w:w="8221" w:type="dxa"/>
          </w:tcPr>
          <w:p w14:paraId="14759FF8" w14:textId="77777777" w:rsidR="00317315" w:rsidRPr="00097824" w:rsidRDefault="00317315" w:rsidP="00317315">
            <w:pPr>
              <w:pStyle w:val="afd"/>
              <w:shd w:val="clear" w:color="auto" w:fill="FFFFFF"/>
              <w:spacing w:before="100" w:afterAutospacing="0" w:line="360" w:lineRule="auto"/>
              <w:ind w:firstLine="0"/>
              <w:jc w:val="left"/>
            </w:pPr>
            <w:r w:rsidRPr="00097824">
              <w:t xml:space="preserve">#Трастузумаб** 8 мг/кг в/в — нагрузочная доза в 1 день первого цикла, затем 6 мг/кг в/в — каждые 21 день, </w:t>
            </w:r>
          </w:p>
          <w:p w14:paraId="7F86A5F7" w14:textId="77777777" w:rsidR="00317315" w:rsidRPr="00097824" w:rsidRDefault="00317315" w:rsidP="00317315">
            <w:pPr>
              <w:pStyle w:val="afd"/>
              <w:shd w:val="clear" w:color="auto" w:fill="FFFFFF"/>
              <w:spacing w:beforeAutospacing="0" w:after="100" w:line="360" w:lineRule="auto"/>
              <w:ind w:firstLine="0"/>
              <w:jc w:val="left"/>
            </w:pPr>
            <w:r w:rsidRPr="00097824">
              <w:t>#Пертузумаб** — 840 мг в/в нагрузочная доза в 1 день первого цикла, затем 420 мг в/в — каждые 21 день [157]</w:t>
            </w:r>
          </w:p>
        </w:tc>
      </w:tr>
    </w:tbl>
    <w:bookmarkEnd w:id="90"/>
    <w:p w14:paraId="36BEA139" w14:textId="77777777" w:rsidR="006B17FB" w:rsidRPr="00097824" w:rsidRDefault="006B17FB" w:rsidP="006B17FB">
      <w:pPr>
        <w:pStyle w:val="1"/>
        <w:ind w:left="426" w:firstLine="0"/>
      </w:pPr>
      <w:r w:rsidRPr="00097824">
        <w:t>Уровень убедительности рекомендаций – С (уровень достоверности доказательств 5).</w:t>
      </w:r>
    </w:p>
    <w:p w14:paraId="4A3BD781" w14:textId="34F549C0" w:rsidR="006B17FB" w:rsidRPr="00097824" w:rsidRDefault="006B17FB" w:rsidP="006B17FB">
      <w:pPr>
        <w:pStyle w:val="1"/>
        <w:ind w:left="426" w:firstLine="0"/>
      </w:pPr>
      <w:r w:rsidRPr="00097824">
        <w:t>Комментарий: применение молекулярно-направленной терапии в настоящее время не носит обязательного характера, но может быть рекомендовано в клинической практике при выявлении в опухоли соответствующих молекулярно-генетических альтераций по исчерпании стандартных терапевтических опций по решению консилиума</w:t>
      </w:r>
      <w:r w:rsidR="006F4218" w:rsidRPr="00097824">
        <w:t>.</w:t>
      </w:r>
    </w:p>
    <w:p w14:paraId="74C75ADC" w14:textId="77777777" w:rsidR="006B17FB" w:rsidRPr="00097824" w:rsidRDefault="006B17FB" w:rsidP="006B17FB">
      <w:pPr>
        <w:pStyle w:val="1"/>
        <w:ind w:left="426" w:firstLine="0"/>
      </w:pPr>
      <w:r w:rsidRPr="00097824">
        <w:t>Амплификация/</w:t>
      </w:r>
      <w:proofErr w:type="spellStart"/>
      <w:r w:rsidRPr="00097824">
        <w:t>гиперэкспрессия</w:t>
      </w:r>
      <w:proofErr w:type="spellEnd"/>
      <w:r w:rsidRPr="00097824">
        <w:t xml:space="preserve"> HER2/</w:t>
      </w:r>
      <w:proofErr w:type="spellStart"/>
      <w:r w:rsidRPr="00097824">
        <w:t>neu</w:t>
      </w:r>
      <w:proofErr w:type="spellEnd"/>
      <w:r w:rsidRPr="00097824">
        <w:t xml:space="preserve"> (ERBB2) при </w:t>
      </w:r>
      <w:proofErr w:type="spellStart"/>
      <w:r w:rsidRPr="00097824">
        <w:t>билиарном</w:t>
      </w:r>
      <w:proofErr w:type="spellEnd"/>
      <w:r w:rsidRPr="00097824">
        <w:t xml:space="preserve"> (5%-10% внутрипеченочных ХК и до 20% при раке желчного пузыря) раке – возможная мишень молекулярно-направленной анти-HER2 терапии: по данным корзинного исследования </w:t>
      </w:r>
      <w:proofErr w:type="spellStart"/>
      <w:r w:rsidRPr="00097824">
        <w:t>MyPathway</w:t>
      </w:r>
      <w:proofErr w:type="spellEnd"/>
      <w:r w:rsidRPr="00097824">
        <w:t xml:space="preserve"> комбинация #«пертузумаб**+трастузумаб**» позволяла достичь 23% объективных эффектов и медианой ВБП до 4 </w:t>
      </w:r>
      <w:proofErr w:type="spellStart"/>
      <w:r w:rsidRPr="00097824">
        <w:t>мес</w:t>
      </w:r>
      <w:proofErr w:type="spellEnd"/>
      <w:r w:rsidRPr="00097824">
        <w:t xml:space="preserve"> и медианой общей выживаемости до 10,9 </w:t>
      </w:r>
      <w:proofErr w:type="spellStart"/>
      <w:r w:rsidRPr="00097824">
        <w:t>мес</w:t>
      </w:r>
      <w:proofErr w:type="spellEnd"/>
      <w:r w:rsidRPr="00097824">
        <w:t>[157].  Доза препарата указана в таблице 6. При ко-мутации BRAF/RAS отмечено значимое снижение эффективности лечения.</w:t>
      </w:r>
    </w:p>
    <w:p w14:paraId="1EF59273" w14:textId="77777777" w:rsidR="006B17FB" w:rsidRPr="00097824" w:rsidRDefault="006B17FB" w:rsidP="006B17FB">
      <w:pPr>
        <w:pStyle w:val="1"/>
        <w:ind w:left="426" w:firstLine="0"/>
      </w:pPr>
      <w:r w:rsidRPr="00097824">
        <w:t xml:space="preserve">Мутация BRAF выявляется </w:t>
      </w:r>
      <w:proofErr w:type="gramStart"/>
      <w:r w:rsidRPr="00097824">
        <w:t>&lt; 5</w:t>
      </w:r>
      <w:proofErr w:type="gramEnd"/>
      <w:r w:rsidRPr="00097824">
        <w:t xml:space="preserve">% случаев ХК. В исследовании ROAR комбинация #дабрафениба** (BRAF ингибитор (L01EC: Ингибиторы </w:t>
      </w:r>
      <w:proofErr w:type="spellStart"/>
      <w:r w:rsidRPr="00097824">
        <w:t>серин-треонинкиназы</w:t>
      </w:r>
      <w:proofErr w:type="spellEnd"/>
      <w:r w:rsidRPr="00097824">
        <w:t xml:space="preserve"> B-</w:t>
      </w:r>
      <w:proofErr w:type="spellStart"/>
      <w:r w:rsidRPr="00097824">
        <w:t>Raf</w:t>
      </w:r>
      <w:proofErr w:type="spellEnd"/>
      <w:r w:rsidRPr="00097824">
        <w:t xml:space="preserve"> (BRAF)) и #траметиниба** (MEK ингибитор(L01EE: Ингибиторы </w:t>
      </w:r>
      <w:proofErr w:type="spellStart"/>
      <w:r w:rsidRPr="00097824">
        <w:t>митоген</w:t>
      </w:r>
      <w:proofErr w:type="spellEnd"/>
      <w:r w:rsidRPr="00097824">
        <w:t xml:space="preserve">-активированной </w:t>
      </w:r>
      <w:proofErr w:type="spellStart"/>
      <w:r w:rsidRPr="00097824">
        <w:t>протеинкиназы</w:t>
      </w:r>
      <w:proofErr w:type="spellEnd"/>
      <w:r w:rsidRPr="00097824">
        <w:t xml:space="preserve"> (MEK)) позволяла достичь объективный эффект у 51% пациентов при медиане ВБП 9 </w:t>
      </w:r>
      <w:proofErr w:type="spellStart"/>
      <w:r w:rsidRPr="00097824">
        <w:t>мес</w:t>
      </w:r>
      <w:proofErr w:type="spellEnd"/>
      <w:r w:rsidRPr="00097824">
        <w:t xml:space="preserve"> и ОВ  14 </w:t>
      </w:r>
      <w:proofErr w:type="spellStart"/>
      <w:r w:rsidRPr="00097824">
        <w:t>мес</w:t>
      </w:r>
      <w:proofErr w:type="spellEnd"/>
      <w:r w:rsidRPr="00097824">
        <w:t xml:space="preserve"> у ранее </w:t>
      </w:r>
      <w:proofErr w:type="spellStart"/>
      <w:r w:rsidRPr="00097824">
        <w:t>предлеченых</w:t>
      </w:r>
      <w:proofErr w:type="spellEnd"/>
      <w:r w:rsidRPr="00097824">
        <w:t xml:space="preserve"> больных с мутацией BRAFV600E , что предполагает высокую вероятность достижения </w:t>
      </w:r>
      <w:r w:rsidRPr="00097824">
        <w:lastRenderedPageBreak/>
        <w:t xml:space="preserve">клинической пользы в отсутствие других опций [158]. В исследовании TAPUR комбинация #вемурафениба** (BRAF ингибитор (L01EC: Ингибиторы </w:t>
      </w:r>
      <w:proofErr w:type="spellStart"/>
      <w:r w:rsidRPr="00097824">
        <w:t>серин-треонинкиназы</w:t>
      </w:r>
      <w:proofErr w:type="spellEnd"/>
      <w:r w:rsidRPr="00097824">
        <w:t xml:space="preserve"> B-</w:t>
      </w:r>
      <w:proofErr w:type="spellStart"/>
      <w:r w:rsidRPr="00097824">
        <w:t>Raf</w:t>
      </w:r>
      <w:proofErr w:type="spellEnd"/>
      <w:r w:rsidRPr="00097824">
        <w:t xml:space="preserve"> (BRAF)) и #кобиметиниба** (MEK ингибитор (L01EE: Ингибиторы </w:t>
      </w:r>
      <w:proofErr w:type="spellStart"/>
      <w:r w:rsidRPr="00097824">
        <w:t>митоген</w:t>
      </w:r>
      <w:proofErr w:type="spellEnd"/>
      <w:r w:rsidRPr="00097824">
        <w:t xml:space="preserve">-активированной </w:t>
      </w:r>
      <w:proofErr w:type="spellStart"/>
      <w:r w:rsidRPr="00097824">
        <w:t>протеинкиназы</w:t>
      </w:r>
      <w:proofErr w:type="spellEnd"/>
      <w:r w:rsidRPr="00097824">
        <w:t xml:space="preserve"> (MEK)) позволяла достичь объективный эффект у 57% пациентов при медиане ВБП 5,8 </w:t>
      </w:r>
      <w:proofErr w:type="spellStart"/>
      <w:r w:rsidRPr="00097824">
        <w:t>мес</w:t>
      </w:r>
      <w:proofErr w:type="spellEnd"/>
      <w:r w:rsidRPr="00097824">
        <w:t xml:space="preserve"> и ОВ  15,2 </w:t>
      </w:r>
      <w:proofErr w:type="spellStart"/>
      <w:r w:rsidRPr="00097824">
        <w:t>мес</w:t>
      </w:r>
      <w:proofErr w:type="spellEnd"/>
      <w:r w:rsidRPr="00097824">
        <w:t xml:space="preserve"> у ранее </w:t>
      </w:r>
      <w:proofErr w:type="spellStart"/>
      <w:r w:rsidRPr="00097824">
        <w:t>предлеченых</w:t>
      </w:r>
      <w:proofErr w:type="spellEnd"/>
      <w:r w:rsidRPr="00097824">
        <w:t xml:space="preserve"> больных с мутацией BRAFV600E , что предполагает высокую вероятность достижения клинической пользы в отсутствие других опций [176]. Дозы препаратов указаны в таблице 6.</w:t>
      </w:r>
    </w:p>
    <w:p w14:paraId="4E00083D" w14:textId="77777777" w:rsidR="006B17FB" w:rsidRPr="00097824" w:rsidRDefault="006B17FB" w:rsidP="006B17FB">
      <w:pPr>
        <w:pStyle w:val="1"/>
        <w:ind w:left="426" w:firstLine="0"/>
      </w:pPr>
      <w:r w:rsidRPr="00097824">
        <w:t>Частота встречаемости дефицита неспаренных оснований (</w:t>
      </w:r>
      <w:proofErr w:type="spellStart"/>
      <w:r w:rsidRPr="00097824">
        <w:t>dMMR</w:t>
      </w:r>
      <w:proofErr w:type="spellEnd"/>
      <w:r w:rsidRPr="00097824">
        <w:t xml:space="preserve">) при </w:t>
      </w:r>
      <w:proofErr w:type="spellStart"/>
      <w:r w:rsidRPr="00097824">
        <w:t>билиарном</w:t>
      </w:r>
      <w:proofErr w:type="spellEnd"/>
      <w:r w:rsidRPr="00097824">
        <w:t xml:space="preserve"> </w:t>
      </w:r>
      <w:proofErr w:type="gramStart"/>
      <w:r w:rsidRPr="00097824">
        <w:t>раке  &lt;</w:t>
      </w:r>
      <w:proofErr w:type="gramEnd"/>
      <w:r w:rsidRPr="00097824">
        <w:t xml:space="preserve">1%. В случае выявления </w:t>
      </w:r>
      <w:proofErr w:type="spellStart"/>
      <w:r w:rsidRPr="00097824">
        <w:t>микросателлитной</w:t>
      </w:r>
      <w:proofErr w:type="spellEnd"/>
      <w:r w:rsidRPr="00097824">
        <w:t xml:space="preserve"> нестабильности - MSI-</w:t>
      </w:r>
      <w:proofErr w:type="spellStart"/>
      <w:r w:rsidRPr="00097824">
        <w:t>high</w:t>
      </w:r>
      <w:proofErr w:type="spellEnd"/>
      <w:r w:rsidRPr="00097824">
        <w:t xml:space="preserve"> (MSI-H) можно рассчитывать на возможную клиническую пользу иммунотерапии. В проспективном </w:t>
      </w:r>
      <w:proofErr w:type="spellStart"/>
      <w:r w:rsidRPr="00097824">
        <w:t>нерандомизированном</w:t>
      </w:r>
      <w:proofErr w:type="spellEnd"/>
      <w:r w:rsidRPr="00097824">
        <w:t xml:space="preserve"> исследовании II фазы KEYNOTE-158 </w:t>
      </w:r>
      <w:proofErr w:type="spellStart"/>
      <w:r w:rsidRPr="00097824">
        <w:t>trial</w:t>
      </w:r>
      <w:proofErr w:type="spellEnd"/>
      <w:r w:rsidRPr="00097824">
        <w:t xml:space="preserve">, у 40.9% (из 22 пациентов) отмечен объективный эффект при медиане ВБП 4.2 </w:t>
      </w:r>
      <w:proofErr w:type="spellStart"/>
      <w:r w:rsidRPr="00097824">
        <w:t>мес</w:t>
      </w:r>
      <w:proofErr w:type="spellEnd"/>
      <w:r w:rsidRPr="00097824">
        <w:t xml:space="preserve"> и медианой ОВ 24.3 </w:t>
      </w:r>
      <w:proofErr w:type="spellStart"/>
      <w:r w:rsidRPr="00097824">
        <w:t>мес</w:t>
      </w:r>
      <w:proofErr w:type="spellEnd"/>
      <w:r w:rsidRPr="00097824">
        <w:t xml:space="preserve"> [159]</w:t>
      </w:r>
    </w:p>
    <w:p w14:paraId="7248EA6B" w14:textId="7CD10BE2" w:rsidR="006B17FB" w:rsidRPr="00097824" w:rsidRDefault="006B17FB" w:rsidP="006B17FB">
      <w:pPr>
        <w:pStyle w:val="1"/>
        <w:ind w:left="426" w:firstLine="0"/>
      </w:pPr>
      <w:r w:rsidRPr="00097824">
        <w:t xml:space="preserve">#Селперкатиниб, селективный ингибитор </w:t>
      </w:r>
      <w:proofErr w:type="spellStart"/>
      <w:r w:rsidRPr="00097824">
        <w:t>киназы</w:t>
      </w:r>
      <w:proofErr w:type="spellEnd"/>
      <w:r w:rsidRPr="00097824">
        <w:t xml:space="preserve"> RET, исследовался в рамках клинического исследования LIBRETTO-001 фазы 1/2 у пациентов с транслокацией гена RET. Из 41 пациента, кроме рака легкого и щитовидной железы, ЧОО составило 43,9% (95% ДИ = 28,5–60,3%). Объективный ответ был получен у одного пациента с </w:t>
      </w:r>
      <w:proofErr w:type="spellStart"/>
      <w:r w:rsidRPr="00097824">
        <w:t>холангиокарциномой</w:t>
      </w:r>
      <w:proofErr w:type="spellEnd"/>
      <w:r w:rsidRPr="00097824">
        <w:t xml:space="preserve"> [179]. Доза препарата указана в таблице 6.</w:t>
      </w:r>
    </w:p>
    <w:p w14:paraId="7255F80A" w14:textId="33D74E8C" w:rsidR="006B17FB" w:rsidRPr="00097824" w:rsidRDefault="00866450" w:rsidP="006B17FB">
      <w:pPr>
        <w:pStyle w:val="1"/>
        <w:ind w:left="426" w:firstLine="0"/>
      </w:pPr>
      <w:r w:rsidRPr="00097824">
        <w:t>Ингибиторы</w:t>
      </w:r>
      <w:r w:rsidR="006B17FB" w:rsidRPr="00097824">
        <w:t xml:space="preserve"> FGFR1-4 типа (L01: Противоопухолевые препар</w:t>
      </w:r>
      <w:r w:rsidRPr="00097824">
        <w:t>аты) (#эрдафитиниб</w:t>
      </w:r>
      <w:r w:rsidR="006B17FB" w:rsidRPr="00097824">
        <w:t xml:space="preserve">) высоко эффективны при выявлении </w:t>
      </w:r>
      <w:proofErr w:type="spellStart"/>
      <w:r w:rsidR="006B17FB" w:rsidRPr="00097824">
        <w:t>проканцерогенных</w:t>
      </w:r>
      <w:proofErr w:type="spellEnd"/>
      <w:r w:rsidR="006B17FB" w:rsidRPr="00097824">
        <w:t xml:space="preserve"> транслокаций генов FGFR1-4.  Эффективность #эрдафитиниба продемонстрирована в исследовании II фазы RAGNAR. ЧОО составила 60%, при этом среднее время до начала противоопухолевого ответа составило 1,5 месяца. Медиана ВБП и ОВ составила 8,4 </w:t>
      </w:r>
      <w:proofErr w:type="spellStart"/>
      <w:r w:rsidR="006B17FB" w:rsidRPr="00097824">
        <w:t>мес</w:t>
      </w:r>
      <w:proofErr w:type="spellEnd"/>
      <w:r w:rsidR="006B17FB" w:rsidRPr="00097824">
        <w:t xml:space="preserve"> (95% ДИ = 5,5–9,7) и 18,7 </w:t>
      </w:r>
      <w:proofErr w:type="spellStart"/>
      <w:r w:rsidR="006B17FB" w:rsidRPr="00097824">
        <w:t>мес</w:t>
      </w:r>
      <w:proofErr w:type="spellEnd"/>
      <w:r w:rsidR="006B17FB" w:rsidRPr="00097824">
        <w:t xml:space="preserve"> (95% ДИ = 8,9 – не поддается оценке) соответственно. Наиболее частыми нежелательными явлениями, возникшими во время лечения, были </w:t>
      </w:r>
      <w:proofErr w:type="spellStart"/>
      <w:r w:rsidR="006B17FB" w:rsidRPr="00097824">
        <w:t>гиперфосфатемия</w:t>
      </w:r>
      <w:proofErr w:type="spellEnd"/>
      <w:r w:rsidR="006B17FB" w:rsidRPr="00097824">
        <w:t xml:space="preserve"> (82,9%), диарея (80,0%) и стоматит (74,3%) [185]. Доза препарата указана в таблице 6.</w:t>
      </w:r>
    </w:p>
    <w:p w14:paraId="59E31582" w14:textId="77777777" w:rsidR="006B17FB" w:rsidRPr="00097824" w:rsidRDefault="006B17FB" w:rsidP="006B17FB">
      <w:pPr>
        <w:pStyle w:val="1"/>
        <w:ind w:left="426" w:firstLine="0"/>
      </w:pPr>
      <w:r w:rsidRPr="00097824">
        <w:t xml:space="preserve">Соответствующая таргетная терапия может также назначаться при других описанных редких молекулярных альтерациях (высокая TMB, IDH1/2, NTRK, ALK, MET и др.) или резистентности к ранее проведенной молекулярно-направленной </w:t>
      </w:r>
      <w:r w:rsidRPr="00097824">
        <w:lastRenderedPageBreak/>
        <w:t>терапии по решению врачебной комиссии пациентам в удовлетворительном объективном состоянии.</w:t>
      </w:r>
    </w:p>
    <w:p w14:paraId="77BD013A" w14:textId="77777777" w:rsidR="006B17FB" w:rsidRPr="00097824" w:rsidRDefault="006B17FB" w:rsidP="006B17FB">
      <w:pPr>
        <w:pStyle w:val="1"/>
        <w:ind w:left="426" w:firstLine="0"/>
      </w:pPr>
      <w:r w:rsidRPr="00097824">
        <w:t>·</w:t>
      </w:r>
      <w:r w:rsidRPr="00097824">
        <w:tab/>
        <w:t xml:space="preserve">При диссеминированном раке </w:t>
      </w:r>
      <w:proofErr w:type="spellStart"/>
      <w:r w:rsidRPr="00097824">
        <w:t>билиарного</w:t>
      </w:r>
      <w:proofErr w:type="spellEnd"/>
      <w:r w:rsidRPr="00097824">
        <w:t xml:space="preserve"> тракта (стадия </w:t>
      </w:r>
      <w:proofErr w:type="spellStart"/>
      <w:r w:rsidRPr="00097824">
        <w:t>IVb</w:t>
      </w:r>
      <w:proofErr w:type="spellEnd"/>
      <w:r w:rsidRPr="00097824">
        <w:t xml:space="preserve">, M1) и ослабленном общем состоянии пациента (ECOG 2 – см. Приложение Г) с паллиативной целью рекомендуется </w:t>
      </w:r>
      <w:proofErr w:type="spellStart"/>
      <w:r w:rsidRPr="00097824">
        <w:t>монохимиотерапия</w:t>
      </w:r>
      <w:proofErr w:type="spellEnd"/>
      <w:r w:rsidRPr="00097824">
        <w:t xml:space="preserve"> </w:t>
      </w:r>
      <w:proofErr w:type="spellStart"/>
      <w:r w:rsidRPr="00097824">
        <w:t>гемцитабином</w:t>
      </w:r>
      <w:proofErr w:type="spellEnd"/>
      <w:r w:rsidRPr="00097824">
        <w:t>** или #капецитабином**с учетом возможного профиля токсичности [10,19, 172]. Дозы препаратов указаны в таблице 6.</w:t>
      </w:r>
    </w:p>
    <w:p w14:paraId="28E50894" w14:textId="77777777" w:rsidR="006B17FB" w:rsidRPr="00097824" w:rsidRDefault="006B17FB" w:rsidP="006B17FB">
      <w:pPr>
        <w:pStyle w:val="1"/>
        <w:ind w:left="426" w:firstLine="0"/>
      </w:pPr>
      <w:r w:rsidRPr="00097824">
        <w:t xml:space="preserve">Уровень убедительности рекомендаций – С (уровень достоверности </w:t>
      </w:r>
      <w:proofErr w:type="gramStart"/>
      <w:r w:rsidRPr="00097824">
        <w:t>доказательств  5</w:t>
      </w:r>
      <w:proofErr w:type="gramEnd"/>
      <w:r w:rsidRPr="00097824">
        <w:t>)</w:t>
      </w:r>
    </w:p>
    <w:p w14:paraId="7586EF01" w14:textId="5B2869E0" w:rsidR="006B17FB" w:rsidRPr="00097824" w:rsidRDefault="006B17FB" w:rsidP="006B17FB">
      <w:pPr>
        <w:pStyle w:val="1"/>
        <w:ind w:left="426" w:firstLine="0"/>
      </w:pPr>
      <w:r w:rsidRPr="00097824">
        <w:tab/>
        <w:t xml:space="preserve">При неудовлетворительном общем состоянии пациента (ECOG&gt;2), выраженной сопутствующей патологии рекомендуется проведение симптоматической </w:t>
      </w:r>
      <w:proofErr w:type="gramStart"/>
      <w:r w:rsidRPr="00097824">
        <w:t>терапии;  не</w:t>
      </w:r>
      <w:proofErr w:type="gramEnd"/>
      <w:r w:rsidRPr="00097824">
        <w:t xml:space="preserve"> рекомендуется проведение химиотерапии [10,18,19].</w:t>
      </w:r>
    </w:p>
    <w:p w14:paraId="548BE004" w14:textId="77777777" w:rsidR="006B17FB" w:rsidRPr="00097824" w:rsidRDefault="006B17FB" w:rsidP="006B17FB">
      <w:pPr>
        <w:pStyle w:val="1"/>
        <w:ind w:left="426" w:firstLine="0"/>
      </w:pPr>
      <w:r w:rsidRPr="00097824">
        <w:t>Уровень убедительности рекомендаций – С (уровень достоверности доказательств 4).</w:t>
      </w:r>
    </w:p>
    <w:p w14:paraId="0F1D37CB" w14:textId="151DCD9A" w:rsidR="00B3245E" w:rsidRPr="00097824" w:rsidRDefault="006B17FB" w:rsidP="006B17FB">
      <w:pPr>
        <w:pStyle w:val="1"/>
        <w:numPr>
          <w:ilvl w:val="0"/>
          <w:numId w:val="0"/>
        </w:numPr>
        <w:ind w:left="426"/>
      </w:pPr>
      <w:r w:rsidRPr="00097824">
        <w:t xml:space="preserve">Комментарий: целью «наилучшей поддерживающей терапии» является профилактика и облегчение симптомов </w:t>
      </w:r>
      <w:proofErr w:type="gramStart"/>
      <w:r w:rsidRPr="00097824">
        <w:t>заболевания</w:t>
      </w:r>
      <w:proofErr w:type="gramEnd"/>
      <w:r w:rsidRPr="00097824">
        <w:t xml:space="preserve"> и поддержание качества жизни пациентов, независимо от стадии заболевания и потребности в других видах терапии. Проведение паллиативной химиотерапии пациентам со статусом по ECOG 3–4 (HR = 2,01, p = 0,016), гиперкалиемией (HR = 2,19, p = 0,005) и повышенным уровнем билирубина (HR = 3,17, p&lt; 0,001) ассоциировано с повышенным риском смертности в течение 30 дней [18] и не рекомендуется.</w:t>
      </w:r>
    </w:p>
    <w:p w14:paraId="0C8C3517" w14:textId="77777777" w:rsidR="00F27FEC" w:rsidRPr="00097824" w:rsidRDefault="00F27FEC" w:rsidP="00AD4A9F">
      <w:pPr>
        <w:pStyle w:val="1"/>
        <w:numPr>
          <w:ilvl w:val="0"/>
          <w:numId w:val="0"/>
        </w:numPr>
        <w:spacing w:before="0"/>
        <w:ind w:left="397" w:firstLine="357"/>
        <w:sectPr w:rsidR="00F27FEC" w:rsidRPr="00097824" w:rsidSect="00C904C9">
          <w:headerReference w:type="default" r:id="rId10"/>
          <w:footerReference w:type="default" r:id="rId11"/>
          <w:pgSz w:w="11906" w:h="16838"/>
          <w:pgMar w:top="1134" w:right="850" w:bottom="1134" w:left="1701" w:header="708" w:footer="708" w:gutter="0"/>
          <w:cols w:space="720"/>
          <w:formProt w:val="0"/>
          <w:titlePg/>
          <w:docGrid w:linePitch="360" w:charSpace="-6145"/>
        </w:sectPr>
      </w:pPr>
    </w:p>
    <w:p w14:paraId="407F0B5E" w14:textId="77777777" w:rsidR="002D477A" w:rsidRPr="00097824" w:rsidRDefault="002D477A" w:rsidP="00CC2BE1">
      <w:pPr>
        <w:pStyle w:val="2"/>
        <w:numPr>
          <w:ilvl w:val="1"/>
          <w:numId w:val="26"/>
        </w:numPr>
        <w:spacing w:before="0"/>
        <w:ind w:left="397" w:firstLine="357"/>
      </w:pPr>
      <w:bookmarkStart w:id="91" w:name="_Toc113198679"/>
      <w:bookmarkStart w:id="92" w:name="_Toc113198710"/>
      <w:bookmarkStart w:id="93" w:name="_Toc113198741"/>
      <w:bookmarkStart w:id="94" w:name="_Toc113198772"/>
      <w:bookmarkStart w:id="95" w:name="_Toc113205031"/>
      <w:bookmarkStart w:id="96" w:name="_Toc113205063"/>
      <w:bookmarkStart w:id="97" w:name="_Toc113198773"/>
      <w:bookmarkStart w:id="98" w:name="_Toc113205064"/>
      <w:bookmarkEnd w:id="91"/>
      <w:bookmarkEnd w:id="92"/>
      <w:bookmarkEnd w:id="93"/>
      <w:bookmarkEnd w:id="94"/>
      <w:bookmarkEnd w:id="95"/>
      <w:bookmarkEnd w:id="96"/>
      <w:r w:rsidRPr="00097824">
        <w:lastRenderedPageBreak/>
        <w:t>Лучевая терапия</w:t>
      </w:r>
      <w:bookmarkEnd w:id="97"/>
      <w:bookmarkEnd w:id="98"/>
    </w:p>
    <w:p w14:paraId="23E703E0" w14:textId="1BE5CB3A" w:rsidR="0040655D" w:rsidRPr="00097824" w:rsidRDefault="0040655D" w:rsidP="0040655D">
      <w:pPr>
        <w:pStyle w:val="1"/>
        <w:numPr>
          <w:ilvl w:val="0"/>
          <w:numId w:val="0"/>
        </w:numPr>
        <w:spacing w:before="0"/>
        <w:ind w:left="397"/>
      </w:pPr>
      <w:r w:rsidRPr="00097824">
        <w:t xml:space="preserve">Лучевая терапия </w:t>
      </w:r>
      <w:r w:rsidR="002410CF" w:rsidRPr="00097824">
        <w:t xml:space="preserve">рекомендуется </w:t>
      </w:r>
      <w:r w:rsidRPr="00097824">
        <w:t>пациентам:</w:t>
      </w:r>
    </w:p>
    <w:p w14:paraId="708C643D" w14:textId="74DA7193" w:rsidR="0040655D" w:rsidRPr="00097824" w:rsidRDefault="0040655D" w:rsidP="001A519E">
      <w:pPr>
        <w:pStyle w:val="1"/>
        <w:numPr>
          <w:ilvl w:val="0"/>
          <w:numId w:val="42"/>
        </w:numPr>
      </w:pPr>
      <w:r w:rsidRPr="00097824">
        <w:t xml:space="preserve">в </w:t>
      </w:r>
      <w:proofErr w:type="spellStart"/>
      <w:r w:rsidRPr="00097824">
        <w:t>адъювантном</w:t>
      </w:r>
      <w:proofErr w:type="spellEnd"/>
      <w:r w:rsidRPr="00097824">
        <w:t xml:space="preserve"> режиме при внепеченочной </w:t>
      </w:r>
      <w:proofErr w:type="spellStart"/>
      <w:r w:rsidRPr="00097824">
        <w:t>холангиокарциноме</w:t>
      </w:r>
      <w:proofErr w:type="spellEnd"/>
      <w:r w:rsidRPr="00097824">
        <w:t xml:space="preserve"> </w:t>
      </w:r>
      <w:r w:rsidRPr="00097824">
        <w:fldChar w:fldCharType="begin"/>
      </w:r>
      <w:r w:rsidRPr="00097824">
        <w:instrText xml:space="preserve"> ADDIN ZOTERO_ITEM CSL_CITATION {"citationID":"xSQsiNtu","properties":{"formattedCitation":"[130\\uc0\\u8211{}132]","plainCitation":"[130–132]","noteIndex":0},"citationItems":[{"id":166618,"uris":["http://zotero.org/groups/4764298/items/CEF554RJ"],"itemData":{"id":166618,"type":"article-journal","abstract":"Background\nThe role for adjuvant radiotherapy (ART) after curative resection in extrahepatic cholangiocarcinoma remains unclear. Due to the lack of randomized trials, available data comes from single center experiences or data-based population studies with inconclusive results.\nObjective\nTo assess the impact of radiotherapy (with or without concurrent chemotherapy) on toxicity and survival of radically resected patients with extrahepatic bile duct cancer (extrahepatic cholangiocarcinoma, gallbladder cancer and pure ampullary cancer).\nData sources and study selection\nEligible studies with data on survival, recurrence and toxicity were retrieved from the MEDLINE, ISI web of science, EMBASE and Cochrane databases from January 1995 to December 2008, to ensure that all ART treatments were performed with conventional 3D techniques. In the absence of randomized controlled-studies, all observational cohort studies (longitudinal and historical) were initially considered. Ten retrospective cohort studies (where the use of concurrent CT was reported only in 2), met all inclusion criteria and were enrolled for final meta-analysis. Hazard ratio (HR) had to be extracted from survival curves using the Tierney et al. methods. MIX 1.7 statistical software was used for meta-analysis.\nResults\nAll studies on ART used conventional 3D-techniques. Patients in the ART cohorts were more likely to have involved surgical margins and positive lymph nodes. For extrahepatic cholangiocarcinoma location, ART significantly improved overall survival (HR 0.62; 95% CI 0.48 to 0.78, p&lt;0.001). Meta-analysis was not feasible for gallbladder cancer and ampullary cancer locations. Late radiation-induced toxicity was low (2–9% late obstruction or GI bleeding).\nConclusion\nIn the absence of randomized controlled studies, we found in the present systematic review and meta-analysis of observational studies that, patients with extrahepatic cholangiocarcinoma treated with adjuvant RT have a significant lower risk of dying compared to patients treated with surgery alone.","container-title":"Cancer Treatment Reviews","DOI":"10.1016/j.ctrv.2011.05.003","ISSN":"0305-7372","issue":"2","journalAbbreviation":"Cancer Treatment Reviews","language":"en","page":"111-119","source":"ScienceDirect","title":"Is adjuvant radiotherapy needed after curative resection of extrahepatic biliary tract cancers? A systematic review with a meta-analysis of observational studies","title-short":"Is adjuvant radiotherapy needed after curative resection of extrahepatic biliary tract cancers?","volume":"38","author":[{"family":"Bonet Beltrán","given":"Marta"},{"family":"Allal","given":"Abdelkarim S."},{"family":"Gich","given":"Ignasi"},{"family":"Solé","given":"Josep M."},{"family":"Carrió","given":"Ignasi"}],"issued":{"date-parts":[["2012",4,1]]}},"label":"page"},{"id":166988,"uris":["http://zotero.org/groups/4764298/items/CI65Q9UV"],"itemData":{"id":166988,"type":"article-journal","abstract":"The benefit of adjuvant radiotherapy (ART) for extrahepatic cholangiocarcinoma (EHCC) and gallbladder carcinoma (GBC) is unclear, with conflicting results from nonrandomized studies. We reported a meta-analysis to determine the impact of adjuvant radiotherapy on survival.","container-title":"Radiation Oncology","DOI":"10.1186/s13014-020-1459-x","ISSN":"1748-717X","issue":"1","journalAbbreviation":"Radiation Oncology","page":"15","source":"BioMed Central","title":"A meta-analysis of the efficacy of postoperative adjuvant radiotherapy versus no radiotherapy for extrahepatic cholangiocarcinoma and gallbladder carcinoma","volume":"15","author":[{"family":"Ren","given":"Bixin"},{"family":"Guo","given":"Qi"},{"family":"Yang","given":"Yongqiang"},{"family":"Liu","given":"Lei"},{"family":"Wei","given":"Shaohua"},{"family":"Chen","given":"Wei"},{"family":"Tian","given":"Ye"}],"issued":{"date-parts":[["2020",1,15]]}},"label":"page"},{"id":167040,"uris":["http://zotero.org/groups/4764298/items/TWM4KXRY"],"itemData":{"id":167040,"type":"article-journal","abstract":"&lt;b&gt;&lt;i&gt;Introduction:&lt;/i&gt;&lt;/b&gt; The benefits of adjuvant radiotherapy (ART) for extrahepatic cholangiocarcinoma are uncertain largely because existing publications lack clear comparisons between ART and non-ART arms. &lt;b&gt;&lt;i&gt;Methods:&lt;/i&gt;&lt;/b&gt; PubMed, Medline, Embase, and the Cochrane library were systematically searched until December 2020. The primary endpoint was overall survival (OS). Sensitivity analysis was performed for studies with reliable comparability (i.e., no favorable prognosticators in the ART arm that could skew the data). &lt;b&gt;&lt;i&gt;Results:&lt;/i&gt;&lt;/b&gt; Twenty-three studies involving 1,731 patients with extrahepatic cholangiocarcinoma were reviewed. The overall median of all median prescribed doses was 50.4 Gy; brachytherapy or an intraoperative boost of 10–21 Gy was applied in 5 studies. The pooled 1-, 3-, and 5-year OS rates in the non-ART and ART arms were 69.2% versus 81.0%, &lt;i&gt;p&lt;/i&gt; = 0.035; 34.3% versus 44.7%, &lt;i&gt;p&lt;/i&gt; = 0.025; 25.6% versus 31.7%, &lt;i&gt;p&lt;/i&gt; = 0.115, respectively. The corresponding pooled locoregional recurrence rates were 52.1% versus 34.9% (&lt;i&gt;p&lt;/i&gt; = 0.014). The pooled rate of grade ≥3 gastrointestinal complications was 9.8%. Sensitivity analysis performed on 14 eligible studies showed that the ART arms had a lower pooled R0 rate (36.8% vs. 63.2%, &lt;i&gt;p&lt;/i&gt; = 0.02) and a higher rate of positive lymph nodes (47.4% vs. 34.9%, &lt;i&gt;p&lt;/i&gt; = 0.08). The pooled 1-, 3-, and 5-year OS rates in the non-ART versus ART arms of the selected studies were 78.2% versus 84.9%, &lt;i&gt;p&lt;/i&gt; = 0.143; 38.5% versus 49.2%, &lt;i&gt;p&lt;/i&gt; = 0.026; and 27.8% versus 34.5%, &lt;i&gt;p&lt;/i&gt; = 0.11, respectively. &lt;b&gt;&lt;i&gt;Conclusions:&lt;/i&gt;&lt;/b&gt; ART was shown to improve OS in all studies and in those selected for their reliable comparability.","container-title":"Liver Cancer","DOI":"10.1159/000518298","ISSN":"2235-1795, 1664-5553","issue":"5","journalAbbreviation":"LIC","language":"english","note":"publisher: Karger Publishers\nPMID: 34721505","page":"419-432","source":"www.karger.com","title":"Adjuvant Radiotherapy for Extrahepatic Cholangiocarcinoma: A Quality Assessment-Based Meta-Analysis","title-short":"Adjuvant Radiotherapy for Extrahepatic Cholangiocarcinoma","volume":"10","author":[{"family":"Choi","given":"Seo Hee"},{"family":"Rim","given":"Chai Hong"},{"family":"Shin","given":"In-Soo"},{"family":"Yoon","given":"Won Sup"},{"family":"Koom","given":"Woong Sub"},{"family":"Seong","given":"Jinsil"}],"issued":{"date-parts":[["2021"]]}},"label":"page"}],"schema":"https://github.com/citation-style-language/schema/raw/master/csl-citation.json"} </w:instrText>
      </w:r>
      <w:r w:rsidRPr="00097824">
        <w:fldChar w:fldCharType="separate"/>
      </w:r>
      <w:r w:rsidRPr="00097824">
        <w:rPr>
          <w:szCs w:val="24"/>
        </w:rPr>
        <w:t>[130–132]</w:t>
      </w:r>
      <w:r w:rsidRPr="00097824">
        <w:fldChar w:fldCharType="end"/>
      </w:r>
      <w:r w:rsidRPr="00097824">
        <w:t xml:space="preserve"> в сочетании с </w:t>
      </w:r>
      <w:proofErr w:type="spellStart"/>
      <w:r w:rsidRPr="00097824">
        <w:t>фторпиримидинами</w:t>
      </w:r>
      <w:proofErr w:type="spellEnd"/>
      <w:r w:rsidR="001A519E" w:rsidRPr="00097824">
        <w:t xml:space="preserve"> (L01BC: Аналоги пиримидина)</w:t>
      </w:r>
      <w:r w:rsidRPr="00097824">
        <w:t xml:space="preserve">. Облучению подвергается ложе удаленной опухоли и регионарные зоны РД 2 Гр до СД 46 Г, при </w:t>
      </w:r>
      <w:r w:rsidRPr="00097824">
        <w:rPr>
          <w:rFonts w:eastAsiaTheme="minorEastAsia"/>
          <w:lang w:eastAsia="ja-JP"/>
        </w:rPr>
        <w:t>R1/R2 с последовательным «</w:t>
      </w:r>
      <w:proofErr w:type="spellStart"/>
      <w:r w:rsidRPr="00097824">
        <w:rPr>
          <w:rFonts w:eastAsiaTheme="minorEastAsia"/>
          <w:lang w:eastAsia="ja-JP"/>
        </w:rPr>
        <w:t>бустом</w:t>
      </w:r>
      <w:proofErr w:type="spellEnd"/>
      <w:r w:rsidRPr="00097824">
        <w:rPr>
          <w:rFonts w:eastAsiaTheme="minorEastAsia"/>
          <w:lang w:eastAsia="ja-JP"/>
        </w:rPr>
        <w:t>» до 50–60 Гр на ложе удаленной опухоли.</w:t>
      </w:r>
      <w:r w:rsidR="00E451BA" w:rsidRPr="00097824">
        <w:rPr>
          <w:rFonts w:eastAsiaTheme="minorEastAsia"/>
          <w:lang w:eastAsia="ja-JP"/>
        </w:rPr>
        <w:t xml:space="preserve"> </w:t>
      </w:r>
      <w:r w:rsidR="00E451BA" w:rsidRPr="00097824">
        <w:fldChar w:fldCharType="begin"/>
      </w:r>
      <w:r w:rsidR="00E451BA" w:rsidRPr="00097824">
        <w:instrText xml:space="preserve"> ADDIN ZOTERO_ITEM CSL_CITATION {"citationID":"xSQsiNtu","properties":{"formattedCitation":"[130\\uc0\\u8211{}132]","plainCitation":"[130–132]","noteIndex":0},"citationItems":[{"id":166618,"uris":["http://zotero.org/groups/4764298/items/CEF554RJ"],"itemData":{"id":166618,"type":"article-journal","abstract":"Background\nThe role for adjuvant radiotherapy (ART) after curative resection in extrahepatic cholangiocarcinoma remains unclear. Due to the lack of randomized trials, available data comes from single center experiences or data-based population studies with inconclusive results.\nObjective\nTo assess the impact of radiotherapy (with or without concurrent chemotherapy) on toxicity and survival of radically resected patients with extrahepatic bile duct cancer (extrahepatic cholangiocarcinoma, gallbladder cancer and pure ampullary cancer).\nData sources and study selection\nEligible studies with data on survival, recurrence and toxicity were retrieved from the MEDLINE, ISI web of science, EMBASE and Cochrane databases from January 1995 to December 2008, to ensure that all ART treatments were performed with conventional 3D techniques. In the absence of randomized controlled-studies, all observational cohort studies (longitudinal and historical) were initially considered. Ten retrospective cohort studies (where the use of concurrent CT was reported only in 2), met all inclusion criteria and were enrolled for final meta-analysis. Hazard ratio (HR) had to be extracted from survival curves using the Tierney et al. methods. MIX 1.7 statistical software was used for meta-analysis.\nResults\nAll studies on ART used conventional 3D-techniques. Patients in the ART cohorts were more likely to have involved surgical margins and positive lymph nodes. For extrahepatic cholangiocarcinoma location, ART significantly improved overall survival (HR 0.62; 95% CI 0.48 to 0.78, p&lt;0.001). Meta-analysis was not feasible for gallbladder cancer and ampullary cancer locations. Late radiation-induced toxicity was low (2–9% late obstruction or GI bleeding).\nConclusion\nIn the absence of randomized controlled studies, we found in the present systematic review and meta-analysis of observational studies that, patients with extrahepatic cholangiocarcinoma treated with adjuvant RT have a significant lower risk of dying compared to patients treated with surgery alone.","container-title":"Cancer Treatment Reviews","DOI":"10.1016/j.ctrv.2011.05.003","ISSN":"0305-7372","issue":"2","journalAbbreviation":"Cancer Treatment Reviews","language":"en","page":"111-119","source":"ScienceDirect","title":"Is adjuvant radiotherapy needed after curative resection of extrahepatic biliary tract cancers? A systematic review with a meta-analysis of observational studies","title-short":"Is adjuvant radiotherapy needed after curative resection of extrahepatic biliary tract cancers?","volume":"38","author":[{"family":"Bonet Beltrán","given":"Marta"},{"family":"Allal","given":"Abdelkarim S."},{"family":"Gich","given":"Ignasi"},{"family":"Solé","given":"Josep M."},{"family":"Carrió","given":"Ignasi"}],"issued":{"date-parts":[["2012",4,1]]}},"label":"page"},{"id":166988,"uris":["http://zotero.org/groups/4764298/items/CI65Q9UV"],"itemData":{"id":166988,"type":"article-journal","abstract":"The benefit of adjuvant radiotherapy (ART) for extrahepatic cholangiocarcinoma (EHCC) and gallbladder carcinoma (GBC) is unclear, with conflicting results from nonrandomized studies. We reported a meta-analysis to determine the impact of adjuvant radiotherapy on survival.","container-title":"Radiation Oncology","DOI":"10.1186/s13014-020-1459-x","ISSN":"1748-717X","issue":"1","journalAbbreviation":"Radiation Oncology","page":"15","source":"BioMed Central","title":"A meta-analysis of the efficacy of postoperative adjuvant radiotherapy versus no radiotherapy for extrahepatic cholangiocarcinoma and gallbladder carcinoma","volume":"15","author":[{"family":"Ren","given":"Bixin"},{"family":"Guo","given":"Qi"},{"family":"Yang","given":"Yongqiang"},{"family":"Liu","given":"Lei"},{"family":"Wei","given":"Shaohua"},{"family":"Chen","given":"Wei"},{"family":"Tian","given":"Ye"}],"issued":{"date-parts":[["2020",1,15]]}},"label":"page"},{"id":167040,"uris":["http://zotero.org/groups/4764298/items/TWM4KXRY"],"itemData":{"id":167040,"type":"article-journal","abstract":"&lt;b&gt;&lt;i&gt;Introduction:&lt;/i&gt;&lt;/b&gt; The benefits of adjuvant radiotherapy (ART) for extrahepatic cholangiocarcinoma are uncertain largely because existing publications lack clear comparisons between ART and non-ART arms. &lt;b&gt;&lt;i&gt;Methods:&lt;/i&gt;&lt;/b&gt; PubMed, Medline, Embase, and the Cochrane library were systematically searched until December 2020. The primary endpoint was overall survival (OS). Sensitivity analysis was performed for studies with reliable comparability (i.e., no favorable prognosticators in the ART arm that could skew the data). &lt;b&gt;&lt;i&gt;Results:&lt;/i&gt;&lt;/b&gt; Twenty-three studies involving 1,731 patients with extrahepatic cholangiocarcinoma were reviewed. The overall median of all median prescribed doses was 50.4 Gy; brachytherapy or an intraoperative boost of 10–21 Gy was applied in 5 studies. The pooled 1-, 3-, and 5-year OS rates in the non-ART and ART arms were 69.2% versus 81.0%, &lt;i&gt;p&lt;/i&gt; = 0.035; 34.3% versus 44.7%, &lt;i&gt;p&lt;/i&gt; = 0.025; 25.6% versus 31.7%, &lt;i&gt;p&lt;/i&gt; = 0.115, respectively. The corresponding pooled locoregional recurrence rates were 52.1% versus 34.9% (&lt;i&gt;p&lt;/i&gt; = 0.014). The pooled rate of grade ≥3 gastrointestinal complications was 9.8%. Sensitivity analysis performed on 14 eligible studies showed that the ART arms had a lower pooled R0 rate (36.8% vs. 63.2%, &lt;i&gt;p&lt;/i&gt; = 0.02) and a higher rate of positive lymph nodes (47.4% vs. 34.9%, &lt;i&gt;p&lt;/i&gt; = 0.08). The pooled 1-, 3-, and 5-year OS rates in the non-ART versus ART arms of the selected studies were 78.2% versus 84.9%, &lt;i&gt;p&lt;/i&gt; = 0.143; 38.5% versus 49.2%, &lt;i&gt;p&lt;/i&gt; = 0.026; and 27.8% versus 34.5%, &lt;i&gt;p&lt;/i&gt; = 0.11, respectively. &lt;b&gt;&lt;i&gt;Conclusions:&lt;/i&gt;&lt;/b&gt; ART was shown to improve OS in all studies and in those selected for their reliable comparability.","container-title":"Liver Cancer","DOI":"10.1159/000518298","ISSN":"2235-1795, 1664-5553","issue":"5","journalAbbreviation":"LIC","language":"english","note":"publisher: Karger Publishers\nPMID: 34721505","page":"419-432","source":"www.karger.com","title":"Adjuvant Radiotherapy for Extrahepatic Cholangiocarcinoma: A Quality Assessment-Based Meta-Analysis","title-short":"Adjuvant Radiotherapy for Extrahepatic Cholangiocarcinoma","volume":"10","author":[{"family":"Choi","given":"Seo Hee"},{"family":"Rim","given":"Chai Hong"},{"family":"Shin","given":"In-Soo"},{"family":"Yoon","given":"Won Sup"},{"family":"Koom","given":"Woong Sub"},{"family":"Seong","given":"Jinsil"}],"issued":{"date-parts":[["2021"]]}},"label":"page"}],"schema":"https://github.com/citation-style-language/schema/raw/master/csl-citation.json"} </w:instrText>
      </w:r>
      <w:r w:rsidR="00E451BA" w:rsidRPr="00097824">
        <w:fldChar w:fldCharType="separate"/>
      </w:r>
      <w:r w:rsidR="00E451BA" w:rsidRPr="00097824">
        <w:rPr>
          <w:szCs w:val="24"/>
        </w:rPr>
        <w:t>[90]</w:t>
      </w:r>
      <w:r w:rsidR="00E451BA" w:rsidRPr="00097824">
        <w:fldChar w:fldCharType="end"/>
      </w:r>
      <w:r w:rsidR="00E451BA" w:rsidRPr="00097824">
        <w:rPr>
          <w:lang w:val="en-US"/>
        </w:rPr>
        <w:t>.</w:t>
      </w:r>
    </w:p>
    <w:p w14:paraId="54EE7D62" w14:textId="59B24350" w:rsidR="0040655D" w:rsidRPr="00097824" w:rsidRDefault="0040655D" w:rsidP="00CC2BE1">
      <w:pPr>
        <w:pStyle w:val="1"/>
        <w:numPr>
          <w:ilvl w:val="0"/>
          <w:numId w:val="42"/>
        </w:numPr>
      </w:pPr>
      <w:r w:rsidRPr="00097824">
        <w:t xml:space="preserve">Стереотаксическая дистанционная лучевая терапия при неоперабельном внутрипечёночном или </w:t>
      </w:r>
      <w:proofErr w:type="spellStart"/>
      <w:r w:rsidRPr="00097824">
        <w:t>хилярном</w:t>
      </w:r>
      <w:proofErr w:type="spellEnd"/>
      <w:r w:rsidRPr="00097824">
        <w:t xml:space="preserve"> расположении опухоли в случае отсутствия иных методов лечения с использованием 3–5-дневного режима фракционирования дозы до СД 30–50 Гр [165].</w:t>
      </w:r>
    </w:p>
    <w:p w14:paraId="5C4CF0CA" w14:textId="22177BF6" w:rsidR="0040655D" w:rsidRPr="00097824" w:rsidRDefault="0040655D" w:rsidP="00C904C9">
      <w:pPr>
        <w:pStyle w:val="32"/>
        <w:ind w:firstLine="0"/>
        <w:rPr>
          <w:color w:val="auto"/>
        </w:rPr>
      </w:pPr>
      <w:r w:rsidRPr="00097824">
        <w:rPr>
          <w:color w:val="auto"/>
        </w:rPr>
        <w:t xml:space="preserve">Уровень убедительности рекомендаций – </w:t>
      </w:r>
      <w:r w:rsidR="00C254FF" w:rsidRPr="00097824">
        <w:rPr>
          <w:color w:val="auto"/>
          <w:lang w:val="en-US"/>
        </w:rPr>
        <w:t>B</w:t>
      </w:r>
      <w:r w:rsidR="00C254FF" w:rsidRPr="00097824">
        <w:rPr>
          <w:color w:val="auto"/>
        </w:rPr>
        <w:t xml:space="preserve"> </w:t>
      </w:r>
      <w:r w:rsidRPr="00097824">
        <w:rPr>
          <w:color w:val="auto"/>
        </w:rPr>
        <w:t xml:space="preserve">(уровень достоверности доказательств – </w:t>
      </w:r>
      <w:r w:rsidR="00C254FF" w:rsidRPr="00097824">
        <w:rPr>
          <w:color w:val="auto"/>
        </w:rPr>
        <w:t>3</w:t>
      </w:r>
      <w:r w:rsidRPr="00097824">
        <w:rPr>
          <w:color w:val="auto"/>
        </w:rPr>
        <w:t>)</w:t>
      </w:r>
    </w:p>
    <w:p w14:paraId="0EBE6D92" w14:textId="50933BBA" w:rsidR="0040655D" w:rsidRPr="00097824" w:rsidRDefault="0040655D" w:rsidP="0040655D">
      <w:pPr>
        <w:pStyle w:val="32"/>
        <w:rPr>
          <w:i/>
          <w:iCs/>
        </w:rPr>
      </w:pPr>
      <w:r w:rsidRPr="00097824">
        <w:rPr>
          <w:color w:val="auto"/>
        </w:rPr>
        <w:t xml:space="preserve">Комментарий: </w:t>
      </w:r>
      <w:r w:rsidRPr="00097824">
        <w:rPr>
          <w:b w:val="0"/>
          <w:bCs/>
          <w:i/>
          <w:iCs/>
          <w:color w:val="auto"/>
        </w:rPr>
        <w:t xml:space="preserve">по данным метаанализа проведение </w:t>
      </w:r>
      <w:proofErr w:type="spellStart"/>
      <w:r w:rsidRPr="00097824">
        <w:rPr>
          <w:b w:val="0"/>
          <w:bCs/>
          <w:i/>
          <w:iCs/>
          <w:color w:val="auto"/>
        </w:rPr>
        <w:t>адъювантной</w:t>
      </w:r>
      <w:proofErr w:type="spellEnd"/>
      <w:r w:rsidRPr="00097824">
        <w:rPr>
          <w:b w:val="0"/>
          <w:bCs/>
          <w:i/>
          <w:iCs/>
          <w:color w:val="auto"/>
        </w:rPr>
        <w:t xml:space="preserve"> ЛТ после радикальной резекции у пациентов с внепеченочной </w:t>
      </w:r>
      <w:proofErr w:type="spellStart"/>
      <w:r w:rsidRPr="00097824">
        <w:rPr>
          <w:b w:val="0"/>
          <w:bCs/>
          <w:i/>
          <w:iCs/>
          <w:color w:val="auto"/>
        </w:rPr>
        <w:t>холангиокарциномой</w:t>
      </w:r>
      <w:proofErr w:type="spellEnd"/>
      <w:r w:rsidRPr="00097824">
        <w:rPr>
          <w:b w:val="0"/>
          <w:bCs/>
          <w:i/>
          <w:iCs/>
          <w:color w:val="auto"/>
        </w:rPr>
        <w:t xml:space="preserve"> было ассоциировано с увеличением ОВ (HR = 0,62, 95% ДИ = 0,48–0,78, p &lt; 0,001)</w:t>
      </w:r>
      <w:r w:rsidRPr="00097824">
        <w:rPr>
          <w:b w:val="0"/>
          <w:bCs/>
          <w:color w:val="auto"/>
        </w:rPr>
        <w:fldChar w:fldCharType="begin"/>
      </w:r>
      <w:r w:rsidRPr="00097824">
        <w:rPr>
          <w:b w:val="0"/>
          <w:bCs/>
          <w:color w:val="auto"/>
        </w:rPr>
        <w:instrText xml:space="preserve"> ADDIN ZOTERO_ITEM CSL_CITATION {"citationID":"D2tfUtrS","properties":{"formattedCitation":"[130]","plainCitation":"[130]","noteIndex":0},"citationItems":[{"id":166618,"uris":["http://zotero.org/groups/4764298/items/CEF554RJ"],"itemData":{"id":166618,"type":"article-journal","abstract":"Background\nThe role for adjuvant radiotherapy (ART) after curative resection in extrahepatic cholangiocarcinoma remains unclear. Due to the lack of randomized trials, available data comes from single center experiences or data-based population studies with inconclusive results.\nObjective\nTo assess the impact of radiotherapy (with or without concurrent chemotherapy) on toxicity and survival of radically resected patients with extrahepatic bile duct cancer (extrahepatic cholangiocarcinoma, gallbladder cancer and pure ampullary cancer).\nData sources and study selection\nEligible studies with data on survival, recurrence and toxicity were retrieved from the MEDLINE, ISI web of science, EMBASE and Cochrane databases from January 1995 to December 2008, to ensure that all ART treatments were performed with conventional 3D techniques. In the absence of randomized controlled-studies, all observational cohort studies (longitudinal and historical) were initially considered. Ten retrospective cohort studies (where the use of concurrent CT was reported only in 2), met all inclusion criteria and were enrolled for final meta-analysis. Hazard ratio (HR) had to be extracted from survival curves using the Tierney et al. methods. MIX 1.7 statistical software was used for meta-analysis.\nResults\nAll studies on ART used conventional 3D-techniques. Patients in the ART cohorts were more likely to have involved surgical margins and positive lymph nodes. For extrahepatic cholangiocarcinoma location, ART significantly improved overall survival (HR 0.62; 95% CI 0.48 to 0.78, p&lt;0.001). Meta-analysis was not feasible for gallbladder cancer and ampullary cancer locations. Late radiation-induced toxicity was low (2–9% late obstruction or GI bleeding).\nConclusion\nIn the absence of randomized controlled studies, we found in the present systematic review and meta-analysis of observational studies that, patients with extrahepatic cholangiocarcinoma treated with adjuvant RT have a significant lower risk of dying compared to patients treated with surgery alone.","container-title":"Cancer Treatment Reviews","DOI":"10.1016/j.ctrv.2011.05.003","ISSN":"0305-7372","issue":"2","journalAbbreviation":"Cancer Treatment Reviews","language":"en","page":"111-119","source":"ScienceDirect","title":"Is adjuvant radiotherapy needed after curative resection of extrahepatic biliary tract cancers? A systematic review with a meta-analysis of observational studies","title-short":"Is adjuvant radiotherapy needed after curative resection of extrahepatic biliary tract cancers?","volume":"38","author":[{"family":"Bonet Beltrán","given":"Marta"},{"family":"Allal","given":"Abdelkarim S."},{"family":"Gich","given":"Ignasi"},{"family":"Solé","given":"Josep M."},{"family":"Carrió","given":"Ignasi"}],"issued":{"date-parts":[["2012",4,1]]}}}],"schema":"https://github.com/citation-style-language/schema/raw/master/csl-citation.json"} </w:instrText>
      </w:r>
      <w:r w:rsidRPr="00097824">
        <w:rPr>
          <w:b w:val="0"/>
          <w:bCs/>
          <w:color w:val="auto"/>
        </w:rPr>
        <w:fldChar w:fldCharType="separate"/>
      </w:r>
      <w:r w:rsidRPr="00097824">
        <w:t>[130]</w:t>
      </w:r>
      <w:r w:rsidRPr="00097824">
        <w:rPr>
          <w:b w:val="0"/>
          <w:bCs/>
          <w:color w:val="auto"/>
        </w:rPr>
        <w:fldChar w:fldCharType="end"/>
      </w:r>
      <w:r w:rsidRPr="00097824">
        <w:rPr>
          <w:b w:val="0"/>
          <w:bCs/>
          <w:color w:val="auto"/>
        </w:rPr>
        <w:t xml:space="preserve">. </w:t>
      </w:r>
      <w:r w:rsidRPr="00097824">
        <w:rPr>
          <w:b w:val="0"/>
          <w:bCs/>
          <w:i/>
          <w:iCs/>
          <w:color w:val="auto"/>
        </w:rPr>
        <w:t xml:space="preserve">У пациентов с внепеченочной </w:t>
      </w:r>
      <w:proofErr w:type="spellStart"/>
      <w:r w:rsidRPr="00097824">
        <w:rPr>
          <w:b w:val="0"/>
          <w:bCs/>
          <w:i/>
          <w:iCs/>
          <w:color w:val="auto"/>
        </w:rPr>
        <w:t>холангиокарциномой</w:t>
      </w:r>
      <w:proofErr w:type="spellEnd"/>
      <w:r w:rsidRPr="00097824">
        <w:rPr>
          <w:b w:val="0"/>
          <w:bCs/>
          <w:i/>
          <w:iCs/>
          <w:color w:val="auto"/>
        </w:rPr>
        <w:t xml:space="preserve"> или РЖП, получавших </w:t>
      </w:r>
      <w:proofErr w:type="spellStart"/>
      <w:r w:rsidRPr="00097824">
        <w:rPr>
          <w:b w:val="0"/>
          <w:bCs/>
          <w:i/>
          <w:iCs/>
          <w:color w:val="auto"/>
        </w:rPr>
        <w:t>адъювантную</w:t>
      </w:r>
      <w:proofErr w:type="spellEnd"/>
      <w:r w:rsidRPr="00097824">
        <w:rPr>
          <w:b w:val="0"/>
          <w:bCs/>
          <w:i/>
          <w:iCs/>
          <w:color w:val="auto"/>
        </w:rPr>
        <w:t xml:space="preserve"> ЛТ, пятилетняя ОВ была выше, чем у</w:t>
      </w:r>
      <w:r w:rsidR="002410CF" w:rsidRPr="00097824">
        <w:rPr>
          <w:b w:val="0"/>
          <w:bCs/>
          <w:i/>
          <w:iCs/>
          <w:color w:val="auto"/>
        </w:rPr>
        <w:t xml:space="preserve"> </w:t>
      </w:r>
      <w:r w:rsidRPr="00097824">
        <w:rPr>
          <w:b w:val="0"/>
          <w:bCs/>
          <w:i/>
          <w:iCs/>
          <w:color w:val="auto"/>
        </w:rPr>
        <w:t xml:space="preserve">пациентов не получавших </w:t>
      </w:r>
      <w:proofErr w:type="spellStart"/>
      <w:r w:rsidRPr="00097824">
        <w:rPr>
          <w:b w:val="0"/>
          <w:bCs/>
          <w:i/>
          <w:iCs/>
          <w:color w:val="auto"/>
        </w:rPr>
        <w:t>адъювантную</w:t>
      </w:r>
      <w:proofErr w:type="spellEnd"/>
      <w:r w:rsidRPr="00097824">
        <w:rPr>
          <w:b w:val="0"/>
          <w:bCs/>
          <w:i/>
          <w:iCs/>
          <w:color w:val="auto"/>
        </w:rPr>
        <w:t xml:space="preserve"> ЛТ (</w:t>
      </w:r>
      <w:r w:rsidRPr="00097824">
        <w:rPr>
          <w:b w:val="0"/>
          <w:bCs/>
          <w:i/>
          <w:iCs/>
          <w:color w:val="auto"/>
          <w:lang w:val="en-GB"/>
        </w:rPr>
        <w:t>OR</w:t>
      </w:r>
      <w:r w:rsidRPr="00097824">
        <w:rPr>
          <w:b w:val="0"/>
          <w:bCs/>
          <w:i/>
          <w:iCs/>
          <w:color w:val="auto"/>
        </w:rPr>
        <w:t xml:space="preserve"> = 0,63, 95% ДИ 0,50–0,81, </w:t>
      </w:r>
      <w:r w:rsidRPr="00097824">
        <w:rPr>
          <w:b w:val="0"/>
          <w:bCs/>
          <w:i/>
          <w:iCs/>
          <w:color w:val="auto"/>
          <w:lang w:val="en-GB"/>
        </w:rPr>
        <w:t>p</w:t>
      </w:r>
      <w:r w:rsidRPr="00097824">
        <w:rPr>
          <w:b w:val="0"/>
          <w:bCs/>
          <w:i/>
          <w:iCs/>
          <w:color w:val="auto"/>
        </w:rPr>
        <w:t xml:space="preserve"> = 0,0002). </w:t>
      </w:r>
      <w:proofErr w:type="spellStart"/>
      <w:r w:rsidRPr="00097824">
        <w:rPr>
          <w:b w:val="0"/>
          <w:bCs/>
          <w:i/>
          <w:iCs/>
          <w:color w:val="auto"/>
        </w:rPr>
        <w:t>Адъювантная</w:t>
      </w:r>
      <w:proofErr w:type="spellEnd"/>
      <w:r w:rsidRPr="00097824">
        <w:rPr>
          <w:b w:val="0"/>
          <w:bCs/>
          <w:i/>
          <w:iCs/>
          <w:color w:val="auto"/>
        </w:rPr>
        <w:t xml:space="preserve"> ЛТ также увеличивала пятилетнюю ОВ у пациентов с распространением опухолевого процесса в лимфатические узлы (</w:t>
      </w:r>
      <w:r w:rsidRPr="00097824">
        <w:rPr>
          <w:b w:val="0"/>
          <w:bCs/>
          <w:i/>
          <w:iCs/>
          <w:color w:val="auto"/>
          <w:lang w:val="en-GB"/>
        </w:rPr>
        <w:t>OR</w:t>
      </w:r>
      <w:r w:rsidRPr="00097824">
        <w:rPr>
          <w:b w:val="0"/>
          <w:bCs/>
          <w:i/>
          <w:iCs/>
          <w:color w:val="auto"/>
        </w:rPr>
        <w:t xml:space="preserve"> = 0,15, 95% ДИ 0,07–0,35, </w:t>
      </w:r>
      <w:r w:rsidRPr="00097824">
        <w:rPr>
          <w:b w:val="0"/>
          <w:bCs/>
          <w:i/>
          <w:iCs/>
          <w:color w:val="auto"/>
          <w:lang w:val="en-GB"/>
        </w:rPr>
        <w:t>p</w:t>
      </w:r>
      <w:r w:rsidRPr="00097824">
        <w:rPr>
          <w:b w:val="0"/>
          <w:bCs/>
          <w:i/>
          <w:iCs/>
          <w:color w:val="auto"/>
        </w:rPr>
        <w:t>&lt; 0,00001) и у пациентов с наличием опухолевых клеток по краю резекции (</w:t>
      </w:r>
      <w:r w:rsidRPr="00097824">
        <w:rPr>
          <w:b w:val="0"/>
          <w:bCs/>
          <w:i/>
          <w:iCs/>
          <w:color w:val="auto"/>
          <w:lang w:val="en-GB"/>
        </w:rPr>
        <w:t>OR</w:t>
      </w:r>
      <w:r w:rsidRPr="00097824">
        <w:rPr>
          <w:b w:val="0"/>
          <w:bCs/>
          <w:i/>
          <w:iCs/>
          <w:color w:val="auto"/>
        </w:rPr>
        <w:t xml:space="preserve"> = 0,40, 95% ДИ 0,19–0,85, </w:t>
      </w:r>
      <w:r w:rsidRPr="00097824">
        <w:rPr>
          <w:b w:val="0"/>
          <w:bCs/>
          <w:i/>
          <w:iCs/>
          <w:color w:val="auto"/>
          <w:lang w:val="en-GB"/>
        </w:rPr>
        <w:t>p</w:t>
      </w:r>
      <w:r w:rsidRPr="00097824">
        <w:rPr>
          <w:b w:val="0"/>
          <w:bCs/>
          <w:i/>
          <w:iCs/>
          <w:color w:val="auto"/>
        </w:rPr>
        <w:t xml:space="preserve"> = 0,02)</w:t>
      </w:r>
      <w:r w:rsidRPr="00097824">
        <w:rPr>
          <w:b w:val="0"/>
          <w:bCs/>
          <w:i/>
          <w:iCs/>
          <w:color w:val="auto"/>
        </w:rPr>
        <w:fldChar w:fldCharType="begin"/>
      </w:r>
      <w:r w:rsidRPr="00097824">
        <w:rPr>
          <w:b w:val="0"/>
          <w:bCs/>
          <w:i/>
          <w:iCs/>
          <w:color w:val="auto"/>
        </w:rPr>
        <w:instrText xml:space="preserve"> ADDIN ZOTERO_ITEM CSL_CITATION {"citationID":"ld5vw2t1","properties":{"formattedCitation":"[131]","plainCitation":"[131]","noteIndex":0},"citationItems":[{"id":166988,"uris":["http://zotero.org/groups/4764298/items/CI65Q9UV"],"itemData":{"id":166988,"type":"article-journal","abstract":"The benefit of adjuvant radiotherapy (ART) for extrahepatic cholangiocarcinoma (EHCC) and gallbladder carcinoma (GBC) is unclear, with conflicting results from nonrandomized studies. We reported a meta-analysis to determine the impact of adjuvant radiotherapy on survival.","container-title":"Radiation Oncology","DOI":"10.1186/s13014-020-1459-x","ISSN":"1748-717X","issue":"1","journalAbbreviation":"Radiation Oncology","page":"15","source":"BioMed Central","title":"A meta-analysis of the efficacy of postoperative adjuvant radiotherapy versus no radiotherapy for extrahepatic cholangiocarcinoma and gallbladder carcinoma","volume":"15","author":[{"family":"Ren","given":"Bixin"},{"family":"Guo","given":"Qi"},{"family":"Yang","given":"Yongqiang"},{"family":"Liu","given":"Lei"},{"family":"Wei","given":"Shaohua"},{"family":"Chen","given":"Wei"},{"family":"Tian","given":"Ye"}],"issued":{"date-parts":[["2020",1,15]]}}}],"schema":"https://github.com/citation-style-language/schema/raw/master/csl-citation.json"} </w:instrText>
      </w:r>
      <w:r w:rsidRPr="00097824">
        <w:rPr>
          <w:b w:val="0"/>
          <w:bCs/>
          <w:i/>
          <w:iCs/>
          <w:color w:val="auto"/>
        </w:rPr>
        <w:fldChar w:fldCharType="separate"/>
      </w:r>
      <w:r w:rsidRPr="00097824">
        <w:rPr>
          <w:b w:val="0"/>
        </w:rPr>
        <w:t>[131]</w:t>
      </w:r>
      <w:r w:rsidRPr="00097824">
        <w:rPr>
          <w:b w:val="0"/>
          <w:bCs/>
          <w:i/>
          <w:iCs/>
          <w:color w:val="auto"/>
        </w:rPr>
        <w:fldChar w:fldCharType="end"/>
      </w:r>
      <w:r w:rsidRPr="00097824">
        <w:rPr>
          <w:b w:val="0"/>
          <w:bCs/>
          <w:i/>
          <w:iCs/>
          <w:color w:val="auto"/>
        </w:rPr>
        <w:t>.</w:t>
      </w:r>
    </w:p>
    <w:p w14:paraId="29BF07D2" w14:textId="77777777" w:rsidR="00E451BA" w:rsidRPr="00097824" w:rsidRDefault="00783BE4" w:rsidP="00C904C9">
      <w:pPr>
        <w:pStyle w:val="1"/>
        <w:numPr>
          <w:ilvl w:val="0"/>
          <w:numId w:val="0"/>
        </w:numPr>
        <w:rPr>
          <w:b/>
        </w:rPr>
      </w:pPr>
      <w:r w:rsidRPr="00097824">
        <w:t xml:space="preserve">Данные об объёмах и дозах ЛТ основаны на рандомизированном исследовании </w:t>
      </w:r>
      <w:r w:rsidRPr="00097824">
        <w:rPr>
          <w:lang w:val="en-US"/>
        </w:rPr>
        <w:t>II</w:t>
      </w:r>
      <w:r w:rsidRPr="00097824">
        <w:t xml:space="preserve"> фазы, в котором лучевая терапия пациентам применялась как с использованием технологии 3</w:t>
      </w:r>
      <w:r w:rsidRPr="00097824">
        <w:rPr>
          <w:lang w:val="en-US"/>
        </w:rPr>
        <w:t>D</w:t>
      </w:r>
      <w:r w:rsidRPr="00097824">
        <w:t xml:space="preserve">-конформной лучевой терапии, так и технологии </w:t>
      </w:r>
      <w:r w:rsidRPr="00097824">
        <w:rPr>
          <w:lang w:val="en-US"/>
        </w:rPr>
        <w:t>IMRT</w:t>
      </w:r>
      <w:r w:rsidRPr="00097824">
        <w:t>, однако отличался режим формирования последовательного «</w:t>
      </w:r>
      <w:proofErr w:type="spellStart"/>
      <w:r w:rsidRPr="00097824">
        <w:t>буста</w:t>
      </w:r>
      <w:proofErr w:type="spellEnd"/>
      <w:r w:rsidRPr="00097824">
        <w:t>»: при использовании 3</w:t>
      </w:r>
      <w:r w:rsidRPr="00097824">
        <w:rPr>
          <w:lang w:val="en-US"/>
        </w:rPr>
        <w:t>D</w:t>
      </w:r>
      <w:r w:rsidRPr="00097824">
        <w:t xml:space="preserve">-конформной лучевой терапии после облучения </w:t>
      </w:r>
      <w:proofErr w:type="spellStart"/>
      <w:r w:rsidRPr="00097824">
        <w:t>лимфоколлектора</w:t>
      </w:r>
      <w:proofErr w:type="spellEnd"/>
      <w:r w:rsidRPr="00097824">
        <w:t xml:space="preserve"> и ложа удалённой опухоли проводился «</w:t>
      </w:r>
      <w:proofErr w:type="spellStart"/>
      <w:r w:rsidRPr="00097824">
        <w:t>буст</w:t>
      </w:r>
      <w:proofErr w:type="spellEnd"/>
      <w:r w:rsidRPr="00097824">
        <w:t xml:space="preserve">» до 54 Гр и 59,4 Гр в случае </w:t>
      </w:r>
      <w:r w:rsidRPr="00097824">
        <w:rPr>
          <w:lang w:val="en-US"/>
        </w:rPr>
        <w:t>R</w:t>
      </w:r>
      <w:r w:rsidRPr="00097824">
        <w:t xml:space="preserve">1-резекции, в случае использования технологии </w:t>
      </w:r>
      <w:r w:rsidRPr="00097824">
        <w:rPr>
          <w:lang w:val="en-US"/>
        </w:rPr>
        <w:t>IMRT</w:t>
      </w:r>
      <w:r w:rsidRPr="00097824">
        <w:t xml:space="preserve"> – до 52,5 Гр и 55 Гр в случае </w:t>
      </w:r>
      <w:r w:rsidRPr="00097824">
        <w:rPr>
          <w:lang w:val="en-US"/>
        </w:rPr>
        <w:t>R</w:t>
      </w:r>
      <w:r w:rsidRPr="00097824">
        <w:t>1-резекции</w:t>
      </w:r>
      <w:r w:rsidR="00E451BA" w:rsidRPr="00097824">
        <w:t xml:space="preserve"> </w:t>
      </w:r>
      <w:r w:rsidR="00E451BA" w:rsidRPr="00097824">
        <w:fldChar w:fldCharType="begin"/>
      </w:r>
      <w:r w:rsidR="00E451BA" w:rsidRPr="00097824">
        <w:instrText xml:space="preserve"> ADDIN ZOTERO_ITEM CSL_CITATION {"citationID":"xSQsiNtu","properties":{"formattedCitation":"[130\\uc0\\u8211{}132]","plainCitation":"[130–132]","noteIndex":0},"citationItems":[{"id":166618,"uris":["http://zotero.org/groups/4764298/items/CEF554RJ"],"itemData":{"id":166618,"type":"article-journal","abstract":"Background\nThe role for adjuvant radiotherapy (ART) after curative resection in extrahepatic cholangiocarcinoma remains unclear. Due to the lack of randomized trials, available data comes from single center experiences or data-based population studies with inconclusive results.\nObjective\nTo assess the impact of radiotherapy (with or without concurrent chemotherapy) on toxicity and survival of radically resected patients with extrahepatic bile duct cancer (extrahepatic cholangiocarcinoma, gallbladder cancer and pure ampullary cancer).\nData sources and study selection\nEligible studies with data on survival, recurrence and toxicity were retrieved from the MEDLINE, ISI web of science, EMBASE and Cochrane databases from January 1995 to December 2008, to ensure that all ART treatments were performed with conventional 3D techniques. In the absence of randomized controlled-studies, all observational cohort studies (longitudinal and historical) were initially considered. Ten retrospective cohort studies (where the use of concurrent CT was reported only in 2), met all inclusion criteria and were enrolled for final meta-analysis. Hazard ratio (HR) had to be extracted from survival curves using the Tierney et al. methods. MIX 1.7 statistical software was used for meta-analysis.\nResults\nAll studies on ART used conventional 3D-techniques. Patients in the ART cohorts were more likely to have involved surgical margins and positive lymph nodes. For extrahepatic cholangiocarcinoma location, ART significantly improved overall survival (HR 0.62; 95% CI 0.48 to 0.78, p&lt;0.001). Meta-analysis was not feasible for gallbladder cancer and ampullary cancer locations. Late radiation-induced toxicity was low (2–9% late obstruction or GI bleeding).\nConclusion\nIn the absence of randomized controlled studies, we found in the present systematic review and meta-analysis of observational studies that, patients with extrahepatic cholangiocarcinoma treated with adjuvant RT have a significant lower risk of dying compared to patients treated with surgery alone.","container-title":"Cancer Treatment Reviews","DOI":"10.1016/j.ctrv.2011.05.003","ISSN":"0305-7372","issue":"2","journalAbbreviation":"Cancer Treatment Reviews","language":"en","page":"111-119","source":"ScienceDirect","title":"Is adjuvant radiotherapy needed after curative resection of extrahepatic biliary tract cancers? A systematic review with a meta-analysis of observational studies","title-short":"Is adjuvant radiotherapy needed after curative resection of extrahepatic biliary tract cancers?","volume":"38","author":[{"family":"Bonet Beltrán","given":"Marta"},{"family":"Allal","given":"Abdelkarim S."},{"family":"Gich","given":"Ignasi"},{"family":"Solé","given":"Josep M."},{"family":"Carrió","given":"Ignasi"}],"issued":{"date-parts":[["2012",4,1]]}},"label":"page"},{"id":166988,"uris":["http://zotero.org/groups/4764298/items/CI65Q9UV"],"itemData":{"id":166988,"type":"article-journal","abstract":"The benefit of adjuvant radiotherapy (ART) for extrahepatic cholangiocarcinoma (EHCC) and gallbladder carcinoma (GBC) is unclear, with conflicting results from nonrandomized studies. We reported a meta-analysis to determine the impact of adjuvant radiotherapy on survival.","container-title":"Radiation Oncology","DOI":"10.1186/s13014-020-1459-x","ISSN":"1748-717X","issue":"1","journalAbbreviation":"Radiation Oncology","page":"15","source":"BioMed Central","title":"A meta-analysis of the efficacy of postoperative adjuvant radiotherapy versus no radiotherapy for extrahepatic cholangiocarcinoma and gallbladder carcinoma","volume":"15","author":[{"family":"Ren","given":"Bixin"},{"family":"Guo","given":"Qi"},{"family":"Yang","given":"Yongqiang"},{"family":"Liu","given":"Lei"},{"family":"Wei","given":"Shaohua"},{"family":"Chen","given":"Wei"},{"family":"Tian","given":"Ye"}],"issued":{"date-parts":[["2020",1,15]]}},"label":"page"},{"id":167040,"uris":["http://zotero.org/groups/4764298/items/TWM4KXRY"],"itemData":{"id":167040,"type":"article-journal","abstract":"&lt;b&gt;&lt;i&gt;Introduction:&lt;/i&gt;&lt;/b&gt; The benefits of adjuvant radiotherapy (ART) for extrahepatic cholangiocarcinoma are uncertain largely because existing publications lack clear comparisons between ART and non-ART arms. &lt;b&gt;&lt;i&gt;Methods:&lt;/i&gt;&lt;/b&gt; PubMed, Medline, Embase, and the Cochrane library were systematically searched until December 2020. The primary endpoint was overall survival (OS). Sensitivity analysis was performed for studies with reliable comparability (i.e., no favorable prognosticators in the ART arm that could skew the data). &lt;b&gt;&lt;i&gt;Results:&lt;/i&gt;&lt;/b&gt; Twenty-three studies involving 1,731 patients with extrahepatic cholangiocarcinoma were reviewed. The overall median of all median prescribed doses was 50.4 Gy; brachytherapy or an intraoperative boost of 10–21 Gy was applied in 5 studies. The pooled 1-, 3-, and 5-year OS rates in the non-ART and ART arms were 69.2% versus 81.0%, &lt;i&gt;p&lt;/i&gt; = 0.035; 34.3% versus 44.7%, &lt;i&gt;p&lt;/i&gt; = 0.025; 25.6% versus 31.7%, &lt;i&gt;p&lt;/i&gt; = 0.115, respectively. The corresponding pooled locoregional recurrence rates were 52.1% versus 34.9% (&lt;i&gt;p&lt;/i&gt; = 0.014). The pooled rate of grade ≥3 gastrointestinal complications was 9.8%. Sensitivity analysis performed on 14 eligible studies showed that the ART arms had a lower pooled R0 rate (36.8% vs. 63.2%, &lt;i&gt;p&lt;/i&gt; = 0.02) and a higher rate of positive lymph nodes (47.4% vs. 34.9%, &lt;i&gt;p&lt;/i&gt; = 0.08). The pooled 1-, 3-, and 5-year OS rates in the non-ART versus ART arms of the selected studies were 78.2% versus 84.9%, &lt;i&gt;p&lt;/i&gt; = 0.143; 38.5% versus 49.2%, &lt;i&gt;p&lt;/i&gt; = 0.026; and 27.8% versus 34.5%, &lt;i&gt;p&lt;/i&gt; = 0.11, respectively. &lt;b&gt;&lt;i&gt;Conclusions:&lt;/i&gt;&lt;/b&gt; ART was shown to improve OS in all studies and in those selected for their reliable comparability.","container-title":"Liver Cancer","DOI":"10.1159/000518298","ISSN":"2235-1795, 1664-5553","issue":"5","journalAbbreviation":"LIC","language":"english","note":"publisher: Karger Publishers\nPMID: 34721505","page":"419-432","source":"www.karger.com","title":"Adjuvant Radiotherapy for Extrahepatic Cholangiocarcinoma: A Quality Assessment-Based Meta-Analysis","title-short":"Adjuvant Radiotherapy for Extrahepatic Cholangiocarcinoma","volume":"10","author":[{"family":"Choi","given":"Seo Hee"},{"family":"Rim","given":"Chai Hong"},{"family":"Shin","given":"In-Soo"},{"family":"Yoon","given":"Won Sup"},{"family":"Koom","given":"Woong Sub"},{"family":"Seong","given":"Jinsil"}],"issued":{"date-parts":[["2021"]]}},"label":"page"}],"schema":"https://github.com/citation-style-language/schema/raw/master/csl-citation.json"} </w:instrText>
      </w:r>
      <w:r w:rsidR="00E451BA" w:rsidRPr="00097824">
        <w:fldChar w:fldCharType="separate"/>
      </w:r>
      <w:r w:rsidR="00E451BA" w:rsidRPr="00097824">
        <w:rPr>
          <w:szCs w:val="24"/>
        </w:rPr>
        <w:t>[90.]</w:t>
      </w:r>
      <w:r w:rsidR="00E451BA" w:rsidRPr="00097824">
        <w:fldChar w:fldCharType="end"/>
      </w:r>
      <w:r w:rsidRPr="00097824">
        <w:t xml:space="preserve"> </w:t>
      </w:r>
      <w:r w:rsidR="00E451BA" w:rsidRPr="00097824" w:rsidDel="00E451BA">
        <w:t xml:space="preserve"> </w:t>
      </w:r>
    </w:p>
    <w:p w14:paraId="3A7E3B01" w14:textId="79FB4084" w:rsidR="0040655D" w:rsidRPr="00097824" w:rsidRDefault="00E451BA" w:rsidP="00C904C9">
      <w:pPr>
        <w:pStyle w:val="1"/>
        <w:numPr>
          <w:ilvl w:val="0"/>
          <w:numId w:val="0"/>
        </w:numPr>
        <w:rPr>
          <w:b/>
        </w:rPr>
      </w:pPr>
      <w:r w:rsidRPr="00097824">
        <w:t xml:space="preserve">Комментарий: </w:t>
      </w:r>
      <w:r w:rsidRPr="00097824">
        <w:rPr>
          <w:i/>
          <w:iCs/>
        </w:rPr>
        <w:t xml:space="preserve">в случае отсутствия возможности применения указанных выше методик и/или опыта проведения ЛТ </w:t>
      </w:r>
      <w:proofErr w:type="spellStart"/>
      <w:r w:rsidRPr="00097824">
        <w:rPr>
          <w:i/>
          <w:iCs/>
        </w:rPr>
        <w:t>билиарного</w:t>
      </w:r>
      <w:proofErr w:type="spellEnd"/>
      <w:r w:rsidRPr="00097824">
        <w:rPr>
          <w:i/>
          <w:iCs/>
        </w:rPr>
        <w:t xml:space="preserve"> тракта</w:t>
      </w:r>
      <w:r w:rsidR="00AA52DF" w:rsidRPr="00097824">
        <w:rPr>
          <w:i/>
          <w:iCs/>
        </w:rPr>
        <w:t>,</w:t>
      </w:r>
      <w:r w:rsidRPr="00097824">
        <w:rPr>
          <w:i/>
          <w:iCs/>
        </w:rPr>
        <w:t xml:space="preserve"> </w:t>
      </w:r>
      <w:r w:rsidR="00AA52DF" w:rsidRPr="00097824">
        <w:rPr>
          <w:i/>
          <w:iCs/>
        </w:rPr>
        <w:t>пациент</w:t>
      </w:r>
      <w:r w:rsidR="00AA52DF" w:rsidRPr="00097824" w:rsidDel="00AA52DF">
        <w:rPr>
          <w:i/>
          <w:iCs/>
        </w:rPr>
        <w:t xml:space="preserve"> </w:t>
      </w:r>
      <w:r w:rsidR="00AA52DF" w:rsidRPr="00097824">
        <w:rPr>
          <w:i/>
          <w:iCs/>
        </w:rPr>
        <w:t>н</w:t>
      </w:r>
      <w:r w:rsidRPr="00097824">
        <w:rPr>
          <w:i/>
          <w:iCs/>
        </w:rPr>
        <w:t>аправл</w:t>
      </w:r>
      <w:r w:rsidR="00AA52DF" w:rsidRPr="00097824">
        <w:rPr>
          <w:i/>
          <w:iCs/>
        </w:rPr>
        <w:t>яется</w:t>
      </w:r>
      <w:r w:rsidRPr="00097824">
        <w:rPr>
          <w:i/>
          <w:iCs/>
        </w:rPr>
        <w:t xml:space="preserve"> в центры более высокого экспертного уровня.</w:t>
      </w:r>
    </w:p>
    <w:p w14:paraId="61DEE81C" w14:textId="78D726C6" w:rsidR="00A63261" w:rsidRPr="00097824" w:rsidRDefault="0040655D" w:rsidP="00C904C9">
      <w:pPr>
        <w:pStyle w:val="1"/>
        <w:numPr>
          <w:ilvl w:val="0"/>
          <w:numId w:val="0"/>
        </w:numPr>
      </w:pPr>
      <w:r w:rsidRPr="00097824">
        <w:rPr>
          <w:b/>
        </w:rPr>
        <w:lastRenderedPageBreak/>
        <w:t xml:space="preserve">Уровень убедительности рекомендаций – </w:t>
      </w:r>
      <w:r w:rsidRPr="00097824">
        <w:rPr>
          <w:b/>
          <w:lang w:val="en-US"/>
        </w:rPr>
        <w:t>B</w:t>
      </w:r>
      <w:r w:rsidRPr="00097824">
        <w:rPr>
          <w:b/>
        </w:rPr>
        <w:t xml:space="preserve"> (уровень достоверности доказательств – 4)</w:t>
      </w:r>
    </w:p>
    <w:p w14:paraId="3F7B61F3" w14:textId="4E99D9C0" w:rsidR="00CD17D7" w:rsidRPr="00097824" w:rsidRDefault="00CD17D7" w:rsidP="00AD4A9F">
      <w:pPr>
        <w:pStyle w:val="10"/>
        <w:spacing w:before="0"/>
        <w:ind w:left="397" w:firstLine="357"/>
      </w:pPr>
      <w:bookmarkStart w:id="99" w:name="__RefHeading___doc_4"/>
      <w:bookmarkStart w:id="100" w:name="_Toc11747746"/>
      <w:bookmarkStart w:id="101" w:name="_Toc23142734"/>
      <w:bookmarkStart w:id="102" w:name="_Toc113198774"/>
      <w:bookmarkStart w:id="103" w:name="_Toc113205065"/>
      <w:r w:rsidRPr="00097824">
        <w:t xml:space="preserve">4. </w:t>
      </w:r>
      <w:bookmarkEnd w:id="99"/>
      <w:bookmarkEnd w:id="100"/>
      <w:bookmarkEnd w:id="101"/>
      <w:r w:rsidR="00536F95" w:rsidRPr="00097824">
        <w:t>Медицинская реабилитация и санаторно-курортное лечение, медицинские показания и противопоказания к применению методов реабилитации, в том числе основанных на использовании природных лечебных факторов</w:t>
      </w:r>
      <w:bookmarkEnd w:id="102"/>
      <w:bookmarkEnd w:id="103"/>
    </w:p>
    <w:p w14:paraId="7B6970B4" w14:textId="005DD24F" w:rsidR="0007790E" w:rsidRPr="00097824" w:rsidRDefault="0007790E" w:rsidP="00AD4A9F">
      <w:pPr>
        <w:pStyle w:val="1"/>
        <w:spacing w:before="0"/>
        <w:ind w:left="397" w:firstLine="357"/>
        <w:rPr>
          <w:rFonts w:eastAsia="MS Mincho"/>
          <w:shd w:val="clear" w:color="auto" w:fill="FFFFFF"/>
        </w:rPr>
      </w:pPr>
      <w:bookmarkStart w:id="104" w:name="__RefHeading___doc_5"/>
      <w:r w:rsidRPr="00097824">
        <w:rPr>
          <w:rFonts w:eastAsia="MS Mincho"/>
          <w:shd w:val="clear" w:color="auto" w:fill="FFFFFF"/>
        </w:rPr>
        <w:t>Рекомендуется проводить реабилитацию, ориентируясь на общие принципы реабилитации пациентов после проведенных хирургических вмешательств и/или химиотерапии</w:t>
      </w:r>
      <w:r w:rsidR="007F5427" w:rsidRPr="00097824">
        <w:rPr>
          <w:rFonts w:eastAsia="MS Mincho"/>
          <w:shd w:val="clear" w:color="auto" w:fill="FFFFFF"/>
        </w:rPr>
        <w:fldChar w:fldCharType="begin"/>
      </w:r>
      <w:r w:rsidR="009C5D7D" w:rsidRPr="00097824">
        <w:rPr>
          <w:rFonts w:eastAsia="MS Mincho"/>
          <w:shd w:val="clear" w:color="auto" w:fill="FFFFFF"/>
        </w:rPr>
        <w:instrText xml:space="preserve"> ADDIN ZOTERO_ITEM CSL_CITATION {"citationID":"qaTe6uHX","properties":{"formattedCitation":"[133]","plainCitation":"[133]","noteIndex":0},"citationItems":[{"id":167116,"uris":["http://zotero.org/groups/4764298/items/DPBUV3LY"],"itemData":{"id":167116,"type":"chapter","container-title":"Cardio-Oncology: Principles, Prevention and Management","page":"279–296","publisher":"Elsevier Inc.","source":"Google Scholar","title":"Principles of Cancer Rehabilitation","author":[{"family":"Asher","given":"A."},{"family":"Ng","given":"A."},{"family":"Engle","given":"J."}],"issued":{"date-parts":[["2017"]]}}}],"schema":"https://github.com/citation-style-language/schema/raw/master/csl-citation.json"} </w:instrText>
      </w:r>
      <w:r w:rsidR="007F5427" w:rsidRPr="00097824">
        <w:rPr>
          <w:rFonts w:eastAsia="MS Mincho"/>
          <w:shd w:val="clear" w:color="auto" w:fill="FFFFFF"/>
        </w:rPr>
        <w:fldChar w:fldCharType="separate"/>
      </w:r>
      <w:r w:rsidR="009C5D7D" w:rsidRPr="00097824">
        <w:rPr>
          <w:rFonts w:eastAsia="MS Mincho"/>
        </w:rPr>
        <w:t>[133]</w:t>
      </w:r>
      <w:r w:rsidR="007F5427" w:rsidRPr="00097824">
        <w:rPr>
          <w:rFonts w:eastAsia="MS Mincho"/>
          <w:shd w:val="clear" w:color="auto" w:fill="FFFFFF"/>
        </w:rPr>
        <w:fldChar w:fldCharType="end"/>
      </w:r>
      <w:r w:rsidRPr="00097824">
        <w:rPr>
          <w:rFonts w:eastAsia="MS Mincho"/>
          <w:shd w:val="clear" w:color="auto" w:fill="FFFFFF"/>
        </w:rPr>
        <w:t>.</w:t>
      </w:r>
    </w:p>
    <w:p w14:paraId="1715A9E5" w14:textId="0DBABD09" w:rsidR="00DB05ED" w:rsidRPr="00097824" w:rsidRDefault="007F5427" w:rsidP="00C904C9">
      <w:pPr>
        <w:pStyle w:val="32"/>
        <w:spacing w:after="240"/>
        <w:ind w:firstLine="0"/>
        <w:rPr>
          <w:color w:val="auto"/>
        </w:rPr>
      </w:pPr>
      <w:r w:rsidRPr="00097824">
        <w:rPr>
          <w:color w:val="auto"/>
        </w:rPr>
        <w:t>Уровень</w:t>
      </w:r>
      <w:r w:rsidR="001E7196" w:rsidRPr="00097824">
        <w:rPr>
          <w:color w:val="auto"/>
        </w:rPr>
        <w:t xml:space="preserve"> </w:t>
      </w:r>
      <w:r w:rsidRPr="00097824">
        <w:rPr>
          <w:color w:val="auto"/>
        </w:rPr>
        <w:t>убедительности рекомендаций – С (уровень достоверности доказательств – 5)</w:t>
      </w:r>
    </w:p>
    <w:p w14:paraId="35237D73" w14:textId="77777777" w:rsidR="00CD17D7" w:rsidRPr="00097824" w:rsidRDefault="00CD17D7" w:rsidP="00C904C9">
      <w:pPr>
        <w:pStyle w:val="10"/>
        <w:spacing w:before="0"/>
        <w:ind w:left="397" w:firstLine="357"/>
        <w:jc w:val="both"/>
      </w:pPr>
      <w:bookmarkStart w:id="105" w:name="_Toc11747747"/>
      <w:bookmarkStart w:id="106" w:name="_Toc23142735"/>
      <w:bookmarkStart w:id="107" w:name="_Toc113198775"/>
      <w:bookmarkStart w:id="108" w:name="_Toc113205066"/>
      <w:r w:rsidRPr="00097824">
        <w:t xml:space="preserve">5. </w:t>
      </w:r>
      <w:bookmarkEnd w:id="104"/>
      <w:bookmarkEnd w:id="105"/>
      <w:bookmarkEnd w:id="106"/>
      <w:r w:rsidR="001B0BC9" w:rsidRPr="00097824">
        <w:t>Профилактика и диспансерное наблюдение, медицинские показания и противопоказания к применению методов профилактики</w:t>
      </w:r>
      <w:bookmarkEnd w:id="107"/>
      <w:bookmarkEnd w:id="108"/>
    </w:p>
    <w:p w14:paraId="2D9074A7" w14:textId="30F7A2FE" w:rsidR="00554009" w:rsidRPr="00097824" w:rsidRDefault="00955B91" w:rsidP="00AD4A9F">
      <w:pPr>
        <w:pStyle w:val="1"/>
        <w:spacing w:before="0"/>
        <w:ind w:left="397" w:firstLine="357"/>
        <w:rPr>
          <w:rFonts w:eastAsia="MS Mincho"/>
          <w:shd w:val="clear" w:color="auto" w:fill="FFFFFF"/>
        </w:rPr>
      </w:pPr>
      <w:bookmarkStart w:id="109" w:name="__RefHeading___doc_6"/>
      <w:r w:rsidRPr="00097824">
        <w:rPr>
          <w:rFonts w:eastAsia="MS Mincho"/>
          <w:shd w:val="clear" w:color="auto" w:fill="FFFFFF"/>
        </w:rPr>
        <w:t>После з</w:t>
      </w:r>
      <w:r w:rsidR="00C82DAA" w:rsidRPr="00097824">
        <w:rPr>
          <w:rFonts w:eastAsia="MS Mincho"/>
          <w:shd w:val="clear" w:color="auto" w:fill="FFFFFF"/>
        </w:rPr>
        <w:t xml:space="preserve">авершения лечения по поводу </w:t>
      </w:r>
      <w:proofErr w:type="spellStart"/>
      <w:r w:rsidR="00C82DAA" w:rsidRPr="00097824">
        <w:rPr>
          <w:rFonts w:eastAsia="MS Mincho"/>
          <w:shd w:val="clear" w:color="auto" w:fill="FFFFFF"/>
        </w:rPr>
        <w:t>холангиокарциномы</w:t>
      </w:r>
      <w:proofErr w:type="spellEnd"/>
      <w:r w:rsidRPr="00097824">
        <w:rPr>
          <w:rFonts w:eastAsia="MS Mincho"/>
          <w:shd w:val="clear" w:color="auto" w:fill="FFFFFF"/>
        </w:rPr>
        <w:t xml:space="preserve"> </w:t>
      </w:r>
      <w:r w:rsidR="00771078" w:rsidRPr="00097824">
        <w:rPr>
          <w:rFonts w:eastAsia="MS Mincho"/>
          <w:shd w:val="clear" w:color="auto" w:fill="FFFFFF"/>
        </w:rPr>
        <w:t xml:space="preserve">или </w:t>
      </w:r>
      <w:r w:rsidRPr="00097824">
        <w:rPr>
          <w:rFonts w:eastAsia="MS Mincho"/>
          <w:shd w:val="clear" w:color="auto" w:fill="FFFFFF"/>
        </w:rPr>
        <w:t xml:space="preserve">после </w:t>
      </w:r>
      <w:r w:rsidR="00035DB5" w:rsidRPr="00097824">
        <w:rPr>
          <w:rFonts w:eastAsia="MS Mincho"/>
          <w:shd w:val="clear" w:color="auto" w:fill="FFFFFF"/>
        </w:rPr>
        <w:t xml:space="preserve">окончания хирургического </w:t>
      </w:r>
      <w:r w:rsidR="0057497C" w:rsidRPr="00097824">
        <w:rPr>
          <w:rFonts w:eastAsia="MS Mincho"/>
          <w:shd w:val="clear" w:color="auto" w:fill="FFFFFF"/>
        </w:rPr>
        <w:t xml:space="preserve">лечения </w:t>
      </w:r>
      <w:r w:rsidR="00035DB5" w:rsidRPr="00097824">
        <w:rPr>
          <w:rFonts w:eastAsia="MS Mincho"/>
          <w:shd w:val="clear" w:color="auto" w:fill="FFFFFF"/>
        </w:rPr>
        <w:t>р</w:t>
      </w:r>
      <w:r w:rsidR="00F8529A" w:rsidRPr="00097824">
        <w:rPr>
          <w:rFonts w:eastAsia="MS Mincho"/>
          <w:shd w:val="clear" w:color="auto" w:fill="FFFFFF"/>
        </w:rPr>
        <w:t>екомендуется соблюдать следующую периодичность и методы наблюдения</w:t>
      </w:r>
      <w:r w:rsidR="00554009" w:rsidRPr="00097824">
        <w:rPr>
          <w:rFonts w:eastAsia="MS Mincho"/>
          <w:shd w:val="clear" w:color="auto" w:fill="FFFFFF"/>
        </w:rPr>
        <w:t>:</w:t>
      </w:r>
    </w:p>
    <w:p w14:paraId="19D7F646" w14:textId="44FF98CB" w:rsidR="00D630AE" w:rsidRPr="00097824" w:rsidRDefault="00955B91" w:rsidP="00AD4A9F">
      <w:pPr>
        <w:pStyle w:val="1"/>
        <w:numPr>
          <w:ilvl w:val="1"/>
          <w:numId w:val="1"/>
        </w:numPr>
        <w:spacing w:before="0"/>
        <w:ind w:left="397" w:firstLine="357"/>
        <w:rPr>
          <w:rFonts w:eastAsia="MS Mincho"/>
          <w:shd w:val="clear" w:color="auto" w:fill="FFFFFF"/>
        </w:rPr>
      </w:pPr>
      <w:r w:rsidRPr="00097824">
        <w:rPr>
          <w:szCs w:val="24"/>
        </w:rPr>
        <w:t xml:space="preserve">обследование в первые 2 года рекомендуется проводить каждые 3–6 месяцев, далее – ежегодно до 5 лет в </w:t>
      </w:r>
      <w:r w:rsidR="00194B32" w:rsidRPr="00097824">
        <w:rPr>
          <w:szCs w:val="24"/>
        </w:rPr>
        <w:t>следующем</w:t>
      </w:r>
      <w:r w:rsidRPr="00097824">
        <w:rPr>
          <w:szCs w:val="24"/>
        </w:rPr>
        <w:t xml:space="preserve"> объеме: </w:t>
      </w:r>
    </w:p>
    <w:p w14:paraId="0D0F9979" w14:textId="77777777" w:rsidR="00D630AE" w:rsidRPr="00097824" w:rsidRDefault="00A216F4" w:rsidP="00CC2BE1">
      <w:pPr>
        <w:numPr>
          <w:ilvl w:val="2"/>
          <w:numId w:val="11"/>
        </w:numPr>
        <w:autoSpaceDE w:val="0"/>
        <w:autoSpaceDN w:val="0"/>
        <w:adjustRightInd w:val="0"/>
        <w:ind w:left="397" w:firstLine="357"/>
        <w:contextualSpacing/>
        <w:jc w:val="left"/>
        <w:rPr>
          <w:szCs w:val="24"/>
        </w:rPr>
      </w:pPr>
      <w:r w:rsidRPr="00097824">
        <w:rPr>
          <w:szCs w:val="24"/>
        </w:rPr>
        <w:t>о</w:t>
      </w:r>
      <w:r w:rsidR="00F8529A" w:rsidRPr="00097824">
        <w:rPr>
          <w:szCs w:val="24"/>
        </w:rPr>
        <w:t xml:space="preserve">смотр </w:t>
      </w:r>
      <w:r w:rsidR="00A63692" w:rsidRPr="00097824">
        <w:rPr>
          <w:szCs w:val="24"/>
        </w:rPr>
        <w:t xml:space="preserve">у </w:t>
      </w:r>
      <w:r w:rsidR="00955B91" w:rsidRPr="00097824">
        <w:rPr>
          <w:szCs w:val="24"/>
        </w:rPr>
        <w:t>врача-</w:t>
      </w:r>
      <w:r w:rsidR="00F8529A" w:rsidRPr="00097824">
        <w:rPr>
          <w:szCs w:val="24"/>
        </w:rPr>
        <w:t xml:space="preserve">онколога и </w:t>
      </w:r>
      <w:proofErr w:type="spellStart"/>
      <w:r w:rsidR="00F8529A" w:rsidRPr="00097824">
        <w:rPr>
          <w:szCs w:val="24"/>
        </w:rPr>
        <w:t>физикальное</w:t>
      </w:r>
      <w:proofErr w:type="spellEnd"/>
      <w:r w:rsidR="00F8529A" w:rsidRPr="00097824">
        <w:rPr>
          <w:szCs w:val="24"/>
        </w:rPr>
        <w:t xml:space="preserve"> обследование;</w:t>
      </w:r>
    </w:p>
    <w:p w14:paraId="2A7F79B8" w14:textId="053221C4" w:rsidR="00D630AE" w:rsidRPr="00097824" w:rsidRDefault="00A216F4" w:rsidP="00CC2BE1">
      <w:pPr>
        <w:numPr>
          <w:ilvl w:val="2"/>
          <w:numId w:val="11"/>
        </w:numPr>
        <w:autoSpaceDE w:val="0"/>
        <w:autoSpaceDN w:val="0"/>
        <w:adjustRightInd w:val="0"/>
        <w:ind w:left="397" w:firstLine="357"/>
        <w:contextualSpacing/>
        <w:jc w:val="left"/>
        <w:rPr>
          <w:szCs w:val="24"/>
        </w:rPr>
      </w:pPr>
      <w:r w:rsidRPr="00097824">
        <w:rPr>
          <w:szCs w:val="24"/>
        </w:rPr>
        <w:t>о</w:t>
      </w:r>
      <w:r w:rsidR="00F8529A" w:rsidRPr="00097824">
        <w:rPr>
          <w:szCs w:val="24"/>
        </w:rPr>
        <w:t>нкомаркеры</w:t>
      </w:r>
      <w:r w:rsidR="00434E1A" w:rsidRPr="00097824">
        <w:rPr>
          <w:szCs w:val="24"/>
        </w:rPr>
        <w:t xml:space="preserve"> </w:t>
      </w:r>
      <w:r w:rsidR="00F8529A" w:rsidRPr="00097824">
        <w:rPr>
          <w:szCs w:val="24"/>
        </w:rPr>
        <w:t>РЭА, СА-19.9, АФП (если были повышены исходно);</w:t>
      </w:r>
    </w:p>
    <w:p w14:paraId="776D5B9C" w14:textId="6AD29D1E" w:rsidR="00D630AE" w:rsidRPr="00097824" w:rsidRDefault="00F8529A" w:rsidP="00CC2BE1">
      <w:pPr>
        <w:numPr>
          <w:ilvl w:val="2"/>
          <w:numId w:val="11"/>
        </w:numPr>
        <w:autoSpaceDE w:val="0"/>
        <w:autoSpaceDN w:val="0"/>
        <w:adjustRightInd w:val="0"/>
        <w:ind w:left="397" w:firstLine="357"/>
        <w:contextualSpacing/>
        <w:jc w:val="left"/>
        <w:rPr>
          <w:szCs w:val="24"/>
        </w:rPr>
      </w:pPr>
      <w:r w:rsidRPr="00097824">
        <w:rPr>
          <w:szCs w:val="24"/>
        </w:rPr>
        <w:t>УЗИ органов брюшной полости</w:t>
      </w:r>
      <w:r w:rsidR="006722EF" w:rsidRPr="00097824">
        <w:rPr>
          <w:szCs w:val="24"/>
        </w:rPr>
        <w:t xml:space="preserve"> (комплексное)</w:t>
      </w:r>
      <w:r w:rsidRPr="00097824">
        <w:rPr>
          <w:szCs w:val="24"/>
        </w:rPr>
        <w:t>;</w:t>
      </w:r>
    </w:p>
    <w:p w14:paraId="396072B9" w14:textId="6AF478FD" w:rsidR="00D630AE" w:rsidRPr="00097824" w:rsidRDefault="00F8529A" w:rsidP="00CC2BE1">
      <w:pPr>
        <w:numPr>
          <w:ilvl w:val="2"/>
          <w:numId w:val="11"/>
        </w:numPr>
        <w:autoSpaceDE w:val="0"/>
        <w:autoSpaceDN w:val="0"/>
        <w:adjustRightInd w:val="0"/>
        <w:ind w:left="397" w:firstLine="357"/>
        <w:contextualSpacing/>
        <w:jc w:val="left"/>
        <w:rPr>
          <w:szCs w:val="24"/>
        </w:rPr>
      </w:pPr>
      <w:r w:rsidRPr="00097824">
        <w:rPr>
          <w:szCs w:val="24"/>
        </w:rPr>
        <w:t>КТ или МРТ органов брюшной полости с</w:t>
      </w:r>
      <w:r w:rsidR="00434E1A" w:rsidRPr="00097824">
        <w:rPr>
          <w:szCs w:val="24"/>
        </w:rPr>
        <w:t xml:space="preserve"> </w:t>
      </w:r>
      <w:r w:rsidRPr="00097824">
        <w:rPr>
          <w:szCs w:val="24"/>
        </w:rPr>
        <w:t>в</w:t>
      </w:r>
      <w:r w:rsidR="00DB4275" w:rsidRPr="00097824">
        <w:rPr>
          <w:szCs w:val="24"/>
        </w:rPr>
        <w:t>нутривенным</w:t>
      </w:r>
      <w:r w:rsidR="00434E1A" w:rsidRPr="00097824">
        <w:rPr>
          <w:szCs w:val="24"/>
        </w:rPr>
        <w:t xml:space="preserve"> </w:t>
      </w:r>
      <w:r w:rsidRPr="00097824">
        <w:rPr>
          <w:szCs w:val="24"/>
        </w:rPr>
        <w:t>контрастированием;</w:t>
      </w:r>
    </w:p>
    <w:p w14:paraId="441DF135" w14:textId="0EA00E3E" w:rsidR="00D630AE" w:rsidRPr="00097824" w:rsidRDefault="00C82DAA" w:rsidP="00CC2BE1">
      <w:pPr>
        <w:numPr>
          <w:ilvl w:val="2"/>
          <w:numId w:val="11"/>
        </w:numPr>
        <w:autoSpaceDE w:val="0"/>
        <w:autoSpaceDN w:val="0"/>
        <w:adjustRightInd w:val="0"/>
        <w:ind w:left="397" w:firstLine="357"/>
        <w:contextualSpacing/>
        <w:jc w:val="left"/>
        <w:rPr>
          <w:szCs w:val="24"/>
        </w:rPr>
      </w:pPr>
      <w:r w:rsidRPr="00097824">
        <w:rPr>
          <w:szCs w:val="24"/>
        </w:rPr>
        <w:t>РКТ</w:t>
      </w:r>
      <w:r w:rsidR="00F8529A" w:rsidRPr="00097824">
        <w:rPr>
          <w:szCs w:val="24"/>
        </w:rPr>
        <w:t xml:space="preserve"> органов грудной клетки;</w:t>
      </w:r>
    </w:p>
    <w:p w14:paraId="4BBB5B77" w14:textId="2D533CED" w:rsidR="00D630AE" w:rsidRPr="00097824" w:rsidRDefault="007F5427" w:rsidP="00CC2BE1">
      <w:pPr>
        <w:numPr>
          <w:ilvl w:val="2"/>
          <w:numId w:val="11"/>
        </w:numPr>
        <w:autoSpaceDE w:val="0"/>
        <w:autoSpaceDN w:val="0"/>
        <w:adjustRightInd w:val="0"/>
        <w:ind w:left="397" w:firstLine="357"/>
        <w:contextualSpacing/>
        <w:jc w:val="left"/>
        <w:rPr>
          <w:szCs w:val="24"/>
        </w:rPr>
      </w:pPr>
      <w:proofErr w:type="spellStart"/>
      <w:r w:rsidRPr="00097824">
        <w:rPr>
          <w:szCs w:val="24"/>
        </w:rPr>
        <w:t>холангиография</w:t>
      </w:r>
      <w:proofErr w:type="spellEnd"/>
      <w:r w:rsidRPr="00097824">
        <w:rPr>
          <w:szCs w:val="24"/>
        </w:rPr>
        <w:t xml:space="preserve"> (при наличии дренажей)</w:t>
      </w:r>
      <w:r w:rsidRPr="00097824">
        <w:rPr>
          <w:szCs w:val="24"/>
        </w:rPr>
        <w:fldChar w:fldCharType="begin"/>
      </w:r>
      <w:r w:rsidR="009C5D7D" w:rsidRPr="00097824">
        <w:rPr>
          <w:szCs w:val="24"/>
        </w:rPr>
        <w:instrText xml:space="preserve"> ADDIN ZOTERO_ITEM CSL_CITATION {"citationID":"OfUkFCtC","properties":{"unsorted":true,"formattedCitation":"[10,19,28,134\\uc0\\u8211{}136]","plainCitation":"[10,19,28,134–136]","noteIndex":0},"citationItems":[{"id":166676,"uris":["http://zotero.org/groups/4764298/items/HLCDHDCZ"],"itemData":{"id":166676,"type":"article-journal","container-title":"Annals of Oncology","note":"publisher: Elsevier","page":"v28–v37","source":"Google Scholar","title":"Biliary cancer: ESMO Clinical Practice Guidelines for diagnosis, treatment and follow-up","title-short":"Biliary cancer","volume":"27","author":[{"family":"Valle","given":"Juan W."},{"family":"Borbath","given":"Ivan"},{"family":"Khan","given":"Shahid A."},{"family":"Huguet","given":"Florence"},{"family":"Gruenberger","given":"Thomas"},{"family":"Arnold","given":"Dirk"}],"issued":{"date-parts":[["2016"]]}},"label":"page"},{"id":166644,"uris":["http://zotero.org/groups/4764298/items/6QHBBU8X"],"itemData":{"id":166644,"type":"article-journal","container-title":"JNCCN Journal of the National Comprehensive Cancer Network","issue":"8","note":"publisher: Cold Spring Publishing LLC","page":"728–750","source":"Google Scholar","title":"Hepatobiliary cancers clinical practice guidelines in oncology","volume":"4","author":[{"family":"Benson","given":"Al B."},{"family":"Bekaii-Saab","given":"Tanios"},{"family":"Ben-Josef","given":"Edgar"},{"family":"Blumgart","given":"Leslie"},{"family":"Clary","given":"Bryan M."},{"family":"Curley","given":"Steven A."},{"family":"Davila","given":"Rene"},{"family":"Earle","given":"Craig C."},{"family":"Ensminger","given":"William D."},{"family":"Gibbs","given":"John F."}],"issued":{"date-parts":[["2006"]]}},"label":"page"},{"id":167202,"uris":["http://zotero.org/groups/4764298/items/GS4G6VIN"],"itemData":{"id":167202,"type":"article-journal","abstract":"Background\nThailand has a high incidence of cholangiocarcinoma (CCA), particularly in the north and northeastern regions. Most CCA patients come at a late, unresectable stage and presently no optimal screening test for CCA has been established. We determined the prevalence of CCA in a remote northern village and explored if screening could lead to early detection and survival benefits.\n\nMethods\nA 5-year population-based study was started in October, 2011 for consented Thai individuals, aged 30–60 years. The screening program comprised blood testing, stool examination and serial ultrasonography every 6 months.\n\nResults\nDuring the first 3 years, 4,225 eligible individuals were enrolled. CCA was detected in 32 patients, with a mean age of 51.9 years (41–62 years), and 21/32 cases were at a curative resectable stage. The prevalence rate of CCA was 165.7 per 100,000 and one- and two-year incidence rate was 236.7/100,000 and 520.7/100,000, respectively. One- and 2-year overall survival rates of CCA patients were 90.9 and 61.5 %, respectively. Prognosis was better in resectable cases with 100 % 1-year and 77.8 % 2-year survival rates. Interestingly, premalignant pathological lesions (stage 0) were identified in 11 cases with 100 % 3-year survival rate. Serum biomarkers and alkaline phosphatase were not sufficient to detect early-stage disease. In 22 patients, stool samples were positive for Opistorchis viverrini, based on polymerase chain reaction.\n\nConclusion\nDetection of premalignant lesions and early-stage resectable CCA by ultrasonography resulted in improved clinical outcome. Ultrasonography should be offered as a first screening tool for CCA in an endemic area until other useful biological markers become available.","container-title":"BMC Cancer","DOI":"10.1186/s12885-016-2390-2","ISSN":"1471-2407","journalAbbreviation":"BMC Cancer","note":"PMID: 27251649\nPMCID: PMC4890519","page":"346","source":"PubMed Central","title":"Ultrasound screening for cholangiocarcinoma could detect premalignant lesions and early-stage diseases with survival benefits: a population-based prospective study of 4,225 subjects in an endemic area","title-short":"Ultrasound screening for cholangiocarcinoma could detect premalignant lesions and early-stage diseases with survival benefits","volume":"16","author":[{"family":"Sungkasubun","given":"Prakongboon"},{"family":"Siripongsakun","given":"Surachate"},{"family":"Akkarachinorate","given":"Kunlayanee"},{"family":"Vidhyarkorn","given":"Sirachat"},{"family":"Worakitsitisatorn","given":"Akeanong"},{"family":"Sricharunrat","given":"Thaniya"},{"family":"Singharuksa","given":"Sutida"},{"family":"Chanwat","given":"Rawisak"},{"family":"Bunchaliew","given":"Chairat"},{"family":"Charoenphattharaphesat","given":"Sirima"},{"family":"Molek","given":"Ruechuta"},{"family":"Yimyaem","given":"Maneenop"},{"family":"Sornsamdang","given":"Gaidganok"},{"family":"Soonklang","given":"Kamonwan"},{"family":"Wittayasak","given":"Kasiruck"},{"family":"Auewarakul","given":"Chirayu U."},{"family":"Mahidol","given":"Chulabhorn"}],"issued":{"date-parts":[["2016",6,2]]}}},{"id":167199,"uris":["http://zotero.org/groups/4764298/items/J6YYN8SQ"],"itemData":{"id":167199,"type":"article-journal","abstract":"AIM: The diagnosis of cholangiocarcinoma is often difficult, making management approaches problematic. A reliable serum marker for cholangiocarcinoma would be a useful diagnostic test. The aims of our study were to evaluate the usefulness of a serum CA19-9 determination in the diagnosis of cholangiocarcinoma., METHODS: We prospectively measured serum CA19-9 and CEA concentrations in patients with cholangiocarcinoma (n = 35), benign biliary diseases (n = 92), and healthy individuals (n = 15). Serum CA19-9 and CEA concentrations were measured by an immunoradiometric assay without knowledge of the clinical diagnosis., RESULTS: The sensitivity of a CA19-9 value &gt; 37 KU·L-1 and a CEA value &gt; 22 μg·L-1 in diagnosing cholangiocarcinoma were 77.14% and 68.57%, respectively. When compared with the benign biliary diseases group, the true negative rates of serum CA19-9 and CEA were 84.78% and 81.52%, respectively. The false positive rates of serum CA19-9 and CEA were 15.22% and 18.48%, whereas the accuracy of serum CA19-9 and CEA were 82.68% and 77.95%, respectively. Serum CA19-9 and CEA concentrations were significantly elevated (P &lt; 0.001 and P &lt; 0.05) in patients with cholangiocarcinoma (290.31 ± 5.34 KU·L-1 and 36.46 ± 18.03 μg·L-1) compared with patients with benign biliary diseases (13.38 ± 2.59 KU·L-1 and 13.84 ± 3.85 μg·L-1) and healthy individuals (12.78 ± 3.69 KU·L-1 and 11.48 ± 3.37 μg·L-1). In 15 patients undergoing curative resection of cholangiocarcinoma, the mean serum CA19-9 concentration was decreased from a preoperative level of 286.41 ± 4.36 KU·L-1 to a postoperative level of 62.01 ± 17.43 KU·L-1 (P &lt; 0.001), and the mean serum CEA concentration from 39.41 ± 24.35 μg·L-1 to 28.69 ± 11.03 μg·L-1(P &lt; 0.05). In patients with cholangiocarcinoma, however, no correlation was found between serum CEA and CA19-9 concentrations (r = 0.036)., CONCLUSION: These data suggest that the serum CA19-9 determination is a useful addition to the available tests for the differential diagnosis of cholangiocarcinoma. Serum CA19-9 is an effective tumor marker in diagnosing cholangiocarcinoma, deciding whether the tumor has been radically resected and monitoring effect of treatment.","container-title":"World Journal of Gastroenterology","DOI":"10.3748/wjg.v10.i3.427","ISSN":"1007-9327","issue":"3","journalAbbreviation":"World J Gastroenterol","note":"PMID: 14760772\nPMCID: PMC4724921","page":"427-432","source":"PubMed Central","title":"Utility of serum CA19-9 in diagnosis of cholangiocarcinoma: In comparison with CEA","title-short":"Utility of serum CA19-9 in diagnosis of cholangiocarcinoma","volume":"10","author":[{"family":"Qin","given":"Xing-Lei"},{"family":"Wang","given":"Zuo-Ren"},{"family":"Shi","given":"Jing-Sen"},{"family":"Lu","given":"Min"},{"family":"Wang","given":"Lin"},{"family":"He","given":"Quan-Ru"}],"issued":{"date-parts":[["2004",2,1]]}},"label":"page"},{"id":167201,"uris":["http://zotero.org/groups/4764298/items/MDHQ8PCD"],"itemData":{"id":167201,"type":"article-journal","abstract":"Yoo J, et al. Korean J Radiol. 2021 May;22(5):714-724. https://doi.org/10.3348/kjr.2020.0689","container-title":"Korean Journal of Radiology","DOI":"10.3348/kjr.2020.0689","ISSN":"1229-6929","issue":"5","language":"English","page":"714-724","source":"kjronline.org","title":"Additional Value of Integrated 18F-FDG PET/MRI for Evaluating Biliary Tract Cancer: Comparison with Contrast-Enhanced CT","title-short":"Additional Value of Integrated 18F-FDG PET/MRI for Evaluating Biliary Tract Cancer","volume":"22","author":[{"family":"Yoo","given":"Jeongin"},{"family":"Lee","given":"Jeong Min"},{"family":"Yoon","given":"Jeong Hee"},{"family":"Joo","given":"Ijin"},{"family":"Lee","given":"Dong Ho"}],"issued":{"date-parts":[["2021",5,1]]}},"label":"page"},{"id":167206,"uris":["http://zotero.org/groups/4764298/items/NUEB8AXB"],"itemData":{"id":167206,"type":"article-journal","container-title":"Current Oncology","issue":"7","note":"publisher: Multidisciplinary Digital Publishing Institute","page":"5084–5090","source":"Google Scholar","title":"Intensive Follow-Up Program and Oncological Outcomes of Biliary Tract Cancer Patients after Curative-Intent Surgery: A Twenty-Year Experience in a Single Tertiary Medical Center","title-short":"Intensive Follow-Up Program and Oncological Outcomes of Biliary Tract Cancer Patients after Curative-Intent Surgery","volume":"29","author":[{"family":"Rizzo","given":"Alessandro"},{"family":"Carloni","given":"Riccardo"},{"family":"Frega","given":"Giorgio"},{"family":"Palloni","given":"Andrea"},{"family":"Di Federico","given":"Alessandro"},{"family":"Ricci","given":"Angela Dalia"},{"family":"De Luca","given":"Raffaele"},{"family":"Tavolari","given":"Simona"},{"family":"Brandi","given":"Giovanni"}],"issued":{"date-parts":[["2022"]]}},"label":"page"}],"schema":"https://github.com/citation-style-language/schema/raw/master/csl-citation.json"} </w:instrText>
      </w:r>
      <w:r w:rsidRPr="00097824">
        <w:rPr>
          <w:szCs w:val="24"/>
        </w:rPr>
        <w:fldChar w:fldCharType="separate"/>
      </w:r>
      <w:r w:rsidR="009C5D7D" w:rsidRPr="00097824">
        <w:rPr>
          <w:szCs w:val="24"/>
        </w:rPr>
        <w:t>[10,19,28,134–136]</w:t>
      </w:r>
      <w:r w:rsidRPr="00097824">
        <w:rPr>
          <w:szCs w:val="24"/>
        </w:rPr>
        <w:fldChar w:fldCharType="end"/>
      </w:r>
      <w:r w:rsidR="00F8529A" w:rsidRPr="00097824">
        <w:rPr>
          <w:szCs w:val="24"/>
        </w:rPr>
        <w:t>.</w:t>
      </w:r>
    </w:p>
    <w:p w14:paraId="6DB0BC92" w14:textId="1E4D2EE0" w:rsidR="00DB05ED" w:rsidRPr="00097824" w:rsidRDefault="007F5427" w:rsidP="00C904C9">
      <w:pPr>
        <w:pStyle w:val="32"/>
        <w:ind w:firstLine="0"/>
        <w:rPr>
          <w:color w:val="auto"/>
        </w:rPr>
      </w:pPr>
      <w:r w:rsidRPr="00097824">
        <w:rPr>
          <w:color w:val="auto"/>
        </w:rPr>
        <w:t xml:space="preserve">Уровень убедительности рекомендаций – </w:t>
      </w:r>
      <w:r w:rsidR="006722EF" w:rsidRPr="00097824">
        <w:rPr>
          <w:color w:val="auto"/>
          <w:lang w:val="en-GB"/>
        </w:rPr>
        <w:t>C</w:t>
      </w:r>
      <w:r w:rsidR="006722EF" w:rsidRPr="00097824">
        <w:rPr>
          <w:color w:val="auto"/>
        </w:rPr>
        <w:t xml:space="preserve"> </w:t>
      </w:r>
      <w:r w:rsidRPr="00097824">
        <w:rPr>
          <w:color w:val="auto"/>
        </w:rPr>
        <w:t>(уровень достоверности доказательств –</w:t>
      </w:r>
      <w:r w:rsidR="00BC453C" w:rsidRPr="00097824">
        <w:rPr>
          <w:color w:val="auto"/>
        </w:rPr>
        <w:t xml:space="preserve"> </w:t>
      </w:r>
      <w:r w:rsidRPr="00097824">
        <w:rPr>
          <w:color w:val="auto"/>
        </w:rPr>
        <w:t>4)</w:t>
      </w:r>
    </w:p>
    <w:p w14:paraId="303F0CCC" w14:textId="77777777" w:rsidR="00E13F2E" w:rsidRPr="00097824" w:rsidRDefault="00F8529A" w:rsidP="00C904C9">
      <w:pPr>
        <w:spacing w:after="240"/>
        <w:ind w:firstLine="0"/>
        <w:contextualSpacing/>
        <w:rPr>
          <w:rFonts w:eastAsia="MS Mincho"/>
          <w:bCs/>
          <w:i/>
          <w:iCs/>
          <w:szCs w:val="24"/>
          <w:shd w:val="clear" w:color="auto" w:fill="FFFFFF"/>
        </w:rPr>
      </w:pPr>
      <w:r w:rsidRPr="00097824">
        <w:rPr>
          <w:rFonts w:eastAsia="MS Mincho"/>
          <w:b/>
          <w:szCs w:val="24"/>
          <w:shd w:val="clear" w:color="auto" w:fill="FFFFFF"/>
        </w:rPr>
        <w:t>Комментарии</w:t>
      </w:r>
      <w:r w:rsidRPr="00097824">
        <w:rPr>
          <w:rFonts w:eastAsia="MS Mincho"/>
          <w:szCs w:val="24"/>
          <w:shd w:val="clear" w:color="auto" w:fill="FFFFFF"/>
        </w:rPr>
        <w:t xml:space="preserve">: </w:t>
      </w:r>
      <w:r w:rsidRPr="00097824">
        <w:rPr>
          <w:rFonts w:eastAsia="MS Mincho"/>
          <w:i/>
          <w:szCs w:val="24"/>
          <w:shd w:val="clear" w:color="auto" w:fill="FFFFFF"/>
        </w:rPr>
        <w:t>з</w:t>
      </w:r>
      <w:r w:rsidRPr="00097824">
        <w:rPr>
          <w:rFonts w:eastAsia="MS Mincho"/>
          <w:bCs/>
          <w:i/>
          <w:iCs/>
          <w:szCs w:val="24"/>
          <w:shd w:val="clear" w:color="auto" w:fill="FFFFFF"/>
        </w:rPr>
        <w:t xml:space="preserve">адачей наблюдения является раннее выявление прогрессирования заболевания после завершения лечения с целью раннего начала химиотерапии или хирургического лечения </w:t>
      </w:r>
      <w:proofErr w:type="spellStart"/>
      <w:r w:rsidRPr="00097824">
        <w:rPr>
          <w:rFonts w:eastAsia="MS Mincho"/>
          <w:bCs/>
          <w:i/>
          <w:iCs/>
          <w:szCs w:val="24"/>
          <w:shd w:val="clear" w:color="auto" w:fill="FFFFFF"/>
        </w:rPr>
        <w:t>резектабельных</w:t>
      </w:r>
      <w:proofErr w:type="spellEnd"/>
      <w:r w:rsidRPr="00097824">
        <w:rPr>
          <w:rFonts w:eastAsia="MS Mincho"/>
          <w:bCs/>
          <w:i/>
          <w:iCs/>
          <w:szCs w:val="24"/>
          <w:shd w:val="clear" w:color="auto" w:fill="FFFFFF"/>
        </w:rPr>
        <w:t xml:space="preserve"> метастатических очагов, рецидивных опухолей.</w:t>
      </w:r>
      <w:bookmarkStart w:id="110" w:name="_Toc11747748"/>
      <w:bookmarkStart w:id="111" w:name="_Toc22030453"/>
      <w:bookmarkStart w:id="112" w:name="_Toc22129376"/>
    </w:p>
    <w:p w14:paraId="1768AA8E" w14:textId="5F8EA6F2" w:rsidR="00143CD4" w:rsidRPr="00097824" w:rsidRDefault="00E13F2E" w:rsidP="00C904C9">
      <w:pPr>
        <w:pStyle w:val="10"/>
        <w:numPr>
          <w:ilvl w:val="0"/>
          <w:numId w:val="25"/>
        </w:numPr>
        <w:spacing w:before="0"/>
        <w:ind w:left="397" w:firstLine="357"/>
      </w:pPr>
      <w:bookmarkStart w:id="113" w:name="_Toc113198776"/>
      <w:bookmarkStart w:id="114" w:name="_Toc113205067"/>
      <w:r w:rsidRPr="00097824">
        <w:lastRenderedPageBreak/>
        <w:t xml:space="preserve">Организация </w:t>
      </w:r>
      <w:r w:rsidR="00A03C77" w:rsidRPr="00097824">
        <w:t xml:space="preserve">оказания </w:t>
      </w:r>
      <w:r w:rsidRPr="00097824">
        <w:t>медицинской помощи</w:t>
      </w:r>
      <w:bookmarkStart w:id="115" w:name="_Toc11747749"/>
      <w:bookmarkEnd w:id="110"/>
      <w:bookmarkEnd w:id="111"/>
      <w:bookmarkEnd w:id="112"/>
      <w:bookmarkEnd w:id="113"/>
      <w:bookmarkEnd w:id="114"/>
    </w:p>
    <w:p w14:paraId="27A31430" w14:textId="77777777" w:rsidR="00143CD4" w:rsidRPr="00097824" w:rsidRDefault="00143CD4" w:rsidP="00C904C9">
      <w:pPr>
        <w:ind w:firstLine="0"/>
        <w:rPr>
          <w:bCs/>
          <w:iCs/>
          <w:szCs w:val="24"/>
        </w:rPr>
      </w:pPr>
      <w:r w:rsidRPr="00097824">
        <w:rPr>
          <w:bCs/>
          <w:iCs/>
          <w:szCs w:val="24"/>
        </w:rPr>
        <w:t>Медицинская помощь, за исключением медицинской помощи в рамках клинической апробации, в соответствии с Федеральным законом от 21.11.2011 № 323-ФЗ «Об основах охраны здоровья граждан в Российской Федерации», организуется и оказывается:</w:t>
      </w:r>
    </w:p>
    <w:p w14:paraId="364A4B28" w14:textId="77777777" w:rsidR="00143CD4" w:rsidRPr="00097824" w:rsidRDefault="00143CD4" w:rsidP="00143CD4">
      <w:pPr>
        <w:ind w:left="397" w:firstLine="357"/>
        <w:rPr>
          <w:bCs/>
          <w:iCs/>
          <w:szCs w:val="24"/>
        </w:rPr>
      </w:pPr>
      <w:r w:rsidRPr="00097824">
        <w:rPr>
          <w:bCs/>
          <w:iCs/>
          <w:szCs w:val="24"/>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5B320F94" w14:textId="77777777" w:rsidR="00143CD4" w:rsidRPr="00097824" w:rsidRDefault="00143CD4" w:rsidP="00143CD4">
      <w:pPr>
        <w:ind w:left="397" w:firstLine="357"/>
        <w:rPr>
          <w:bCs/>
          <w:iCs/>
          <w:szCs w:val="24"/>
        </w:rPr>
      </w:pPr>
      <w:r w:rsidRPr="00097824">
        <w:rPr>
          <w:bCs/>
          <w:iCs/>
          <w:szCs w:val="24"/>
        </w:rPr>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2A8C76A3" w14:textId="77777777" w:rsidR="00143CD4" w:rsidRPr="00097824" w:rsidRDefault="00143CD4" w:rsidP="00143CD4">
      <w:pPr>
        <w:ind w:left="397" w:firstLine="357"/>
        <w:rPr>
          <w:bCs/>
          <w:iCs/>
          <w:szCs w:val="24"/>
        </w:rPr>
      </w:pPr>
      <w:r w:rsidRPr="00097824">
        <w:rPr>
          <w:bCs/>
          <w:iCs/>
          <w:szCs w:val="24"/>
        </w:rPr>
        <w:t>3) на основе настоящих клинических рекомендаций;</w:t>
      </w:r>
    </w:p>
    <w:p w14:paraId="69B004D5" w14:textId="77777777" w:rsidR="00143CD4" w:rsidRPr="00097824" w:rsidRDefault="00143CD4" w:rsidP="00143CD4">
      <w:pPr>
        <w:ind w:left="397" w:firstLine="357"/>
        <w:rPr>
          <w:bCs/>
          <w:iCs/>
          <w:szCs w:val="24"/>
        </w:rPr>
      </w:pPr>
      <w:r w:rsidRPr="00097824">
        <w:rPr>
          <w:bCs/>
          <w:iCs/>
          <w:szCs w:val="24"/>
        </w:rPr>
        <w:t>4) с учетом стандартов медицинской помощи, утвержденных уполномоченным Федеральным органом исполнительной власти.</w:t>
      </w:r>
    </w:p>
    <w:p w14:paraId="20B6535F" w14:textId="77777777" w:rsidR="00143CD4" w:rsidRPr="00097824" w:rsidRDefault="00143CD4" w:rsidP="00143CD4">
      <w:pPr>
        <w:ind w:left="397" w:firstLine="357"/>
        <w:rPr>
          <w:bCs/>
          <w:iCs/>
          <w:szCs w:val="24"/>
        </w:rPr>
      </w:pPr>
      <w:r w:rsidRPr="00097824">
        <w:rPr>
          <w:bCs/>
          <w:iCs/>
          <w:szCs w:val="24"/>
        </w:rPr>
        <w:t xml:space="preserve">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а при его отсутствии в первичном онкологическом кабинете, поликлиническом отделении онкологического диспансера (онкологической больницы). </w:t>
      </w:r>
    </w:p>
    <w:p w14:paraId="0DA91DE2" w14:textId="77777777" w:rsidR="00143CD4" w:rsidRPr="00097824" w:rsidRDefault="00143CD4" w:rsidP="00143CD4">
      <w:pPr>
        <w:ind w:left="397" w:firstLine="357"/>
        <w:rPr>
          <w:bCs/>
          <w:iCs/>
          <w:szCs w:val="24"/>
        </w:rPr>
      </w:pPr>
      <w:r w:rsidRPr="00097824">
        <w:rPr>
          <w:bCs/>
          <w:iCs/>
          <w:szCs w:val="24"/>
        </w:rPr>
        <w:t>При подозрении или выявлении у пациента онкологического заболевания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а при отсутствии в первичный онкологический кабинет, поликлиническое отделение онкологического диспансера (онкологической больницы) для оказания ему первичной специализированной медико-санитарной помощи.</w:t>
      </w:r>
    </w:p>
    <w:p w14:paraId="2BEC2DB0" w14:textId="77777777" w:rsidR="00143CD4" w:rsidRPr="00097824" w:rsidRDefault="00143CD4" w:rsidP="00143CD4">
      <w:pPr>
        <w:ind w:left="397" w:firstLine="357"/>
        <w:rPr>
          <w:bCs/>
          <w:iCs/>
          <w:szCs w:val="24"/>
        </w:rPr>
      </w:pPr>
      <w:r w:rsidRPr="00097824">
        <w:rPr>
          <w:bCs/>
          <w:iCs/>
          <w:szCs w:val="24"/>
        </w:rPr>
        <w:t xml:space="preserve">Консультация в центре амбулаторной онкологической помощи либо в первичном онкологическом кабинете, поликлиническом отделении онкологического диспансера (онкологической больницы) должна быть проведена не позднее 3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поликлинического отделения онкологического диспансера (онкологической больницы организует взятие </w:t>
      </w:r>
      <w:proofErr w:type="spellStart"/>
      <w:r w:rsidRPr="00097824">
        <w:rPr>
          <w:bCs/>
          <w:iCs/>
          <w:szCs w:val="24"/>
        </w:rPr>
        <w:t>биопсийного</w:t>
      </w:r>
      <w:proofErr w:type="spellEnd"/>
      <w:r w:rsidRPr="00097824">
        <w:rPr>
          <w:bCs/>
          <w:iCs/>
          <w:szCs w:val="24"/>
        </w:rPr>
        <w:t xml:space="preserve"> (операционного) материала, а также организует выполнение иных </w:t>
      </w:r>
      <w:r w:rsidRPr="00097824">
        <w:rPr>
          <w:bCs/>
          <w:iCs/>
          <w:szCs w:val="24"/>
        </w:rPr>
        <w:lastRenderedPageBreak/>
        <w:t>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1EA17076" w14:textId="77777777" w:rsidR="00143CD4" w:rsidRPr="00097824" w:rsidRDefault="00143CD4" w:rsidP="00143CD4">
      <w:pPr>
        <w:ind w:left="397" w:firstLine="357"/>
        <w:rPr>
          <w:bCs/>
          <w:iCs/>
          <w:szCs w:val="24"/>
        </w:rPr>
      </w:pPr>
      <w:r w:rsidRPr="00097824">
        <w:rPr>
          <w:bCs/>
          <w:iCs/>
          <w:szCs w:val="24"/>
        </w:rPr>
        <w:t xml:space="preserve">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w:t>
      </w:r>
      <w:proofErr w:type="spellStart"/>
      <w:r w:rsidRPr="00097824">
        <w:rPr>
          <w:bCs/>
          <w:iCs/>
          <w:szCs w:val="24"/>
        </w:rPr>
        <w:t>биопсийного</w:t>
      </w:r>
      <w:proofErr w:type="spellEnd"/>
      <w:r w:rsidRPr="00097824">
        <w:rPr>
          <w:bCs/>
          <w:iCs/>
          <w:szCs w:val="24"/>
        </w:rPr>
        <w:t xml:space="preserve"> (операционного) материала, проведения иных диагностических исследований пациент направляется врачом-онкологом в онкологический диспансер (онкологическую больницу) или в медицинскую организацию, оказывающую медицинскую помощь пациентам с онкологическими заболеваниями.</w:t>
      </w:r>
    </w:p>
    <w:p w14:paraId="32642932" w14:textId="77777777" w:rsidR="00143CD4" w:rsidRPr="00097824" w:rsidRDefault="00143CD4" w:rsidP="00143CD4">
      <w:pPr>
        <w:ind w:left="397" w:firstLine="357"/>
        <w:rPr>
          <w:bCs/>
          <w:iCs/>
          <w:szCs w:val="24"/>
        </w:rPr>
      </w:pPr>
      <w:r w:rsidRPr="00097824">
        <w:rPr>
          <w:bCs/>
          <w:iCs/>
          <w:szCs w:val="24"/>
        </w:rPr>
        <w:t xml:space="preserve">Срок выполнения патологоанатомических исследований, необходимых для гистологической верификации злокачественных новообразований не должен превышать 15 рабочих дней с даты поступления </w:t>
      </w:r>
      <w:proofErr w:type="spellStart"/>
      <w:r w:rsidRPr="00097824">
        <w:rPr>
          <w:bCs/>
          <w:iCs/>
          <w:szCs w:val="24"/>
        </w:rPr>
        <w:t>биопсийного</w:t>
      </w:r>
      <w:proofErr w:type="spellEnd"/>
      <w:r w:rsidRPr="00097824">
        <w:rPr>
          <w:bCs/>
          <w:iCs/>
          <w:szCs w:val="24"/>
        </w:rPr>
        <w:t xml:space="preserve"> (операционного) материала в патологоанатомическое бюро (отделение).</w:t>
      </w:r>
    </w:p>
    <w:p w14:paraId="478D4432" w14:textId="77777777" w:rsidR="00143CD4" w:rsidRPr="00097824" w:rsidRDefault="00143CD4" w:rsidP="00143CD4">
      <w:pPr>
        <w:ind w:left="397" w:firstLine="357"/>
        <w:rPr>
          <w:bCs/>
          <w:iCs/>
          <w:szCs w:val="24"/>
        </w:rPr>
      </w:pPr>
      <w:r w:rsidRPr="00097824">
        <w:rPr>
          <w:bCs/>
          <w:iCs/>
          <w:szCs w:val="24"/>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 7 рабочих дней со дня назначения исследований.</w:t>
      </w:r>
    </w:p>
    <w:p w14:paraId="117E149F" w14:textId="77777777" w:rsidR="00143CD4" w:rsidRPr="00097824" w:rsidRDefault="00143CD4" w:rsidP="00143CD4">
      <w:pPr>
        <w:ind w:left="397" w:firstLine="357"/>
        <w:rPr>
          <w:bCs/>
          <w:iCs/>
          <w:szCs w:val="24"/>
        </w:rPr>
      </w:pPr>
      <w:r w:rsidRPr="00097824">
        <w:rPr>
          <w:bCs/>
          <w:iCs/>
          <w:szCs w:val="24"/>
        </w:rPr>
        <w:t xml:space="preserve">Диагноз онкологического заболевания устанавливается врачом-специалистом на основе результатов диагностических исследований, включающих в том числе проведение цитологической и (или) гистологической верификации диагноза, за исключением случаев, когда взятие </w:t>
      </w:r>
      <w:proofErr w:type="spellStart"/>
      <w:r w:rsidRPr="00097824">
        <w:rPr>
          <w:bCs/>
          <w:iCs/>
          <w:szCs w:val="24"/>
        </w:rPr>
        <w:t>биопсийного</w:t>
      </w:r>
      <w:proofErr w:type="spellEnd"/>
      <w:r w:rsidRPr="00097824">
        <w:rPr>
          <w:bCs/>
          <w:iCs/>
          <w:szCs w:val="24"/>
        </w:rPr>
        <w:t xml:space="preserve"> и (или) пункционного материала не представляется возможным.</w:t>
      </w:r>
    </w:p>
    <w:p w14:paraId="2CE9E52A" w14:textId="77777777" w:rsidR="00143CD4" w:rsidRPr="00097824" w:rsidRDefault="00143CD4" w:rsidP="00143CD4">
      <w:pPr>
        <w:ind w:left="397" w:firstLine="357"/>
        <w:rPr>
          <w:bCs/>
          <w:iCs/>
          <w:szCs w:val="24"/>
        </w:rPr>
      </w:pPr>
      <w:r w:rsidRPr="00097824">
        <w:rPr>
          <w:bCs/>
          <w:iCs/>
          <w:szCs w:val="24"/>
        </w:rPr>
        <w:t>Врач-онколог центра амбулаторной онкологической помощи (первичного онкологического кабинета) направляет пациента в онкологический диспансер (онкологическую больницу) или иную медицинскую организацию, оказывающую медицинскую помощь пациентам с онкологическими заболеваниями, в том числе подведомственную федеральному органу исполнительной власти (далее – федеральная медицинская организация), для уточнения диагноза (в случае невозможности установления диагноза, включая распространенность онкологического процесса и стадию заболевания), определения тактики лечения, а также в случае наличия медицинских показаний для оказания специализированной, в том числе высокотехнологичной, медицинской помощи.</w:t>
      </w:r>
    </w:p>
    <w:p w14:paraId="24094816" w14:textId="77777777" w:rsidR="00143CD4" w:rsidRPr="00097824" w:rsidRDefault="00143CD4" w:rsidP="00143CD4">
      <w:pPr>
        <w:ind w:left="397" w:firstLine="357"/>
        <w:rPr>
          <w:bCs/>
          <w:iCs/>
          <w:szCs w:val="24"/>
        </w:rPr>
      </w:pPr>
      <w:r w:rsidRPr="00097824">
        <w:rPr>
          <w:bCs/>
          <w:iCs/>
          <w:szCs w:val="24"/>
        </w:rPr>
        <w:lastRenderedPageBreak/>
        <w:t>При онкологических заболеваниях, входящих в рубрики С37, C38, C40–C41, C45–C49, С58, D39, C62, C69–C70, С72, C74 МКБ-10, а также соответствующих кодам международной классификации болезней – онкология (МКБ-О), 3 издания 8936, 906-909, 8247/3, 8013/3, 8240/3, 8244/3, 8246/3, 8249/3 врач-онколог онкологического диспансера (онкологической больницы) или иной медицинской организации, оказывающей медицинскую помощь пациентам с онкологическими заболеваниями, для определения лечебной тактики организует проведение консультации или консилиума врачей, в том числе с применением телемедицинских технологий, в федеральных государственных бюджетных учреждениях, подведомственных Министерству здравоохранения Российской Федерации, оказывающих медицинскую помощь (далее в целях настоящего Порядка – национальные медицинские исследовательские центры).</w:t>
      </w:r>
    </w:p>
    <w:p w14:paraId="131F46F1" w14:textId="77777777" w:rsidR="00143CD4" w:rsidRPr="00097824" w:rsidRDefault="00143CD4" w:rsidP="00143CD4">
      <w:pPr>
        <w:ind w:left="397" w:firstLine="357"/>
        <w:rPr>
          <w:bCs/>
          <w:iCs/>
          <w:szCs w:val="24"/>
        </w:rPr>
      </w:pPr>
      <w:r w:rsidRPr="00097824">
        <w:rPr>
          <w:bCs/>
          <w:iCs/>
          <w:szCs w:val="24"/>
        </w:rPr>
        <w:t>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врач-онколог организует направление:</w:t>
      </w:r>
    </w:p>
    <w:p w14:paraId="31F141F3" w14:textId="77777777" w:rsidR="00143CD4" w:rsidRPr="00097824" w:rsidRDefault="00143CD4" w:rsidP="00143CD4">
      <w:pPr>
        <w:ind w:left="397" w:firstLine="357"/>
        <w:rPr>
          <w:bCs/>
          <w:iCs/>
          <w:szCs w:val="24"/>
        </w:rPr>
      </w:pPr>
      <w:r w:rsidRPr="00097824">
        <w:rPr>
          <w:bCs/>
          <w:iCs/>
          <w:szCs w:val="24"/>
        </w:rPr>
        <w:t>цифровых изображений, полученных по результатам патоморфологических исследований, в патолого-анатомическое бюро (отделение) четвертой группы (референс-</w:t>
      </w:r>
      <w:proofErr w:type="gramStart"/>
      <w:r w:rsidRPr="00097824">
        <w:rPr>
          <w:bCs/>
          <w:iCs/>
          <w:szCs w:val="24"/>
        </w:rPr>
        <w:t>центр)  путем</w:t>
      </w:r>
      <w:proofErr w:type="gramEnd"/>
      <w:r w:rsidRPr="00097824">
        <w:rPr>
          <w:bCs/>
          <w:iCs/>
          <w:szCs w:val="24"/>
        </w:rPr>
        <w:t xml:space="preserve">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0F7BDC2D" w14:textId="77777777" w:rsidR="00143CD4" w:rsidRPr="00097824" w:rsidRDefault="00143CD4" w:rsidP="00143CD4">
      <w:pPr>
        <w:ind w:left="397" w:firstLine="357"/>
        <w:rPr>
          <w:bCs/>
          <w:iCs/>
          <w:szCs w:val="24"/>
        </w:rPr>
      </w:pPr>
      <w:r w:rsidRPr="00097824">
        <w:rPr>
          <w:bCs/>
          <w:iCs/>
          <w:szCs w:val="24"/>
        </w:rPr>
        <w:t>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1DBA561C" w14:textId="77777777" w:rsidR="00143CD4" w:rsidRPr="00097824" w:rsidRDefault="00143CD4" w:rsidP="00143CD4">
      <w:pPr>
        <w:ind w:left="397" w:firstLine="357"/>
        <w:rPr>
          <w:bCs/>
          <w:iCs/>
          <w:szCs w:val="24"/>
        </w:rPr>
      </w:pPr>
      <w:proofErr w:type="spellStart"/>
      <w:r w:rsidRPr="00097824">
        <w:rPr>
          <w:bCs/>
          <w:iCs/>
          <w:szCs w:val="24"/>
        </w:rPr>
        <w:t>биопсийного</w:t>
      </w:r>
      <w:proofErr w:type="spellEnd"/>
      <w:r w:rsidRPr="00097824">
        <w:rPr>
          <w:bCs/>
          <w:iCs/>
          <w:szCs w:val="24"/>
        </w:rPr>
        <w:t xml:space="preserve"> (операционного) материала для повторного проведения патоморфологических, </w:t>
      </w:r>
      <w:proofErr w:type="spellStart"/>
      <w:r w:rsidRPr="00097824">
        <w:rPr>
          <w:bCs/>
          <w:iCs/>
          <w:szCs w:val="24"/>
        </w:rPr>
        <w:t>иммуногистохимических</w:t>
      </w:r>
      <w:proofErr w:type="spellEnd"/>
      <w:r w:rsidRPr="00097824">
        <w:rPr>
          <w:bCs/>
          <w:iCs/>
          <w:szCs w:val="24"/>
        </w:rPr>
        <w:t xml:space="preserve">, и молекулярно-генетических исследований: в </w:t>
      </w:r>
      <w:proofErr w:type="gramStart"/>
      <w:r w:rsidRPr="00097824">
        <w:rPr>
          <w:bCs/>
          <w:iCs/>
          <w:szCs w:val="24"/>
        </w:rPr>
        <w:t>патолого-анатомическое</w:t>
      </w:r>
      <w:proofErr w:type="gramEnd"/>
      <w:r w:rsidRPr="00097824">
        <w:rPr>
          <w:bCs/>
          <w:iCs/>
          <w:szCs w:val="24"/>
        </w:rPr>
        <w:t xml:space="preserve"> бюро (отделение) четвертой группы (референс-центр), а также в молекулярно-генетические лаборатории для проведения молекулярно-генетических исследований.</w:t>
      </w:r>
    </w:p>
    <w:p w14:paraId="108626A6" w14:textId="77777777" w:rsidR="00143CD4" w:rsidRPr="00097824" w:rsidRDefault="00143CD4" w:rsidP="00143CD4">
      <w:pPr>
        <w:ind w:left="397" w:firstLine="357"/>
        <w:rPr>
          <w:bCs/>
          <w:iCs/>
          <w:szCs w:val="24"/>
        </w:rPr>
      </w:pPr>
      <w:r w:rsidRPr="00097824">
        <w:rPr>
          <w:bCs/>
          <w:iCs/>
          <w:szCs w:val="24"/>
        </w:rPr>
        <w:t xml:space="preserve">Тактика лечения устанавливается консилиумом врачей, включающим врачей-онкологов, врача-радиотерапевта, врача-нейрохирурга (при опухолях нервной системы) медицинской организации, в составе которой имеются отделения </w:t>
      </w:r>
      <w:r w:rsidRPr="00097824">
        <w:rPr>
          <w:bCs/>
          <w:iCs/>
          <w:szCs w:val="24"/>
        </w:rPr>
        <w:lastRenderedPageBreak/>
        <w:t>хирургических методов лечения злокачественных новообразований, противоопухолевой лекарственной терапии, радиотерапии (далее – онкологический консилиум), в том числе онкологическим консилиумом, проведенным с применением телемедицинских технологий, с привлечением при необходимости других врачей-специалистов.</w:t>
      </w:r>
    </w:p>
    <w:p w14:paraId="058563CF" w14:textId="77777777" w:rsidR="00143CD4" w:rsidRPr="00097824" w:rsidRDefault="00143CD4" w:rsidP="00143CD4">
      <w:pPr>
        <w:ind w:left="397" w:firstLine="357"/>
        <w:rPr>
          <w:bCs/>
          <w:iCs/>
          <w:szCs w:val="24"/>
        </w:rPr>
      </w:pPr>
      <w:r w:rsidRPr="00097824">
        <w:rPr>
          <w:bCs/>
          <w:iCs/>
          <w:szCs w:val="24"/>
        </w:rPr>
        <w:t>Диспансерное наблюдение врача-онколога за пациентом с выявленным онкологическим заболеванием устанавливается и осуществляется в соответствии с порядком диспансерного наблюдения за взрослыми с онкологическими заболеваниями.</w:t>
      </w:r>
    </w:p>
    <w:p w14:paraId="6952A3D6" w14:textId="77777777" w:rsidR="00143CD4" w:rsidRPr="00097824" w:rsidRDefault="00143CD4" w:rsidP="00143CD4">
      <w:pPr>
        <w:ind w:left="397" w:firstLine="357"/>
        <w:rPr>
          <w:bCs/>
          <w:iCs/>
          <w:szCs w:val="24"/>
        </w:rPr>
      </w:pPr>
      <w:r w:rsidRPr="00097824">
        <w:rPr>
          <w:bCs/>
          <w:iCs/>
          <w:szCs w:val="24"/>
        </w:rPr>
        <w:t>С целью учета информация о впервые выявленном случае онкологического заболевания направляется в течение 3 рабочих дней врачом-онкологом медицинской организации, в которой установлен соответствующий диагноз, в онкологический диспансер или организацию субъекта Российской Федерации, исполняющую функцию регистрации пациентов с впервые выявленном злокачественным новообразованием, в том числе с применением единой государственной информационной системы в сфере здравоохранения. В случае подтверждения у пациента наличия онкологического заболевания информация об уточненном диагнозе направляется из онкологического диспансера или организации субъекта Российской Федерации, исполняющей функции регистрации пациентов с впервые выявленном злокачественным новообразованием, в медицинскую организацию, осуществляющую диспансерное наблюдение пациента</w:t>
      </w:r>
    </w:p>
    <w:p w14:paraId="226425F5" w14:textId="77777777" w:rsidR="00143CD4" w:rsidRPr="00097824" w:rsidRDefault="00143CD4" w:rsidP="00143CD4">
      <w:pPr>
        <w:ind w:left="397" w:firstLine="357"/>
        <w:rPr>
          <w:bCs/>
          <w:iCs/>
          <w:szCs w:val="24"/>
        </w:rPr>
      </w:pPr>
      <w:r w:rsidRPr="00097824">
        <w:rPr>
          <w:bCs/>
          <w:iCs/>
          <w:szCs w:val="24"/>
        </w:rPr>
        <w:t>Специализированная, в том числе высокотехнологичная, медицинская помощь в медицинских организациях, оказывающих медицинскую помощь взрослому населению при онкологических заболеваниях, оказывается по медицинским показаниям, предусмотренным положением об организации оказания специализированной, в том числе высокотехнологичной, медицинской помощи.</w:t>
      </w:r>
    </w:p>
    <w:p w14:paraId="7710D9FA" w14:textId="77777777" w:rsidR="00143CD4" w:rsidRPr="00097824" w:rsidRDefault="00143CD4" w:rsidP="00143CD4">
      <w:pPr>
        <w:ind w:left="397" w:firstLine="357"/>
        <w:rPr>
          <w:bCs/>
          <w:iCs/>
          <w:szCs w:val="24"/>
        </w:rPr>
      </w:pPr>
      <w:r w:rsidRPr="00097824">
        <w:rPr>
          <w:bCs/>
          <w:iCs/>
          <w:szCs w:val="24"/>
        </w:rPr>
        <w:t xml:space="preserve">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пунктом 5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предусмотренного в приложении к положению об организации оказания специализированной, в том числе высокотехнологичной, медицинской помощи. (Пункт 5: для получения специализированной медицинской помощи в плановой форме </w:t>
      </w:r>
      <w:r w:rsidRPr="00097824">
        <w:rPr>
          <w:bCs/>
          <w:iCs/>
          <w:szCs w:val="24"/>
        </w:rPr>
        <w:lastRenderedPageBreak/>
        <w:t>выбор федеральной медицинской организации осуществляется по направлению лечащего врача.) В случае если в реализации Программы принимают участие несколько федеральных медицинских организаций, оказывающих специализированную медицинскую помощь при заболеваниях, состояниях (группе заболеваний, состояний), соответствующих заболеваниям, состояниям (группе заболеваний, состояний) пациента, лечащий врач обязан проинформировать пациента (законного представителя пациента) о возможности выбора федеральной медицинской организации, в том числе о возможных сроках ожидания специализированной медицинской помощи, которые могут превышать сроки ожидания, установленные программой государственных гарантий бесплатного оказания гражданам медицинской помощи.</w:t>
      </w:r>
    </w:p>
    <w:p w14:paraId="5C8751F1" w14:textId="77777777" w:rsidR="00143CD4" w:rsidRPr="00097824" w:rsidRDefault="00143CD4" w:rsidP="00143CD4">
      <w:pPr>
        <w:ind w:left="397" w:firstLine="357"/>
        <w:rPr>
          <w:bCs/>
          <w:iCs/>
          <w:szCs w:val="24"/>
        </w:rPr>
      </w:pPr>
      <w:r w:rsidRPr="00097824">
        <w:rPr>
          <w:bCs/>
          <w:iCs/>
          <w:szCs w:val="24"/>
        </w:rPr>
        <w:t>Сроки ожидания оказания специализированной (за исключением высокотехнологичной) медицинской помощи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 7 рабочих дней.</w:t>
      </w:r>
    </w:p>
    <w:p w14:paraId="4E5F69C9" w14:textId="77777777" w:rsidR="00143CD4" w:rsidRPr="00097824" w:rsidRDefault="00143CD4" w:rsidP="00143CD4">
      <w:pPr>
        <w:ind w:left="397" w:firstLine="357"/>
        <w:rPr>
          <w:bCs/>
          <w:iCs/>
          <w:szCs w:val="24"/>
        </w:rPr>
      </w:pPr>
      <w:r w:rsidRPr="00097824">
        <w:rPr>
          <w:bCs/>
          <w:iCs/>
          <w:szCs w:val="24"/>
        </w:rPr>
        <w:t>При наличии у пациента с онкологическим заболеванием медицинских показаний для проведения медицинской реабилитации врач-онколог организует ее проведение в соответствии с порядком организации медицинской реабилитации взрослых.</w:t>
      </w:r>
    </w:p>
    <w:p w14:paraId="3D6A18B0" w14:textId="77777777" w:rsidR="00143CD4" w:rsidRPr="00097824" w:rsidRDefault="00143CD4" w:rsidP="00143CD4">
      <w:pPr>
        <w:ind w:left="397" w:firstLine="357"/>
        <w:rPr>
          <w:bCs/>
          <w:iCs/>
          <w:szCs w:val="24"/>
        </w:rPr>
      </w:pPr>
      <w:r w:rsidRPr="00097824">
        <w:rPr>
          <w:bCs/>
          <w:iCs/>
          <w:szCs w:val="24"/>
        </w:rPr>
        <w:t>При наличии у пациента с онкологическим заболеванием медицинских показаний к санаторно-курортному лечению врач-онколог организует его в соответствии порядком организации санаторно-курортного лечения.</w:t>
      </w:r>
    </w:p>
    <w:p w14:paraId="2A41FB85" w14:textId="77777777" w:rsidR="00143CD4" w:rsidRPr="00097824" w:rsidRDefault="00143CD4" w:rsidP="00143CD4">
      <w:pPr>
        <w:ind w:left="397" w:firstLine="357"/>
        <w:rPr>
          <w:bCs/>
          <w:iCs/>
          <w:szCs w:val="24"/>
        </w:rPr>
      </w:pPr>
      <w:r w:rsidRPr="00097824">
        <w:rPr>
          <w:bCs/>
          <w:iCs/>
          <w:szCs w:val="24"/>
        </w:rPr>
        <w:t>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405AE027" w14:textId="77777777" w:rsidR="00143CD4" w:rsidRPr="00097824" w:rsidRDefault="00143CD4" w:rsidP="00143CD4">
      <w:pPr>
        <w:ind w:left="397" w:firstLine="357"/>
        <w:rPr>
          <w:bCs/>
          <w:iCs/>
          <w:szCs w:val="24"/>
        </w:rPr>
      </w:pPr>
      <w:r w:rsidRPr="00097824">
        <w:rPr>
          <w:bCs/>
          <w:iCs/>
          <w:szCs w:val="24"/>
        </w:rPr>
        <w:t>При подозрении и (или) выявлении у пациента онкологического заболевания в ходе оказания ему скорой медицинской помощи его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762026D8" w14:textId="77777777" w:rsidR="00143CD4" w:rsidRPr="00097824" w:rsidRDefault="00143CD4" w:rsidP="00143CD4">
      <w:pPr>
        <w:ind w:left="397" w:firstLine="357"/>
        <w:rPr>
          <w:bCs/>
          <w:iCs/>
          <w:szCs w:val="24"/>
        </w:rPr>
      </w:pPr>
      <w:r w:rsidRPr="00097824">
        <w:rPr>
          <w:bCs/>
          <w:iCs/>
          <w:szCs w:val="24"/>
        </w:rPr>
        <w:lastRenderedPageBreak/>
        <w:t>Показаниями для госпитализации в медицинскую организацию в экстренной или неотложной форме являются:</w:t>
      </w:r>
    </w:p>
    <w:p w14:paraId="4A7F2148" w14:textId="77777777" w:rsidR="00143CD4" w:rsidRPr="00097824" w:rsidRDefault="00143CD4" w:rsidP="00143CD4">
      <w:pPr>
        <w:ind w:left="397" w:firstLine="357"/>
        <w:rPr>
          <w:bCs/>
          <w:iCs/>
          <w:szCs w:val="24"/>
        </w:rPr>
      </w:pPr>
      <w:r w:rsidRPr="00097824">
        <w:rPr>
          <w:bCs/>
          <w:iCs/>
          <w:szCs w:val="24"/>
        </w:rPr>
        <w:t>1) наличие осложнений онкологического заболевания, требующих оказания ему специализированной медицинской помощи в экстренной и неотложной форме;</w:t>
      </w:r>
    </w:p>
    <w:p w14:paraId="0A2CA7E4" w14:textId="77777777" w:rsidR="00143CD4" w:rsidRPr="00097824" w:rsidRDefault="00143CD4" w:rsidP="00143CD4">
      <w:pPr>
        <w:ind w:left="397" w:firstLine="357"/>
        <w:rPr>
          <w:bCs/>
          <w:iCs/>
          <w:szCs w:val="24"/>
        </w:rPr>
      </w:pPr>
      <w:r w:rsidRPr="00097824">
        <w:rPr>
          <w:bCs/>
          <w:iCs/>
          <w:szCs w:val="24"/>
        </w:rPr>
        <w:t>2) наличие осложнений лечения онкологического заболевания (хирургическое вмешательство, ЛТ, лекарственная терапия и т.д.), требующих оказания ему специализированной медицинской помощи в экстренной и неотложной форме</w:t>
      </w:r>
    </w:p>
    <w:p w14:paraId="6E319C68" w14:textId="77777777" w:rsidR="00143CD4" w:rsidRPr="00097824" w:rsidRDefault="00143CD4" w:rsidP="00143CD4">
      <w:pPr>
        <w:ind w:left="397" w:firstLine="357"/>
        <w:rPr>
          <w:bCs/>
          <w:iCs/>
          <w:szCs w:val="24"/>
        </w:rPr>
      </w:pPr>
      <w:r w:rsidRPr="00097824">
        <w:rPr>
          <w:bCs/>
          <w:iCs/>
          <w:szCs w:val="24"/>
        </w:rPr>
        <w:t>Показаниями для госпитализации в медицинскую организацию в плановой форме являются:</w:t>
      </w:r>
    </w:p>
    <w:p w14:paraId="004A4609" w14:textId="77777777" w:rsidR="00143CD4" w:rsidRPr="00097824" w:rsidRDefault="00143CD4" w:rsidP="00143CD4">
      <w:pPr>
        <w:ind w:left="397" w:firstLine="357"/>
        <w:rPr>
          <w:bCs/>
          <w:iCs/>
          <w:szCs w:val="24"/>
        </w:rPr>
      </w:pPr>
      <w:r w:rsidRPr="00097824">
        <w:rPr>
          <w:bCs/>
          <w:iCs/>
          <w:szCs w:val="24"/>
        </w:rPr>
        <w:t xml:space="preserve">1) необходимость выполнения сложных интервенционных диагностических медицинских </w:t>
      </w:r>
      <w:proofErr w:type="gramStart"/>
      <w:r w:rsidRPr="00097824">
        <w:rPr>
          <w:bCs/>
          <w:iCs/>
          <w:szCs w:val="24"/>
        </w:rPr>
        <w:t>вмешательств,  а</w:t>
      </w:r>
      <w:proofErr w:type="gramEnd"/>
      <w:r w:rsidRPr="00097824">
        <w:rPr>
          <w:bCs/>
          <w:iCs/>
          <w:szCs w:val="24"/>
        </w:rPr>
        <w:t xml:space="preserve"> также проведение эндоскопических исследований при невозможности выполнить их амбулаторно, требуют последующего наблюдения в условиях круглосуточного или дневного стационара;</w:t>
      </w:r>
    </w:p>
    <w:p w14:paraId="3C6D6B50" w14:textId="77777777" w:rsidR="00143CD4" w:rsidRPr="00097824" w:rsidRDefault="00143CD4" w:rsidP="00143CD4">
      <w:pPr>
        <w:ind w:left="397" w:firstLine="357"/>
        <w:rPr>
          <w:bCs/>
          <w:iCs/>
          <w:szCs w:val="24"/>
        </w:rPr>
      </w:pPr>
      <w:r w:rsidRPr="00097824">
        <w:rPr>
          <w:bCs/>
          <w:iCs/>
          <w:szCs w:val="24"/>
        </w:rPr>
        <w:t>2) наличие показаний к специализированному противоопухолевому лечению (хирургическое вмешательство, ЛТ, в том числе контактная, ДЛТ и другие виды ЛТ, лекарственная терапия и др.), требующему наблюдения в условиях круглосуточного или дневного стационара.</w:t>
      </w:r>
    </w:p>
    <w:p w14:paraId="4CBA9DB3" w14:textId="77777777" w:rsidR="00143CD4" w:rsidRPr="00097824" w:rsidRDefault="00143CD4" w:rsidP="00143CD4">
      <w:pPr>
        <w:ind w:left="397" w:firstLine="357"/>
        <w:rPr>
          <w:bCs/>
          <w:iCs/>
          <w:szCs w:val="24"/>
        </w:rPr>
      </w:pPr>
      <w:r w:rsidRPr="00097824">
        <w:rPr>
          <w:bCs/>
          <w:iCs/>
          <w:szCs w:val="24"/>
        </w:rPr>
        <w:t>Показаниями к выписке пациента из медицинской организации являются:</w:t>
      </w:r>
    </w:p>
    <w:p w14:paraId="2E40C8C0" w14:textId="77777777" w:rsidR="00143CD4" w:rsidRPr="00097824" w:rsidRDefault="00143CD4" w:rsidP="00143CD4">
      <w:pPr>
        <w:ind w:left="397" w:firstLine="357"/>
        <w:rPr>
          <w:bCs/>
          <w:iCs/>
          <w:szCs w:val="24"/>
        </w:rPr>
      </w:pPr>
      <w:r w:rsidRPr="00097824">
        <w:rPr>
          <w:bCs/>
          <w:iCs/>
          <w:szCs w:val="24"/>
        </w:rPr>
        <w:t>1) 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066236BC" w14:textId="77777777" w:rsidR="00143CD4" w:rsidRPr="00097824" w:rsidRDefault="00143CD4" w:rsidP="00143CD4">
      <w:pPr>
        <w:ind w:left="397" w:firstLine="357"/>
        <w:rPr>
          <w:bCs/>
          <w:iCs/>
          <w:szCs w:val="24"/>
        </w:rPr>
      </w:pPr>
      <w:r w:rsidRPr="00097824">
        <w:rPr>
          <w:bCs/>
          <w:iCs/>
          <w:szCs w:val="24"/>
        </w:rPr>
        <w:t>2) 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w:t>
      </w:r>
    </w:p>
    <w:p w14:paraId="00DA7AA1" w14:textId="77777777" w:rsidR="00143CD4" w:rsidRPr="00097824" w:rsidRDefault="00143CD4" w:rsidP="00143CD4">
      <w:pPr>
        <w:ind w:left="397" w:firstLine="357"/>
        <w:rPr>
          <w:bCs/>
          <w:iCs/>
          <w:szCs w:val="24"/>
        </w:rPr>
      </w:pPr>
      <w:r w:rsidRPr="00097824">
        <w:rPr>
          <w:bCs/>
          <w:iCs/>
          <w:szCs w:val="24"/>
        </w:rPr>
        <w:t>3) 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14:paraId="589F2C08" w14:textId="77777777" w:rsidR="00143CD4" w:rsidRPr="00097824" w:rsidRDefault="00143CD4" w:rsidP="00143CD4">
      <w:pPr>
        <w:ind w:left="397" w:firstLine="357"/>
        <w:rPr>
          <w:bCs/>
          <w:iCs/>
          <w:szCs w:val="24"/>
        </w:rPr>
      </w:pPr>
      <w:r w:rsidRPr="00097824">
        <w:rPr>
          <w:bCs/>
          <w:iCs/>
          <w:szCs w:val="24"/>
        </w:rPr>
        <w:t>4) необходимость перевода пациента в другую медицинскую организацию по соответствующему профилю оказания медицинской помощи.</w:t>
      </w:r>
    </w:p>
    <w:p w14:paraId="0277D107" w14:textId="27D58ADE" w:rsidR="00143CD4" w:rsidRPr="00097824" w:rsidRDefault="00143CD4" w:rsidP="00143CD4">
      <w:pPr>
        <w:ind w:left="397" w:firstLine="357"/>
        <w:rPr>
          <w:bCs/>
          <w:iCs/>
          <w:szCs w:val="24"/>
        </w:rPr>
      </w:pPr>
      <w:r w:rsidRPr="00097824">
        <w:rPr>
          <w:bCs/>
          <w:iCs/>
          <w:szCs w:val="24"/>
        </w:rPr>
        <w:t xml:space="preserve">Заключение о целесообразности перевода пациента в профильную медицинскую организацию осуществляется после предварительной консультации по </w:t>
      </w:r>
      <w:r w:rsidRPr="00097824">
        <w:rPr>
          <w:bCs/>
          <w:iCs/>
          <w:szCs w:val="24"/>
        </w:rPr>
        <w:lastRenderedPageBreak/>
        <w:t>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p>
    <w:p w14:paraId="54E31CD2" w14:textId="77777777" w:rsidR="00143CD4" w:rsidRPr="00097824" w:rsidRDefault="00143CD4" w:rsidP="00AD4A9F">
      <w:pPr>
        <w:pStyle w:val="aff0"/>
        <w:spacing w:before="0" w:line="360" w:lineRule="auto"/>
        <w:ind w:left="397" w:firstLine="357"/>
      </w:pPr>
      <w:bookmarkStart w:id="116" w:name="_Toc113198777"/>
      <w:bookmarkStart w:id="117" w:name="_Toc113205068"/>
      <w:bookmarkStart w:id="118" w:name="_Toc473026669"/>
      <w:bookmarkStart w:id="119" w:name="_Toc511221607"/>
      <w:bookmarkStart w:id="120" w:name="_Toc23142736"/>
      <w:bookmarkEnd w:id="115"/>
    </w:p>
    <w:p w14:paraId="2D8BB87D" w14:textId="77777777" w:rsidR="00143CD4" w:rsidRPr="00097824" w:rsidRDefault="00143CD4" w:rsidP="00AD4A9F">
      <w:pPr>
        <w:pStyle w:val="aff0"/>
        <w:spacing w:before="0" w:line="360" w:lineRule="auto"/>
        <w:ind w:left="397" w:firstLine="357"/>
      </w:pPr>
    </w:p>
    <w:p w14:paraId="77B83E77" w14:textId="77777777" w:rsidR="00C904C9" w:rsidRPr="00097824" w:rsidRDefault="00C904C9" w:rsidP="00AD4A9F">
      <w:pPr>
        <w:pStyle w:val="aff0"/>
        <w:spacing w:before="0" w:line="360" w:lineRule="auto"/>
        <w:ind w:left="397" w:firstLine="357"/>
      </w:pPr>
    </w:p>
    <w:p w14:paraId="33F435B7" w14:textId="77777777" w:rsidR="00C904C9" w:rsidRPr="00097824" w:rsidRDefault="00C904C9" w:rsidP="00AD4A9F">
      <w:pPr>
        <w:pStyle w:val="aff0"/>
        <w:spacing w:before="0" w:line="360" w:lineRule="auto"/>
        <w:ind w:left="397" w:firstLine="357"/>
      </w:pPr>
    </w:p>
    <w:p w14:paraId="461D1B8D" w14:textId="11242D8D" w:rsidR="001B0BC9" w:rsidRPr="00097824" w:rsidRDefault="00DC7E37" w:rsidP="00AD4A9F">
      <w:pPr>
        <w:pStyle w:val="aff0"/>
        <w:spacing w:before="0" w:line="360" w:lineRule="auto"/>
        <w:ind w:left="397" w:firstLine="357"/>
      </w:pPr>
      <w:r w:rsidRPr="00097824">
        <w:t xml:space="preserve">7. Дополнительная информация (в том числе факторы, влияющие на исход </w:t>
      </w:r>
      <w:r w:rsidR="002A57D3" w:rsidRPr="00097824">
        <w:t>заболевания или</w:t>
      </w:r>
      <w:r w:rsidRPr="00097824">
        <w:t xml:space="preserve"> состояния)</w:t>
      </w:r>
      <w:bookmarkEnd w:id="116"/>
      <w:bookmarkEnd w:id="117"/>
    </w:p>
    <w:p w14:paraId="65B6D719" w14:textId="77777777" w:rsidR="00DC7E37" w:rsidRPr="00097824" w:rsidRDefault="00DC7E37" w:rsidP="00AD4A9F">
      <w:pPr>
        <w:pStyle w:val="-11"/>
        <w:ind w:left="397" w:firstLine="357"/>
        <w:rPr>
          <w:b/>
        </w:rPr>
      </w:pPr>
      <w:r w:rsidRPr="00097824">
        <w:t>Отсутствует.</w:t>
      </w:r>
    </w:p>
    <w:p w14:paraId="3266C2FC" w14:textId="77777777" w:rsidR="00F8529A" w:rsidRPr="00097824" w:rsidRDefault="00F8529A" w:rsidP="00AD4A9F">
      <w:pPr>
        <w:pStyle w:val="aff0"/>
        <w:spacing w:before="0" w:line="360" w:lineRule="auto"/>
        <w:ind w:left="397" w:firstLine="357"/>
      </w:pPr>
      <w:bookmarkStart w:id="121" w:name="_Toc113198778"/>
      <w:bookmarkStart w:id="122" w:name="_Toc113205069"/>
      <w:r w:rsidRPr="00097824">
        <w:t>Критерии оценки качества медицинской помощи</w:t>
      </w:r>
      <w:bookmarkEnd w:id="118"/>
      <w:bookmarkEnd w:id="119"/>
      <w:bookmarkEnd w:id="120"/>
      <w:bookmarkEnd w:id="121"/>
      <w:bookmarkEnd w:id="1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381"/>
        <w:gridCol w:w="1976"/>
      </w:tblGrid>
      <w:tr w:rsidR="005A526D" w:rsidRPr="00097824" w14:paraId="01445EB0" w14:textId="77777777" w:rsidTr="00C904C9">
        <w:trPr>
          <w:tblHeader/>
          <w:jc w:val="center"/>
        </w:trPr>
        <w:tc>
          <w:tcPr>
            <w:tcW w:w="529" w:type="pct"/>
            <w:vAlign w:val="center"/>
          </w:tcPr>
          <w:p w14:paraId="2B52FC6A" w14:textId="77777777" w:rsidR="00115DCF" w:rsidRPr="00097824" w:rsidRDefault="00115DCF" w:rsidP="00C904C9">
            <w:pPr>
              <w:ind w:firstLine="357"/>
              <w:rPr>
                <w:rFonts w:eastAsia="Times New Roman"/>
                <w:b/>
                <w:szCs w:val="24"/>
                <w:lang w:eastAsia="ru-RU"/>
              </w:rPr>
            </w:pPr>
            <w:r w:rsidRPr="00097824">
              <w:rPr>
                <w:rFonts w:eastAsia="Times New Roman"/>
                <w:b/>
                <w:szCs w:val="24"/>
                <w:lang w:eastAsia="ru-RU"/>
              </w:rPr>
              <w:t>№</w:t>
            </w:r>
          </w:p>
          <w:p w14:paraId="29AA3132" w14:textId="77777777" w:rsidR="00115DCF" w:rsidRPr="00097824" w:rsidRDefault="00115DCF" w:rsidP="00AD4A9F">
            <w:pPr>
              <w:ind w:left="397" w:firstLine="357"/>
              <w:jc w:val="center"/>
              <w:rPr>
                <w:rFonts w:eastAsia="Times New Roman"/>
                <w:b/>
                <w:szCs w:val="24"/>
                <w:lang w:eastAsia="ru-RU"/>
              </w:rPr>
            </w:pPr>
          </w:p>
        </w:tc>
        <w:tc>
          <w:tcPr>
            <w:tcW w:w="3414" w:type="pct"/>
            <w:vAlign w:val="center"/>
          </w:tcPr>
          <w:p w14:paraId="012E17F8" w14:textId="77777777" w:rsidR="00115DCF" w:rsidRPr="00097824" w:rsidRDefault="00115DCF" w:rsidP="00AD4A9F">
            <w:pPr>
              <w:ind w:left="397" w:firstLine="357"/>
              <w:jc w:val="center"/>
              <w:rPr>
                <w:rFonts w:eastAsia="Times New Roman"/>
                <w:b/>
                <w:szCs w:val="24"/>
                <w:lang w:eastAsia="ru-RU"/>
              </w:rPr>
            </w:pPr>
            <w:r w:rsidRPr="00097824">
              <w:rPr>
                <w:rFonts w:eastAsia="Times New Roman"/>
                <w:b/>
                <w:szCs w:val="24"/>
                <w:lang w:eastAsia="ru-RU"/>
              </w:rPr>
              <w:t>Критерии качества</w:t>
            </w:r>
          </w:p>
        </w:tc>
        <w:tc>
          <w:tcPr>
            <w:tcW w:w="1057" w:type="pct"/>
            <w:vAlign w:val="center"/>
          </w:tcPr>
          <w:p w14:paraId="605A3F89" w14:textId="77777777" w:rsidR="00115DCF" w:rsidRPr="00097824" w:rsidRDefault="00115DCF" w:rsidP="00C904C9">
            <w:pPr>
              <w:ind w:firstLine="357"/>
              <w:jc w:val="center"/>
              <w:rPr>
                <w:rFonts w:eastAsia="Times New Roman"/>
                <w:b/>
                <w:szCs w:val="24"/>
                <w:lang w:eastAsia="ru-RU"/>
              </w:rPr>
            </w:pPr>
            <w:r w:rsidRPr="00097824">
              <w:rPr>
                <w:rFonts w:eastAsia="Times New Roman"/>
                <w:b/>
                <w:szCs w:val="24"/>
                <w:lang w:eastAsia="ru-RU"/>
              </w:rPr>
              <w:t>Оценка выполнения</w:t>
            </w:r>
          </w:p>
        </w:tc>
      </w:tr>
      <w:tr w:rsidR="005A526D" w:rsidRPr="00097824" w14:paraId="1F2395B5" w14:textId="77777777" w:rsidTr="00C904C9">
        <w:trPr>
          <w:jc w:val="center"/>
        </w:trPr>
        <w:tc>
          <w:tcPr>
            <w:tcW w:w="529" w:type="pct"/>
            <w:vAlign w:val="center"/>
          </w:tcPr>
          <w:p w14:paraId="36F144CE" w14:textId="77777777" w:rsidR="00115DCF" w:rsidRPr="00097824" w:rsidRDefault="00115DCF" w:rsidP="00C904C9">
            <w:pPr>
              <w:ind w:firstLine="357"/>
              <w:rPr>
                <w:rFonts w:eastAsia="Times New Roman"/>
                <w:szCs w:val="24"/>
                <w:lang w:eastAsia="ru-RU"/>
              </w:rPr>
            </w:pPr>
            <w:r w:rsidRPr="00097824">
              <w:rPr>
                <w:rFonts w:eastAsia="Times New Roman"/>
                <w:szCs w:val="24"/>
                <w:lang w:eastAsia="ru-RU"/>
              </w:rPr>
              <w:t>1</w:t>
            </w:r>
          </w:p>
        </w:tc>
        <w:tc>
          <w:tcPr>
            <w:tcW w:w="3414" w:type="pct"/>
          </w:tcPr>
          <w:p w14:paraId="60E95586" w14:textId="77777777" w:rsidR="00115DCF" w:rsidRPr="00097824" w:rsidRDefault="007F5427" w:rsidP="00C904C9">
            <w:pPr>
              <w:ind w:firstLine="0"/>
              <w:rPr>
                <w:rFonts w:eastAsia="Times New Roman"/>
                <w:szCs w:val="24"/>
                <w:lang w:eastAsia="ru-RU"/>
              </w:rPr>
            </w:pPr>
            <w:r w:rsidRPr="00097824">
              <w:rPr>
                <w:rFonts w:eastAsia="Times New Roman"/>
                <w:szCs w:val="24"/>
                <w:lang w:eastAsia="ru-RU"/>
              </w:rPr>
              <w:t>Выполнен осмотр пациента врачом-онкологом</w:t>
            </w:r>
          </w:p>
        </w:tc>
        <w:tc>
          <w:tcPr>
            <w:tcW w:w="1057" w:type="pct"/>
          </w:tcPr>
          <w:p w14:paraId="7282CDF1" w14:textId="77777777" w:rsidR="00115DCF" w:rsidRPr="00097824" w:rsidRDefault="00115DCF" w:rsidP="00AD4A9F">
            <w:pPr>
              <w:ind w:left="397" w:firstLine="357"/>
              <w:jc w:val="center"/>
              <w:rPr>
                <w:rFonts w:eastAsia="Times New Roman"/>
                <w:szCs w:val="24"/>
                <w:lang w:eastAsia="ru-RU"/>
              </w:rPr>
            </w:pPr>
            <w:r w:rsidRPr="00097824">
              <w:rPr>
                <w:rFonts w:eastAsia="Times New Roman"/>
                <w:szCs w:val="24"/>
                <w:lang w:eastAsia="ru-RU"/>
              </w:rPr>
              <w:t>ДА/Нет</w:t>
            </w:r>
          </w:p>
        </w:tc>
      </w:tr>
      <w:tr w:rsidR="005A526D" w:rsidRPr="00097824" w14:paraId="5D3B705C" w14:textId="77777777" w:rsidTr="00C904C9">
        <w:trPr>
          <w:jc w:val="center"/>
        </w:trPr>
        <w:tc>
          <w:tcPr>
            <w:tcW w:w="529" w:type="pct"/>
            <w:vAlign w:val="center"/>
          </w:tcPr>
          <w:p w14:paraId="3332FDAC" w14:textId="77777777" w:rsidR="00115DCF" w:rsidRPr="00097824" w:rsidRDefault="00115DCF" w:rsidP="00C904C9">
            <w:pPr>
              <w:ind w:firstLine="357"/>
              <w:rPr>
                <w:rFonts w:eastAsia="Times New Roman"/>
                <w:szCs w:val="24"/>
                <w:lang w:eastAsia="ru-RU"/>
              </w:rPr>
            </w:pPr>
            <w:r w:rsidRPr="00097824">
              <w:rPr>
                <w:rFonts w:eastAsia="Times New Roman"/>
                <w:szCs w:val="24"/>
                <w:lang w:eastAsia="ru-RU"/>
              </w:rPr>
              <w:t>2</w:t>
            </w:r>
          </w:p>
        </w:tc>
        <w:tc>
          <w:tcPr>
            <w:tcW w:w="3414" w:type="pct"/>
          </w:tcPr>
          <w:p w14:paraId="463A7CCF" w14:textId="76A62099" w:rsidR="00115DCF" w:rsidRPr="00097824" w:rsidRDefault="007F5427" w:rsidP="00C904C9">
            <w:pPr>
              <w:ind w:firstLine="0"/>
              <w:rPr>
                <w:rFonts w:eastAsia="Times New Roman"/>
                <w:szCs w:val="24"/>
                <w:lang w:eastAsia="ru-RU"/>
              </w:rPr>
            </w:pPr>
            <w:r w:rsidRPr="00097824">
              <w:rPr>
                <w:rFonts w:eastAsia="Times New Roman"/>
                <w:szCs w:val="24"/>
                <w:lang w:eastAsia="ru-RU"/>
              </w:rPr>
              <w:t xml:space="preserve">Выполнено </w:t>
            </w:r>
            <w:proofErr w:type="gramStart"/>
            <w:r w:rsidRPr="00097824">
              <w:rPr>
                <w:rFonts w:eastAsia="Times New Roman"/>
                <w:szCs w:val="24"/>
                <w:lang w:eastAsia="ru-RU"/>
              </w:rPr>
              <w:t>патолого-анатомическое</w:t>
            </w:r>
            <w:proofErr w:type="gramEnd"/>
            <w:r w:rsidRPr="00097824">
              <w:rPr>
                <w:rFonts w:eastAsia="Times New Roman"/>
                <w:szCs w:val="24"/>
                <w:lang w:eastAsia="ru-RU"/>
              </w:rPr>
              <w:t xml:space="preserve"> исследование </w:t>
            </w:r>
            <w:proofErr w:type="spellStart"/>
            <w:r w:rsidRPr="00097824">
              <w:rPr>
                <w:rFonts w:eastAsia="Times New Roman"/>
                <w:szCs w:val="24"/>
                <w:lang w:eastAsia="ru-RU"/>
              </w:rPr>
              <w:t>биопсийного</w:t>
            </w:r>
            <w:proofErr w:type="spellEnd"/>
            <w:r w:rsidRPr="00097824">
              <w:rPr>
                <w:rFonts w:eastAsia="Times New Roman"/>
                <w:szCs w:val="24"/>
                <w:lang w:eastAsia="ru-RU"/>
              </w:rPr>
              <w:t xml:space="preserve"> </w:t>
            </w:r>
            <w:r w:rsidR="00F42C3F" w:rsidRPr="00097824">
              <w:rPr>
                <w:rFonts w:eastAsia="Times New Roman"/>
                <w:szCs w:val="24"/>
                <w:lang w:eastAsia="ru-RU"/>
              </w:rPr>
              <w:t xml:space="preserve">(операционного) </w:t>
            </w:r>
            <w:r w:rsidRPr="00097824">
              <w:rPr>
                <w:rFonts w:eastAsia="Times New Roman"/>
                <w:szCs w:val="24"/>
                <w:lang w:eastAsia="ru-RU"/>
              </w:rPr>
              <w:t>материала до начала лечения, за исключением случаев хирургического лечения</w:t>
            </w:r>
          </w:p>
        </w:tc>
        <w:tc>
          <w:tcPr>
            <w:tcW w:w="1057" w:type="pct"/>
          </w:tcPr>
          <w:p w14:paraId="4CD2FC6C" w14:textId="77777777" w:rsidR="00115DCF" w:rsidRPr="00097824" w:rsidRDefault="00115DCF" w:rsidP="00AD4A9F">
            <w:pPr>
              <w:ind w:left="397" w:firstLine="357"/>
              <w:jc w:val="center"/>
              <w:rPr>
                <w:rFonts w:eastAsia="Times New Roman"/>
                <w:szCs w:val="24"/>
                <w:lang w:eastAsia="ru-RU"/>
              </w:rPr>
            </w:pPr>
          </w:p>
          <w:p w14:paraId="552A924D" w14:textId="77777777" w:rsidR="00115DCF" w:rsidRPr="00097824" w:rsidRDefault="00115DCF" w:rsidP="00AD4A9F">
            <w:pPr>
              <w:ind w:left="397" w:firstLine="357"/>
              <w:jc w:val="center"/>
              <w:rPr>
                <w:rFonts w:eastAsia="Times New Roman"/>
                <w:szCs w:val="24"/>
                <w:lang w:eastAsia="ru-RU"/>
              </w:rPr>
            </w:pPr>
            <w:r w:rsidRPr="00097824">
              <w:rPr>
                <w:rFonts w:eastAsia="Times New Roman"/>
                <w:szCs w:val="24"/>
                <w:lang w:eastAsia="ru-RU"/>
              </w:rPr>
              <w:t>ДА/Нет</w:t>
            </w:r>
          </w:p>
        </w:tc>
      </w:tr>
      <w:tr w:rsidR="005A526D" w:rsidRPr="00097824" w14:paraId="62FA4162" w14:textId="77777777" w:rsidTr="00C904C9">
        <w:trPr>
          <w:jc w:val="center"/>
        </w:trPr>
        <w:tc>
          <w:tcPr>
            <w:tcW w:w="529" w:type="pct"/>
            <w:vAlign w:val="center"/>
          </w:tcPr>
          <w:p w14:paraId="4C5251D6" w14:textId="77777777" w:rsidR="00115DCF" w:rsidRPr="00097824" w:rsidRDefault="00115DCF" w:rsidP="00C904C9">
            <w:pPr>
              <w:ind w:firstLine="357"/>
              <w:rPr>
                <w:rFonts w:eastAsia="Times New Roman"/>
                <w:szCs w:val="24"/>
                <w:lang w:eastAsia="ru-RU"/>
              </w:rPr>
            </w:pPr>
            <w:r w:rsidRPr="00097824">
              <w:rPr>
                <w:rFonts w:eastAsia="Times New Roman"/>
                <w:szCs w:val="24"/>
                <w:lang w:eastAsia="ru-RU"/>
              </w:rPr>
              <w:t>3</w:t>
            </w:r>
          </w:p>
        </w:tc>
        <w:tc>
          <w:tcPr>
            <w:tcW w:w="3414" w:type="pct"/>
          </w:tcPr>
          <w:p w14:paraId="0D1A6579" w14:textId="0373DB8D" w:rsidR="00115DCF" w:rsidRPr="00097824" w:rsidRDefault="007F5427" w:rsidP="00C904C9">
            <w:pPr>
              <w:ind w:firstLine="0"/>
              <w:rPr>
                <w:rFonts w:eastAsia="Times New Roman"/>
                <w:szCs w:val="24"/>
                <w:lang w:eastAsia="ru-RU"/>
              </w:rPr>
            </w:pPr>
            <w:r w:rsidRPr="00097824">
              <w:rPr>
                <w:rFonts w:eastAsia="Times New Roman"/>
                <w:szCs w:val="24"/>
                <w:lang w:eastAsia="ru-RU"/>
              </w:rPr>
              <w:t xml:space="preserve">Выполнена компьютерная томография органов грудной </w:t>
            </w:r>
            <w:r w:rsidR="00221FD9" w:rsidRPr="00097824">
              <w:rPr>
                <w:rFonts w:eastAsia="Times New Roman"/>
                <w:szCs w:val="24"/>
                <w:lang w:eastAsia="ru-RU"/>
              </w:rPr>
              <w:t>полости</w:t>
            </w:r>
          </w:p>
        </w:tc>
        <w:tc>
          <w:tcPr>
            <w:tcW w:w="1057" w:type="pct"/>
          </w:tcPr>
          <w:p w14:paraId="48B3878E" w14:textId="77777777" w:rsidR="00115DCF" w:rsidRPr="00097824" w:rsidRDefault="00115DCF" w:rsidP="00AD4A9F">
            <w:pPr>
              <w:ind w:left="397" w:firstLine="357"/>
              <w:jc w:val="center"/>
              <w:rPr>
                <w:rFonts w:eastAsia="Times New Roman"/>
                <w:szCs w:val="24"/>
                <w:lang w:eastAsia="ru-RU"/>
              </w:rPr>
            </w:pPr>
          </w:p>
          <w:p w14:paraId="2A64400F" w14:textId="77777777" w:rsidR="00115DCF" w:rsidRPr="00097824" w:rsidRDefault="00115DCF" w:rsidP="00AD4A9F">
            <w:pPr>
              <w:ind w:left="397" w:firstLine="357"/>
              <w:jc w:val="center"/>
              <w:rPr>
                <w:rFonts w:eastAsia="Times New Roman"/>
                <w:szCs w:val="24"/>
                <w:lang w:eastAsia="ru-RU"/>
              </w:rPr>
            </w:pPr>
            <w:r w:rsidRPr="00097824">
              <w:rPr>
                <w:rFonts w:eastAsia="Times New Roman"/>
                <w:szCs w:val="24"/>
                <w:lang w:eastAsia="ru-RU"/>
              </w:rPr>
              <w:t>ДА/Нет</w:t>
            </w:r>
          </w:p>
        </w:tc>
      </w:tr>
      <w:tr w:rsidR="005A526D" w:rsidRPr="00097824" w14:paraId="24779B67" w14:textId="77777777" w:rsidTr="00C904C9">
        <w:trPr>
          <w:jc w:val="center"/>
        </w:trPr>
        <w:tc>
          <w:tcPr>
            <w:tcW w:w="529" w:type="pct"/>
            <w:vAlign w:val="center"/>
          </w:tcPr>
          <w:p w14:paraId="35AB46D0" w14:textId="77777777" w:rsidR="00115DCF" w:rsidRPr="00097824" w:rsidRDefault="00115DCF" w:rsidP="00C904C9">
            <w:pPr>
              <w:ind w:firstLine="357"/>
              <w:rPr>
                <w:rFonts w:eastAsia="Times New Roman"/>
                <w:szCs w:val="24"/>
                <w:lang w:eastAsia="ru-RU"/>
              </w:rPr>
            </w:pPr>
            <w:r w:rsidRPr="00097824">
              <w:rPr>
                <w:rFonts w:eastAsia="Times New Roman"/>
                <w:szCs w:val="24"/>
                <w:lang w:eastAsia="ru-RU"/>
              </w:rPr>
              <w:t>4</w:t>
            </w:r>
          </w:p>
        </w:tc>
        <w:tc>
          <w:tcPr>
            <w:tcW w:w="3414" w:type="pct"/>
          </w:tcPr>
          <w:p w14:paraId="06C856DC" w14:textId="77777777" w:rsidR="00115DCF" w:rsidRPr="00097824" w:rsidRDefault="007F5427" w:rsidP="00C904C9">
            <w:pPr>
              <w:ind w:firstLine="0"/>
              <w:rPr>
                <w:rFonts w:eastAsia="Times New Roman"/>
                <w:szCs w:val="24"/>
                <w:lang w:eastAsia="ru-RU"/>
              </w:rPr>
            </w:pPr>
            <w:r w:rsidRPr="00097824">
              <w:rPr>
                <w:rFonts w:eastAsia="Times New Roman"/>
                <w:szCs w:val="24"/>
                <w:lang w:eastAsia="ru-RU"/>
              </w:rPr>
              <w:t>Выполнены общий (клинический) анализ крови развернутый, а</w:t>
            </w:r>
            <w:r w:rsidR="00C15B99" w:rsidRPr="00097824">
              <w:t>нализ крови биохимический общетерапевтический</w:t>
            </w:r>
          </w:p>
        </w:tc>
        <w:tc>
          <w:tcPr>
            <w:tcW w:w="1057" w:type="pct"/>
          </w:tcPr>
          <w:p w14:paraId="4EB8D95D" w14:textId="77777777" w:rsidR="00115DCF" w:rsidRPr="00097824" w:rsidRDefault="00115DCF" w:rsidP="00AD4A9F">
            <w:pPr>
              <w:ind w:left="397" w:firstLine="357"/>
              <w:jc w:val="center"/>
              <w:rPr>
                <w:rFonts w:eastAsia="Times New Roman"/>
                <w:szCs w:val="24"/>
                <w:lang w:eastAsia="ru-RU"/>
              </w:rPr>
            </w:pPr>
            <w:r w:rsidRPr="00097824">
              <w:rPr>
                <w:rFonts w:eastAsia="Times New Roman"/>
                <w:szCs w:val="24"/>
                <w:lang w:eastAsia="ru-RU"/>
              </w:rPr>
              <w:t>ДА/Нет</w:t>
            </w:r>
          </w:p>
        </w:tc>
      </w:tr>
      <w:tr w:rsidR="005A526D" w:rsidRPr="00097824" w14:paraId="402A1227" w14:textId="77777777" w:rsidTr="00C904C9">
        <w:trPr>
          <w:jc w:val="center"/>
        </w:trPr>
        <w:tc>
          <w:tcPr>
            <w:tcW w:w="529" w:type="pct"/>
            <w:vAlign w:val="center"/>
          </w:tcPr>
          <w:p w14:paraId="1B91975C" w14:textId="77777777" w:rsidR="00115DCF" w:rsidRPr="00097824" w:rsidRDefault="00115DCF" w:rsidP="00C904C9">
            <w:pPr>
              <w:ind w:firstLine="357"/>
              <w:rPr>
                <w:rFonts w:eastAsia="Times New Roman"/>
                <w:szCs w:val="24"/>
                <w:lang w:eastAsia="ru-RU"/>
              </w:rPr>
            </w:pPr>
            <w:r w:rsidRPr="00097824">
              <w:rPr>
                <w:rFonts w:eastAsia="Times New Roman"/>
                <w:szCs w:val="24"/>
                <w:lang w:eastAsia="ru-RU"/>
              </w:rPr>
              <w:t>5</w:t>
            </w:r>
          </w:p>
        </w:tc>
        <w:tc>
          <w:tcPr>
            <w:tcW w:w="3414" w:type="pct"/>
          </w:tcPr>
          <w:p w14:paraId="3B686F33" w14:textId="0EBA6400" w:rsidR="00115DCF" w:rsidRPr="00097824" w:rsidRDefault="007F5427" w:rsidP="00C904C9">
            <w:pPr>
              <w:ind w:firstLine="0"/>
              <w:rPr>
                <w:rFonts w:eastAsia="Times New Roman"/>
                <w:szCs w:val="24"/>
                <w:lang w:eastAsia="ru-RU"/>
              </w:rPr>
            </w:pPr>
            <w:r w:rsidRPr="00097824">
              <w:rPr>
                <w:rFonts w:eastAsia="Times New Roman"/>
                <w:szCs w:val="24"/>
                <w:lang w:eastAsia="ru-RU"/>
              </w:rPr>
              <w:t>Выполнено ул</w:t>
            </w:r>
            <w:r w:rsidR="00C82DAA" w:rsidRPr="00097824">
              <w:rPr>
                <w:rFonts w:eastAsia="Times New Roman"/>
                <w:szCs w:val="24"/>
                <w:lang w:eastAsia="ru-RU"/>
              </w:rPr>
              <w:t>ьтразвуковое исследование</w:t>
            </w:r>
            <w:r w:rsidR="00AB3AEE" w:rsidRPr="00097824">
              <w:rPr>
                <w:rFonts w:eastAsia="Times New Roman"/>
                <w:szCs w:val="24"/>
                <w:lang w:eastAsia="ru-RU"/>
              </w:rPr>
              <w:t xml:space="preserve"> </w:t>
            </w:r>
            <w:r w:rsidR="00AB3AEE" w:rsidRPr="00097824">
              <w:t>брюшной полости (</w:t>
            </w:r>
            <w:proofErr w:type="gramStart"/>
            <w:r w:rsidR="00AB3AEE" w:rsidRPr="00097824">
              <w:t xml:space="preserve">комплексное) </w:t>
            </w:r>
            <w:r w:rsidR="00C82DAA" w:rsidRPr="00097824">
              <w:rPr>
                <w:rFonts w:eastAsia="Times New Roman"/>
                <w:szCs w:val="24"/>
                <w:lang w:eastAsia="ru-RU"/>
              </w:rPr>
              <w:t xml:space="preserve"> с</w:t>
            </w:r>
            <w:proofErr w:type="gramEnd"/>
            <w:r w:rsidR="00C82DAA" w:rsidRPr="00097824">
              <w:rPr>
                <w:rFonts w:eastAsia="Times New Roman"/>
                <w:szCs w:val="24"/>
                <w:lang w:eastAsia="ru-RU"/>
              </w:rPr>
              <w:t xml:space="preserve"> последующей контрастной компьютерной томографией или</w:t>
            </w:r>
            <w:r w:rsidR="00A0031A" w:rsidRPr="00097824">
              <w:t xml:space="preserve"> </w:t>
            </w:r>
            <w:r w:rsidR="00A0031A" w:rsidRPr="00097824">
              <w:rPr>
                <w:rFonts w:eastAsia="Times New Roman"/>
                <w:szCs w:val="24"/>
                <w:lang w:eastAsia="ru-RU"/>
              </w:rPr>
              <w:t xml:space="preserve">магнитно-резонансной томографией органов брюшной полости с внутривенным контрастированием с магнитно-резонансной </w:t>
            </w:r>
            <w:proofErr w:type="spellStart"/>
            <w:r w:rsidR="00A0031A" w:rsidRPr="00097824">
              <w:rPr>
                <w:rFonts w:eastAsia="Times New Roman"/>
                <w:szCs w:val="24"/>
                <w:lang w:eastAsia="ru-RU"/>
              </w:rPr>
              <w:t>холангиографией</w:t>
            </w:r>
            <w:proofErr w:type="spellEnd"/>
            <w:r w:rsidRPr="00097824">
              <w:rPr>
                <w:rFonts w:eastAsia="Times New Roman"/>
                <w:szCs w:val="24"/>
                <w:lang w:eastAsia="ru-RU"/>
              </w:rPr>
              <w:t xml:space="preserve"> органов брюшной полости и забрюшинного пространства</w:t>
            </w:r>
          </w:p>
        </w:tc>
        <w:tc>
          <w:tcPr>
            <w:tcW w:w="1057" w:type="pct"/>
          </w:tcPr>
          <w:p w14:paraId="307EDC02" w14:textId="77777777" w:rsidR="00115DCF" w:rsidRPr="00097824" w:rsidRDefault="00115DCF" w:rsidP="00AD4A9F">
            <w:pPr>
              <w:ind w:left="397" w:firstLine="357"/>
              <w:jc w:val="center"/>
              <w:rPr>
                <w:rFonts w:eastAsia="Times New Roman"/>
                <w:szCs w:val="24"/>
                <w:lang w:eastAsia="ru-RU"/>
              </w:rPr>
            </w:pPr>
          </w:p>
          <w:p w14:paraId="0DCB0276" w14:textId="77777777" w:rsidR="00115DCF" w:rsidRPr="00097824" w:rsidRDefault="00115DCF" w:rsidP="00AD4A9F">
            <w:pPr>
              <w:ind w:left="397" w:firstLine="357"/>
              <w:jc w:val="center"/>
              <w:rPr>
                <w:rFonts w:eastAsia="Times New Roman"/>
                <w:szCs w:val="24"/>
                <w:lang w:val="en-US" w:eastAsia="ru-RU"/>
              </w:rPr>
            </w:pPr>
            <w:r w:rsidRPr="00097824">
              <w:rPr>
                <w:rFonts w:eastAsia="Times New Roman"/>
                <w:szCs w:val="24"/>
                <w:lang w:eastAsia="ru-RU"/>
              </w:rPr>
              <w:t>ДА/Нет</w:t>
            </w:r>
          </w:p>
        </w:tc>
      </w:tr>
      <w:tr w:rsidR="005A526D" w:rsidRPr="00097824" w14:paraId="56A54732" w14:textId="77777777" w:rsidTr="00C904C9">
        <w:trPr>
          <w:jc w:val="center"/>
        </w:trPr>
        <w:tc>
          <w:tcPr>
            <w:tcW w:w="529" w:type="pct"/>
            <w:vAlign w:val="center"/>
          </w:tcPr>
          <w:p w14:paraId="29073F3B" w14:textId="77777777" w:rsidR="00115DCF" w:rsidRPr="00097824" w:rsidRDefault="00B732A7" w:rsidP="00C904C9">
            <w:pPr>
              <w:ind w:firstLine="357"/>
              <w:rPr>
                <w:rFonts w:eastAsia="Times New Roman"/>
                <w:szCs w:val="24"/>
                <w:lang w:eastAsia="ru-RU"/>
              </w:rPr>
            </w:pPr>
            <w:r w:rsidRPr="00097824">
              <w:rPr>
                <w:rFonts w:eastAsia="Times New Roman"/>
                <w:szCs w:val="24"/>
                <w:lang w:eastAsia="ru-RU"/>
              </w:rPr>
              <w:t>6</w:t>
            </w:r>
          </w:p>
        </w:tc>
        <w:tc>
          <w:tcPr>
            <w:tcW w:w="3414" w:type="pct"/>
          </w:tcPr>
          <w:p w14:paraId="3921EDBE" w14:textId="7C33690D" w:rsidR="00DF1929" w:rsidRPr="00097824" w:rsidRDefault="00C904C9" w:rsidP="00C904C9">
            <w:pPr>
              <w:ind w:firstLine="0"/>
              <w:rPr>
                <w:rFonts w:eastAsia="Times New Roman"/>
                <w:szCs w:val="24"/>
                <w:lang w:eastAsia="ru-RU"/>
              </w:rPr>
            </w:pPr>
            <w:r w:rsidRPr="00097824">
              <w:rPr>
                <w:rFonts w:eastAsia="Times New Roman"/>
                <w:szCs w:val="24"/>
                <w:lang w:eastAsia="ru-RU"/>
              </w:rPr>
              <w:t xml:space="preserve">Выполнено </w:t>
            </w:r>
            <w:r w:rsidR="007F5427" w:rsidRPr="00097824">
              <w:rPr>
                <w:rFonts w:eastAsia="Times New Roman"/>
                <w:szCs w:val="24"/>
                <w:lang w:eastAsia="ru-RU"/>
              </w:rPr>
              <w:t xml:space="preserve">патологоанатомическое исследование операционного материала опухоли печени (в том числе, с применением </w:t>
            </w:r>
            <w:proofErr w:type="spellStart"/>
            <w:r w:rsidR="007F5427" w:rsidRPr="00097824">
              <w:rPr>
                <w:rFonts w:eastAsia="Times New Roman"/>
                <w:szCs w:val="24"/>
                <w:lang w:eastAsia="ru-RU"/>
              </w:rPr>
              <w:t>иммуногистохимических</w:t>
            </w:r>
            <w:proofErr w:type="spellEnd"/>
            <w:r w:rsidR="007F5427" w:rsidRPr="00097824">
              <w:rPr>
                <w:rFonts w:eastAsia="Times New Roman"/>
                <w:szCs w:val="24"/>
                <w:lang w:eastAsia="ru-RU"/>
              </w:rPr>
              <w:t xml:space="preserve"> методов) </w:t>
            </w:r>
          </w:p>
        </w:tc>
        <w:tc>
          <w:tcPr>
            <w:tcW w:w="1057" w:type="pct"/>
          </w:tcPr>
          <w:p w14:paraId="65AA705B" w14:textId="77777777" w:rsidR="00115DCF" w:rsidRPr="00097824" w:rsidRDefault="00115DCF" w:rsidP="00AD4A9F">
            <w:pPr>
              <w:ind w:left="397" w:firstLine="357"/>
              <w:jc w:val="center"/>
              <w:rPr>
                <w:rFonts w:eastAsia="Times New Roman"/>
                <w:szCs w:val="24"/>
                <w:lang w:val="en-US" w:eastAsia="ru-RU"/>
              </w:rPr>
            </w:pPr>
            <w:r w:rsidRPr="00097824">
              <w:rPr>
                <w:rFonts w:eastAsia="Times New Roman"/>
                <w:szCs w:val="24"/>
                <w:lang w:eastAsia="ru-RU"/>
              </w:rPr>
              <w:t>ДА/Нет</w:t>
            </w:r>
          </w:p>
        </w:tc>
      </w:tr>
      <w:tr w:rsidR="005A526D" w:rsidRPr="00097824" w14:paraId="48024FF4" w14:textId="77777777" w:rsidTr="00C904C9">
        <w:trPr>
          <w:jc w:val="center"/>
        </w:trPr>
        <w:tc>
          <w:tcPr>
            <w:tcW w:w="529" w:type="pct"/>
            <w:vAlign w:val="center"/>
          </w:tcPr>
          <w:p w14:paraId="7D0CD07B" w14:textId="00BCA1C4" w:rsidR="00035DB5" w:rsidRPr="00097824" w:rsidRDefault="00562B59" w:rsidP="00C904C9">
            <w:pPr>
              <w:ind w:firstLine="357"/>
              <w:rPr>
                <w:rFonts w:eastAsia="Times New Roman"/>
                <w:szCs w:val="24"/>
                <w:lang w:eastAsia="ru-RU"/>
              </w:rPr>
            </w:pPr>
            <w:r w:rsidRPr="00097824">
              <w:rPr>
                <w:rFonts w:eastAsia="Times New Roman"/>
                <w:szCs w:val="24"/>
                <w:lang w:eastAsia="ru-RU"/>
              </w:rPr>
              <w:t>8</w:t>
            </w:r>
          </w:p>
        </w:tc>
        <w:tc>
          <w:tcPr>
            <w:tcW w:w="3414" w:type="pct"/>
          </w:tcPr>
          <w:p w14:paraId="6FA6EDE0" w14:textId="2DFFDF77" w:rsidR="00035DB5" w:rsidRPr="00097824" w:rsidRDefault="007F5427" w:rsidP="00C904C9">
            <w:pPr>
              <w:ind w:firstLine="0"/>
              <w:rPr>
                <w:rFonts w:eastAsia="Times New Roman"/>
                <w:szCs w:val="24"/>
                <w:lang w:eastAsia="ru-RU"/>
              </w:rPr>
            </w:pPr>
            <w:r w:rsidRPr="00097824">
              <w:rPr>
                <w:rFonts w:eastAsia="Times New Roman"/>
                <w:szCs w:val="24"/>
                <w:lang w:eastAsia="ru-RU"/>
              </w:rPr>
              <w:t xml:space="preserve">Выполнена </w:t>
            </w:r>
            <w:r w:rsidR="008422F8" w:rsidRPr="00097824">
              <w:t xml:space="preserve">предоперационная декомпрессия </w:t>
            </w:r>
            <w:r w:rsidR="008422F8" w:rsidRPr="00097824">
              <w:lastRenderedPageBreak/>
              <w:t>желчевыводящих путей (чрескожная</w:t>
            </w:r>
            <w:r w:rsidR="001567D0" w:rsidRPr="00097824">
              <w:t xml:space="preserve"> </w:t>
            </w:r>
            <w:proofErr w:type="spellStart"/>
            <w:r w:rsidR="002A57D3" w:rsidRPr="00097824">
              <w:t>чреспеченочная</w:t>
            </w:r>
            <w:proofErr w:type="spellEnd"/>
            <w:r w:rsidR="001567D0" w:rsidRPr="00097824">
              <w:t xml:space="preserve"> </w:t>
            </w:r>
            <w:proofErr w:type="spellStart"/>
            <w:r w:rsidR="008422F8" w:rsidRPr="00097824">
              <w:t>холангиостомия</w:t>
            </w:r>
            <w:proofErr w:type="spellEnd"/>
            <w:r w:rsidR="008422F8" w:rsidRPr="00097824">
              <w:t xml:space="preserve">, </w:t>
            </w:r>
            <w:proofErr w:type="spellStart"/>
            <w:r w:rsidR="008422F8" w:rsidRPr="00097824">
              <w:t>назобилиарное</w:t>
            </w:r>
            <w:proofErr w:type="spellEnd"/>
            <w:r w:rsidR="008422F8" w:rsidRPr="00097824">
              <w:t xml:space="preserve"> дренирование, стентирование) </w:t>
            </w:r>
            <w:r w:rsidRPr="00097824">
              <w:rPr>
                <w:rFonts w:eastAsia="Times New Roman"/>
                <w:szCs w:val="24"/>
                <w:lang w:eastAsia="ru-RU"/>
              </w:rPr>
              <w:t>при механической желтухе</w:t>
            </w:r>
          </w:p>
        </w:tc>
        <w:tc>
          <w:tcPr>
            <w:tcW w:w="1057" w:type="pct"/>
          </w:tcPr>
          <w:p w14:paraId="7200997E" w14:textId="77777777" w:rsidR="00035DB5" w:rsidRPr="00097824" w:rsidRDefault="00035DB5" w:rsidP="00AD4A9F">
            <w:pPr>
              <w:ind w:left="397" w:firstLine="357"/>
              <w:jc w:val="center"/>
              <w:rPr>
                <w:rFonts w:eastAsia="Times New Roman"/>
                <w:szCs w:val="24"/>
                <w:lang w:eastAsia="ru-RU"/>
              </w:rPr>
            </w:pPr>
          </w:p>
          <w:p w14:paraId="1C0D5F00" w14:textId="77777777" w:rsidR="00035DB5" w:rsidRPr="00097824" w:rsidRDefault="00035DB5" w:rsidP="00AD4A9F">
            <w:pPr>
              <w:ind w:left="397" w:firstLine="357"/>
              <w:jc w:val="center"/>
              <w:rPr>
                <w:rFonts w:eastAsia="Times New Roman"/>
                <w:szCs w:val="24"/>
                <w:lang w:val="en-US" w:eastAsia="ru-RU"/>
              </w:rPr>
            </w:pPr>
            <w:r w:rsidRPr="00097824">
              <w:rPr>
                <w:rFonts w:eastAsia="Times New Roman"/>
                <w:szCs w:val="24"/>
                <w:lang w:eastAsia="ru-RU"/>
              </w:rPr>
              <w:lastRenderedPageBreak/>
              <w:t>ДА/Нет</w:t>
            </w:r>
          </w:p>
        </w:tc>
      </w:tr>
    </w:tbl>
    <w:p w14:paraId="1BC20C06" w14:textId="77777777" w:rsidR="00D630AE" w:rsidRPr="00097824" w:rsidRDefault="007F5427" w:rsidP="00C904C9">
      <w:pPr>
        <w:ind w:firstLine="0"/>
        <w:rPr>
          <w:rFonts w:eastAsia="Times New Roman"/>
          <w:szCs w:val="24"/>
          <w:lang w:eastAsia="ru-RU"/>
        </w:rPr>
      </w:pPr>
      <w:r w:rsidRPr="00097824">
        <w:rPr>
          <w:rFonts w:eastAsia="Times New Roman"/>
          <w:i/>
          <w:iCs/>
          <w:szCs w:val="24"/>
          <w:lang w:eastAsia="ru-RU"/>
        </w:rPr>
        <w:lastRenderedPageBreak/>
        <w:t>Примечание:</w:t>
      </w:r>
      <w:r w:rsidR="00562B59" w:rsidRPr="00097824">
        <w:rPr>
          <w:rFonts w:eastAsia="Times New Roman"/>
          <w:szCs w:val="24"/>
          <w:lang w:eastAsia="ru-RU"/>
        </w:rPr>
        <w:t xml:space="preserve"> * – при выявлении при УЗИ опухолевой патологии </w:t>
      </w:r>
      <w:proofErr w:type="spellStart"/>
      <w:r w:rsidR="00562B59" w:rsidRPr="00097824">
        <w:rPr>
          <w:rFonts w:eastAsia="Times New Roman"/>
          <w:szCs w:val="24"/>
          <w:lang w:eastAsia="ru-RU"/>
        </w:rPr>
        <w:t>билиарного</w:t>
      </w:r>
      <w:proofErr w:type="spellEnd"/>
      <w:r w:rsidR="00562B59" w:rsidRPr="00097824">
        <w:rPr>
          <w:rFonts w:eastAsia="Times New Roman"/>
          <w:szCs w:val="24"/>
          <w:lang w:eastAsia="ru-RU"/>
        </w:rPr>
        <w:t xml:space="preserve"> тракта рекомендуется выполнить компьютерную томографию (КТ) органов брюшной полости с внутривенным контрастированием и/или магнитно-резонансную томографию (МРТ) органов брюшной полости с внутривенным контрастированием с магнитно-резонансной </w:t>
      </w:r>
      <w:proofErr w:type="spellStart"/>
      <w:r w:rsidR="00562B59" w:rsidRPr="00097824">
        <w:rPr>
          <w:rFonts w:eastAsia="Times New Roman"/>
          <w:szCs w:val="24"/>
          <w:lang w:eastAsia="ru-RU"/>
        </w:rPr>
        <w:t>холангиографией</w:t>
      </w:r>
      <w:proofErr w:type="spellEnd"/>
      <w:r w:rsidR="00562B59" w:rsidRPr="00097824">
        <w:rPr>
          <w:rFonts w:eastAsia="Times New Roman"/>
          <w:szCs w:val="24"/>
          <w:lang w:eastAsia="ru-RU"/>
        </w:rPr>
        <w:t>.</w:t>
      </w:r>
    </w:p>
    <w:p w14:paraId="32D9DE62" w14:textId="77777777" w:rsidR="00C904C9" w:rsidRPr="00097824" w:rsidRDefault="00C904C9" w:rsidP="00AD4A9F">
      <w:pPr>
        <w:pStyle w:val="CustomContentNormal"/>
        <w:spacing w:before="0"/>
        <w:ind w:left="397" w:firstLine="357"/>
        <w:jc w:val="left"/>
        <w:rPr>
          <w:sz w:val="24"/>
          <w:szCs w:val="24"/>
        </w:rPr>
      </w:pPr>
      <w:bookmarkStart w:id="123" w:name="__RefHeading___doc_bible"/>
      <w:bookmarkStart w:id="124" w:name="_Toc11747751"/>
      <w:bookmarkStart w:id="125" w:name="_Toc23142737"/>
      <w:bookmarkStart w:id="126" w:name="_Toc113198779"/>
      <w:bookmarkStart w:id="127" w:name="_Toc113205070"/>
      <w:bookmarkStart w:id="128" w:name="_Hlk177196452"/>
      <w:bookmarkEnd w:id="109"/>
    </w:p>
    <w:p w14:paraId="73192BD5" w14:textId="77777777" w:rsidR="00C904C9" w:rsidRPr="00097824" w:rsidRDefault="00C904C9">
      <w:pPr>
        <w:spacing w:line="240" w:lineRule="auto"/>
        <w:ind w:firstLine="0"/>
        <w:jc w:val="left"/>
        <w:rPr>
          <w:b/>
          <w:szCs w:val="24"/>
        </w:rPr>
      </w:pPr>
      <w:r w:rsidRPr="00097824">
        <w:rPr>
          <w:szCs w:val="24"/>
        </w:rPr>
        <w:br w:type="page"/>
      </w:r>
    </w:p>
    <w:p w14:paraId="17EBE7C3" w14:textId="6B353402" w:rsidR="00CD17D7" w:rsidRPr="00097824" w:rsidRDefault="00CD17D7" w:rsidP="00AD4A9F">
      <w:pPr>
        <w:pStyle w:val="CustomContentNormal"/>
        <w:spacing w:before="0"/>
        <w:ind w:left="397" w:firstLine="357"/>
        <w:jc w:val="left"/>
        <w:rPr>
          <w:sz w:val="24"/>
          <w:szCs w:val="24"/>
          <w:lang w:val="en-US"/>
        </w:rPr>
      </w:pPr>
      <w:r w:rsidRPr="00097824">
        <w:rPr>
          <w:sz w:val="24"/>
          <w:szCs w:val="24"/>
        </w:rPr>
        <w:lastRenderedPageBreak/>
        <w:t>Список</w:t>
      </w:r>
      <w:r w:rsidRPr="00097824">
        <w:rPr>
          <w:sz w:val="24"/>
          <w:szCs w:val="24"/>
          <w:lang w:val="en-US"/>
        </w:rPr>
        <w:t xml:space="preserve"> </w:t>
      </w:r>
      <w:r w:rsidRPr="00097824">
        <w:rPr>
          <w:sz w:val="24"/>
          <w:szCs w:val="24"/>
        </w:rPr>
        <w:t>литературы</w:t>
      </w:r>
      <w:bookmarkEnd w:id="123"/>
      <w:bookmarkEnd w:id="124"/>
      <w:bookmarkEnd w:id="125"/>
      <w:bookmarkEnd w:id="126"/>
      <w:bookmarkEnd w:id="127"/>
    </w:p>
    <w:p w14:paraId="608A2AF9" w14:textId="77777777" w:rsidR="00ED2D96" w:rsidRPr="00097824" w:rsidRDefault="007F5427" w:rsidP="00F207B4">
      <w:pPr>
        <w:ind w:left="397" w:firstLine="312"/>
        <w:rPr>
          <w:lang w:val="en-US" w:eastAsia="ru-RU"/>
        </w:rPr>
      </w:pPr>
      <w:r w:rsidRPr="00097824">
        <w:rPr>
          <w:szCs w:val="24"/>
          <w:lang w:eastAsia="ru-RU"/>
        </w:rPr>
        <w:fldChar w:fldCharType="begin"/>
      </w:r>
      <w:r w:rsidRPr="00097824">
        <w:rPr>
          <w:szCs w:val="24"/>
          <w:lang w:val="en-GB" w:eastAsia="ru-RU"/>
        </w:rPr>
        <w:instrText xml:space="preserve"> ADDIN ZOTERO_BIBL {"uncited":[],"omitted":[],"custom":[]} CSL_BIBLIOGRAPHY </w:instrText>
      </w:r>
      <w:r w:rsidRPr="00097824">
        <w:rPr>
          <w:szCs w:val="24"/>
          <w:lang w:eastAsia="ru-RU"/>
        </w:rPr>
        <w:fldChar w:fldCharType="separate"/>
      </w:r>
      <w:r w:rsidRPr="00097824">
        <w:rPr>
          <w:lang w:val="en-US" w:eastAsia="ru-RU"/>
        </w:rPr>
        <w:t>1.</w:t>
      </w:r>
      <w:r w:rsidRPr="00097824">
        <w:rPr>
          <w:lang w:val="en-US" w:eastAsia="ru-RU"/>
        </w:rPr>
        <w:tab/>
        <w:t>Sheth S., Bedford A., Chopra S. Primary gallbladder cancer: recognition of risk factors and the role of prophylactic cholecystectomy // The American Journal of Gastroenterology. 2000. Vol. 95, № 6. P. 1402–1410.</w:t>
      </w:r>
    </w:p>
    <w:p w14:paraId="2F9F7DE8" w14:textId="77777777" w:rsidR="00ED2D96" w:rsidRPr="00097824" w:rsidRDefault="007F5427" w:rsidP="00F207B4">
      <w:pPr>
        <w:ind w:left="397" w:firstLine="312"/>
        <w:rPr>
          <w:lang w:val="en-US" w:eastAsia="ru-RU"/>
        </w:rPr>
      </w:pPr>
      <w:r w:rsidRPr="00097824">
        <w:rPr>
          <w:lang w:val="en-US" w:eastAsia="ru-RU"/>
        </w:rPr>
        <w:t>2.</w:t>
      </w:r>
      <w:r w:rsidRPr="00097824">
        <w:rPr>
          <w:lang w:val="en-US" w:eastAsia="ru-RU"/>
        </w:rPr>
        <w:tab/>
        <w:t>Hueman M.T., Vollmer C.M., Pawlik T.M. Evolving Treatment Strategies for Gallbladder Cancer // Ann Surg Oncol. 2009. Vol. 16, № 8. P. 2101–2115.</w:t>
      </w:r>
    </w:p>
    <w:p w14:paraId="14ADF2E5" w14:textId="77777777" w:rsidR="00ED2D96" w:rsidRPr="00097824" w:rsidRDefault="007F5427" w:rsidP="00F207B4">
      <w:pPr>
        <w:ind w:left="397" w:firstLine="312"/>
        <w:rPr>
          <w:lang w:val="en-US" w:eastAsia="ru-RU"/>
        </w:rPr>
      </w:pPr>
      <w:r w:rsidRPr="00097824">
        <w:rPr>
          <w:lang w:val="en-US" w:eastAsia="ru-RU"/>
        </w:rPr>
        <w:t>3.</w:t>
      </w:r>
      <w:r w:rsidRPr="00097824">
        <w:rPr>
          <w:lang w:val="en-US" w:eastAsia="ru-RU"/>
        </w:rPr>
        <w:tab/>
        <w:t>Hundal R., Shaffer E.A. Gallbladder cancer: epidemiology and outcome // Clin Epidemiol. 2014. Vol. 6. P. 99–109.</w:t>
      </w:r>
    </w:p>
    <w:p w14:paraId="704BE4D9" w14:textId="77777777" w:rsidR="00ED2D96" w:rsidRPr="00097824" w:rsidRDefault="007F5427" w:rsidP="00F207B4">
      <w:pPr>
        <w:ind w:left="397" w:firstLine="312"/>
        <w:rPr>
          <w:lang w:val="en-US" w:eastAsia="ru-RU"/>
        </w:rPr>
      </w:pPr>
      <w:r w:rsidRPr="00097824">
        <w:rPr>
          <w:lang w:val="en-US" w:eastAsia="ru-RU"/>
        </w:rPr>
        <w:t>4.</w:t>
      </w:r>
      <w:r w:rsidRPr="00097824">
        <w:rPr>
          <w:lang w:val="en-US" w:eastAsia="ru-RU"/>
        </w:rPr>
        <w:tab/>
        <w:t>Patel T. Cholangiocarcinoma—controversies and challenges: 4 // Nat Rev Gastroenterol Hepatol. Nature Publishing Group, 2011. Vol. 8, № 4. P. 189–200.</w:t>
      </w:r>
    </w:p>
    <w:p w14:paraId="2A9758BC" w14:textId="77777777" w:rsidR="00ED2D96" w:rsidRPr="00097824" w:rsidRDefault="007F5427" w:rsidP="00F207B4">
      <w:pPr>
        <w:ind w:left="397" w:firstLine="312"/>
        <w:rPr>
          <w:lang w:val="en-US" w:eastAsia="ru-RU"/>
        </w:rPr>
      </w:pPr>
      <w:r w:rsidRPr="00097824">
        <w:rPr>
          <w:lang w:val="en-US" w:eastAsia="ru-RU"/>
        </w:rPr>
        <w:t>5.</w:t>
      </w:r>
      <w:r w:rsidRPr="00097824">
        <w:rPr>
          <w:lang w:val="en-US" w:eastAsia="ru-RU"/>
        </w:rPr>
        <w:tab/>
        <w:t>Yamamoto S. et al. Hepatitis C virus infection as a likely etiology of intrahepatic cholangiocarcinoma // Cancer Science. 2004. Vol. 95, № 7. P. 592–595.</w:t>
      </w:r>
    </w:p>
    <w:p w14:paraId="0B34008A" w14:textId="77777777" w:rsidR="00ED2D96" w:rsidRPr="00097824" w:rsidRDefault="007F5427" w:rsidP="00F207B4">
      <w:pPr>
        <w:ind w:left="397" w:firstLine="312"/>
        <w:rPr>
          <w:lang w:eastAsia="ru-RU"/>
        </w:rPr>
      </w:pPr>
      <w:r w:rsidRPr="00097824">
        <w:rPr>
          <w:lang w:val="en-US" w:eastAsia="ru-RU"/>
        </w:rPr>
        <w:t>6.</w:t>
      </w:r>
      <w:r w:rsidRPr="00097824">
        <w:rPr>
          <w:lang w:val="en-US" w:eastAsia="ru-RU"/>
        </w:rPr>
        <w:tab/>
        <w:t xml:space="preserve">Welzel T.M. et al. Risk factors for intrahepatic and extrahepatic cholangiocarcinoma in the United States: a population-based case-control study // Clinical Gastroenterology and Hepatology. </w:t>
      </w:r>
      <w:r w:rsidRPr="00097824">
        <w:rPr>
          <w:lang w:eastAsia="ru-RU"/>
        </w:rPr>
        <w:t xml:space="preserve">2007. </w:t>
      </w:r>
      <w:r w:rsidRPr="00097824">
        <w:rPr>
          <w:lang w:val="en-US" w:eastAsia="ru-RU"/>
        </w:rPr>
        <w:t>Vol</w:t>
      </w:r>
      <w:r w:rsidRPr="00097824">
        <w:rPr>
          <w:lang w:eastAsia="ru-RU"/>
        </w:rPr>
        <w:t xml:space="preserve">. 5, № 10. </w:t>
      </w:r>
      <w:r w:rsidRPr="00097824">
        <w:rPr>
          <w:lang w:val="en-US" w:eastAsia="ru-RU"/>
        </w:rPr>
        <w:t>P</w:t>
      </w:r>
      <w:r w:rsidRPr="00097824">
        <w:rPr>
          <w:lang w:eastAsia="ru-RU"/>
        </w:rPr>
        <w:t>. 1221–1228.</w:t>
      </w:r>
    </w:p>
    <w:p w14:paraId="6505523F" w14:textId="77777777" w:rsidR="00ED2D96" w:rsidRPr="00097824" w:rsidRDefault="007F5427" w:rsidP="00F207B4">
      <w:pPr>
        <w:ind w:left="397" w:firstLine="312"/>
        <w:rPr>
          <w:lang w:val="en-US" w:eastAsia="ru-RU"/>
        </w:rPr>
      </w:pPr>
      <w:r w:rsidRPr="00097824">
        <w:rPr>
          <w:lang w:eastAsia="ru-RU"/>
        </w:rPr>
        <w:t>7.</w:t>
      </w:r>
      <w:r w:rsidRPr="00097824">
        <w:rPr>
          <w:lang w:eastAsia="ru-RU"/>
        </w:rPr>
        <w:tab/>
        <w:t xml:space="preserve">Каприн А.Д., Старинский В.В., Шахзадова А.О. Злокачественные новообразования в России в 2020 году (заболеваемость и смертность). Москва: МНИОИ им. П.А. Герцена − филиал ФГБУ «НМИЦ радиологии» Минздрава России, 2021. </w:t>
      </w:r>
      <w:r w:rsidRPr="00097824">
        <w:rPr>
          <w:lang w:val="en-US" w:eastAsia="ru-RU"/>
        </w:rPr>
        <w:t>252 p.</w:t>
      </w:r>
    </w:p>
    <w:p w14:paraId="183129DC" w14:textId="77777777" w:rsidR="00ED2D96" w:rsidRPr="00097824" w:rsidRDefault="007F5427" w:rsidP="00F207B4">
      <w:pPr>
        <w:ind w:left="397" w:firstLine="312"/>
        <w:rPr>
          <w:lang w:val="en-US" w:eastAsia="ru-RU"/>
        </w:rPr>
      </w:pPr>
      <w:r w:rsidRPr="00097824">
        <w:rPr>
          <w:lang w:val="en-US" w:eastAsia="ru-RU"/>
        </w:rPr>
        <w:t>8.</w:t>
      </w:r>
      <w:r w:rsidRPr="00097824">
        <w:rPr>
          <w:lang w:val="en-US" w:eastAsia="ru-RU"/>
        </w:rPr>
        <w:tab/>
        <w:t>Zhu A.X. et al. Current management of gallbladder carcinoma // The oncologist. Oxford University Press, 2010. Vol. 15, № 2. P. 168–181.</w:t>
      </w:r>
    </w:p>
    <w:p w14:paraId="311F90C6" w14:textId="77777777" w:rsidR="00ED2D96" w:rsidRPr="00097824" w:rsidRDefault="007F5427" w:rsidP="00F207B4">
      <w:pPr>
        <w:ind w:left="397" w:firstLine="312"/>
        <w:rPr>
          <w:lang w:val="en-US" w:eastAsia="ru-RU"/>
        </w:rPr>
      </w:pPr>
      <w:r w:rsidRPr="00097824">
        <w:rPr>
          <w:lang w:val="en-US" w:eastAsia="ru-RU"/>
        </w:rPr>
        <w:t>9.</w:t>
      </w:r>
      <w:r w:rsidRPr="00097824">
        <w:rPr>
          <w:lang w:val="en-US" w:eastAsia="ru-RU"/>
        </w:rPr>
        <w:tab/>
        <w:t>DeOliveira M.L. et al. Cholangiocarcinoma: thirty-one-year experience with 564 patients at a single institution. // Ann Surg. 2007. Vol. 245, № 5. P. 755–762.</w:t>
      </w:r>
    </w:p>
    <w:p w14:paraId="2301CA15" w14:textId="1C6EA2FB" w:rsidR="00ED2D96" w:rsidRPr="00097824" w:rsidRDefault="007F5427" w:rsidP="00F207B4">
      <w:pPr>
        <w:ind w:left="397" w:firstLine="312"/>
        <w:rPr>
          <w:lang w:val="en-US" w:eastAsia="ru-RU"/>
        </w:rPr>
      </w:pPr>
      <w:r w:rsidRPr="00097824">
        <w:rPr>
          <w:lang w:val="en-US" w:eastAsia="ru-RU"/>
        </w:rPr>
        <w:t>10.</w:t>
      </w:r>
      <w:r w:rsidRPr="00097824">
        <w:rPr>
          <w:lang w:val="en-US" w:eastAsia="ru-RU"/>
        </w:rPr>
        <w:tab/>
      </w:r>
      <w:r w:rsidR="00FE1DF4" w:rsidRPr="00097824">
        <w:rPr>
          <w:lang w:val="en-US" w:eastAsia="ru-RU"/>
        </w:rPr>
        <w:t>Biliary tract cancer: ESMO Clinical Practice Guideline for diagnosis, treatment and follow-up. A. Vogel, J. Bridgewater, J. Edeline, J.W. Valle, M. Ducreux, on behalf of the ESMO Guidelines Committee</w:t>
      </w:r>
      <w:r w:rsidRPr="00097824">
        <w:rPr>
          <w:lang w:val="en-US" w:eastAsia="ru-RU"/>
        </w:rPr>
        <w:t xml:space="preserve"> // Annals of Oncology. </w:t>
      </w:r>
      <w:r w:rsidR="00FE1DF4" w:rsidRPr="00097824">
        <w:fldChar w:fldCharType="begin"/>
      </w:r>
      <w:r w:rsidR="00FE1DF4" w:rsidRPr="00097824">
        <w:rPr>
          <w:lang w:val="en-US"/>
        </w:rPr>
        <w:instrText>HYPERLINK "https://www.annalsofoncology.org/issue/S0923-7534(23)X0002-7"</w:instrText>
      </w:r>
      <w:r w:rsidR="00FE1DF4" w:rsidRPr="00097824">
        <w:fldChar w:fldCharType="separate"/>
      </w:r>
      <w:r w:rsidR="00FE1DF4" w:rsidRPr="00097824">
        <w:rPr>
          <w:lang w:val="en-US" w:eastAsia="ru-RU"/>
        </w:rPr>
        <w:t>VOl 34, issue 2</w:t>
      </w:r>
      <w:r w:rsidR="00FE1DF4" w:rsidRPr="00097824">
        <w:fldChar w:fldCharType="end"/>
      </w:r>
      <w:r w:rsidR="00FE1DF4" w:rsidRPr="00097824">
        <w:rPr>
          <w:lang w:val="en-US" w:eastAsia="ru-RU"/>
        </w:rPr>
        <w:t>, P127-140, FEBR 2023</w:t>
      </w:r>
      <w:r w:rsidRPr="00097824">
        <w:rPr>
          <w:lang w:val="en-US" w:eastAsia="ru-RU"/>
        </w:rPr>
        <w:t>.</w:t>
      </w:r>
      <w:r w:rsidR="00FE1DF4" w:rsidRPr="00097824">
        <w:rPr>
          <w:lang w:val="en-US" w:eastAsia="ru-RU"/>
        </w:rPr>
        <w:t xml:space="preserve"> DOI:</w:t>
      </w:r>
      <w:r w:rsidR="00FE1DF4" w:rsidRPr="00097824">
        <w:fldChar w:fldCharType="begin"/>
      </w:r>
      <w:r w:rsidR="00FE1DF4" w:rsidRPr="00097824">
        <w:rPr>
          <w:lang w:val="en-US"/>
        </w:rPr>
        <w:instrText>HYPERLINK "https://doi.org/10.1016/j.annonc.2022.10.506"</w:instrText>
      </w:r>
      <w:r w:rsidR="00FE1DF4" w:rsidRPr="00097824">
        <w:fldChar w:fldCharType="separate"/>
      </w:r>
      <w:r w:rsidR="00FE1DF4" w:rsidRPr="00097824">
        <w:rPr>
          <w:lang w:val="en-US" w:eastAsia="ru-RU"/>
        </w:rPr>
        <w:t>https://doi.org/10.1016/j.annonc.2022.10.506</w:t>
      </w:r>
      <w:r w:rsidR="00FE1DF4" w:rsidRPr="00097824">
        <w:fldChar w:fldCharType="end"/>
      </w:r>
    </w:p>
    <w:p w14:paraId="16B24C6A" w14:textId="77777777" w:rsidR="00ED2D96" w:rsidRPr="00097824" w:rsidRDefault="007F5427" w:rsidP="00F207B4">
      <w:pPr>
        <w:ind w:left="397" w:firstLine="312"/>
        <w:rPr>
          <w:lang w:val="en-US" w:eastAsia="ru-RU"/>
        </w:rPr>
      </w:pPr>
      <w:r w:rsidRPr="00097824">
        <w:rPr>
          <w:lang w:val="en-US" w:eastAsia="ru-RU"/>
        </w:rPr>
        <w:t>11.</w:t>
      </w:r>
      <w:r w:rsidRPr="00097824">
        <w:rPr>
          <w:lang w:val="en-US" w:eastAsia="ru-RU"/>
        </w:rPr>
        <w:tab/>
        <w:t>Hawkins W.G. et al. Jaundice predicts advanced disease and early mortality in patients with gallbladder cancer // Annals of surgical oncology. Springer, 2004. Vol. 11, № 3. P. 310–315.</w:t>
      </w:r>
    </w:p>
    <w:p w14:paraId="512A4E9B" w14:textId="77777777" w:rsidR="00ED2D96" w:rsidRPr="00097824" w:rsidRDefault="007F5427" w:rsidP="00F207B4">
      <w:pPr>
        <w:ind w:left="397" w:firstLine="312"/>
        <w:rPr>
          <w:lang w:val="en-US" w:eastAsia="ru-RU"/>
        </w:rPr>
      </w:pPr>
      <w:r w:rsidRPr="00097824">
        <w:rPr>
          <w:lang w:val="en-US" w:eastAsia="ru-RU"/>
        </w:rPr>
        <w:t>12.</w:t>
      </w:r>
      <w:r w:rsidRPr="00097824">
        <w:rPr>
          <w:lang w:val="en-US" w:eastAsia="ru-RU"/>
        </w:rPr>
        <w:tab/>
        <w:t>Jarnagin W.R. et al. Patterns of initial disease recurrence after resection of gallbladder carcinoma and hilar cholangiocarcinoma: implications for adjuvant therapeutic strategies // Cancer: Interdisciplinary International Journal of the American Cancer Society. Wiley Online Library, 2003. Vol. 98, № 8. P. 1689–1700.</w:t>
      </w:r>
    </w:p>
    <w:p w14:paraId="5F1670D1" w14:textId="77777777" w:rsidR="00ED2D96" w:rsidRPr="00097824" w:rsidRDefault="007F5427" w:rsidP="00F207B4">
      <w:pPr>
        <w:ind w:left="397" w:firstLine="312"/>
        <w:rPr>
          <w:lang w:val="en-US" w:eastAsia="ru-RU"/>
        </w:rPr>
      </w:pPr>
      <w:r w:rsidRPr="00097824">
        <w:rPr>
          <w:lang w:val="en-US" w:eastAsia="ru-RU"/>
        </w:rPr>
        <w:lastRenderedPageBreak/>
        <w:t>13.</w:t>
      </w:r>
      <w:r w:rsidRPr="00097824">
        <w:rPr>
          <w:lang w:val="en-US" w:eastAsia="ru-RU"/>
        </w:rPr>
        <w:tab/>
        <w:t>Oh S.E., Park J.S., Jeung H.-C. Pre-treatment Nutritional Risk Assessment by NRS-2002 Predicts Prognosis in Patients With Advanced Biliary Tract Cancer: A Single Center Retrospective Study // Clinical Nutrition Research. 2022. Vol. 11, № 3. P. 183–193.</w:t>
      </w:r>
    </w:p>
    <w:p w14:paraId="7AF2D9F7" w14:textId="77777777" w:rsidR="00ED2D96" w:rsidRPr="00097824" w:rsidRDefault="007F5427" w:rsidP="00F207B4">
      <w:pPr>
        <w:ind w:left="397" w:firstLine="312"/>
        <w:rPr>
          <w:lang w:val="en-US" w:eastAsia="ru-RU"/>
        </w:rPr>
      </w:pPr>
      <w:r w:rsidRPr="00097824">
        <w:rPr>
          <w:lang w:val="en-US" w:eastAsia="ru-RU"/>
        </w:rPr>
        <w:t>14.</w:t>
      </w:r>
      <w:r w:rsidRPr="00097824">
        <w:rPr>
          <w:lang w:val="en-US" w:eastAsia="ru-RU"/>
        </w:rPr>
        <w:tab/>
        <w:t>Ramaswamy A. et al. Second-Line Palliative Chemotherapy in Advanced Gall Bladder Cancer, CAP-IRI: Safe and Effective Option // Journal of Gastrointestinal Cancer. 2016. Vol. 47.</w:t>
      </w:r>
    </w:p>
    <w:p w14:paraId="51A0C2FA" w14:textId="77777777" w:rsidR="00ED2D96" w:rsidRPr="00097824" w:rsidRDefault="007F5427" w:rsidP="00F207B4">
      <w:pPr>
        <w:ind w:left="397" w:firstLine="312"/>
        <w:rPr>
          <w:lang w:val="en-US" w:eastAsia="ru-RU"/>
        </w:rPr>
      </w:pPr>
      <w:r w:rsidRPr="00097824">
        <w:rPr>
          <w:lang w:val="en-US" w:eastAsia="ru-RU"/>
        </w:rPr>
        <w:t>15.</w:t>
      </w:r>
      <w:r w:rsidRPr="00097824">
        <w:rPr>
          <w:lang w:val="en-US" w:eastAsia="ru-RU"/>
        </w:rPr>
        <w:tab/>
        <w:t>Bridgewater J. et al. Prognostic factors for progression-free and overall survival in advanced biliary tract cancer // Annals of Oncology. 2016. Vol. 27, № 1. P. 134–140.</w:t>
      </w:r>
    </w:p>
    <w:p w14:paraId="1F64E08A" w14:textId="77777777" w:rsidR="00ED2D96" w:rsidRPr="00097824" w:rsidRDefault="007F5427" w:rsidP="00F207B4">
      <w:pPr>
        <w:ind w:left="397" w:firstLine="312"/>
        <w:rPr>
          <w:lang w:val="en-US" w:eastAsia="ru-RU"/>
        </w:rPr>
      </w:pPr>
      <w:r w:rsidRPr="00097824">
        <w:rPr>
          <w:lang w:val="en-US" w:eastAsia="ru-RU"/>
        </w:rPr>
        <w:t>16.</w:t>
      </w:r>
      <w:r w:rsidRPr="00097824">
        <w:rPr>
          <w:lang w:val="en-US" w:eastAsia="ru-RU"/>
        </w:rPr>
        <w:tab/>
        <w:t>Peixoto R.D., Renouf D., Lim H. A population based analysis of prognostic factors in advanced biliary tract cancer // J Gastrointest Oncol. 2014. Vol. 5, № 6. P. 428–432.</w:t>
      </w:r>
    </w:p>
    <w:p w14:paraId="7C06E14D" w14:textId="77777777" w:rsidR="00ED2D96" w:rsidRPr="00097824" w:rsidRDefault="007F5427" w:rsidP="00F207B4">
      <w:pPr>
        <w:ind w:left="397" w:firstLine="312"/>
        <w:rPr>
          <w:lang w:val="en-US" w:eastAsia="ru-RU"/>
        </w:rPr>
      </w:pPr>
      <w:r w:rsidRPr="00097824">
        <w:rPr>
          <w:lang w:val="en-US" w:eastAsia="ru-RU"/>
        </w:rPr>
        <w:t>17.</w:t>
      </w:r>
      <w:r w:rsidRPr="00097824">
        <w:rPr>
          <w:lang w:val="en-US" w:eastAsia="ru-RU"/>
        </w:rPr>
        <w:tab/>
        <w:t>Horgan A. et al. Patterns of care and treatment outcomes in older patients with biliary tract cancer // Oncotarget. 2015. Vol. 6, № 42. P. 44995–45004.</w:t>
      </w:r>
    </w:p>
    <w:p w14:paraId="2EFE38A4" w14:textId="77777777" w:rsidR="00ED2D96" w:rsidRPr="00097824" w:rsidRDefault="007F5427" w:rsidP="00F207B4">
      <w:pPr>
        <w:ind w:left="397" w:firstLine="312"/>
        <w:rPr>
          <w:lang w:val="en-US" w:eastAsia="ru-RU"/>
        </w:rPr>
      </w:pPr>
      <w:r w:rsidRPr="00097824">
        <w:rPr>
          <w:lang w:val="en-US" w:eastAsia="ru-RU"/>
        </w:rPr>
        <w:t>18.</w:t>
      </w:r>
      <w:r w:rsidRPr="00097824">
        <w:rPr>
          <w:lang w:val="en-US" w:eastAsia="ru-RU"/>
        </w:rPr>
        <w:tab/>
        <w:t>Fiorin de Vasconcellos V. et al. Inpatient palliative chemotherapy is associated with high mortality and aggressive end-of-life care in patients with advanced solid tumors and poor performance status // BMC Palliative Care. 2019. Vol. 18, № 1. P. 42.</w:t>
      </w:r>
    </w:p>
    <w:p w14:paraId="69CFB42E" w14:textId="285A05CE" w:rsidR="00ED2D96" w:rsidRPr="00097824" w:rsidRDefault="007F5427" w:rsidP="00F207B4">
      <w:pPr>
        <w:ind w:left="397" w:firstLine="312"/>
        <w:rPr>
          <w:lang w:val="en-US" w:eastAsia="ru-RU"/>
        </w:rPr>
      </w:pPr>
      <w:r w:rsidRPr="00097824">
        <w:rPr>
          <w:lang w:val="en-US" w:eastAsia="ru-RU"/>
        </w:rPr>
        <w:t>19.</w:t>
      </w:r>
      <w:r w:rsidRPr="00097824">
        <w:rPr>
          <w:lang w:val="en-US" w:eastAsia="ru-RU"/>
        </w:rPr>
        <w:tab/>
      </w:r>
      <w:r w:rsidR="00816FA1" w:rsidRPr="00097824">
        <w:rPr>
          <w:lang w:val="en-US" w:eastAsia="ru-RU"/>
        </w:rPr>
        <w:t>NCCN Clinical Practice Guidelines in Oncology (NCCN Guidelines®) Biliary Tract Cancers Version 3.2024. https://www.nccn.org/professionals/physician_gls/pdf/btc.pdf</w:t>
      </w:r>
      <w:r w:rsidRPr="00097824">
        <w:rPr>
          <w:lang w:val="en-US" w:eastAsia="ru-RU"/>
        </w:rPr>
        <w:t>.</w:t>
      </w:r>
    </w:p>
    <w:p w14:paraId="60404949" w14:textId="77777777" w:rsidR="00ED2D96" w:rsidRPr="00097824" w:rsidRDefault="007F5427" w:rsidP="00F207B4">
      <w:pPr>
        <w:ind w:left="397" w:firstLine="312"/>
        <w:rPr>
          <w:lang w:val="en-US" w:eastAsia="ru-RU"/>
        </w:rPr>
      </w:pPr>
      <w:r w:rsidRPr="00097824">
        <w:rPr>
          <w:lang w:val="en-US" w:eastAsia="ru-RU"/>
        </w:rPr>
        <w:t>20.</w:t>
      </w:r>
      <w:r w:rsidRPr="00097824">
        <w:rPr>
          <w:lang w:val="en-US" w:eastAsia="ru-RU"/>
        </w:rPr>
        <w:tab/>
        <w:t>Schweitzer N. et al. Second-line chemotherapy in biliary tract cancer: Outcome and prognostic factors // Liver International. 2019. Vol. 39, № 5. P. 914–923.</w:t>
      </w:r>
    </w:p>
    <w:p w14:paraId="1D486A09" w14:textId="77777777" w:rsidR="00ED2D96" w:rsidRPr="00097824" w:rsidRDefault="007F5427" w:rsidP="00F207B4">
      <w:pPr>
        <w:ind w:left="397" w:firstLine="312"/>
        <w:rPr>
          <w:lang w:val="en-US" w:eastAsia="ru-RU"/>
        </w:rPr>
      </w:pPr>
      <w:r w:rsidRPr="00097824">
        <w:rPr>
          <w:lang w:val="en-US" w:eastAsia="ru-RU"/>
        </w:rPr>
        <w:t>21.</w:t>
      </w:r>
      <w:r w:rsidRPr="00097824">
        <w:rPr>
          <w:lang w:val="en-US" w:eastAsia="ru-RU"/>
        </w:rPr>
        <w:tab/>
        <w:t>Ikai I. et al. Reevaluation of prognostic factors for survival after liver resection in patients with hepatocellular carcinoma in a Japanese nationwide survey // Cancer. 2004. Vol. 101, № 4. P. 796–802.</w:t>
      </w:r>
    </w:p>
    <w:p w14:paraId="7E18A00D" w14:textId="77777777" w:rsidR="00ED2D96" w:rsidRPr="00097824" w:rsidRDefault="007F5427" w:rsidP="00F207B4">
      <w:pPr>
        <w:ind w:left="397" w:firstLine="312"/>
        <w:rPr>
          <w:lang w:val="en-US" w:eastAsia="ru-RU"/>
        </w:rPr>
      </w:pPr>
      <w:r w:rsidRPr="00097824">
        <w:rPr>
          <w:lang w:val="en-US" w:eastAsia="ru-RU"/>
        </w:rPr>
        <w:t>22.</w:t>
      </w:r>
      <w:r w:rsidRPr="00097824">
        <w:rPr>
          <w:lang w:val="en-US" w:eastAsia="ru-RU"/>
        </w:rPr>
        <w:tab/>
        <w:t>Park H.S. et al. Prognostic Factors and Scoring Model for Survival in Metastatic Biliary Tract Cancer // Cancer Res Treat. Korean Cancer Association, 2017. Vol. 49, № 4. P. 1127–1139.</w:t>
      </w:r>
    </w:p>
    <w:p w14:paraId="11C10930" w14:textId="77777777" w:rsidR="00ED2D96" w:rsidRPr="00097824" w:rsidRDefault="007F5427" w:rsidP="00F207B4">
      <w:pPr>
        <w:ind w:left="397" w:firstLine="312"/>
        <w:rPr>
          <w:lang w:val="en-US" w:eastAsia="ru-RU"/>
        </w:rPr>
      </w:pPr>
      <w:r w:rsidRPr="00097824">
        <w:rPr>
          <w:lang w:val="en-US" w:eastAsia="ru-RU"/>
        </w:rPr>
        <w:t>23.</w:t>
      </w:r>
      <w:r w:rsidRPr="00097824">
        <w:rPr>
          <w:lang w:val="en-US" w:eastAsia="ru-RU"/>
        </w:rPr>
        <w:tab/>
        <w:t>Seo J.W. et al. Prognostic impact of hepatitis B or C on intrahepatic cholangiocarcinoma // Korean J Intern Med. 2020. Vol. 35, № 3. P. 566–573.</w:t>
      </w:r>
    </w:p>
    <w:p w14:paraId="358A30A8" w14:textId="77777777" w:rsidR="00ED2D96" w:rsidRPr="00097824" w:rsidRDefault="007F5427" w:rsidP="00F207B4">
      <w:pPr>
        <w:ind w:left="397" w:firstLine="312"/>
        <w:rPr>
          <w:lang w:val="en-US" w:eastAsia="ru-RU"/>
        </w:rPr>
      </w:pPr>
      <w:r w:rsidRPr="00097824">
        <w:rPr>
          <w:lang w:val="en-US" w:eastAsia="ru-RU"/>
        </w:rPr>
        <w:t>24.</w:t>
      </w:r>
      <w:r w:rsidRPr="00097824">
        <w:rPr>
          <w:lang w:val="en-US" w:eastAsia="ru-RU"/>
        </w:rPr>
        <w:tab/>
        <w:t>Liu D. et al. The prognostic value of neutrophil-to-lymphocyte ratio in cholangiocarcinoma: a systematic review and meta-analysis: 1 // Sci Rep. Nature Publishing Group, 2022. Vol. 12, № 1. P. 12691.</w:t>
      </w:r>
    </w:p>
    <w:p w14:paraId="11797C0B" w14:textId="77777777" w:rsidR="00ED2D96" w:rsidRPr="00097824" w:rsidRDefault="007F5427" w:rsidP="00F207B4">
      <w:pPr>
        <w:ind w:left="397" w:firstLine="312"/>
        <w:rPr>
          <w:lang w:val="en-US" w:eastAsia="ru-RU"/>
        </w:rPr>
      </w:pPr>
      <w:r w:rsidRPr="00097824">
        <w:rPr>
          <w:lang w:val="en-US" w:eastAsia="ru-RU"/>
        </w:rPr>
        <w:t>25.</w:t>
      </w:r>
      <w:r w:rsidRPr="00097824">
        <w:rPr>
          <w:lang w:val="en-US" w:eastAsia="ru-RU"/>
        </w:rPr>
        <w:tab/>
        <w:t>Zhang Y. et al. A meta-analysis of the utility of transabdominal ultrasound for evaluation of gastric cancer // Medicine (Baltimore). 2021. Vol. 100, № 32. P. e26928.</w:t>
      </w:r>
    </w:p>
    <w:p w14:paraId="7C9871C2" w14:textId="77777777" w:rsidR="00ED2D96" w:rsidRPr="00097824" w:rsidRDefault="007F5427" w:rsidP="00F207B4">
      <w:pPr>
        <w:ind w:left="397" w:firstLine="312"/>
        <w:rPr>
          <w:lang w:val="en-US" w:eastAsia="ru-RU"/>
        </w:rPr>
      </w:pPr>
      <w:r w:rsidRPr="00097824">
        <w:rPr>
          <w:lang w:val="en-US" w:eastAsia="ru-RU"/>
        </w:rPr>
        <w:lastRenderedPageBreak/>
        <w:t>26.</w:t>
      </w:r>
      <w:r w:rsidRPr="00097824">
        <w:rPr>
          <w:lang w:val="en-US" w:eastAsia="ru-RU"/>
        </w:rPr>
        <w:tab/>
        <w:t>Shi W. et al. Contrast-enhanced ultrasonography used for post-treatment responses evaluation of radiofrequency ablations for hepatocellular carcinoma: a meta-analysis // Br J Radiol. 2016. Vol. 89, № 1064. P. 20150973.</w:t>
      </w:r>
    </w:p>
    <w:p w14:paraId="7F510F6A" w14:textId="77777777" w:rsidR="00ED2D96" w:rsidRPr="00097824" w:rsidRDefault="007F5427" w:rsidP="00F207B4">
      <w:pPr>
        <w:ind w:left="397" w:firstLine="312"/>
        <w:rPr>
          <w:lang w:val="en-US" w:eastAsia="ru-RU"/>
        </w:rPr>
      </w:pPr>
      <w:r w:rsidRPr="00097824">
        <w:rPr>
          <w:lang w:val="en-US" w:eastAsia="ru-RU"/>
        </w:rPr>
        <w:t>27.</w:t>
      </w:r>
      <w:r w:rsidRPr="00097824">
        <w:rPr>
          <w:lang w:val="en-US" w:eastAsia="ru-RU"/>
        </w:rPr>
        <w:tab/>
        <w:t>Pan K.-H. et al. Diagnostic Performance of Contrast-Enhanced Ultrasound in Renal Cancer: A Meta-Analysis // Front Oncol. 2020. Vol. 10. P. 586949.</w:t>
      </w:r>
    </w:p>
    <w:p w14:paraId="63C96418" w14:textId="77777777" w:rsidR="00ED2D96" w:rsidRPr="00097824" w:rsidRDefault="007F5427" w:rsidP="00F207B4">
      <w:pPr>
        <w:ind w:left="397" w:firstLine="312"/>
        <w:rPr>
          <w:lang w:val="en-US" w:eastAsia="ru-RU"/>
        </w:rPr>
      </w:pPr>
      <w:r w:rsidRPr="00097824">
        <w:rPr>
          <w:lang w:val="en-US" w:eastAsia="ru-RU"/>
        </w:rPr>
        <w:t>28.</w:t>
      </w:r>
      <w:r w:rsidRPr="00097824">
        <w:rPr>
          <w:lang w:val="en-US" w:eastAsia="ru-RU"/>
        </w:rPr>
        <w:tab/>
        <w:t>Sungkasubun P. et al. Ultrasound screening for cholangiocarcinoma could detect premalignant lesions and early-stage diseases with survival benefits: a population-based prospective study of 4,225 subjects in an endemic area // BMC Cancer. 2016. Vol. 16. P. 346.</w:t>
      </w:r>
    </w:p>
    <w:p w14:paraId="4011E009" w14:textId="77777777" w:rsidR="00ED2D96" w:rsidRPr="00097824" w:rsidRDefault="007F5427" w:rsidP="00F207B4">
      <w:pPr>
        <w:ind w:left="397" w:firstLine="312"/>
        <w:rPr>
          <w:lang w:val="en-US" w:eastAsia="ru-RU"/>
        </w:rPr>
      </w:pPr>
      <w:r w:rsidRPr="00097824">
        <w:rPr>
          <w:lang w:val="en-US" w:eastAsia="ru-RU"/>
        </w:rPr>
        <w:t>29.</w:t>
      </w:r>
      <w:r w:rsidRPr="00097824">
        <w:rPr>
          <w:lang w:val="en-US" w:eastAsia="ru-RU"/>
        </w:rPr>
        <w:tab/>
        <w:t>Ruys A.T. et al. Radiological staging in patients with hilar cholangiocarcinoma: a systematic review and meta-analysis // Br J Radiol. 2012. Vol. 85, № 1017. P. 1255–1262.</w:t>
      </w:r>
    </w:p>
    <w:p w14:paraId="08CC81A7" w14:textId="77777777" w:rsidR="00ED2D96" w:rsidRPr="00097824" w:rsidRDefault="007F5427" w:rsidP="00F207B4">
      <w:pPr>
        <w:ind w:left="397" w:firstLine="312"/>
        <w:rPr>
          <w:lang w:val="en-US" w:eastAsia="ru-RU"/>
        </w:rPr>
      </w:pPr>
      <w:r w:rsidRPr="00097824">
        <w:rPr>
          <w:lang w:val="en-US" w:eastAsia="ru-RU"/>
        </w:rPr>
        <w:t>30.</w:t>
      </w:r>
      <w:r w:rsidRPr="00097824">
        <w:rPr>
          <w:lang w:val="en-US" w:eastAsia="ru-RU"/>
        </w:rPr>
        <w:tab/>
        <w:t>Lee H.Y. et al. Preoperative assessment of resectability of hepatic hilar cholangiocarcinoma: combined CT and cholangiography with revised criteria // Radiology. 2006. Vol. 239, № 1. P. 113–121.</w:t>
      </w:r>
    </w:p>
    <w:p w14:paraId="2896A8FA" w14:textId="77777777" w:rsidR="00ED2D96" w:rsidRPr="00097824" w:rsidRDefault="007F5427" w:rsidP="00F207B4">
      <w:pPr>
        <w:ind w:left="397" w:firstLine="312"/>
        <w:rPr>
          <w:lang w:val="en-US" w:eastAsia="ru-RU"/>
        </w:rPr>
      </w:pPr>
      <w:r w:rsidRPr="00097824">
        <w:rPr>
          <w:lang w:val="en-US" w:eastAsia="ru-RU"/>
        </w:rPr>
        <w:t>31.</w:t>
      </w:r>
      <w:r w:rsidRPr="00097824">
        <w:rPr>
          <w:lang w:val="en-US" w:eastAsia="ru-RU"/>
        </w:rPr>
        <w:tab/>
        <w:t>Levy A.D., Murakata L.A., Rohrmann C.A. Gallbladder Carcinoma: Radiologic-Pathologic Correlation // RadioGraphics. Radiological Society of North America, 2001. Vol. 21, № 2. P. 295–314.</w:t>
      </w:r>
    </w:p>
    <w:p w14:paraId="36DD5956" w14:textId="77777777" w:rsidR="00ED2D96" w:rsidRPr="00097824" w:rsidRDefault="007F5427" w:rsidP="00F207B4">
      <w:pPr>
        <w:ind w:left="397" w:firstLine="312"/>
        <w:rPr>
          <w:lang w:val="en-US" w:eastAsia="ru-RU"/>
        </w:rPr>
      </w:pPr>
      <w:r w:rsidRPr="00097824">
        <w:rPr>
          <w:lang w:val="en-US" w:eastAsia="ru-RU"/>
        </w:rPr>
        <w:t>32.</w:t>
      </w:r>
      <w:r w:rsidRPr="00097824">
        <w:rPr>
          <w:lang w:val="en-US" w:eastAsia="ru-RU"/>
        </w:rPr>
        <w:tab/>
        <w:t>Zhai N. et al. Pulmonary metastasis of distal cholangiocarcinoma with multiple cavities in bilateral lungs: A case report // Thorac Cancer. 2020. Vol. 11, № 10. P. 2998–3000.</w:t>
      </w:r>
    </w:p>
    <w:p w14:paraId="64B8FBE7" w14:textId="77777777" w:rsidR="00ED2D96" w:rsidRPr="00097824" w:rsidRDefault="007F5427" w:rsidP="00F207B4">
      <w:pPr>
        <w:ind w:left="397" w:firstLine="312"/>
        <w:rPr>
          <w:lang w:val="en-US" w:eastAsia="ru-RU"/>
        </w:rPr>
      </w:pPr>
      <w:r w:rsidRPr="00097824">
        <w:rPr>
          <w:lang w:val="en-US" w:eastAsia="ru-RU"/>
        </w:rPr>
        <w:t>33.</w:t>
      </w:r>
      <w:r w:rsidRPr="00097824">
        <w:rPr>
          <w:lang w:val="en-US" w:eastAsia="ru-RU"/>
        </w:rPr>
        <w:tab/>
        <w:t>Fujino R. et al. Lung metastases from intraductal papillary neoplasm of the bile duct: a case report // World J Surg Oncol. 2020. Vol. 18. P. 271.</w:t>
      </w:r>
    </w:p>
    <w:p w14:paraId="27A4A795" w14:textId="77777777" w:rsidR="00ED2D96" w:rsidRPr="00097824" w:rsidRDefault="007F5427" w:rsidP="00F207B4">
      <w:pPr>
        <w:ind w:left="397" w:firstLine="312"/>
        <w:rPr>
          <w:lang w:val="en-US" w:eastAsia="ru-RU"/>
        </w:rPr>
      </w:pPr>
      <w:r w:rsidRPr="00097824">
        <w:rPr>
          <w:lang w:val="en-US" w:eastAsia="ru-RU"/>
        </w:rPr>
        <w:t>34.</w:t>
      </w:r>
      <w:r w:rsidRPr="00097824">
        <w:rPr>
          <w:lang w:val="en-US" w:eastAsia="ru-RU"/>
        </w:rPr>
        <w:tab/>
        <w:t>Sackmann M., Beuers U., Helmberger T. Biliary imaging: magnetic resonance cholangiography versus endoscopic retrograde cholangiography // Journal of Hepatology. Elsevier, 1999. Vol. 30, № 2. P. 334–338.</w:t>
      </w:r>
    </w:p>
    <w:p w14:paraId="72BDD0B9" w14:textId="77777777" w:rsidR="00ED2D96" w:rsidRPr="00097824" w:rsidRDefault="007F5427" w:rsidP="00F207B4">
      <w:pPr>
        <w:ind w:left="397" w:firstLine="312"/>
        <w:rPr>
          <w:lang w:val="en-US" w:eastAsia="ru-RU"/>
        </w:rPr>
      </w:pPr>
      <w:r w:rsidRPr="00097824">
        <w:rPr>
          <w:lang w:val="en-US" w:eastAsia="ru-RU"/>
        </w:rPr>
        <w:t>35.</w:t>
      </w:r>
      <w:r w:rsidRPr="00097824">
        <w:rPr>
          <w:lang w:val="en-US" w:eastAsia="ru-RU"/>
        </w:rPr>
        <w:tab/>
        <w:t>Hyodo T. et al. CT and MR cholangiography: advantages and pitfalls in perioperative evaluation of biliary tree // BJR. The British Institute of Radiology, 2012. Vol. 85, № 1015. P. 887–896.</w:t>
      </w:r>
    </w:p>
    <w:p w14:paraId="76FD41FD" w14:textId="77777777" w:rsidR="00ED2D96" w:rsidRPr="00097824" w:rsidRDefault="007F5427" w:rsidP="00F207B4">
      <w:pPr>
        <w:ind w:left="397" w:firstLine="312"/>
        <w:rPr>
          <w:lang w:val="en-US" w:eastAsia="ru-RU"/>
        </w:rPr>
      </w:pPr>
      <w:r w:rsidRPr="00097824">
        <w:rPr>
          <w:lang w:val="en-US" w:eastAsia="ru-RU"/>
        </w:rPr>
        <w:t>36.</w:t>
      </w:r>
      <w:r w:rsidRPr="00097824">
        <w:rPr>
          <w:lang w:val="en-US" w:eastAsia="ru-RU"/>
        </w:rPr>
        <w:tab/>
        <w:t>Lamarca A. et al. 18F-fluorodeoxyglucose positron emission tomography (18FDG-PET) for patients with biliary tract cancer: Systematic review and meta-analysis // J Hepatol. 2019. Vol. 71, № 1. P. 115–129.</w:t>
      </w:r>
    </w:p>
    <w:p w14:paraId="6CD97F9E" w14:textId="77777777" w:rsidR="00ED2D96" w:rsidRPr="00097824" w:rsidRDefault="007F5427" w:rsidP="00F207B4">
      <w:pPr>
        <w:ind w:left="397" w:firstLine="312"/>
        <w:rPr>
          <w:lang w:val="en-US" w:eastAsia="ru-RU"/>
        </w:rPr>
      </w:pPr>
      <w:r w:rsidRPr="00097824">
        <w:rPr>
          <w:lang w:val="en-US" w:eastAsia="ru-RU"/>
        </w:rPr>
        <w:t>37.</w:t>
      </w:r>
      <w:r w:rsidRPr="00097824">
        <w:rPr>
          <w:lang w:val="en-US" w:eastAsia="ru-RU"/>
        </w:rPr>
        <w:tab/>
        <w:t>Petrowsky H. et al. Impact of integrated positron emission tomography and computed tomography on staging and management of gallbladder cancer and cholangiocarcinoma // Journal of hepatology. Elsevier, 2006. Vol. 45, № 1. P. 43–50.</w:t>
      </w:r>
    </w:p>
    <w:p w14:paraId="6F01C236" w14:textId="77777777" w:rsidR="00ED2D96" w:rsidRPr="00097824" w:rsidRDefault="007F5427" w:rsidP="00F207B4">
      <w:pPr>
        <w:ind w:left="397" w:firstLine="312"/>
        <w:rPr>
          <w:lang w:val="en-US" w:eastAsia="ru-RU"/>
        </w:rPr>
      </w:pPr>
      <w:r w:rsidRPr="00097824">
        <w:rPr>
          <w:lang w:val="en-US" w:eastAsia="ru-RU"/>
        </w:rPr>
        <w:lastRenderedPageBreak/>
        <w:t>38.</w:t>
      </w:r>
      <w:r w:rsidRPr="00097824">
        <w:rPr>
          <w:lang w:val="en-US" w:eastAsia="ru-RU"/>
        </w:rPr>
        <w:tab/>
        <w:t>Coelen R.J.S. et al. Diagnostic accuracy of staging laparoscopy for detecting metastasized or locally advanced perihilar cholangiocarcinoma: a systematic review and meta-analysis // Surg Endosc. 2016. Vol. 30, № 10. P. 4163–4173.</w:t>
      </w:r>
    </w:p>
    <w:p w14:paraId="31848E86" w14:textId="77777777" w:rsidR="00ED2D96" w:rsidRPr="00097824" w:rsidRDefault="007F5427" w:rsidP="00F207B4">
      <w:pPr>
        <w:ind w:left="397" w:firstLine="312"/>
        <w:rPr>
          <w:lang w:val="en-US" w:eastAsia="ru-RU"/>
        </w:rPr>
      </w:pPr>
      <w:r w:rsidRPr="00097824">
        <w:rPr>
          <w:lang w:val="en-US" w:eastAsia="ru-RU"/>
        </w:rPr>
        <w:t>39.</w:t>
      </w:r>
      <w:r w:rsidRPr="00097824">
        <w:rPr>
          <w:lang w:val="en-US" w:eastAsia="ru-RU"/>
        </w:rPr>
        <w:tab/>
        <w:t>Khan Z.S., Livingston E.H., Huerta S. Reassessing the need for prophylactic surgery in patients with porcelain gallbladder: case series and systematic review of the literature // Archives of Surgery. American Medical Association, 2011. Vol. 146, № 10. P. 1143–1147.</w:t>
      </w:r>
    </w:p>
    <w:p w14:paraId="455C7CBA" w14:textId="77777777" w:rsidR="00ED2D96" w:rsidRPr="00097824" w:rsidRDefault="007F5427" w:rsidP="00F207B4">
      <w:pPr>
        <w:ind w:left="397" w:firstLine="312"/>
        <w:rPr>
          <w:lang w:val="en-US" w:eastAsia="ru-RU"/>
        </w:rPr>
      </w:pPr>
      <w:r w:rsidRPr="00097824">
        <w:rPr>
          <w:lang w:val="en-US" w:eastAsia="ru-RU"/>
        </w:rPr>
        <w:t>40.</w:t>
      </w:r>
      <w:r w:rsidRPr="00097824">
        <w:rPr>
          <w:lang w:val="en-US" w:eastAsia="ru-RU"/>
        </w:rPr>
        <w:tab/>
        <w:t>Eckel F., Brunner T., Jelic S. Biliary cancer: ESMO Clinical Practice Guidelines for diagnosis, treatment and follow-up // Annals of Oncology. Elsevier, 2011. Vol. 22. P. vi40–vi44.</w:t>
      </w:r>
    </w:p>
    <w:p w14:paraId="0829C171" w14:textId="77777777" w:rsidR="00ED2D96" w:rsidRPr="00097824" w:rsidRDefault="007F5427" w:rsidP="00F207B4">
      <w:pPr>
        <w:ind w:left="397" w:firstLine="312"/>
        <w:rPr>
          <w:lang w:val="en-US" w:eastAsia="ru-RU"/>
        </w:rPr>
      </w:pPr>
      <w:r w:rsidRPr="00097824">
        <w:rPr>
          <w:lang w:val="en-US" w:eastAsia="ru-RU"/>
        </w:rPr>
        <w:t>41.</w:t>
      </w:r>
      <w:r w:rsidRPr="00097824">
        <w:rPr>
          <w:lang w:val="en-US" w:eastAsia="ru-RU"/>
        </w:rPr>
        <w:tab/>
        <w:t>Sohal D.P.S. et al. Molecular characteristics of biliary tract cancer // Critical Reviews in Oncology/Hematology. 2016. Vol. 107. P. 111–118.</w:t>
      </w:r>
    </w:p>
    <w:p w14:paraId="44EEC5AC" w14:textId="77777777" w:rsidR="00ED2D96" w:rsidRPr="00097824" w:rsidRDefault="007F5427" w:rsidP="00F207B4">
      <w:pPr>
        <w:ind w:left="397" w:firstLine="312"/>
        <w:rPr>
          <w:lang w:val="en-US" w:eastAsia="ru-RU"/>
        </w:rPr>
      </w:pPr>
      <w:r w:rsidRPr="00097824">
        <w:rPr>
          <w:lang w:val="en-US" w:eastAsia="ru-RU"/>
        </w:rPr>
        <w:t>42.</w:t>
      </w:r>
      <w:r w:rsidRPr="00097824">
        <w:rPr>
          <w:lang w:val="en-US" w:eastAsia="ru-RU"/>
        </w:rPr>
        <w:tab/>
        <w:t>Zhang R. et al. Emerging treatment evolutions and integrated molecular characteristics of biliary tract cancers // Cancer Sci. 2021. Vol. 112, № 12. P. 4819–4833.</w:t>
      </w:r>
    </w:p>
    <w:p w14:paraId="1722251D" w14:textId="77777777" w:rsidR="00ED2D96" w:rsidRPr="00097824" w:rsidRDefault="007F5427" w:rsidP="00F207B4">
      <w:pPr>
        <w:ind w:left="397" w:firstLine="312"/>
        <w:rPr>
          <w:lang w:val="en-US" w:eastAsia="ru-RU"/>
        </w:rPr>
      </w:pPr>
      <w:r w:rsidRPr="00097824">
        <w:rPr>
          <w:lang w:val="en-US" w:eastAsia="ru-RU"/>
        </w:rPr>
        <w:t>43.</w:t>
      </w:r>
      <w:r w:rsidRPr="00097824">
        <w:rPr>
          <w:lang w:val="en-US" w:eastAsia="ru-RU"/>
        </w:rPr>
        <w:tab/>
        <w:t>Lamarca A. et al. ABC-06| A randomised phase III, multi-centre, open-label study of active symptom control (ASC) alone or ASC with oxaliplatin/5-FU chemotherapy (ASC+ mFOLFOX) for patients (pts) with locally advanced/metastatic biliary tract cancers (ABC) previously-treated with cisplatin/gemcitabine (CisGem) chemotherapy. American Society of Clinical Oncology, 2019.</w:t>
      </w:r>
    </w:p>
    <w:p w14:paraId="13F683E8" w14:textId="77777777" w:rsidR="00ED2D96" w:rsidRPr="00097824" w:rsidRDefault="007F5427" w:rsidP="00F207B4">
      <w:pPr>
        <w:ind w:left="397" w:firstLine="312"/>
        <w:rPr>
          <w:lang w:val="en-US" w:eastAsia="ru-RU"/>
        </w:rPr>
      </w:pPr>
      <w:r w:rsidRPr="00097824">
        <w:rPr>
          <w:lang w:val="en-US" w:eastAsia="ru-RU"/>
        </w:rPr>
        <w:t>44.</w:t>
      </w:r>
      <w:r w:rsidRPr="00097824">
        <w:rPr>
          <w:lang w:val="en-US" w:eastAsia="ru-RU"/>
        </w:rPr>
        <w:tab/>
        <w:t>Tella S.H. et al. Second-line therapies in advanced biliary tract cancers // The Lancet Oncology. 2020. Vol. 21, № 1. P. e29–e41.</w:t>
      </w:r>
    </w:p>
    <w:p w14:paraId="732F21DC" w14:textId="77777777" w:rsidR="00ED2D96" w:rsidRPr="00097824" w:rsidRDefault="007F5427" w:rsidP="00F207B4">
      <w:pPr>
        <w:ind w:left="397" w:firstLine="312"/>
        <w:rPr>
          <w:lang w:val="en-US" w:eastAsia="ru-RU"/>
        </w:rPr>
      </w:pPr>
      <w:r w:rsidRPr="00097824">
        <w:rPr>
          <w:lang w:val="en-US" w:eastAsia="ru-RU"/>
        </w:rPr>
        <w:t>45.</w:t>
      </w:r>
      <w:r w:rsidRPr="00097824">
        <w:rPr>
          <w:lang w:val="en-US" w:eastAsia="ru-RU"/>
        </w:rPr>
        <w:tab/>
        <w:t>Zografos G.N. et al. Cholangiocarcinoma: principles and current trends // Hepatobiliary &amp; Pancreatic Diseases International. Elsevier, 2011. Vol. 10, № 1. P. 10–20.</w:t>
      </w:r>
    </w:p>
    <w:p w14:paraId="7232F92B" w14:textId="77777777" w:rsidR="00ED2D96" w:rsidRPr="00097824" w:rsidRDefault="007F5427" w:rsidP="00F207B4">
      <w:pPr>
        <w:ind w:left="397" w:firstLine="312"/>
        <w:rPr>
          <w:lang w:val="en-US" w:eastAsia="ru-RU"/>
        </w:rPr>
      </w:pPr>
      <w:r w:rsidRPr="00097824">
        <w:rPr>
          <w:lang w:val="en-US" w:eastAsia="ru-RU"/>
        </w:rPr>
        <w:t>46.</w:t>
      </w:r>
      <w:r w:rsidRPr="00097824">
        <w:rPr>
          <w:lang w:val="en-US" w:eastAsia="ru-RU"/>
        </w:rPr>
        <w:tab/>
        <w:t>Sternby Eilard M. et al. Surgical treatment for gallbladder cancer – a systematic literature review // Scandinavian Journal of Gastroenterology. Taylor &amp; Francis, 2017. Vol. 52, № 5. P. 505–514.</w:t>
      </w:r>
    </w:p>
    <w:p w14:paraId="288DD764" w14:textId="77777777" w:rsidR="00ED2D96" w:rsidRPr="00097824" w:rsidRDefault="007F5427" w:rsidP="00F207B4">
      <w:pPr>
        <w:ind w:left="397" w:firstLine="312"/>
        <w:rPr>
          <w:lang w:val="en-US" w:eastAsia="ru-RU"/>
        </w:rPr>
      </w:pPr>
      <w:r w:rsidRPr="00097824">
        <w:rPr>
          <w:lang w:val="en-US" w:eastAsia="ru-RU"/>
        </w:rPr>
        <w:t>47.</w:t>
      </w:r>
      <w:r w:rsidRPr="00097824">
        <w:rPr>
          <w:lang w:val="en-US" w:eastAsia="ru-RU"/>
        </w:rPr>
        <w:tab/>
        <w:t>Nagino M. et al. Two hundred forty consecutive portal vein embolizations before extended hepatectomy for biliary cancer: surgical outcome and long-term follow-up // Annals of surgery. Lippincott, Williams, and Wilkins, 2006. Vol. 243, № 3. P. 364.</w:t>
      </w:r>
    </w:p>
    <w:p w14:paraId="648CD90A" w14:textId="77777777" w:rsidR="00ED2D96" w:rsidRPr="00097824" w:rsidRDefault="007F5427" w:rsidP="00F207B4">
      <w:pPr>
        <w:ind w:left="397" w:firstLine="312"/>
        <w:rPr>
          <w:lang w:val="en-US" w:eastAsia="ru-RU"/>
        </w:rPr>
      </w:pPr>
      <w:r w:rsidRPr="00097824">
        <w:rPr>
          <w:lang w:val="en-US" w:eastAsia="ru-RU"/>
        </w:rPr>
        <w:t>48.</w:t>
      </w:r>
      <w:r w:rsidRPr="00097824">
        <w:rPr>
          <w:lang w:val="en-US" w:eastAsia="ru-RU"/>
        </w:rPr>
        <w:tab/>
        <w:t>Yamashita S. et al. Efficacy of Preoperative Portal Vein Embolization Among Patients with Hepatocellular Carcinoma, Biliary Tract Cancer, and Colorectal Liver Metastases: A Comparative Study Based on Single-Center Experience of 319 Cases // Ann Surg Oncol. 2017. Vol. 24, № 6. P. 1557–1568.</w:t>
      </w:r>
    </w:p>
    <w:p w14:paraId="0A6F39F1" w14:textId="77777777" w:rsidR="00ED2D96" w:rsidRPr="00097824" w:rsidRDefault="007F5427" w:rsidP="00F207B4">
      <w:pPr>
        <w:ind w:left="397" w:firstLine="312"/>
        <w:rPr>
          <w:lang w:val="en-US" w:eastAsia="ru-RU"/>
        </w:rPr>
      </w:pPr>
      <w:r w:rsidRPr="00097824">
        <w:rPr>
          <w:lang w:val="en-US" w:eastAsia="ru-RU"/>
        </w:rPr>
        <w:lastRenderedPageBreak/>
        <w:t>49.</w:t>
      </w:r>
      <w:r w:rsidRPr="00097824">
        <w:rPr>
          <w:lang w:val="en-US" w:eastAsia="ru-RU"/>
        </w:rPr>
        <w:tab/>
        <w:t>Kang M.J. et al. Role of radical surgery in patients with stage IV gallbladder cancer // HPB. Elsevier, 2012. Vol. 14, № 12. P. 805–811.</w:t>
      </w:r>
    </w:p>
    <w:p w14:paraId="680E75D7" w14:textId="77777777" w:rsidR="00ED2D96" w:rsidRPr="00097824" w:rsidRDefault="007F5427" w:rsidP="00F207B4">
      <w:pPr>
        <w:ind w:left="397" w:firstLine="312"/>
        <w:rPr>
          <w:lang w:val="en-US" w:eastAsia="ru-RU"/>
        </w:rPr>
      </w:pPr>
      <w:r w:rsidRPr="00097824">
        <w:rPr>
          <w:lang w:val="en-US" w:eastAsia="ru-RU"/>
        </w:rPr>
        <w:t>50.</w:t>
      </w:r>
      <w:r w:rsidRPr="00097824">
        <w:rPr>
          <w:lang w:val="en-US" w:eastAsia="ru-RU"/>
        </w:rPr>
        <w:tab/>
        <w:t>Huang Y. et al. Preoperative Portal Vein Embolization for Liver Resection: An updated meta-analysis // J Cancer. 2021. Vol. 12, № 6. P. 1770–1778.</w:t>
      </w:r>
    </w:p>
    <w:p w14:paraId="0DCBA827" w14:textId="77777777" w:rsidR="00ED2D96" w:rsidRPr="00097824" w:rsidRDefault="007F5427" w:rsidP="00F207B4">
      <w:pPr>
        <w:ind w:left="397" w:firstLine="312"/>
        <w:rPr>
          <w:lang w:eastAsia="ru-RU"/>
        </w:rPr>
      </w:pPr>
      <w:r w:rsidRPr="00097824">
        <w:rPr>
          <w:lang w:val="en-US" w:eastAsia="ru-RU"/>
        </w:rPr>
        <w:t>51.</w:t>
      </w:r>
      <w:r w:rsidRPr="00097824">
        <w:rPr>
          <w:lang w:val="en-US" w:eastAsia="ru-RU"/>
        </w:rPr>
        <w:tab/>
        <w:t>Arakura N. et al. Efficacy of preoperative endoscopic nasobiliary drainage for hilar cholangiocarcinoma // J Hepatobiliary Pancreat Surg. 2009. Vol</w:t>
      </w:r>
      <w:r w:rsidRPr="00097824">
        <w:rPr>
          <w:lang w:eastAsia="ru-RU"/>
        </w:rPr>
        <w:t xml:space="preserve">. 16, № 4. </w:t>
      </w:r>
      <w:r w:rsidRPr="00097824">
        <w:rPr>
          <w:lang w:val="en-US" w:eastAsia="ru-RU"/>
        </w:rPr>
        <w:t>P</w:t>
      </w:r>
      <w:r w:rsidRPr="00097824">
        <w:rPr>
          <w:lang w:eastAsia="ru-RU"/>
        </w:rPr>
        <w:t>. 473–477.</w:t>
      </w:r>
    </w:p>
    <w:p w14:paraId="58FE9AFC" w14:textId="77777777" w:rsidR="00ED2D96" w:rsidRPr="00097824" w:rsidRDefault="007F5427" w:rsidP="00F207B4">
      <w:pPr>
        <w:ind w:left="397" w:firstLine="312"/>
        <w:rPr>
          <w:lang w:val="en-US" w:eastAsia="ru-RU"/>
        </w:rPr>
      </w:pPr>
      <w:r w:rsidRPr="00097824">
        <w:rPr>
          <w:lang w:eastAsia="ru-RU"/>
        </w:rPr>
        <w:t>52.</w:t>
      </w:r>
      <w:r w:rsidRPr="00097824">
        <w:rPr>
          <w:lang w:eastAsia="ru-RU"/>
        </w:rPr>
        <w:tab/>
        <w:t xml:space="preserve">Завражнов А.А. </w:t>
      </w:r>
      <w:r w:rsidRPr="00097824">
        <w:rPr>
          <w:lang w:val="en-US" w:eastAsia="ru-RU"/>
        </w:rPr>
        <w:t>et</w:t>
      </w:r>
      <w:r w:rsidRPr="00097824">
        <w:rPr>
          <w:lang w:eastAsia="ru-RU"/>
        </w:rPr>
        <w:t xml:space="preserve"> </w:t>
      </w:r>
      <w:r w:rsidRPr="00097824">
        <w:rPr>
          <w:lang w:val="en-US" w:eastAsia="ru-RU"/>
        </w:rPr>
        <w:t>al</w:t>
      </w:r>
      <w:r w:rsidRPr="00097824">
        <w:rPr>
          <w:lang w:eastAsia="ru-RU"/>
        </w:rPr>
        <w:t xml:space="preserve">. Значение малоинвазивных методов декомпрессии желчных протоков в лечении больных с механической желтухой // Журнал им. НВ Склифосовского Неотложная медицинская помощь. Межрегиональная общественная организация «Научно-практическое общество …, 2012. </w:t>
      </w:r>
      <w:r w:rsidRPr="00097824">
        <w:rPr>
          <w:lang w:val="en-US" w:eastAsia="ru-RU"/>
        </w:rPr>
        <w:t>№ 2. P. 54–58.</w:t>
      </w:r>
    </w:p>
    <w:p w14:paraId="3A8CA5F1" w14:textId="77777777" w:rsidR="00ED2D96" w:rsidRPr="00097824" w:rsidRDefault="007F5427" w:rsidP="00F207B4">
      <w:pPr>
        <w:ind w:left="397" w:firstLine="312"/>
        <w:rPr>
          <w:lang w:val="en-US" w:eastAsia="ru-RU"/>
        </w:rPr>
      </w:pPr>
      <w:r w:rsidRPr="00097824">
        <w:rPr>
          <w:lang w:val="en-US" w:eastAsia="ru-RU"/>
        </w:rPr>
        <w:t>53.</w:t>
      </w:r>
      <w:r w:rsidRPr="00097824">
        <w:rPr>
          <w:lang w:val="en-US" w:eastAsia="ru-RU"/>
        </w:rPr>
        <w:tab/>
        <w:t>Moole H., Bechtold M., Puli S.R. Efficacy of preoperative biliary drainage in malignant obstructive jaundice: a meta-analysis and systematic review // World Journal of Surgical Oncology. 2016. Vol. 14, № 1. P. 182.</w:t>
      </w:r>
    </w:p>
    <w:p w14:paraId="40C6D3B6" w14:textId="77777777" w:rsidR="00ED2D96" w:rsidRPr="00097824" w:rsidRDefault="007F5427" w:rsidP="00F207B4">
      <w:pPr>
        <w:ind w:left="397" w:firstLine="312"/>
        <w:rPr>
          <w:lang w:val="en-US" w:eastAsia="ru-RU"/>
        </w:rPr>
      </w:pPr>
      <w:r w:rsidRPr="00097824">
        <w:rPr>
          <w:lang w:val="en-US" w:eastAsia="ru-RU"/>
        </w:rPr>
        <w:t>54.</w:t>
      </w:r>
      <w:r w:rsidRPr="00097824">
        <w:rPr>
          <w:lang w:val="en-US" w:eastAsia="ru-RU"/>
        </w:rPr>
        <w:tab/>
        <w:t>Sewnath M.E. et al. A Meta-analysis on the Efficacy of Preoperative Biliary Drainage for Tumors Causing Obstructive Jaundice // Ann Surg. 2002. Vol. 236, № 1. P. 17–27.</w:t>
      </w:r>
    </w:p>
    <w:p w14:paraId="26B4B9B2" w14:textId="77777777" w:rsidR="00ED2D96" w:rsidRPr="00097824" w:rsidRDefault="007F5427" w:rsidP="00F207B4">
      <w:pPr>
        <w:ind w:left="397" w:firstLine="312"/>
        <w:rPr>
          <w:lang w:val="en-US" w:eastAsia="ru-RU"/>
        </w:rPr>
      </w:pPr>
      <w:r w:rsidRPr="00097824">
        <w:rPr>
          <w:lang w:val="en-US" w:eastAsia="ru-RU"/>
        </w:rPr>
        <w:t>55.</w:t>
      </w:r>
      <w:r w:rsidRPr="00097824">
        <w:rPr>
          <w:lang w:val="en-US" w:eastAsia="ru-RU"/>
        </w:rPr>
        <w:tab/>
        <w:t>Qiu Y.-D. et al. Effect of preoperative biliary drainage on malignant obstructive jaundice: A meta-analysis // World J Gastroenterol. 2011. Vol. 17, № 3. P. 391–396.</w:t>
      </w:r>
    </w:p>
    <w:p w14:paraId="7E44AD90" w14:textId="77777777" w:rsidR="00ED2D96" w:rsidRPr="00097824" w:rsidRDefault="007F5427" w:rsidP="00F207B4">
      <w:pPr>
        <w:ind w:left="397" w:firstLine="312"/>
        <w:rPr>
          <w:lang w:val="en-US" w:eastAsia="ru-RU"/>
        </w:rPr>
      </w:pPr>
      <w:r w:rsidRPr="00097824">
        <w:rPr>
          <w:lang w:val="en-US" w:eastAsia="ru-RU"/>
        </w:rPr>
        <w:t>56.</w:t>
      </w:r>
      <w:r w:rsidRPr="00097824">
        <w:rPr>
          <w:lang w:val="en-US" w:eastAsia="ru-RU"/>
        </w:rPr>
        <w:tab/>
        <w:t>Mehrabi A. et al. Meta-analysis of the efficacy of preoperative biliary drainage in patients undergoing liver resection for perihilar cholangiocarcinoma // European Journal of Radiology. 2020. Vol. 125. P. 108897.</w:t>
      </w:r>
    </w:p>
    <w:p w14:paraId="2BC36D97" w14:textId="77777777" w:rsidR="00ED2D96" w:rsidRPr="00097824" w:rsidRDefault="007F5427" w:rsidP="00F207B4">
      <w:pPr>
        <w:ind w:left="397" w:firstLine="312"/>
        <w:rPr>
          <w:lang w:val="en-US" w:eastAsia="ru-RU"/>
        </w:rPr>
      </w:pPr>
      <w:r w:rsidRPr="00097824">
        <w:rPr>
          <w:lang w:val="en-US" w:eastAsia="ru-RU"/>
        </w:rPr>
        <w:t>57.</w:t>
      </w:r>
      <w:r w:rsidRPr="00097824">
        <w:rPr>
          <w:lang w:val="en-US" w:eastAsia="ru-RU"/>
        </w:rPr>
        <w:tab/>
        <w:t>Lee S.E. et al. Systematic review on the surgical treatment for T1 gallbladder cancer // World J Gastroenterol. 2011. Vol. 17, № 2. P. 174–180.</w:t>
      </w:r>
    </w:p>
    <w:p w14:paraId="03501280" w14:textId="77777777" w:rsidR="00ED2D96" w:rsidRPr="00097824" w:rsidRDefault="007F5427" w:rsidP="00F207B4">
      <w:pPr>
        <w:ind w:left="397" w:firstLine="312"/>
        <w:rPr>
          <w:lang w:val="en-US" w:eastAsia="ru-RU"/>
        </w:rPr>
      </w:pPr>
      <w:r w:rsidRPr="00097824">
        <w:rPr>
          <w:lang w:val="en-US" w:eastAsia="ru-RU"/>
        </w:rPr>
        <w:t>58.</w:t>
      </w:r>
      <w:r w:rsidRPr="00097824">
        <w:rPr>
          <w:lang w:val="en-US" w:eastAsia="ru-RU"/>
        </w:rPr>
        <w:tab/>
        <w:t>Coburn N.G. et al. Surgery for gallbladder cancer: a population-based analysis // Journal of the American College of Surgeons. Elsevier, 2008. Vol. 207, № 3. P. 371–382.</w:t>
      </w:r>
    </w:p>
    <w:p w14:paraId="31E26768" w14:textId="77777777" w:rsidR="00ED2D96" w:rsidRPr="00097824" w:rsidRDefault="007F5427" w:rsidP="00F207B4">
      <w:pPr>
        <w:ind w:left="397" w:firstLine="312"/>
        <w:rPr>
          <w:lang w:val="en-US" w:eastAsia="ru-RU"/>
        </w:rPr>
      </w:pPr>
      <w:r w:rsidRPr="00097824">
        <w:rPr>
          <w:lang w:val="en-US" w:eastAsia="ru-RU"/>
        </w:rPr>
        <w:t>59.</w:t>
      </w:r>
      <w:r w:rsidRPr="00097824">
        <w:rPr>
          <w:lang w:val="en-US" w:eastAsia="ru-RU"/>
        </w:rPr>
        <w:tab/>
        <w:t>Downing S.R. et al. Early-stage gallbladder cancer in the Surveillance, Epidemiology, and End Results database: effect of extended surgical resection // Archives of surgery. American Medical Association, 2011. Vol. 146, № 6. P. 734–738.</w:t>
      </w:r>
    </w:p>
    <w:p w14:paraId="55A5CF62" w14:textId="77777777" w:rsidR="00ED2D96" w:rsidRPr="00097824" w:rsidRDefault="007F5427" w:rsidP="00F207B4">
      <w:pPr>
        <w:ind w:left="397" w:firstLine="312"/>
        <w:rPr>
          <w:lang w:val="en-US" w:eastAsia="ru-RU"/>
        </w:rPr>
      </w:pPr>
      <w:r w:rsidRPr="00097824">
        <w:rPr>
          <w:lang w:val="en-US" w:eastAsia="ru-RU"/>
        </w:rPr>
        <w:t>60.</w:t>
      </w:r>
      <w:r w:rsidRPr="00097824">
        <w:rPr>
          <w:lang w:val="en-US" w:eastAsia="ru-RU"/>
        </w:rPr>
        <w:tab/>
        <w:t>Yuza K. et al. Outcome of radical surgery for gallbladder carcinoma according to TNM stage: implications for adjuvant therapeutic strategies // Langenbeck’s Archives of Surgery. Springer, 2021. Vol. 406, № 3. P. 801–811.</w:t>
      </w:r>
    </w:p>
    <w:p w14:paraId="5511C1D6" w14:textId="77777777" w:rsidR="00ED2D96" w:rsidRPr="00097824" w:rsidRDefault="007F5427" w:rsidP="00F207B4">
      <w:pPr>
        <w:ind w:left="397" w:firstLine="312"/>
        <w:rPr>
          <w:lang w:val="en-US" w:eastAsia="ru-RU"/>
        </w:rPr>
      </w:pPr>
      <w:r w:rsidRPr="00097824">
        <w:rPr>
          <w:lang w:val="en-US" w:eastAsia="ru-RU"/>
        </w:rPr>
        <w:t>61.</w:t>
      </w:r>
      <w:r w:rsidRPr="00097824">
        <w:rPr>
          <w:lang w:val="en-US" w:eastAsia="ru-RU"/>
        </w:rPr>
        <w:tab/>
        <w:t>Vega E.A. et al. Treatment of Resectable Gallbladder Cancer // Cancers (Basel). 2022. Vol. 14, № 6. P. 1413.</w:t>
      </w:r>
    </w:p>
    <w:p w14:paraId="2546036A" w14:textId="77777777" w:rsidR="00ED2D96" w:rsidRPr="00097824" w:rsidRDefault="007F5427" w:rsidP="00F207B4">
      <w:pPr>
        <w:ind w:left="397" w:firstLine="312"/>
        <w:rPr>
          <w:lang w:val="en-US" w:eastAsia="ru-RU"/>
        </w:rPr>
      </w:pPr>
      <w:r w:rsidRPr="00097824">
        <w:rPr>
          <w:lang w:val="en-US" w:eastAsia="ru-RU"/>
        </w:rPr>
        <w:lastRenderedPageBreak/>
        <w:t>62.</w:t>
      </w:r>
      <w:r w:rsidRPr="00097824">
        <w:rPr>
          <w:lang w:val="en-US" w:eastAsia="ru-RU"/>
        </w:rPr>
        <w:tab/>
        <w:t>Zhang W. et al. Survival Benefits of Simple Versus Extended Cholecystectomy and Lymphadenectomy for Patients With T2 Gallbladder Cancer: A Propensity-Matched Population-Based Study (2010 to 2015) // Frontiers in Oncology. 2021. Vol. 11.</w:t>
      </w:r>
    </w:p>
    <w:p w14:paraId="09FDB6BA" w14:textId="77777777" w:rsidR="00ED2D96" w:rsidRPr="00097824" w:rsidRDefault="007F5427" w:rsidP="00F207B4">
      <w:pPr>
        <w:ind w:left="397" w:firstLine="312"/>
        <w:rPr>
          <w:lang w:val="en-US" w:eastAsia="ru-RU"/>
        </w:rPr>
      </w:pPr>
      <w:r w:rsidRPr="00097824">
        <w:rPr>
          <w:lang w:val="en-US" w:eastAsia="ru-RU"/>
        </w:rPr>
        <w:t>63.</w:t>
      </w:r>
      <w:r w:rsidRPr="00097824">
        <w:rPr>
          <w:lang w:val="en-US" w:eastAsia="ru-RU"/>
        </w:rPr>
        <w:tab/>
        <w:t>Park T.J. et al. The optimal surgical resection approach for T2 gallbladder carcinoma: evaluating the role of surgical extent according to the tumor location // Annals of Surgical Treatment and Research. 2018. Vol. 94, № 3. P. 135–141.</w:t>
      </w:r>
    </w:p>
    <w:p w14:paraId="6557C068" w14:textId="77777777" w:rsidR="00ED2D96" w:rsidRPr="00097824" w:rsidRDefault="007F5427" w:rsidP="00F207B4">
      <w:pPr>
        <w:ind w:left="397" w:firstLine="312"/>
        <w:rPr>
          <w:lang w:val="en-US" w:eastAsia="ru-RU"/>
        </w:rPr>
      </w:pPr>
      <w:r w:rsidRPr="00097824">
        <w:rPr>
          <w:lang w:val="en-US" w:eastAsia="ru-RU"/>
        </w:rPr>
        <w:t>64.</w:t>
      </w:r>
      <w:r w:rsidRPr="00097824">
        <w:rPr>
          <w:lang w:val="en-US" w:eastAsia="ru-RU"/>
        </w:rPr>
        <w:tab/>
        <w:t>Lee S.E. et al. Surgical Strategy for T2 Gallbladder Cancer: Nationwide Multicenter Survey in Korea // Journal of Korean Medical Science. 2018. Vol. 33, № 28.</w:t>
      </w:r>
    </w:p>
    <w:p w14:paraId="727D3084" w14:textId="77777777" w:rsidR="00ED2D96" w:rsidRPr="00097824" w:rsidRDefault="007F5427" w:rsidP="00F207B4">
      <w:pPr>
        <w:ind w:left="397" w:firstLine="312"/>
        <w:rPr>
          <w:lang w:val="en-US" w:eastAsia="ru-RU"/>
        </w:rPr>
      </w:pPr>
      <w:r w:rsidRPr="00097824">
        <w:rPr>
          <w:lang w:val="en-US" w:eastAsia="ru-RU"/>
        </w:rPr>
        <w:t>65.</w:t>
      </w:r>
      <w:r w:rsidRPr="00097824">
        <w:rPr>
          <w:lang w:val="en-US" w:eastAsia="ru-RU"/>
        </w:rPr>
        <w:tab/>
        <w:t>Burasakarn P. et al. The optimal extent of surgery in T2 gallbladder cancer and the need for hepatectomy: A meta-analysis // Asian Journal of Surgery. 2022. Vol. 45, № 1. P. 33–38.</w:t>
      </w:r>
    </w:p>
    <w:p w14:paraId="47BB36E2" w14:textId="77777777" w:rsidR="00ED2D96" w:rsidRPr="00097824" w:rsidRDefault="007F5427" w:rsidP="00F207B4">
      <w:pPr>
        <w:ind w:left="397" w:firstLine="312"/>
        <w:rPr>
          <w:lang w:val="en-US" w:eastAsia="ru-RU"/>
        </w:rPr>
      </w:pPr>
      <w:r w:rsidRPr="00097824">
        <w:rPr>
          <w:lang w:val="en-US" w:eastAsia="ru-RU"/>
        </w:rPr>
        <w:t>66.</w:t>
      </w:r>
      <w:r w:rsidRPr="00097824">
        <w:rPr>
          <w:lang w:val="en-US" w:eastAsia="ru-RU"/>
        </w:rPr>
        <w:tab/>
        <w:t>Li G. et al. Significance of Hepatectomy in Patients Diagnosed With T2 Gallbladder Cancer // Surgical Laparoscopy Endoscopy &amp; Percutaneous Techniques. 2020. Vol. 30, № 1. P. 35–39.</w:t>
      </w:r>
    </w:p>
    <w:p w14:paraId="74354A8C" w14:textId="77777777" w:rsidR="00ED2D96" w:rsidRPr="00097824" w:rsidRDefault="007F5427" w:rsidP="00F207B4">
      <w:pPr>
        <w:ind w:left="397" w:firstLine="312"/>
        <w:rPr>
          <w:lang w:val="en-US" w:eastAsia="ru-RU"/>
        </w:rPr>
      </w:pPr>
      <w:r w:rsidRPr="00097824">
        <w:rPr>
          <w:lang w:val="en-US" w:eastAsia="ru-RU"/>
        </w:rPr>
        <w:t>67.</w:t>
      </w:r>
      <w:r w:rsidRPr="00097824">
        <w:rPr>
          <w:lang w:val="en-US" w:eastAsia="ru-RU"/>
        </w:rPr>
        <w:tab/>
        <w:t>Cho J.-K. et al. Validation of the oncologic effect of hepatic resection for T2 gallbladder cancer: a retrospective study // World Journal of Surgical Oncology. 2019. Vol. 17, № 1. P. 8.</w:t>
      </w:r>
    </w:p>
    <w:p w14:paraId="3B79E3E1" w14:textId="77777777" w:rsidR="00ED2D96" w:rsidRPr="00097824" w:rsidRDefault="007F5427" w:rsidP="00F207B4">
      <w:pPr>
        <w:ind w:left="397" w:firstLine="312"/>
        <w:rPr>
          <w:lang w:val="en-US" w:eastAsia="ru-RU"/>
        </w:rPr>
      </w:pPr>
      <w:r w:rsidRPr="00097824">
        <w:rPr>
          <w:lang w:val="en-US" w:eastAsia="ru-RU"/>
        </w:rPr>
        <w:t>68.</w:t>
      </w:r>
      <w:r w:rsidRPr="00097824">
        <w:rPr>
          <w:lang w:val="en-US" w:eastAsia="ru-RU"/>
        </w:rPr>
        <w:tab/>
        <w:t>Søreide K. et al. Systematic review of management of incidental gallbladder cancer after cholecystectomy // Journal of British Surgery. Oxford University Press, 2019. Vol. 106, № 1. P. 32–45.</w:t>
      </w:r>
    </w:p>
    <w:p w14:paraId="4E2814DD" w14:textId="77777777" w:rsidR="00ED2D96" w:rsidRPr="00097824" w:rsidRDefault="007F5427" w:rsidP="00F207B4">
      <w:pPr>
        <w:ind w:left="397" w:firstLine="312"/>
        <w:rPr>
          <w:lang w:val="en-US" w:eastAsia="ru-RU"/>
        </w:rPr>
      </w:pPr>
      <w:r w:rsidRPr="00097824">
        <w:rPr>
          <w:lang w:val="en-US" w:eastAsia="ru-RU"/>
        </w:rPr>
        <w:t>69.</w:t>
      </w:r>
      <w:r w:rsidRPr="00097824">
        <w:rPr>
          <w:lang w:val="en-US" w:eastAsia="ru-RU"/>
        </w:rPr>
        <w:tab/>
        <w:t>Goetze T.O., Paolucci V. Benefits of reoperation of T2 and more advanced incidental gallbladder carcinoma: analysis of the German registry // Annals of surgery. LWW, 2008. Vol. 247, № 1. P. 104–108.</w:t>
      </w:r>
    </w:p>
    <w:p w14:paraId="72B5523A" w14:textId="77777777" w:rsidR="00ED2D96" w:rsidRPr="00097824" w:rsidRDefault="007F5427" w:rsidP="00F207B4">
      <w:pPr>
        <w:ind w:left="397" w:firstLine="312"/>
        <w:rPr>
          <w:lang w:val="en-US" w:eastAsia="ru-RU"/>
        </w:rPr>
      </w:pPr>
      <w:r w:rsidRPr="00097824">
        <w:rPr>
          <w:lang w:val="en-US" w:eastAsia="ru-RU"/>
        </w:rPr>
        <w:t>70.</w:t>
      </w:r>
      <w:r w:rsidRPr="00097824">
        <w:rPr>
          <w:lang w:val="en-US" w:eastAsia="ru-RU"/>
        </w:rPr>
        <w:tab/>
        <w:t>Murakami Y. et al. Prognostic Factors After Surgical Resection for Intrahepatic, Hilar, and Distal Cholangiocarcinoma // Ann Surg Oncol. 2011. Vol. 18, № 3. P. 651–658.</w:t>
      </w:r>
    </w:p>
    <w:p w14:paraId="31206326" w14:textId="77777777" w:rsidR="00ED2D96" w:rsidRPr="00097824" w:rsidRDefault="007F5427" w:rsidP="00F207B4">
      <w:pPr>
        <w:ind w:left="397" w:firstLine="312"/>
        <w:rPr>
          <w:lang w:val="en-US" w:eastAsia="ru-RU"/>
        </w:rPr>
      </w:pPr>
      <w:r w:rsidRPr="00097824">
        <w:rPr>
          <w:lang w:val="en-US" w:eastAsia="ru-RU"/>
        </w:rPr>
        <w:t>71.</w:t>
      </w:r>
      <w:r w:rsidRPr="00097824">
        <w:rPr>
          <w:lang w:val="en-US" w:eastAsia="ru-RU"/>
        </w:rPr>
        <w:tab/>
        <w:t>Bartlett D.L. et al. Long-term results after resection for gallbladder cancer. Implications for staging and management. // Ann Surg. 1996. Vol. 224, № 5. P. 639–646.</w:t>
      </w:r>
    </w:p>
    <w:p w14:paraId="428867D2" w14:textId="77777777" w:rsidR="00ED2D96" w:rsidRPr="00097824" w:rsidRDefault="007F5427" w:rsidP="00F207B4">
      <w:pPr>
        <w:ind w:left="397" w:firstLine="312"/>
        <w:rPr>
          <w:lang w:val="en-US" w:eastAsia="ru-RU"/>
        </w:rPr>
      </w:pPr>
      <w:r w:rsidRPr="00097824">
        <w:rPr>
          <w:lang w:val="en-US" w:eastAsia="ru-RU"/>
        </w:rPr>
        <w:t>72.</w:t>
      </w:r>
      <w:r w:rsidRPr="00097824">
        <w:rPr>
          <w:lang w:val="en-US" w:eastAsia="ru-RU"/>
        </w:rPr>
        <w:tab/>
        <w:t>Rebelo A. et al. Systematic review and meta-analysis of surgery for hilar cholangiocarcinoma with arterial resection // HPB. 2022.</w:t>
      </w:r>
    </w:p>
    <w:p w14:paraId="0603B3EA" w14:textId="77777777" w:rsidR="00ED2D96" w:rsidRPr="00097824" w:rsidRDefault="007F5427" w:rsidP="00F207B4">
      <w:pPr>
        <w:ind w:left="397" w:firstLine="312"/>
        <w:rPr>
          <w:lang w:val="en-US" w:eastAsia="ru-RU"/>
        </w:rPr>
      </w:pPr>
      <w:r w:rsidRPr="00097824">
        <w:rPr>
          <w:lang w:val="en-US" w:eastAsia="ru-RU"/>
        </w:rPr>
        <w:t>73.</w:t>
      </w:r>
      <w:r w:rsidRPr="00097824">
        <w:rPr>
          <w:lang w:val="en-US" w:eastAsia="ru-RU"/>
        </w:rPr>
        <w:tab/>
        <w:t>Ramouz A. et al. Repeat liver resection for recurrent intrahepatic cholangiocarcinoma: meta-analysis // Br J Surg. 2022. Vol. 109, № 7. P. 580–587.</w:t>
      </w:r>
    </w:p>
    <w:p w14:paraId="5719DC91" w14:textId="77777777" w:rsidR="00ED2D96" w:rsidRPr="00097824" w:rsidRDefault="007F5427" w:rsidP="00F207B4">
      <w:pPr>
        <w:ind w:left="397" w:firstLine="312"/>
        <w:rPr>
          <w:lang w:val="en-US" w:eastAsia="ru-RU"/>
        </w:rPr>
      </w:pPr>
      <w:r w:rsidRPr="00097824">
        <w:rPr>
          <w:lang w:val="en-US" w:eastAsia="ru-RU"/>
        </w:rPr>
        <w:t>74.</w:t>
      </w:r>
      <w:r w:rsidRPr="00097824">
        <w:rPr>
          <w:lang w:val="en-US" w:eastAsia="ru-RU"/>
        </w:rPr>
        <w:tab/>
        <w:t>Miyazaki Y. et al. Survival of surgery for recurrent biliary tract cancer: a single-center experience and systematic review of literature // Japanese Journal of Clinical Oncology. 2017. Vol. 47, № 3. P. 206–212.</w:t>
      </w:r>
    </w:p>
    <w:p w14:paraId="162F883C" w14:textId="77777777" w:rsidR="00ED2D96" w:rsidRPr="00097824" w:rsidRDefault="007F5427" w:rsidP="00F207B4">
      <w:pPr>
        <w:ind w:left="397" w:firstLine="312"/>
        <w:rPr>
          <w:lang w:val="en-US" w:eastAsia="ru-RU"/>
        </w:rPr>
      </w:pPr>
      <w:r w:rsidRPr="00097824">
        <w:rPr>
          <w:lang w:val="en-US" w:eastAsia="ru-RU"/>
        </w:rPr>
        <w:lastRenderedPageBreak/>
        <w:t>75.</w:t>
      </w:r>
      <w:r w:rsidRPr="00097824">
        <w:rPr>
          <w:lang w:val="en-US" w:eastAsia="ru-RU"/>
        </w:rPr>
        <w:tab/>
        <w:t>Ziogas I.A. et al. Laparoscopic versus open hepatectomy for intrahepatic cholangiocarcinoma: An individual patient data survival meta-analysis // The American Journal of Surgery. 2021. Vol. 222, № 4. P. 731–738.</w:t>
      </w:r>
    </w:p>
    <w:p w14:paraId="388A2C4E" w14:textId="77777777" w:rsidR="00ED2D96" w:rsidRPr="00097824" w:rsidRDefault="007F5427" w:rsidP="00F207B4">
      <w:pPr>
        <w:ind w:left="397" w:firstLine="312"/>
        <w:rPr>
          <w:lang w:val="en-US" w:eastAsia="ru-RU"/>
        </w:rPr>
      </w:pPr>
      <w:r w:rsidRPr="00097824">
        <w:rPr>
          <w:lang w:val="en-US" w:eastAsia="ru-RU"/>
        </w:rPr>
        <w:t>76.</w:t>
      </w:r>
      <w:r w:rsidRPr="00097824">
        <w:rPr>
          <w:lang w:val="en-US" w:eastAsia="ru-RU"/>
        </w:rPr>
        <w:tab/>
        <w:t>Meyer C.G., Penn I., James L. Liver transplantation for cholangiocarcinoma: results in 207 patients1 // Transplantation. LWW, 2000. Vol. 69, № 8. P. 1633–1637.</w:t>
      </w:r>
    </w:p>
    <w:p w14:paraId="27D28341" w14:textId="77777777" w:rsidR="00ED2D96" w:rsidRPr="00097824" w:rsidRDefault="007F5427" w:rsidP="00F207B4">
      <w:pPr>
        <w:ind w:left="397" w:firstLine="312"/>
        <w:rPr>
          <w:lang w:val="en-US" w:eastAsia="ru-RU"/>
        </w:rPr>
      </w:pPr>
      <w:r w:rsidRPr="00097824">
        <w:rPr>
          <w:lang w:val="en-US" w:eastAsia="ru-RU"/>
        </w:rPr>
        <w:t>77.</w:t>
      </w:r>
      <w:r w:rsidRPr="00097824">
        <w:rPr>
          <w:lang w:val="en-US" w:eastAsia="ru-RU"/>
        </w:rPr>
        <w:tab/>
        <w:t>Goldstein R.M. et al. Is liver transplantation indicated for cholangiocarcinoma? // Am J Surg. 1993. Vol. 166, № 6. P. 768–771; discussion 771-772.</w:t>
      </w:r>
    </w:p>
    <w:p w14:paraId="52022310" w14:textId="77777777" w:rsidR="00ED2D96" w:rsidRPr="00097824" w:rsidRDefault="007F5427" w:rsidP="00F207B4">
      <w:pPr>
        <w:ind w:left="397" w:firstLine="312"/>
        <w:rPr>
          <w:lang w:val="en-US" w:eastAsia="ru-RU"/>
        </w:rPr>
      </w:pPr>
      <w:r w:rsidRPr="00097824">
        <w:rPr>
          <w:lang w:val="en-US" w:eastAsia="ru-RU"/>
        </w:rPr>
        <w:t>78.</w:t>
      </w:r>
      <w:r w:rsidRPr="00097824">
        <w:rPr>
          <w:lang w:val="en-US" w:eastAsia="ru-RU"/>
        </w:rPr>
        <w:tab/>
        <w:t>Li D.-B. et al. Long-term outcomes of combined hepatocellular-cholangiocarcinoma after hepatectomy or liver transplantation: A systematic review and meta-analysis // Hepatobiliary &amp; Pancreatic Diseases International. 2019. Vol. 18, № 1. P. 12–18.</w:t>
      </w:r>
    </w:p>
    <w:p w14:paraId="3707FD79" w14:textId="77777777" w:rsidR="00ED2D96" w:rsidRPr="00097824" w:rsidRDefault="007F5427" w:rsidP="00F207B4">
      <w:pPr>
        <w:ind w:left="397" w:firstLine="312"/>
        <w:rPr>
          <w:lang w:val="en-US" w:eastAsia="ru-RU"/>
        </w:rPr>
      </w:pPr>
      <w:r w:rsidRPr="00097824">
        <w:rPr>
          <w:lang w:val="en-US" w:eastAsia="ru-RU"/>
        </w:rPr>
        <w:t>79.</w:t>
      </w:r>
      <w:r w:rsidRPr="00097824">
        <w:rPr>
          <w:lang w:val="en-US" w:eastAsia="ru-RU"/>
        </w:rPr>
        <w:tab/>
        <w:t>Ziogas I.A. et al. Liver Transplantation for Intrahepatic Cholangiocarcinoma: A Meta-analysis and Meta-regression of Survival Rates // Transplantation. 2021. Vol. 105, № 10. P. 2263–2271.</w:t>
      </w:r>
    </w:p>
    <w:p w14:paraId="4893CA92" w14:textId="77777777" w:rsidR="00ED2D96" w:rsidRPr="00097824" w:rsidRDefault="007F5427" w:rsidP="00F207B4">
      <w:pPr>
        <w:ind w:left="397" w:firstLine="312"/>
        <w:rPr>
          <w:lang w:val="en-US" w:eastAsia="ru-RU"/>
        </w:rPr>
      </w:pPr>
      <w:r w:rsidRPr="00097824">
        <w:rPr>
          <w:lang w:val="en-US" w:eastAsia="ru-RU"/>
        </w:rPr>
        <w:t>80.</w:t>
      </w:r>
      <w:r w:rsidRPr="00097824">
        <w:rPr>
          <w:lang w:val="en-US" w:eastAsia="ru-RU"/>
        </w:rPr>
        <w:tab/>
        <w:t>Pichlmayr R. et al. Surgical treatment in proximal bile duct cancer. A single-center experience. // Ann Surg. 1996. Vol. 224, № 5. P. 628–638.</w:t>
      </w:r>
    </w:p>
    <w:p w14:paraId="68CF250B" w14:textId="77777777" w:rsidR="00ED2D96" w:rsidRPr="00097824" w:rsidRDefault="007F5427" w:rsidP="00F207B4">
      <w:pPr>
        <w:ind w:left="397" w:firstLine="312"/>
        <w:rPr>
          <w:lang w:val="en-US" w:eastAsia="ru-RU"/>
        </w:rPr>
      </w:pPr>
      <w:r w:rsidRPr="00097824">
        <w:rPr>
          <w:lang w:val="en-US" w:eastAsia="ru-RU"/>
        </w:rPr>
        <w:t>81.</w:t>
      </w:r>
      <w:r w:rsidRPr="00097824">
        <w:rPr>
          <w:lang w:val="en-US" w:eastAsia="ru-RU"/>
        </w:rPr>
        <w:tab/>
        <w:t>Launois B. et al. Proximal Bile Duct Cancer: High Resectability Rate and 5-Year Survival // Ann Surg. 1999. Vol. 230, № 2. P. 266.</w:t>
      </w:r>
    </w:p>
    <w:p w14:paraId="6DCD0750" w14:textId="77777777" w:rsidR="00ED2D96" w:rsidRPr="00097824" w:rsidRDefault="007F5427" w:rsidP="00F207B4">
      <w:pPr>
        <w:ind w:left="397" w:firstLine="312"/>
        <w:rPr>
          <w:lang w:val="en-US" w:eastAsia="ru-RU"/>
        </w:rPr>
      </w:pPr>
      <w:r w:rsidRPr="00097824">
        <w:rPr>
          <w:lang w:val="en-US" w:eastAsia="ru-RU"/>
        </w:rPr>
        <w:t>82.</w:t>
      </w:r>
      <w:r w:rsidRPr="00097824">
        <w:rPr>
          <w:lang w:val="en-US" w:eastAsia="ru-RU"/>
        </w:rPr>
        <w:tab/>
        <w:t>Neuhaus P. et al. Surgical management of proximal bile duct cancer: extended right lobe resection increases resectability and radicality // Langenbeck’s archives of surgery. Springer, 2003. Vol. 388, № 3. P. 194–200.</w:t>
      </w:r>
    </w:p>
    <w:p w14:paraId="6D9E6C9D" w14:textId="77777777" w:rsidR="00ED2D96" w:rsidRPr="00097824" w:rsidRDefault="007F5427" w:rsidP="00F207B4">
      <w:pPr>
        <w:ind w:left="397" w:firstLine="312"/>
        <w:rPr>
          <w:lang w:val="en-US" w:eastAsia="ru-RU"/>
        </w:rPr>
      </w:pPr>
      <w:r w:rsidRPr="00097824">
        <w:rPr>
          <w:lang w:val="en-US" w:eastAsia="ru-RU"/>
        </w:rPr>
        <w:t>83.</w:t>
      </w:r>
      <w:r w:rsidRPr="00097824">
        <w:rPr>
          <w:lang w:val="en-US" w:eastAsia="ru-RU"/>
        </w:rPr>
        <w:tab/>
        <w:t>Nagino M. et al. “Anatomic” right hepatic trisectionectomy (extended right hepatectomy) with caudate lobectomy for hilar cholangiocarcinoma // Annals of surgery. Lippincott, Williams, and Wilkins, 2006. Vol. 243, № 1. P. 28.</w:t>
      </w:r>
    </w:p>
    <w:p w14:paraId="71B9BA3E" w14:textId="77777777" w:rsidR="00ED2D96" w:rsidRPr="00097824" w:rsidRDefault="007F5427" w:rsidP="00F207B4">
      <w:pPr>
        <w:ind w:left="397" w:firstLine="312"/>
        <w:rPr>
          <w:lang w:val="en-US" w:eastAsia="ru-RU"/>
        </w:rPr>
      </w:pPr>
      <w:r w:rsidRPr="00097824">
        <w:rPr>
          <w:lang w:val="en-US" w:eastAsia="ru-RU"/>
        </w:rPr>
        <w:t>84.</w:t>
      </w:r>
      <w:r w:rsidRPr="00097824">
        <w:rPr>
          <w:lang w:val="en-US" w:eastAsia="ru-RU"/>
        </w:rPr>
        <w:tab/>
        <w:t>Valle J.W. et al. Cisplatin and gemcitabine for advanced biliary tract cancer: a meta-analysis of two randomised trials // Annals of Oncology. 2014. Vol. 25, № 2. P. 391–398.</w:t>
      </w:r>
    </w:p>
    <w:p w14:paraId="7D2ADC6C" w14:textId="77777777" w:rsidR="00ED2D96" w:rsidRPr="00097824" w:rsidRDefault="007F5427" w:rsidP="00F207B4">
      <w:pPr>
        <w:ind w:left="397" w:firstLine="312"/>
        <w:rPr>
          <w:lang w:val="en-US" w:eastAsia="ru-RU"/>
        </w:rPr>
      </w:pPr>
      <w:r w:rsidRPr="00097824">
        <w:rPr>
          <w:lang w:val="en-US" w:eastAsia="ru-RU"/>
        </w:rPr>
        <w:t>85.</w:t>
      </w:r>
      <w:r w:rsidRPr="00097824">
        <w:rPr>
          <w:lang w:val="en-US" w:eastAsia="ru-RU"/>
        </w:rPr>
        <w:tab/>
        <w:t>Ghidini M. et al. Adjuvant chemotherapy for resected biliary tract cancers: a systematic review and meta-analysis // HPB. 2017. Vol. 19, № 9. P. 741–748.</w:t>
      </w:r>
    </w:p>
    <w:p w14:paraId="70571DD5" w14:textId="77777777" w:rsidR="00ED2D96" w:rsidRPr="00097824" w:rsidRDefault="007F5427" w:rsidP="00F207B4">
      <w:pPr>
        <w:ind w:left="397" w:firstLine="312"/>
        <w:rPr>
          <w:lang w:val="en-US" w:eastAsia="ru-RU"/>
        </w:rPr>
      </w:pPr>
      <w:r w:rsidRPr="00097824">
        <w:rPr>
          <w:lang w:val="en-US" w:eastAsia="ru-RU"/>
        </w:rPr>
        <w:t>86.</w:t>
      </w:r>
      <w:r w:rsidRPr="00097824">
        <w:rPr>
          <w:lang w:val="en-US" w:eastAsia="ru-RU"/>
        </w:rPr>
        <w:tab/>
        <w:t>Ma N. et al. Adjuvant therapy in the treatment of gallbladder cancer: a meta-analysis // BMC Cancer. 2015. Vol. 15, № 1. P. 615.</w:t>
      </w:r>
    </w:p>
    <w:p w14:paraId="5920654B" w14:textId="77777777" w:rsidR="00ED2D96" w:rsidRPr="00097824" w:rsidRDefault="007F5427" w:rsidP="00F207B4">
      <w:pPr>
        <w:ind w:left="397" w:firstLine="312"/>
        <w:rPr>
          <w:lang w:val="en-US" w:eastAsia="ru-RU"/>
        </w:rPr>
      </w:pPr>
      <w:r w:rsidRPr="00097824">
        <w:rPr>
          <w:lang w:val="en-US" w:eastAsia="ru-RU"/>
        </w:rPr>
        <w:t>87.</w:t>
      </w:r>
      <w:r w:rsidRPr="00097824">
        <w:rPr>
          <w:lang w:val="en-US" w:eastAsia="ru-RU"/>
        </w:rPr>
        <w:tab/>
        <w:t>Messina C. et al. Adjuvant chemotherapy in resected bile duct cancer: A systematic review and meta-analysis of randomized trials // Critical Reviews in Oncology/Hematology. 2019. Vol. 143. P. 124–129.</w:t>
      </w:r>
    </w:p>
    <w:p w14:paraId="4ADAE442" w14:textId="77777777" w:rsidR="00ED2D96" w:rsidRPr="00097824" w:rsidRDefault="007F5427" w:rsidP="00F207B4">
      <w:pPr>
        <w:ind w:left="397" w:firstLine="312"/>
        <w:rPr>
          <w:lang w:eastAsia="ru-RU"/>
        </w:rPr>
      </w:pPr>
      <w:r w:rsidRPr="00097824">
        <w:rPr>
          <w:lang w:val="en-US" w:eastAsia="ru-RU"/>
        </w:rPr>
        <w:lastRenderedPageBreak/>
        <w:t>88.</w:t>
      </w:r>
      <w:r w:rsidRPr="00097824">
        <w:rPr>
          <w:lang w:val="en-US" w:eastAsia="ru-RU"/>
        </w:rPr>
        <w:tab/>
        <w:t xml:space="preserve">Rangarajan K. et al. Systemic adjuvant chemotherapy for cholangiocarcinoma surgery: A systematic review and meta-analysis // European Journal of Surgical Oncology. </w:t>
      </w:r>
      <w:r w:rsidRPr="00097824">
        <w:rPr>
          <w:lang w:eastAsia="ru-RU"/>
        </w:rPr>
        <w:t xml:space="preserve">2020. </w:t>
      </w:r>
      <w:r w:rsidRPr="00097824">
        <w:rPr>
          <w:lang w:val="en-US" w:eastAsia="ru-RU"/>
        </w:rPr>
        <w:t>Vol</w:t>
      </w:r>
      <w:r w:rsidRPr="00097824">
        <w:rPr>
          <w:lang w:eastAsia="ru-RU"/>
        </w:rPr>
        <w:t xml:space="preserve">. 46, № 4, </w:t>
      </w:r>
      <w:r w:rsidRPr="00097824">
        <w:rPr>
          <w:lang w:val="en-US" w:eastAsia="ru-RU"/>
        </w:rPr>
        <w:t>Part</w:t>
      </w:r>
      <w:r w:rsidRPr="00097824">
        <w:rPr>
          <w:lang w:eastAsia="ru-RU"/>
        </w:rPr>
        <w:t xml:space="preserve"> </w:t>
      </w:r>
      <w:r w:rsidRPr="00097824">
        <w:rPr>
          <w:lang w:val="en-US" w:eastAsia="ru-RU"/>
        </w:rPr>
        <w:t>A</w:t>
      </w:r>
      <w:r w:rsidRPr="00097824">
        <w:rPr>
          <w:lang w:eastAsia="ru-RU"/>
        </w:rPr>
        <w:t xml:space="preserve">. </w:t>
      </w:r>
      <w:r w:rsidRPr="00097824">
        <w:rPr>
          <w:lang w:val="en-US" w:eastAsia="ru-RU"/>
        </w:rPr>
        <w:t>P</w:t>
      </w:r>
      <w:r w:rsidRPr="00097824">
        <w:rPr>
          <w:lang w:eastAsia="ru-RU"/>
        </w:rPr>
        <w:t>. 684–693.</w:t>
      </w:r>
    </w:p>
    <w:p w14:paraId="4A73950A" w14:textId="77777777" w:rsidR="00ED2D96" w:rsidRPr="00097824" w:rsidRDefault="007F5427" w:rsidP="00F207B4">
      <w:pPr>
        <w:ind w:left="397" w:firstLine="312"/>
        <w:rPr>
          <w:lang w:val="en-US" w:eastAsia="ru-RU"/>
        </w:rPr>
      </w:pPr>
      <w:r w:rsidRPr="00097824">
        <w:rPr>
          <w:lang w:eastAsia="ru-RU"/>
        </w:rPr>
        <w:t>89.</w:t>
      </w:r>
      <w:r w:rsidRPr="00097824">
        <w:rPr>
          <w:lang w:eastAsia="ru-RU"/>
        </w:rPr>
        <w:tab/>
        <w:t xml:space="preserve">Бредер В.В., Косырев В.Ю., Ледин Е.В. Практические рекомендации по лекарственному лечению билиарного рака // Злокачественные опухоли. </w:t>
      </w:r>
      <w:r w:rsidRPr="00097824">
        <w:rPr>
          <w:lang w:val="en-US" w:eastAsia="ru-RU"/>
        </w:rPr>
        <w:t>2017. Vol. 7, № 3-S2. P. 352–366.</w:t>
      </w:r>
    </w:p>
    <w:p w14:paraId="4F296B09" w14:textId="77777777" w:rsidR="00ED2D96" w:rsidRPr="00097824" w:rsidRDefault="007F5427" w:rsidP="00F207B4">
      <w:pPr>
        <w:ind w:left="397" w:firstLine="312"/>
        <w:rPr>
          <w:lang w:val="en-US" w:eastAsia="ru-RU"/>
        </w:rPr>
      </w:pPr>
      <w:r w:rsidRPr="00097824">
        <w:rPr>
          <w:lang w:val="en-US" w:eastAsia="ru-RU"/>
        </w:rPr>
        <w:t>90.</w:t>
      </w:r>
      <w:r w:rsidRPr="00097824">
        <w:rPr>
          <w:lang w:val="en-US" w:eastAsia="ru-RU"/>
        </w:rPr>
        <w:tab/>
        <w:t>Ben-Josef E. et al. SWOG S0809: A Phase II Intergroup Trial of Adjuvant Capecitabine and Gemcitabine Followed by Radiotherapy and Concurrent Capecitabine in Extrahepatic Cholangiocarcinoma and Gallbladder Carcinoma // J Clin Oncol. 2015. Vol. 33, № 24. P. 2617–2622.</w:t>
      </w:r>
    </w:p>
    <w:p w14:paraId="02FC2046" w14:textId="77777777" w:rsidR="00ED2D96" w:rsidRPr="00097824" w:rsidRDefault="007F5427" w:rsidP="00F207B4">
      <w:pPr>
        <w:ind w:left="397" w:firstLine="312"/>
        <w:rPr>
          <w:lang w:val="en-US" w:eastAsia="ru-RU"/>
        </w:rPr>
      </w:pPr>
      <w:r w:rsidRPr="00097824">
        <w:rPr>
          <w:lang w:val="en-US" w:eastAsia="ru-RU"/>
        </w:rPr>
        <w:t>91.</w:t>
      </w:r>
      <w:r w:rsidRPr="00097824">
        <w:rPr>
          <w:lang w:val="en-US" w:eastAsia="ru-RU"/>
        </w:rPr>
        <w:tab/>
        <w:t>Fisher S.B. et al. Lymphovascular and perineural invasion as selection criteria for adjuvant therapy in intrahepatic cholangiocarcinoma: a multi-institution analysis // HPB. 2012. Vol. 14, № 8. P. 514–522.</w:t>
      </w:r>
    </w:p>
    <w:p w14:paraId="1D6ED567" w14:textId="77777777" w:rsidR="00ED2D96" w:rsidRPr="00097824" w:rsidRDefault="007F5427" w:rsidP="00F207B4">
      <w:pPr>
        <w:ind w:left="397" w:firstLine="312"/>
        <w:rPr>
          <w:lang w:val="en-US" w:eastAsia="ru-RU"/>
        </w:rPr>
      </w:pPr>
      <w:r w:rsidRPr="00097824">
        <w:rPr>
          <w:lang w:val="en-US" w:eastAsia="ru-RU"/>
        </w:rPr>
        <w:t>92.</w:t>
      </w:r>
      <w:r w:rsidRPr="00097824">
        <w:rPr>
          <w:lang w:val="en-US" w:eastAsia="ru-RU"/>
        </w:rPr>
        <w:tab/>
        <w:t>Hyder O. et al. Recurrence after operative management of intrahepatic cholangiocarcinoma // Surgery. 2013. Vol. 153, № 6. P. 811–818.</w:t>
      </w:r>
    </w:p>
    <w:p w14:paraId="3FFD9E32" w14:textId="77777777" w:rsidR="00ED2D96" w:rsidRPr="00097824" w:rsidRDefault="007F5427" w:rsidP="00F207B4">
      <w:pPr>
        <w:ind w:left="397" w:firstLine="312"/>
        <w:rPr>
          <w:lang w:val="en-US" w:eastAsia="ru-RU"/>
        </w:rPr>
      </w:pPr>
      <w:r w:rsidRPr="00097824">
        <w:rPr>
          <w:lang w:val="en-US" w:eastAsia="ru-RU"/>
        </w:rPr>
        <w:t>93.</w:t>
      </w:r>
      <w:r w:rsidRPr="00097824">
        <w:rPr>
          <w:lang w:val="en-US" w:eastAsia="ru-RU"/>
        </w:rPr>
        <w:tab/>
        <w:t>Cereda S., Belli C., Reni M. Adjuvant treatment in biliary tract cancer: To treat or not to treat? // World J Gastroenterol. 2012. Vol. 18, № 21. P. 2591–2596.</w:t>
      </w:r>
    </w:p>
    <w:p w14:paraId="7FAAC378" w14:textId="77777777" w:rsidR="00ED2D96" w:rsidRPr="00097824" w:rsidRDefault="007F5427" w:rsidP="00F207B4">
      <w:pPr>
        <w:ind w:left="397" w:firstLine="312"/>
        <w:rPr>
          <w:lang w:val="en-US" w:eastAsia="ru-RU"/>
        </w:rPr>
      </w:pPr>
      <w:r w:rsidRPr="00097824">
        <w:rPr>
          <w:lang w:val="en-US" w:eastAsia="ru-RU"/>
        </w:rPr>
        <w:t>94.</w:t>
      </w:r>
      <w:r w:rsidRPr="00097824">
        <w:rPr>
          <w:lang w:val="en-US" w:eastAsia="ru-RU"/>
        </w:rPr>
        <w:tab/>
        <w:t>Kelley S.T. et al. Cholangiocarcinoma: Advocate an Aggressive Operative Approach with Adjuvant Chemotherapy/DISCUSSION // The American Surgeon. SAGE PUBLICATIONS, INC., 2004. Vol. 70, № 9. P. 743.</w:t>
      </w:r>
    </w:p>
    <w:p w14:paraId="5519D498" w14:textId="77777777" w:rsidR="00ED2D96" w:rsidRPr="00097824" w:rsidRDefault="007F5427" w:rsidP="00F207B4">
      <w:pPr>
        <w:ind w:left="397" w:firstLine="312"/>
        <w:rPr>
          <w:lang w:val="en-US" w:eastAsia="ru-RU"/>
        </w:rPr>
      </w:pPr>
      <w:r w:rsidRPr="00097824">
        <w:rPr>
          <w:lang w:val="en-US" w:eastAsia="ru-RU"/>
        </w:rPr>
        <w:t>95.</w:t>
      </w:r>
      <w:r w:rsidRPr="00097824">
        <w:rPr>
          <w:lang w:val="en-US" w:eastAsia="ru-RU"/>
        </w:rPr>
        <w:tab/>
        <w:t>Koh M. et al. Radiation therapy for recurrent extrahepatic bile duct cancer // PLoS One. 2021. Vol. 16, № 6. P. e0253285.</w:t>
      </w:r>
    </w:p>
    <w:p w14:paraId="5AFDAAC0" w14:textId="77777777" w:rsidR="00ED2D96" w:rsidRPr="00097824" w:rsidRDefault="007F5427" w:rsidP="00F207B4">
      <w:pPr>
        <w:ind w:left="397" w:firstLine="312"/>
        <w:rPr>
          <w:lang w:val="en-US" w:eastAsia="ru-RU"/>
        </w:rPr>
      </w:pPr>
      <w:r w:rsidRPr="00097824">
        <w:rPr>
          <w:lang w:val="en-US" w:eastAsia="ru-RU"/>
        </w:rPr>
        <w:t>96.</w:t>
      </w:r>
      <w:r w:rsidRPr="00097824">
        <w:rPr>
          <w:lang w:val="en-US" w:eastAsia="ru-RU"/>
        </w:rPr>
        <w:tab/>
        <w:t>Gkika E. et al. The Evolving Role of Radiation Therapy in the Treatment of Biliary Tract Cancer // Frontiers in Oncology. 2020. Vol. 10.</w:t>
      </w:r>
    </w:p>
    <w:p w14:paraId="508C784B" w14:textId="77777777" w:rsidR="00ED2D96" w:rsidRPr="00097824" w:rsidRDefault="007F5427" w:rsidP="00F207B4">
      <w:pPr>
        <w:ind w:left="397" w:firstLine="312"/>
        <w:rPr>
          <w:lang w:val="en-US" w:eastAsia="ru-RU"/>
        </w:rPr>
      </w:pPr>
      <w:r w:rsidRPr="00097824">
        <w:rPr>
          <w:lang w:val="en-US" w:eastAsia="ru-RU"/>
        </w:rPr>
        <w:t>97.</w:t>
      </w:r>
      <w:r w:rsidRPr="00097824">
        <w:rPr>
          <w:lang w:val="en-US" w:eastAsia="ru-RU"/>
        </w:rPr>
        <w:tab/>
        <w:t>Shitara K. et al. Hepatic arterial infusion of mitomycin C with degradable starch microspheres for unresectable intrahepatic cholangiocarcinoma // Clinical Oncology. Elsevier, 2008. Vol. 20, № 3. P. 241–246.</w:t>
      </w:r>
    </w:p>
    <w:p w14:paraId="37EFA858" w14:textId="77777777" w:rsidR="00ED2D96" w:rsidRPr="00097824" w:rsidRDefault="007F5427" w:rsidP="00F207B4">
      <w:pPr>
        <w:ind w:left="397" w:firstLine="312"/>
        <w:rPr>
          <w:lang w:val="en-US" w:eastAsia="ru-RU"/>
        </w:rPr>
      </w:pPr>
      <w:r w:rsidRPr="00097824">
        <w:rPr>
          <w:lang w:val="en-US" w:eastAsia="ru-RU"/>
        </w:rPr>
        <w:t>98.</w:t>
      </w:r>
      <w:r w:rsidRPr="00097824">
        <w:rPr>
          <w:lang w:val="en-US" w:eastAsia="ru-RU"/>
        </w:rPr>
        <w:tab/>
        <w:t>Inaba Y. et al. Phase I/II study of hepatic arterial infusion chemotherapy with gemcitabine in patients with unresectable intrahepatic cholangiocarcinoma (JIVROSG-0301) // American journal of clinical oncology. LWW, 2011. Vol. 34, № 1. P. 58–62.</w:t>
      </w:r>
    </w:p>
    <w:p w14:paraId="0019FC4F" w14:textId="77777777" w:rsidR="00ED2D96" w:rsidRPr="00097824" w:rsidRDefault="007F5427" w:rsidP="00F207B4">
      <w:pPr>
        <w:ind w:left="397" w:firstLine="312"/>
        <w:rPr>
          <w:lang w:val="en-US" w:eastAsia="ru-RU"/>
        </w:rPr>
      </w:pPr>
      <w:r w:rsidRPr="00097824">
        <w:rPr>
          <w:lang w:val="en-US" w:eastAsia="ru-RU"/>
        </w:rPr>
        <w:t>99.</w:t>
      </w:r>
      <w:r w:rsidRPr="00097824">
        <w:rPr>
          <w:lang w:val="en-US" w:eastAsia="ru-RU"/>
        </w:rPr>
        <w:tab/>
        <w:t>Kemeny N.E. et al. Treating primary liver cancer with hepatic arterial infusion of floxuridine and dexamethasone: does the addition of systemic bevacizumab improve results // Oncology. Karger Publishers, 2011. Vol. 80, № 3–4. P. 153–159.</w:t>
      </w:r>
    </w:p>
    <w:p w14:paraId="7FF108FC" w14:textId="77777777" w:rsidR="00ED2D96" w:rsidRPr="00097824" w:rsidRDefault="007F5427" w:rsidP="00F207B4">
      <w:pPr>
        <w:ind w:left="397" w:firstLine="312"/>
        <w:rPr>
          <w:lang w:val="en-US" w:eastAsia="ru-RU"/>
        </w:rPr>
      </w:pPr>
      <w:r w:rsidRPr="00097824">
        <w:rPr>
          <w:lang w:val="en-US" w:eastAsia="ru-RU"/>
        </w:rPr>
        <w:lastRenderedPageBreak/>
        <w:t>100.</w:t>
      </w:r>
      <w:r w:rsidRPr="00097824">
        <w:rPr>
          <w:lang w:val="en-US" w:eastAsia="ru-RU"/>
        </w:rPr>
        <w:tab/>
        <w:t>Boehm L.M. et al. Comparative effectiveness of hepatic artery based therapies for unresectable intrahepatic cholangiocarcinoma // Journal of surgical oncology. Wiley Online Library, 2015. Vol. 111, № 2. P. 213–220.</w:t>
      </w:r>
    </w:p>
    <w:p w14:paraId="5CF2A4C8" w14:textId="77777777" w:rsidR="00ED2D96" w:rsidRPr="00097824" w:rsidRDefault="007F5427" w:rsidP="00F207B4">
      <w:pPr>
        <w:ind w:left="397" w:firstLine="312"/>
        <w:rPr>
          <w:lang w:val="en-US" w:eastAsia="ru-RU"/>
        </w:rPr>
      </w:pPr>
      <w:r w:rsidRPr="00097824">
        <w:rPr>
          <w:lang w:val="en-US" w:eastAsia="ru-RU"/>
        </w:rPr>
        <w:t>101.</w:t>
      </w:r>
      <w:r w:rsidRPr="00097824">
        <w:rPr>
          <w:lang w:val="en-US" w:eastAsia="ru-RU"/>
        </w:rPr>
        <w:tab/>
        <w:t>Paz-Fumagalli R. et al. Safety and initial efficacy of ablative radioembolization for the treatment of unresectable intrahepatic cholangiocarcinoma // Oncotarget. Impact Journals, LLC, 2021. Vol. 12, № 20. P. 2075.</w:t>
      </w:r>
    </w:p>
    <w:p w14:paraId="63A8703C" w14:textId="77777777" w:rsidR="00ED2D96" w:rsidRPr="00097824" w:rsidRDefault="007F5427" w:rsidP="00F207B4">
      <w:pPr>
        <w:ind w:left="397" w:firstLine="312"/>
        <w:rPr>
          <w:lang w:val="en-US" w:eastAsia="ru-RU"/>
        </w:rPr>
      </w:pPr>
      <w:r w:rsidRPr="00097824">
        <w:rPr>
          <w:lang w:val="en-US" w:eastAsia="ru-RU"/>
        </w:rPr>
        <w:t>102.</w:t>
      </w:r>
      <w:r w:rsidRPr="00097824">
        <w:rPr>
          <w:lang w:val="en-US" w:eastAsia="ru-RU"/>
        </w:rPr>
        <w:tab/>
        <w:t>Edeline J. et al. Radioembolization Plus Chemotherapy for First-line Treatment of Locally Advanced Intrahepatic Cholangiocarcinoma: A Phase 2 Clinical Trial // JAMA Oncology. 2020. Vol. 6, № 1. P. 51–59.</w:t>
      </w:r>
    </w:p>
    <w:p w14:paraId="4FE696FF" w14:textId="77777777" w:rsidR="00ED2D96" w:rsidRPr="00097824" w:rsidRDefault="007F5427" w:rsidP="00F207B4">
      <w:pPr>
        <w:ind w:left="397" w:firstLine="312"/>
        <w:rPr>
          <w:lang w:val="en-US" w:eastAsia="ru-RU"/>
        </w:rPr>
      </w:pPr>
      <w:r w:rsidRPr="00097824">
        <w:rPr>
          <w:lang w:val="en-US" w:eastAsia="ru-RU"/>
        </w:rPr>
        <w:t>103.</w:t>
      </w:r>
      <w:r w:rsidRPr="00097824">
        <w:rPr>
          <w:lang w:val="en-US" w:eastAsia="ru-RU"/>
        </w:rPr>
        <w:tab/>
        <w:t>Ibrahim S.M. et al. Treatment of unresectable cholangiocarcinoma using yttrium-90 microspheres: results from a pilot study // Cancer. Wiley Online Library, 2008. Vol. 113, № 8. P. 2119–2128.</w:t>
      </w:r>
    </w:p>
    <w:p w14:paraId="5C3B8F60" w14:textId="77777777" w:rsidR="00ED2D96" w:rsidRPr="00097824" w:rsidRDefault="007F5427" w:rsidP="00F207B4">
      <w:pPr>
        <w:ind w:left="397" w:firstLine="312"/>
        <w:rPr>
          <w:lang w:val="en-US" w:eastAsia="ru-RU"/>
        </w:rPr>
      </w:pPr>
      <w:r w:rsidRPr="00097824">
        <w:rPr>
          <w:lang w:val="en-US" w:eastAsia="ru-RU"/>
        </w:rPr>
        <w:t>104.</w:t>
      </w:r>
      <w:r w:rsidRPr="00097824">
        <w:rPr>
          <w:lang w:val="en-US" w:eastAsia="ru-RU"/>
        </w:rPr>
        <w:tab/>
        <w:t>Ortner M.E.J. et al. Successful photodynamic therapy for nonresectable cholangiocarcinoma: a randomized prospective study // Gastroenterology. 2003. Vol. 125, № 5. P. 1355–1363.</w:t>
      </w:r>
    </w:p>
    <w:p w14:paraId="73F82E70" w14:textId="77777777" w:rsidR="00ED2D96" w:rsidRPr="00097824" w:rsidRDefault="007F5427" w:rsidP="00F207B4">
      <w:pPr>
        <w:ind w:left="397" w:firstLine="312"/>
        <w:rPr>
          <w:lang w:val="en-US" w:eastAsia="ru-RU"/>
        </w:rPr>
      </w:pPr>
      <w:r w:rsidRPr="00097824">
        <w:rPr>
          <w:lang w:val="en-US" w:eastAsia="ru-RU"/>
        </w:rPr>
        <w:t>105.</w:t>
      </w:r>
      <w:r w:rsidRPr="00097824">
        <w:rPr>
          <w:lang w:val="en-US" w:eastAsia="ru-RU"/>
        </w:rPr>
        <w:tab/>
        <w:t>Zoepf T. et al. Palliation of Nonresectable Bile Duct Cancer: Improved Survival After Photodynamic Therapy // Official journal of the American College of Gastroenterology | ACG. 2005. Vol. 100, № 11. P. 2426–2430.</w:t>
      </w:r>
    </w:p>
    <w:p w14:paraId="131A735B" w14:textId="77777777" w:rsidR="00ED2D96" w:rsidRPr="00097824" w:rsidRDefault="007F5427" w:rsidP="00F207B4">
      <w:pPr>
        <w:ind w:left="397" w:firstLine="312"/>
        <w:rPr>
          <w:lang w:val="en-US" w:eastAsia="ru-RU"/>
        </w:rPr>
      </w:pPr>
      <w:r w:rsidRPr="00097824">
        <w:rPr>
          <w:lang w:val="en-US" w:eastAsia="ru-RU"/>
        </w:rPr>
        <w:t>106.</w:t>
      </w:r>
      <w:r w:rsidRPr="00097824">
        <w:rPr>
          <w:lang w:val="en-US" w:eastAsia="ru-RU"/>
        </w:rPr>
        <w:tab/>
        <w:t>Ghafoori A.P. et al. Radiotherapy in the treatment of patients with unresectable extrahepatic cholangiocarcinoma // International Journal of Radiation Oncology*Biology*Physics. 2011. Vol. 81, № 3. P. 654–659.</w:t>
      </w:r>
    </w:p>
    <w:p w14:paraId="78C8167D" w14:textId="77777777" w:rsidR="00ED2D96" w:rsidRPr="00097824" w:rsidRDefault="007F5427" w:rsidP="00F207B4">
      <w:pPr>
        <w:ind w:left="397" w:firstLine="312"/>
        <w:rPr>
          <w:lang w:val="en-US" w:eastAsia="ru-RU"/>
        </w:rPr>
      </w:pPr>
      <w:r w:rsidRPr="00097824">
        <w:rPr>
          <w:lang w:val="en-US" w:eastAsia="ru-RU"/>
        </w:rPr>
        <w:t>107.</w:t>
      </w:r>
      <w:r w:rsidRPr="00097824">
        <w:rPr>
          <w:lang w:val="en-US" w:eastAsia="ru-RU"/>
        </w:rPr>
        <w:tab/>
        <w:t>Eckel F., Schmid R.M. Chemotherapy in advanced biliary tract carcinoma: a pooled analysis of clinical trials // British journal of cancer. Nature Publishing Group, 2007. Vol. 96, № 6. P. 896–902.</w:t>
      </w:r>
    </w:p>
    <w:p w14:paraId="2F13AE99" w14:textId="77777777" w:rsidR="00ED2D96" w:rsidRPr="00097824" w:rsidRDefault="007F5427" w:rsidP="00F207B4">
      <w:pPr>
        <w:ind w:left="397" w:firstLine="312"/>
        <w:rPr>
          <w:lang w:val="en-US" w:eastAsia="ru-RU"/>
        </w:rPr>
      </w:pPr>
      <w:r w:rsidRPr="00097824">
        <w:rPr>
          <w:lang w:val="en-US" w:eastAsia="ru-RU"/>
        </w:rPr>
        <w:t>108.</w:t>
      </w:r>
      <w:r w:rsidRPr="00097824">
        <w:rPr>
          <w:lang w:val="en-US" w:eastAsia="ru-RU"/>
        </w:rPr>
        <w:tab/>
        <w:t>Yonemoto N. et al. A multi-center retrospective analysis of survival benefits of chemotherapy for unresectable biliary tract cancer // Japanese journal of clinical oncology. Oxford University Press, 2007. Vol. 37, № 11. P. 843–851.</w:t>
      </w:r>
    </w:p>
    <w:p w14:paraId="211E00B8" w14:textId="77777777" w:rsidR="00ED2D96" w:rsidRPr="00097824" w:rsidRDefault="007F5427" w:rsidP="00F207B4">
      <w:pPr>
        <w:ind w:left="397" w:firstLine="312"/>
        <w:rPr>
          <w:lang w:val="en-US" w:eastAsia="ru-RU"/>
        </w:rPr>
      </w:pPr>
      <w:r w:rsidRPr="00097824">
        <w:rPr>
          <w:lang w:val="en-US" w:eastAsia="ru-RU"/>
        </w:rPr>
        <w:t>109.</w:t>
      </w:r>
      <w:r w:rsidRPr="00097824">
        <w:rPr>
          <w:lang w:val="en-US" w:eastAsia="ru-RU"/>
        </w:rPr>
        <w:tab/>
        <w:t>Valle J. et al. Cisplatin plus gemcitabine versus gemcitabine for biliary tract cancer // New England Journal of Medicine. Mass Medical Soc, 2010. Vol. 362, № 14. P. 1273–1281.</w:t>
      </w:r>
    </w:p>
    <w:p w14:paraId="170E6438" w14:textId="77777777" w:rsidR="00ED2D96" w:rsidRPr="00097824" w:rsidRDefault="007F5427" w:rsidP="00F207B4">
      <w:pPr>
        <w:ind w:left="397" w:firstLine="312"/>
        <w:rPr>
          <w:lang w:val="en-US" w:eastAsia="ru-RU"/>
        </w:rPr>
      </w:pPr>
      <w:r w:rsidRPr="00097824">
        <w:rPr>
          <w:lang w:val="en-US" w:eastAsia="ru-RU"/>
        </w:rPr>
        <w:t>110.</w:t>
      </w:r>
      <w:r w:rsidRPr="00097824">
        <w:rPr>
          <w:lang w:val="en-US" w:eastAsia="ru-RU"/>
        </w:rPr>
        <w:tab/>
        <w:t>Kainuma O. et al. Feasibility and efficacy of gemcitabine plus cisplatin combination therapy after curative resection for biliary tract cancer // Journal of Hepato-Biliary-Pancreatic Sciences. 2015. Vol. 22, № 11. P. 789–794.</w:t>
      </w:r>
    </w:p>
    <w:p w14:paraId="1E2775DD" w14:textId="77777777" w:rsidR="00ED2D96" w:rsidRPr="00097824" w:rsidRDefault="007F5427" w:rsidP="00F207B4">
      <w:pPr>
        <w:ind w:left="397" w:firstLine="312"/>
        <w:rPr>
          <w:lang w:val="en-US" w:eastAsia="ru-RU"/>
        </w:rPr>
      </w:pPr>
      <w:r w:rsidRPr="00097824">
        <w:rPr>
          <w:lang w:val="en-US" w:eastAsia="ru-RU"/>
        </w:rPr>
        <w:lastRenderedPageBreak/>
        <w:t>111.</w:t>
      </w:r>
      <w:r w:rsidRPr="00097824">
        <w:rPr>
          <w:lang w:val="en-US" w:eastAsia="ru-RU"/>
        </w:rPr>
        <w:tab/>
        <w:t>Song S. et al. The efficacy and safety of 5-fluorouracil based adjuvant therapy in resected biliary tract cancer: A systematic review and meta-analysis // Clinics and Research in Hepatology and Gastroenterology. 2022. Vol. 46, № 2. P. 101788.</w:t>
      </w:r>
    </w:p>
    <w:p w14:paraId="6AE157A1" w14:textId="77777777" w:rsidR="00ED2D96" w:rsidRPr="00097824" w:rsidRDefault="007F5427" w:rsidP="00F207B4">
      <w:pPr>
        <w:ind w:left="397" w:firstLine="312"/>
        <w:rPr>
          <w:lang w:val="en-US" w:eastAsia="ru-RU"/>
        </w:rPr>
      </w:pPr>
      <w:r w:rsidRPr="00097824">
        <w:rPr>
          <w:lang w:val="en-US" w:eastAsia="ru-RU"/>
        </w:rPr>
        <w:t>112.</w:t>
      </w:r>
      <w:r w:rsidRPr="00097824">
        <w:rPr>
          <w:lang w:val="en-US" w:eastAsia="ru-RU"/>
        </w:rPr>
        <w:tab/>
        <w:t>Yang R. et al. Efficacy of gemcitabine plus platinum agents for biliary tract cancers: a meta-analysis // Anti-Cancer Drugs. 2013. Vol. 24, № 8. P. 871–877.</w:t>
      </w:r>
    </w:p>
    <w:p w14:paraId="61EBAC1B" w14:textId="77777777" w:rsidR="00ED2D96" w:rsidRPr="00097824" w:rsidRDefault="007F5427" w:rsidP="00F207B4">
      <w:pPr>
        <w:ind w:left="397" w:firstLine="312"/>
        <w:rPr>
          <w:lang w:val="en-US" w:eastAsia="ru-RU"/>
        </w:rPr>
      </w:pPr>
      <w:r w:rsidRPr="00097824">
        <w:rPr>
          <w:lang w:val="en-US" w:eastAsia="ru-RU"/>
        </w:rPr>
        <w:t>113.</w:t>
      </w:r>
      <w:r w:rsidRPr="00097824">
        <w:rPr>
          <w:lang w:val="en-US" w:eastAsia="ru-RU"/>
        </w:rPr>
        <w:tab/>
        <w:t>Zhu G.-Q. et al. Systematic review with network meta-analysis: adjuvant therapy for resected biliary tract cancer // Alimentary Pharmacology &amp; Therapeutics. 2014. Vol. 40, № 7. P. 759–770.</w:t>
      </w:r>
    </w:p>
    <w:p w14:paraId="293661F3" w14:textId="77777777" w:rsidR="00ED2D96" w:rsidRPr="00097824" w:rsidRDefault="007F5427" w:rsidP="00F207B4">
      <w:pPr>
        <w:ind w:left="397" w:firstLine="312"/>
        <w:rPr>
          <w:lang w:val="en-US" w:eastAsia="ru-RU"/>
        </w:rPr>
      </w:pPr>
      <w:r w:rsidRPr="00097824">
        <w:rPr>
          <w:lang w:val="en-US" w:eastAsia="ru-RU"/>
        </w:rPr>
        <w:t>114.</w:t>
      </w:r>
      <w:r w:rsidRPr="00097824">
        <w:rPr>
          <w:lang w:val="en-US" w:eastAsia="ru-RU"/>
        </w:rPr>
        <w:tab/>
        <w:t>Sharma A. et al. Best supportive care compared with chemotherapy for unresectable gall bladder cancer: a randomized controlled study // J Clin Oncol. 2010. Vol. 28, № 30. P. 4581–4586.</w:t>
      </w:r>
    </w:p>
    <w:p w14:paraId="26586E76" w14:textId="77777777" w:rsidR="00ED2D96" w:rsidRPr="00097824" w:rsidRDefault="007F5427" w:rsidP="00F207B4">
      <w:pPr>
        <w:ind w:left="397" w:firstLine="312"/>
        <w:rPr>
          <w:lang w:val="en-US" w:eastAsia="ru-RU"/>
        </w:rPr>
      </w:pPr>
      <w:r w:rsidRPr="00097824">
        <w:rPr>
          <w:lang w:val="en-US" w:eastAsia="ru-RU"/>
        </w:rPr>
        <w:t>115.</w:t>
      </w:r>
      <w:r w:rsidRPr="00097824">
        <w:rPr>
          <w:lang w:val="en-US" w:eastAsia="ru-RU"/>
        </w:rPr>
        <w:tab/>
        <w:t>Kato A. et al. Surgical Resection after Downsizing Chemotherapy for Initially Unresectable Locally Advanced Biliary Tract Cancer: A Retrospective Single-center Study // Ann Surg Oncol. 2013. Vol. 20, № 1. P. 318–324.</w:t>
      </w:r>
    </w:p>
    <w:p w14:paraId="29926DC6" w14:textId="77777777" w:rsidR="00ED2D96" w:rsidRPr="00097824" w:rsidRDefault="007F5427" w:rsidP="00F207B4">
      <w:pPr>
        <w:ind w:left="397" w:firstLine="312"/>
        <w:rPr>
          <w:lang w:val="en-US" w:eastAsia="ru-RU"/>
        </w:rPr>
      </w:pPr>
      <w:r w:rsidRPr="00097824">
        <w:rPr>
          <w:lang w:val="en-US" w:eastAsia="ru-RU"/>
        </w:rPr>
        <w:t>116.</w:t>
      </w:r>
      <w:r w:rsidRPr="00097824">
        <w:rPr>
          <w:lang w:val="en-US" w:eastAsia="ru-RU"/>
        </w:rPr>
        <w:tab/>
        <w:t>Jang J.-S. et al. Gemcitabine and oxaliplatin in patients with unresectable biliary cancer including gall bladder cancer: a Korean Cancer Study Group phase II trial // Cancer chemotherapy and pharmacology. Springer, 2010. Vol. 65, № 4. P. 641–647.</w:t>
      </w:r>
    </w:p>
    <w:p w14:paraId="718A14A7" w14:textId="77777777" w:rsidR="00ED2D96" w:rsidRPr="00097824" w:rsidRDefault="007F5427" w:rsidP="00F207B4">
      <w:pPr>
        <w:ind w:left="397" w:firstLine="312"/>
        <w:rPr>
          <w:lang w:val="en-US" w:eastAsia="ru-RU"/>
        </w:rPr>
      </w:pPr>
      <w:r w:rsidRPr="00097824">
        <w:rPr>
          <w:lang w:val="en-US" w:eastAsia="ru-RU"/>
        </w:rPr>
        <w:t>117.</w:t>
      </w:r>
      <w:r w:rsidRPr="00097824">
        <w:rPr>
          <w:lang w:val="en-US" w:eastAsia="ru-RU"/>
        </w:rPr>
        <w:tab/>
        <w:t>Dodagoudar C. et al. FOLFOX-4 as second-line therapy after failure of gemcitabine and platinum combination in advanced gall bladder cancer patients // Japanese journal of clinical oncology. Oxford University Press, 2016. Vol. 46, № 1. P. 57–62.</w:t>
      </w:r>
    </w:p>
    <w:p w14:paraId="68116A8F" w14:textId="77777777" w:rsidR="007D0234" w:rsidRPr="00097824" w:rsidRDefault="007F5427" w:rsidP="00F207B4">
      <w:pPr>
        <w:ind w:left="397" w:firstLine="312"/>
        <w:rPr>
          <w:lang w:val="en-US" w:eastAsia="ru-RU"/>
        </w:rPr>
      </w:pPr>
      <w:r w:rsidRPr="00097824">
        <w:rPr>
          <w:lang w:val="en-US" w:eastAsia="ru-RU"/>
        </w:rPr>
        <w:t>118.</w:t>
      </w:r>
      <w:r w:rsidRPr="00097824">
        <w:rPr>
          <w:lang w:val="en-US" w:eastAsia="ru-RU"/>
        </w:rPr>
        <w:tab/>
        <w:t>Knox J.J. et al. Combining gemcitabine and capecitabine in patients with advanced biliary cancer: a phase II trial // J Clin Oncol. 2005. Vol. 23, № 10. P. 2332–2338.</w:t>
      </w:r>
    </w:p>
    <w:p w14:paraId="2884A56C" w14:textId="77777777" w:rsidR="007D0234" w:rsidRPr="00097824" w:rsidRDefault="007F5427" w:rsidP="00F207B4">
      <w:pPr>
        <w:ind w:left="397" w:firstLine="312"/>
        <w:rPr>
          <w:lang w:val="en-US" w:eastAsia="ru-RU"/>
        </w:rPr>
      </w:pPr>
      <w:r w:rsidRPr="00097824">
        <w:rPr>
          <w:lang w:val="en-US" w:eastAsia="ru-RU"/>
        </w:rPr>
        <w:t>119.</w:t>
      </w:r>
      <w:r w:rsidRPr="00097824">
        <w:rPr>
          <w:lang w:val="en-US" w:eastAsia="ru-RU"/>
        </w:rPr>
        <w:tab/>
      </w:r>
      <w:r w:rsidR="007D0234" w:rsidRPr="00097824">
        <w:rPr>
          <w:lang w:val="en-US" w:eastAsia="ru-RU"/>
        </w:rPr>
        <w:t>Edeline J., Touchefeu Y., Guiu B., et al. Radioembolization Plus Chemotherapy for First-line Treatment of Locally Advanced Intrahepatic Cholangiocarcinoma: A Phase 2 Clinical Trial. JAMA Oncol. 2020; 6: 51-59</w:t>
      </w:r>
    </w:p>
    <w:p w14:paraId="510D51F2" w14:textId="186D902E" w:rsidR="00ED2D96" w:rsidRPr="00097824" w:rsidRDefault="007F5427" w:rsidP="00F207B4">
      <w:pPr>
        <w:ind w:left="397" w:firstLine="312"/>
        <w:rPr>
          <w:lang w:val="en-US" w:eastAsia="ru-RU"/>
        </w:rPr>
      </w:pPr>
      <w:r w:rsidRPr="00097824">
        <w:rPr>
          <w:lang w:val="en-US" w:eastAsia="ru-RU"/>
        </w:rPr>
        <w:t>120.</w:t>
      </w:r>
      <w:r w:rsidRPr="00097824">
        <w:rPr>
          <w:lang w:val="en-US" w:eastAsia="ru-RU"/>
        </w:rPr>
        <w:tab/>
      </w:r>
      <w:r w:rsidR="007D0234" w:rsidRPr="00097824">
        <w:rPr>
          <w:lang w:val="en-US" w:eastAsia="ru-RU"/>
        </w:rPr>
        <w:t>Cercek A., Boerner T., Tan B.R. et al. Assessment of Hepatic Arterial Infusion of Floxuridine in Combination With Systemic Gemcitabine and Oxaliplatin in Patients With Unresectable Intrahepatic Cholangiocarcinoma: A Phase 2 Clinical Trial. JAMA Oncol. 2020; 6: 60-67</w:t>
      </w:r>
    </w:p>
    <w:p w14:paraId="070D879C" w14:textId="77777777" w:rsidR="00ED2D96" w:rsidRPr="00097824" w:rsidRDefault="007F5427" w:rsidP="00F207B4">
      <w:pPr>
        <w:ind w:left="397" w:firstLine="312"/>
        <w:rPr>
          <w:lang w:val="en-US" w:eastAsia="ru-RU"/>
        </w:rPr>
      </w:pPr>
      <w:r w:rsidRPr="00097824">
        <w:rPr>
          <w:lang w:val="en-US" w:eastAsia="ru-RU"/>
        </w:rPr>
        <w:t>121.</w:t>
      </w:r>
      <w:r w:rsidRPr="00097824">
        <w:rPr>
          <w:lang w:val="en-US" w:eastAsia="ru-RU"/>
        </w:rPr>
        <w:tab/>
        <w:t>Marabelle A. et al. Efficacy of pembrolizumab in patients with noncolorectal high microsatellite instability/mismatch repair–deficient cancer: Results from the phase II KEYNOTE-158 study // Journal of Clinical Oncology. American Society of Clinical Oncology, 2020. Vol. 38, № 1. P. 1.</w:t>
      </w:r>
    </w:p>
    <w:p w14:paraId="2D182538" w14:textId="77777777" w:rsidR="00ED2D96" w:rsidRPr="00097824" w:rsidRDefault="007F5427" w:rsidP="00F207B4">
      <w:pPr>
        <w:ind w:left="397" w:firstLine="312"/>
        <w:rPr>
          <w:lang w:val="en-US" w:eastAsia="ru-RU"/>
        </w:rPr>
      </w:pPr>
      <w:r w:rsidRPr="00097824">
        <w:rPr>
          <w:lang w:val="en-US" w:eastAsia="ru-RU"/>
        </w:rPr>
        <w:lastRenderedPageBreak/>
        <w:t>122.</w:t>
      </w:r>
      <w:r w:rsidRPr="00097824">
        <w:rPr>
          <w:lang w:val="en-US" w:eastAsia="ru-RU"/>
        </w:rPr>
        <w:tab/>
        <w:t>Oh D.-Y. et al. Durvalumab plus Gemcitabine and Cisplatin in Advanced Biliary Tract Cancer // NEJM Evidence. Massachusetts Medical Society, 2022. P. EVIDoa2200015.</w:t>
      </w:r>
    </w:p>
    <w:p w14:paraId="12589C01" w14:textId="79E7D3C0" w:rsidR="00ED2D96" w:rsidRPr="00097824" w:rsidRDefault="007F5427" w:rsidP="00F207B4">
      <w:pPr>
        <w:ind w:left="397" w:firstLine="312"/>
        <w:rPr>
          <w:lang w:val="en-US" w:eastAsia="ru-RU"/>
        </w:rPr>
      </w:pPr>
      <w:r w:rsidRPr="00097824">
        <w:rPr>
          <w:lang w:val="en-US" w:eastAsia="ru-RU"/>
        </w:rPr>
        <w:t>123.</w:t>
      </w:r>
      <w:r w:rsidRPr="00097824">
        <w:rPr>
          <w:lang w:val="en-US" w:eastAsia="ru-RU"/>
        </w:rPr>
        <w:tab/>
      </w:r>
      <w:r w:rsidR="004878A5" w:rsidRPr="00097824">
        <w:rPr>
          <w:lang w:val="en-US" w:eastAsia="ru-RU"/>
        </w:rPr>
        <w:t>Yoo C., Kim K.P., Jeong J.H., et al. Liposomal irinotecan plus fluorouracil and leucovorin versus fluorouracil and leucovorin for metastatic biliary tract cancer after progression on gemcitabine plus cisplatin (NIFTY): a multicentre, open-label, randomised, phase 2b study. Lancet Oncol. 2021; 22: 1560-1572</w:t>
      </w:r>
      <w:r w:rsidRPr="00097824">
        <w:rPr>
          <w:lang w:val="en-US" w:eastAsia="ru-RU"/>
        </w:rPr>
        <w:t>.</w:t>
      </w:r>
    </w:p>
    <w:p w14:paraId="6C6590DA" w14:textId="77777777" w:rsidR="00ED2D96" w:rsidRPr="00097824" w:rsidRDefault="007F5427" w:rsidP="00F207B4">
      <w:pPr>
        <w:ind w:left="397" w:firstLine="312"/>
        <w:rPr>
          <w:lang w:val="en-US" w:eastAsia="ru-RU"/>
        </w:rPr>
      </w:pPr>
      <w:r w:rsidRPr="00097824">
        <w:rPr>
          <w:lang w:val="en-US" w:eastAsia="ru-RU"/>
        </w:rPr>
        <w:t>124.</w:t>
      </w:r>
      <w:r w:rsidRPr="00097824">
        <w:rPr>
          <w:lang w:val="en-US" w:eastAsia="ru-RU"/>
        </w:rPr>
        <w:tab/>
        <w:t>Rizzo A. et al. Anti-EGFR Monoclonal Antibodies in Advanced Biliary Tract Cancer: A Systematic Review and Meta-analysis // In Vivo. International Institute of Anticancer Research, 2020. Vol. 34, № 2. P. 479–488.</w:t>
      </w:r>
    </w:p>
    <w:p w14:paraId="0F72E7C5" w14:textId="77777777" w:rsidR="00ED2D96" w:rsidRPr="00097824" w:rsidRDefault="007F5427" w:rsidP="00F207B4">
      <w:pPr>
        <w:ind w:left="397" w:firstLine="312"/>
        <w:rPr>
          <w:lang w:val="en-US" w:eastAsia="ru-RU"/>
        </w:rPr>
      </w:pPr>
      <w:r w:rsidRPr="00097824">
        <w:rPr>
          <w:lang w:val="en-US" w:eastAsia="ru-RU"/>
        </w:rPr>
        <w:t>125.</w:t>
      </w:r>
      <w:r w:rsidRPr="00097824">
        <w:rPr>
          <w:lang w:val="en-US" w:eastAsia="ru-RU"/>
        </w:rPr>
        <w:tab/>
        <w:t>Singh P.M., Kapoor R., Kumar R. Best supportive care compared with chemotherapy and radiotherapy for unresectable gallbladder cancer: A tertiary care institute experience // Clinical Cancer Investigation Journal. 2014. Vol. 3, № 2. P. 153–156.</w:t>
      </w:r>
    </w:p>
    <w:p w14:paraId="46322BAF" w14:textId="77777777" w:rsidR="00ED2D96" w:rsidRPr="00097824" w:rsidRDefault="007F5427" w:rsidP="00F207B4">
      <w:pPr>
        <w:ind w:left="397" w:firstLine="312"/>
        <w:rPr>
          <w:lang w:val="en-US" w:eastAsia="ru-RU"/>
        </w:rPr>
      </w:pPr>
      <w:r w:rsidRPr="00097824">
        <w:rPr>
          <w:lang w:val="en-US" w:eastAsia="ru-RU"/>
        </w:rPr>
        <w:t>126.</w:t>
      </w:r>
      <w:r w:rsidRPr="00097824">
        <w:rPr>
          <w:lang w:val="en-US" w:eastAsia="ru-RU"/>
        </w:rPr>
        <w:tab/>
        <w:t>Lamarca A. et al. Second-line FOLFOX chemotherapy versus active symptom control for advanced biliary tract cancer (ABC-06): a phase 3, open-label, randomised, controlled trial // Lancet Oncol. 2021. Vol. 22, № 5. P. 690–701.</w:t>
      </w:r>
    </w:p>
    <w:p w14:paraId="0DC2BE7B" w14:textId="77777777" w:rsidR="00ED2D96" w:rsidRPr="00097824" w:rsidRDefault="007F5427" w:rsidP="00F207B4">
      <w:pPr>
        <w:ind w:left="397" w:firstLine="312"/>
        <w:rPr>
          <w:lang w:val="en-US" w:eastAsia="ru-RU"/>
        </w:rPr>
      </w:pPr>
      <w:r w:rsidRPr="00097824">
        <w:rPr>
          <w:lang w:val="en-US" w:eastAsia="ru-RU"/>
        </w:rPr>
        <w:t>127.</w:t>
      </w:r>
      <w:r w:rsidRPr="00097824">
        <w:rPr>
          <w:lang w:val="en-US" w:eastAsia="ru-RU"/>
        </w:rPr>
        <w:tab/>
        <w:t>Phelip J.-M. et al. Gemcitabine plus cisplatin versus chemoradiotherapy in locally advanced biliary tract cancer: Fédération Francophone de Cancérologie Digestive 9902 phase II randomised study // Eur J Cancer. 2014. Vol. 50, № 17. P. 2975–2982.</w:t>
      </w:r>
    </w:p>
    <w:p w14:paraId="0312295D" w14:textId="77777777" w:rsidR="00ED2D96" w:rsidRPr="00097824" w:rsidRDefault="007F5427" w:rsidP="00F207B4">
      <w:pPr>
        <w:ind w:left="397" w:firstLine="312"/>
        <w:rPr>
          <w:lang w:val="en-US" w:eastAsia="ru-RU"/>
        </w:rPr>
      </w:pPr>
      <w:r w:rsidRPr="00097824">
        <w:rPr>
          <w:lang w:val="en-US" w:eastAsia="ru-RU"/>
        </w:rPr>
        <w:t>128.</w:t>
      </w:r>
      <w:r w:rsidRPr="00097824">
        <w:rPr>
          <w:lang w:val="en-US" w:eastAsia="ru-RU"/>
        </w:rPr>
        <w:tab/>
        <w:t>Fuller C.D. et al. Image-guided intensity-modulated radiotherapy (IG-IMRT) for biliary adenocarcinomas: Initial clinical results // Radiotherapy and Oncology. Elsevier, 2009. Vol. 92, № 2. P. 249–254.</w:t>
      </w:r>
    </w:p>
    <w:p w14:paraId="6AC97C7F" w14:textId="77777777" w:rsidR="00ED2D96" w:rsidRPr="00097824" w:rsidRDefault="007F5427" w:rsidP="00F207B4">
      <w:pPr>
        <w:ind w:left="397" w:firstLine="312"/>
        <w:rPr>
          <w:lang w:val="en-US" w:eastAsia="ru-RU"/>
        </w:rPr>
      </w:pPr>
      <w:r w:rsidRPr="00097824">
        <w:rPr>
          <w:lang w:val="en-US" w:eastAsia="ru-RU"/>
        </w:rPr>
        <w:t>129.</w:t>
      </w:r>
      <w:r w:rsidRPr="00097824">
        <w:rPr>
          <w:lang w:val="en-US" w:eastAsia="ru-RU"/>
        </w:rPr>
        <w:tab/>
        <w:t>Al-Adra D.P. et al. Treatment of unresectable intrahepatic cholangiocarcinoma with yttrium-90 radioembolization: a systematic review and pooled analysis // European Journal of Surgical Oncology (EJSO). Elsevier, 2015. Vol. 41, № 1. P. 120–127.</w:t>
      </w:r>
    </w:p>
    <w:p w14:paraId="4EB9F851" w14:textId="77777777" w:rsidR="00ED2D96" w:rsidRPr="00097824" w:rsidRDefault="007F5427" w:rsidP="00F207B4">
      <w:pPr>
        <w:ind w:left="397" w:firstLine="312"/>
        <w:rPr>
          <w:lang w:val="en-US" w:eastAsia="ru-RU"/>
        </w:rPr>
      </w:pPr>
      <w:r w:rsidRPr="00097824">
        <w:rPr>
          <w:lang w:val="en-US" w:eastAsia="ru-RU"/>
        </w:rPr>
        <w:t>130.</w:t>
      </w:r>
      <w:r w:rsidRPr="00097824">
        <w:rPr>
          <w:lang w:val="en-US" w:eastAsia="ru-RU"/>
        </w:rPr>
        <w:tab/>
        <w:t>Bonet Beltrán M. et al. Is adjuvant radiotherapy needed after curative resection of extrahepatic biliary tract cancers? A systematic review with a meta-analysis of observational studies // Cancer Treatment Reviews. 2012. Vol. 38, № 2. P. 111–119.</w:t>
      </w:r>
    </w:p>
    <w:p w14:paraId="4F7826A6" w14:textId="77777777" w:rsidR="00ED2D96" w:rsidRPr="00097824" w:rsidRDefault="007F5427" w:rsidP="00F207B4">
      <w:pPr>
        <w:ind w:left="397" w:firstLine="312"/>
        <w:rPr>
          <w:lang w:val="en-US" w:eastAsia="ru-RU"/>
        </w:rPr>
      </w:pPr>
      <w:r w:rsidRPr="00097824">
        <w:rPr>
          <w:lang w:val="en-US" w:eastAsia="ru-RU"/>
        </w:rPr>
        <w:t>131.</w:t>
      </w:r>
      <w:r w:rsidRPr="00097824">
        <w:rPr>
          <w:lang w:val="en-US" w:eastAsia="ru-RU"/>
        </w:rPr>
        <w:tab/>
        <w:t>Ren B. et al. A meta-analysis of the efficacy of postoperative adjuvant radiotherapy versus no radiotherapy for extrahepatic cholangiocarcinoma and gallbladder carcinoma // Radiation Oncology. 2020. Vol. 15, № 1. P. 15.</w:t>
      </w:r>
    </w:p>
    <w:p w14:paraId="4F6F855F" w14:textId="77777777" w:rsidR="00ED2D96" w:rsidRPr="00097824" w:rsidRDefault="007F5427" w:rsidP="00F207B4">
      <w:pPr>
        <w:ind w:left="397" w:firstLine="312"/>
        <w:rPr>
          <w:lang w:val="en-US" w:eastAsia="ru-RU"/>
        </w:rPr>
      </w:pPr>
      <w:r w:rsidRPr="00097824">
        <w:rPr>
          <w:lang w:val="en-US" w:eastAsia="ru-RU"/>
        </w:rPr>
        <w:t>132.</w:t>
      </w:r>
      <w:r w:rsidRPr="00097824">
        <w:rPr>
          <w:lang w:val="en-US" w:eastAsia="ru-RU"/>
        </w:rPr>
        <w:tab/>
        <w:t>Choi S.H. et al. Adjuvant Radiotherapy for Extrahepatic Cholangiocarcinoma: A Quality Assessment-Based Meta-Analysis // LIC. Karger Publishers, 2021. Vol. 10, № 5. P. 419–432.</w:t>
      </w:r>
    </w:p>
    <w:p w14:paraId="045C69E7" w14:textId="77777777" w:rsidR="00ED2D96" w:rsidRPr="00097824" w:rsidRDefault="007F5427" w:rsidP="00F207B4">
      <w:pPr>
        <w:ind w:left="397" w:firstLine="312"/>
        <w:rPr>
          <w:lang w:val="en-US" w:eastAsia="ru-RU"/>
        </w:rPr>
      </w:pPr>
      <w:r w:rsidRPr="00097824">
        <w:rPr>
          <w:lang w:val="en-US" w:eastAsia="ru-RU"/>
        </w:rPr>
        <w:lastRenderedPageBreak/>
        <w:t>133.</w:t>
      </w:r>
      <w:r w:rsidRPr="00097824">
        <w:rPr>
          <w:lang w:val="en-US" w:eastAsia="ru-RU"/>
        </w:rPr>
        <w:tab/>
        <w:t>Asher A., Ng A., Engle J. Principles of Cancer Rehabilitation // Cardio-Oncology: Principles, Prevention and Management. Elsevier Inc., 2017. P. 279–296.</w:t>
      </w:r>
    </w:p>
    <w:p w14:paraId="685774F8" w14:textId="77777777" w:rsidR="00ED2D96" w:rsidRPr="00097824" w:rsidRDefault="007F5427" w:rsidP="00F207B4">
      <w:pPr>
        <w:ind w:left="397" w:firstLine="312"/>
        <w:rPr>
          <w:lang w:val="en-US" w:eastAsia="ru-RU"/>
        </w:rPr>
      </w:pPr>
      <w:r w:rsidRPr="00097824">
        <w:rPr>
          <w:lang w:val="en-US" w:eastAsia="ru-RU"/>
        </w:rPr>
        <w:t>134.</w:t>
      </w:r>
      <w:r w:rsidRPr="00097824">
        <w:rPr>
          <w:lang w:val="en-US" w:eastAsia="ru-RU"/>
        </w:rPr>
        <w:tab/>
        <w:t>Qin X.-L. et al. Utility of serum CA19-9 in diagnosis of cholangiocarcinoma: In comparison with CEA // World J Gastroenterol. 2004. Vol. 10, № 3. P. 427–432.</w:t>
      </w:r>
    </w:p>
    <w:p w14:paraId="7E2F34D1" w14:textId="77777777" w:rsidR="00ED2D96" w:rsidRPr="00097824" w:rsidRDefault="007F5427" w:rsidP="00F207B4">
      <w:pPr>
        <w:ind w:left="397" w:firstLine="312"/>
        <w:rPr>
          <w:lang w:val="en-US" w:eastAsia="ru-RU"/>
        </w:rPr>
      </w:pPr>
      <w:r w:rsidRPr="00097824">
        <w:rPr>
          <w:lang w:val="en-US" w:eastAsia="ru-RU"/>
        </w:rPr>
        <w:t>135.</w:t>
      </w:r>
      <w:r w:rsidRPr="00097824">
        <w:rPr>
          <w:lang w:val="en-US" w:eastAsia="ru-RU"/>
        </w:rPr>
        <w:tab/>
        <w:t>Yoo J. et al. Additional Value of Integrated 18F-FDG PET/MRI for Evaluating Biliary Tract Cancer: Comparison with Contrast-Enhanced CT // Korean Journal of Radiology. 2021. Vol. 22, № 5. P. 714–724.</w:t>
      </w:r>
    </w:p>
    <w:p w14:paraId="30A4659E" w14:textId="77777777" w:rsidR="00747756" w:rsidRPr="00097824" w:rsidRDefault="007F5427" w:rsidP="00F207B4">
      <w:pPr>
        <w:ind w:left="397" w:firstLine="312"/>
        <w:rPr>
          <w:lang w:val="en-US" w:eastAsia="ru-RU"/>
        </w:rPr>
      </w:pPr>
      <w:r w:rsidRPr="00097824">
        <w:rPr>
          <w:lang w:val="en-US" w:eastAsia="ru-RU"/>
        </w:rPr>
        <w:t>136.</w:t>
      </w:r>
      <w:r w:rsidRPr="00097824">
        <w:rPr>
          <w:lang w:val="en-US" w:eastAsia="ru-RU"/>
        </w:rPr>
        <w:tab/>
        <w:t>Rizzo A. et al. Intensive Follow-Up Program and Oncological Outcomes of Biliary Tract Cancer Patients after Curative-Intent Surgery: A Twenty-Year Experience in a Single Tertiary Medical Center // Current Oncology. Multidisciplinary Digital Publishing Institute, 2022. Vol. 29, № 7. P. 5084–5090</w:t>
      </w:r>
    </w:p>
    <w:p w14:paraId="132167AD" w14:textId="0CF3C12C" w:rsidR="00747756" w:rsidRPr="00097824" w:rsidRDefault="00747756" w:rsidP="00F207B4">
      <w:pPr>
        <w:ind w:left="397" w:firstLine="312"/>
        <w:rPr>
          <w:lang w:val="en-US" w:eastAsia="ru-RU"/>
        </w:rPr>
      </w:pPr>
      <w:r w:rsidRPr="00097824">
        <w:rPr>
          <w:lang w:val="en-US" w:eastAsia="ru-RU"/>
        </w:rPr>
        <w:t xml:space="preserve">137. </w:t>
      </w:r>
      <w:r w:rsidR="007F5427" w:rsidRPr="00097824">
        <w:rPr>
          <w:lang w:val="en-US" w:eastAsia="ru-RU"/>
        </w:rPr>
        <w:t>Addlev J, Mitchell RM. Advances in the investigation of obstructive jaundice. CurrGastroenterol Rep. 2012;14(6):511-519</w:t>
      </w:r>
    </w:p>
    <w:p w14:paraId="588EE0CA" w14:textId="46F31C32" w:rsidR="00747756" w:rsidRPr="00097824" w:rsidRDefault="00747756" w:rsidP="00F207B4">
      <w:pPr>
        <w:ind w:left="397" w:firstLine="312"/>
        <w:rPr>
          <w:lang w:val="en-US" w:eastAsia="ru-RU"/>
        </w:rPr>
      </w:pPr>
      <w:r w:rsidRPr="00097824">
        <w:rPr>
          <w:lang w:val="en-US" w:eastAsia="ru-RU"/>
        </w:rPr>
        <w:t xml:space="preserve">138. </w:t>
      </w:r>
      <w:r w:rsidR="007F5427" w:rsidRPr="00097824">
        <w:rPr>
          <w:lang w:val="en-US" w:eastAsia="ru-RU"/>
        </w:rPr>
        <w:t>Нечипай</w:t>
      </w:r>
      <w:r w:rsidRPr="00097824">
        <w:rPr>
          <w:lang w:val="en-US" w:eastAsia="ru-RU"/>
        </w:rPr>
        <w:t xml:space="preserve"> </w:t>
      </w:r>
      <w:r w:rsidR="007F5427" w:rsidRPr="00097824">
        <w:rPr>
          <w:lang w:val="en-US" w:eastAsia="ru-RU"/>
        </w:rPr>
        <w:t>А.М., Орлов</w:t>
      </w:r>
      <w:r w:rsidRPr="00097824">
        <w:rPr>
          <w:lang w:val="en-US" w:eastAsia="ru-RU"/>
        </w:rPr>
        <w:t xml:space="preserve"> </w:t>
      </w:r>
      <w:r w:rsidR="007F5427" w:rsidRPr="00097824">
        <w:rPr>
          <w:lang w:val="en-US" w:eastAsia="ru-RU"/>
        </w:rPr>
        <w:t xml:space="preserve">С.Ю., ФедоровЕ.Д. ЭУСбука. </w:t>
      </w:r>
      <w:r w:rsidR="007F5427" w:rsidRPr="00097824">
        <w:rPr>
          <w:lang w:eastAsia="ru-RU"/>
        </w:rPr>
        <w:t xml:space="preserve">Руководство по эндоскопической ультрасонографии. Практическаямедицина; 2013. </w:t>
      </w:r>
      <w:r w:rsidR="007F5427" w:rsidRPr="00097824">
        <w:rPr>
          <w:lang w:val="en-US" w:eastAsia="ru-RU"/>
        </w:rPr>
        <w:t>NechipayAM, Orlov</w:t>
      </w:r>
      <w:r w:rsidR="00361E42" w:rsidRPr="00097824">
        <w:rPr>
          <w:lang w:val="en-US" w:eastAsia="ru-RU"/>
        </w:rPr>
        <w:t xml:space="preserve"> </w:t>
      </w:r>
      <w:r w:rsidR="007F5427" w:rsidRPr="00097824">
        <w:rPr>
          <w:lang w:val="en-US" w:eastAsia="ru-RU"/>
        </w:rPr>
        <w:t>SYu, Fedorov</w:t>
      </w:r>
      <w:r w:rsidR="00361E42" w:rsidRPr="00097824">
        <w:rPr>
          <w:lang w:val="en-US" w:eastAsia="ru-RU"/>
        </w:rPr>
        <w:t xml:space="preserve"> </w:t>
      </w:r>
      <w:r w:rsidR="007F5427" w:rsidRPr="00097824">
        <w:rPr>
          <w:lang w:val="en-US" w:eastAsia="ru-RU"/>
        </w:rPr>
        <w:t>ED. Manual of endoscopic ultrasonography. Prakticheskayameditsina; 2013. (In Russ.</w:t>
      </w:r>
      <w:r w:rsidRPr="00097824">
        <w:rPr>
          <w:lang w:val="en-US" w:eastAsia="ru-RU"/>
        </w:rPr>
        <w:t>)</w:t>
      </w:r>
    </w:p>
    <w:p w14:paraId="0CF1BF41" w14:textId="6337AA1D" w:rsidR="00747756" w:rsidRPr="00097824" w:rsidRDefault="00747756" w:rsidP="00F207B4">
      <w:pPr>
        <w:ind w:left="397" w:firstLine="312"/>
        <w:rPr>
          <w:lang w:val="en-US" w:eastAsia="ru-RU"/>
        </w:rPr>
      </w:pPr>
      <w:r w:rsidRPr="00097824">
        <w:rPr>
          <w:lang w:val="en-US" w:eastAsia="ru-RU"/>
        </w:rPr>
        <w:t xml:space="preserve">139. </w:t>
      </w:r>
      <w:r w:rsidR="007F5427" w:rsidRPr="00097824">
        <w:rPr>
          <w:lang w:val="en-US" w:eastAsia="ru-RU"/>
        </w:rPr>
        <w:t>Hidalgo M, Alvarez R, Gallego J, et al. Consensus guidelines for diagnosis, treatment and follow-up of patients with pancreatic cancer in Spain. Clinical and Translational Oncology. 2017;19(6):667-681</w:t>
      </w:r>
    </w:p>
    <w:p w14:paraId="414EAEDE" w14:textId="6FD0CC2A" w:rsidR="00747756" w:rsidRPr="00097824" w:rsidRDefault="00747756" w:rsidP="00F207B4">
      <w:pPr>
        <w:ind w:left="397" w:firstLine="312"/>
        <w:rPr>
          <w:lang w:val="en-US" w:eastAsia="ru-RU"/>
        </w:rPr>
      </w:pPr>
      <w:r w:rsidRPr="00097824">
        <w:rPr>
          <w:lang w:val="en-US" w:eastAsia="ru-RU"/>
        </w:rPr>
        <w:t xml:space="preserve">140. </w:t>
      </w:r>
      <w:r w:rsidR="007F5427" w:rsidRPr="00097824">
        <w:rPr>
          <w:lang w:val="en-US" w:eastAsia="ru-RU"/>
        </w:rPr>
        <w:t>Petrescu I, Bratu AM, Petrescu S. CT vs. MRCP in choledocholithiasis jaundice. J Med Life. 2015;8(2):226-231</w:t>
      </w:r>
    </w:p>
    <w:p w14:paraId="10816511" w14:textId="3AE7F101" w:rsidR="00747756" w:rsidRPr="00097824" w:rsidRDefault="00747756" w:rsidP="00F207B4">
      <w:pPr>
        <w:ind w:left="397" w:firstLine="312"/>
        <w:rPr>
          <w:lang w:val="en-US" w:eastAsia="ru-RU"/>
        </w:rPr>
      </w:pPr>
      <w:r w:rsidRPr="00097824">
        <w:rPr>
          <w:lang w:val="en-US" w:eastAsia="ru-RU"/>
        </w:rPr>
        <w:t xml:space="preserve">141. </w:t>
      </w:r>
      <w:r w:rsidR="007F5427" w:rsidRPr="00097824">
        <w:rPr>
          <w:lang w:val="en-US" w:eastAsia="ru-RU"/>
        </w:rPr>
        <w:t>Joo I, Lee JM, Yoon JH. Imaging Diagnosis of Intrahepatic and Perihilar Cholangiocarcinoma: Recent Advances and Challenges. Radiology. 2018 July;288(1):7-13. Epub 2018 Jun 5</w:t>
      </w:r>
    </w:p>
    <w:p w14:paraId="7C9235DA" w14:textId="4E9AAE15" w:rsidR="00747756" w:rsidRPr="00097824" w:rsidRDefault="00747756" w:rsidP="00F207B4">
      <w:pPr>
        <w:ind w:left="397" w:firstLine="312"/>
        <w:rPr>
          <w:lang w:val="en-US" w:eastAsia="ru-RU"/>
        </w:rPr>
      </w:pPr>
      <w:r w:rsidRPr="00097824">
        <w:rPr>
          <w:lang w:val="en-US" w:eastAsia="ru-RU"/>
        </w:rPr>
        <w:t xml:space="preserve">142. </w:t>
      </w:r>
      <w:r w:rsidR="007F5427" w:rsidRPr="00097824">
        <w:rPr>
          <w:lang w:val="en-US" w:eastAsia="ru-RU"/>
        </w:rPr>
        <w:t>Hekimoglu K, Ustundag Y, Dusak A, et al. MRCP vs. ERCP in the evaluation of biliary pathologies: review of current literature. J DigDis. 2008;9:162-169</w:t>
      </w:r>
    </w:p>
    <w:p w14:paraId="4204CEDD" w14:textId="321197ED" w:rsidR="00747756" w:rsidRPr="00097824" w:rsidRDefault="00747756" w:rsidP="00F207B4">
      <w:pPr>
        <w:ind w:left="397" w:firstLine="312"/>
        <w:rPr>
          <w:lang w:val="en-US" w:eastAsia="ru-RU"/>
        </w:rPr>
      </w:pPr>
      <w:r w:rsidRPr="00097824">
        <w:rPr>
          <w:lang w:val="en-US" w:eastAsia="ru-RU"/>
        </w:rPr>
        <w:t xml:space="preserve">143. </w:t>
      </w:r>
      <w:r w:rsidR="007F5427" w:rsidRPr="00097824">
        <w:rPr>
          <w:lang w:val="en-US" w:eastAsia="ru-RU"/>
        </w:rPr>
        <w:t>Duan F, Cui L, Bai Y, Li X, Yan J, Liu X. Cancer Imaging.2017 Oct 16;17(1):27. doi: 10.1186/s40644-017-0129-1</w:t>
      </w:r>
    </w:p>
    <w:p w14:paraId="7F3F0C1E" w14:textId="53F8E365" w:rsidR="00747756" w:rsidRPr="00097824" w:rsidRDefault="00747756" w:rsidP="00F207B4">
      <w:pPr>
        <w:ind w:left="397" w:firstLine="312"/>
        <w:rPr>
          <w:lang w:val="en-US" w:eastAsia="ru-RU"/>
        </w:rPr>
      </w:pPr>
      <w:r w:rsidRPr="00097824">
        <w:rPr>
          <w:lang w:val="en-US" w:eastAsia="ru-RU"/>
        </w:rPr>
        <w:t xml:space="preserve">144. </w:t>
      </w:r>
      <w:r w:rsidR="007F5427" w:rsidRPr="00097824">
        <w:rPr>
          <w:lang w:val="en-US" w:eastAsia="ru-RU"/>
        </w:rPr>
        <w:t>Moole H, Dharmapuri S, Duvvuri A, etal. Endoscopic versus Percutaneous Biliary Drainage in Palliation of Advanced Malignant Hilar Obstruction: A Meta-Analysis and Systematic Review. Canad J Gastroenterol and Hepatol. 2016;8:1-8</w:t>
      </w:r>
    </w:p>
    <w:p w14:paraId="5637AD7E" w14:textId="57F62017" w:rsidR="00747756" w:rsidRPr="00097824" w:rsidRDefault="00747756" w:rsidP="00F207B4">
      <w:pPr>
        <w:ind w:left="397" w:firstLine="312"/>
        <w:rPr>
          <w:lang w:val="en-US" w:eastAsia="ru-RU"/>
        </w:rPr>
      </w:pPr>
      <w:r w:rsidRPr="00097824">
        <w:rPr>
          <w:lang w:val="en-US" w:eastAsia="ru-RU"/>
        </w:rPr>
        <w:lastRenderedPageBreak/>
        <w:t xml:space="preserve">145. </w:t>
      </w:r>
      <w:r w:rsidR="007F5427" w:rsidRPr="00097824">
        <w:rPr>
          <w:lang w:val="en-US" w:eastAsia="ru-RU"/>
        </w:rPr>
        <w:t>Hameed A, Pang T, Chiou J, et al. Percutaneous vs. endoscopic preoperative biliary drainage in hilar cholangiocarcinoma — a systematic review and meta-analysis. HPB. 2016;18(7):400-410</w:t>
      </w:r>
    </w:p>
    <w:p w14:paraId="541AA44D" w14:textId="31EF49D5" w:rsidR="00747756" w:rsidRPr="00097824" w:rsidRDefault="00747756" w:rsidP="00F207B4">
      <w:pPr>
        <w:ind w:left="397" w:firstLine="312"/>
        <w:rPr>
          <w:lang w:val="en-US" w:eastAsia="ru-RU"/>
        </w:rPr>
      </w:pPr>
      <w:r w:rsidRPr="00097824">
        <w:rPr>
          <w:lang w:val="en-US" w:eastAsia="ru-RU"/>
        </w:rPr>
        <w:t xml:space="preserve">146. </w:t>
      </w:r>
      <w:r w:rsidR="007F5427" w:rsidRPr="00097824">
        <w:rPr>
          <w:lang w:val="en-US" w:eastAsia="ru-RU"/>
        </w:rPr>
        <w:t>Sasahira N, Hamada T, Togawa O, et al. Multicenter study of endoscopic preoperative biliary drainage for malignant distal biliary obstruction. World J Gastroenterol. 2016;22(14):3793-3802</w:t>
      </w:r>
    </w:p>
    <w:p w14:paraId="2E37DD6E" w14:textId="50D36500" w:rsidR="00747756" w:rsidRPr="00097824" w:rsidRDefault="00747756" w:rsidP="00F207B4">
      <w:pPr>
        <w:ind w:left="397" w:firstLine="312"/>
        <w:rPr>
          <w:lang w:val="en-US" w:eastAsia="ru-RU"/>
        </w:rPr>
      </w:pPr>
      <w:r w:rsidRPr="00097824">
        <w:rPr>
          <w:lang w:val="en-US" w:eastAsia="ru-RU"/>
        </w:rPr>
        <w:t xml:space="preserve">147. </w:t>
      </w:r>
      <w:r w:rsidR="007F5427" w:rsidRPr="00097824">
        <w:rPr>
          <w:lang w:val="en-US" w:eastAsia="ru-RU"/>
        </w:rPr>
        <w:t>Crippa S, Cirocchi R, Partelli S, Petrone MC, Muffatti F, Renzi C, Falconi M, Arcidiacono PG. Systematic review and meta-analysis of metal versus plastic stents for preoperative biliary drainage in resectableperiampullary or pancreatic head tumors. Eur</w:t>
      </w:r>
      <w:r w:rsidR="00706DD8" w:rsidRPr="00097824">
        <w:rPr>
          <w:lang w:val="en-US" w:eastAsia="ru-RU"/>
        </w:rPr>
        <w:t xml:space="preserve"> </w:t>
      </w:r>
      <w:r w:rsidR="007F5427" w:rsidRPr="00097824">
        <w:rPr>
          <w:lang w:val="en-US" w:eastAsia="ru-RU"/>
        </w:rPr>
        <w:t>J</w:t>
      </w:r>
      <w:r w:rsidR="00706DD8" w:rsidRPr="00097824">
        <w:rPr>
          <w:lang w:val="en-US" w:eastAsia="ru-RU"/>
        </w:rPr>
        <w:t xml:space="preserve"> </w:t>
      </w:r>
      <w:r w:rsidR="007F5427" w:rsidRPr="00097824">
        <w:rPr>
          <w:lang w:val="en-US" w:eastAsia="ru-RU"/>
        </w:rPr>
        <w:t>Surg</w:t>
      </w:r>
      <w:r w:rsidR="00706DD8" w:rsidRPr="00097824">
        <w:rPr>
          <w:lang w:val="en-US" w:eastAsia="ru-RU"/>
        </w:rPr>
        <w:t xml:space="preserve"> </w:t>
      </w:r>
      <w:r w:rsidR="007F5427" w:rsidRPr="00097824">
        <w:rPr>
          <w:lang w:val="en-US" w:eastAsia="ru-RU"/>
        </w:rPr>
        <w:t>Oncol. 2016;42(9):1278-128</w:t>
      </w:r>
      <w:r w:rsidRPr="00097824">
        <w:rPr>
          <w:lang w:val="en-US" w:eastAsia="ru-RU"/>
        </w:rPr>
        <w:t>0</w:t>
      </w:r>
    </w:p>
    <w:p w14:paraId="42602597" w14:textId="77777777" w:rsidR="00266B06" w:rsidRPr="00097824" w:rsidRDefault="00747756" w:rsidP="00F207B4">
      <w:pPr>
        <w:ind w:left="397" w:firstLine="312"/>
        <w:rPr>
          <w:lang w:val="en-US" w:eastAsia="ru-RU"/>
        </w:rPr>
      </w:pPr>
      <w:r w:rsidRPr="00097824">
        <w:rPr>
          <w:lang w:val="en-US" w:eastAsia="ru-RU"/>
        </w:rPr>
        <w:t xml:space="preserve">148. </w:t>
      </w:r>
      <w:r w:rsidR="007F5427" w:rsidRPr="00097824">
        <w:rPr>
          <w:lang w:val="en-US" w:eastAsia="ru-RU"/>
        </w:rPr>
        <w:t>Wiggers</w:t>
      </w:r>
      <w:r w:rsidR="007B32E7" w:rsidRPr="00097824">
        <w:rPr>
          <w:lang w:val="en-US" w:eastAsia="ru-RU"/>
        </w:rPr>
        <w:t xml:space="preserve"> </w:t>
      </w:r>
      <w:r w:rsidR="007F5427" w:rsidRPr="00097824">
        <w:rPr>
          <w:lang w:val="en-US" w:eastAsia="ru-RU"/>
        </w:rPr>
        <w:t>JK, Coelen</w:t>
      </w:r>
      <w:r w:rsidR="007B32E7" w:rsidRPr="00097824">
        <w:rPr>
          <w:lang w:val="en-US" w:eastAsia="ru-RU"/>
        </w:rPr>
        <w:t xml:space="preserve"> </w:t>
      </w:r>
      <w:r w:rsidR="007F5427" w:rsidRPr="00097824">
        <w:rPr>
          <w:lang w:val="en-US" w:eastAsia="ru-RU"/>
        </w:rPr>
        <w:t>RJS, Rauws</w:t>
      </w:r>
      <w:r w:rsidR="007B32E7" w:rsidRPr="00097824">
        <w:rPr>
          <w:lang w:val="en-US" w:eastAsia="ru-RU"/>
        </w:rPr>
        <w:t xml:space="preserve"> </w:t>
      </w:r>
      <w:r w:rsidR="007F5427" w:rsidRPr="00097824">
        <w:rPr>
          <w:lang w:val="en-US" w:eastAsia="ru-RU"/>
        </w:rPr>
        <w:t>EAJ et</w:t>
      </w:r>
      <w:r w:rsidR="007B32E7" w:rsidRPr="00097824">
        <w:rPr>
          <w:lang w:val="en-US" w:eastAsia="ru-RU"/>
        </w:rPr>
        <w:t xml:space="preserve"> </w:t>
      </w:r>
      <w:r w:rsidR="007F5427" w:rsidRPr="00097824">
        <w:rPr>
          <w:lang w:val="en-US" w:eastAsia="ru-RU"/>
        </w:rPr>
        <w:t>al. Preoperative endoscopic versus percutaneous transhepatic biliary drainage in potentially resectableperihilar cholangiocarcinoma (DRAINAGE trial): design and rationale of a randomized controlled trial. BMC Gastroenterology. 2015;15</w:t>
      </w:r>
      <w:r w:rsidR="007B32E7" w:rsidRPr="00097824">
        <w:rPr>
          <w:lang w:val="en-US" w:eastAsia="ru-RU"/>
        </w:rPr>
        <w:t>-</w:t>
      </w:r>
      <w:r w:rsidR="007F5427" w:rsidRPr="00097824">
        <w:rPr>
          <w:lang w:val="en-US" w:eastAsia="ru-RU"/>
        </w:rPr>
        <w:t xml:space="preserve">20. </w:t>
      </w:r>
      <w:r w:rsidR="007B32E7" w:rsidRPr="00097824">
        <w:rPr>
          <w:lang w:val="en-US" w:eastAsia="ru-RU"/>
        </w:rPr>
        <w:t>149</w:t>
      </w:r>
      <w:r w:rsidR="007F5427" w:rsidRPr="00097824">
        <w:rPr>
          <w:lang w:val="en-US" w:eastAsia="ru-RU"/>
        </w:rPr>
        <w:t>. Scheufele F, Schorn S, Demir IE, et al. Preoperative biliary stenting versus operation first in jaundiced patients due to malignant lesions in the pancreatic head: A meta-analysis of current literature. Surgery.2017;</w:t>
      </w:r>
      <w:r w:rsidR="007B32E7" w:rsidRPr="00097824">
        <w:rPr>
          <w:lang w:val="en-US" w:eastAsia="ru-RU"/>
        </w:rPr>
        <w:t xml:space="preserve"> </w:t>
      </w:r>
      <w:r w:rsidR="007F5427" w:rsidRPr="00097824">
        <w:rPr>
          <w:lang w:val="en-US" w:eastAsia="ru-RU"/>
        </w:rPr>
        <w:t>161(4):</w:t>
      </w:r>
      <w:r w:rsidR="007B32E7" w:rsidRPr="00097824">
        <w:rPr>
          <w:lang w:val="en-US" w:eastAsia="ru-RU"/>
        </w:rPr>
        <w:t xml:space="preserve"> </w:t>
      </w:r>
      <w:r w:rsidR="007F5427" w:rsidRPr="00097824">
        <w:rPr>
          <w:lang w:val="en-US" w:eastAsia="ru-RU"/>
        </w:rPr>
        <w:t>939-950.</w:t>
      </w:r>
    </w:p>
    <w:p w14:paraId="17DB5FAE" w14:textId="77777777" w:rsidR="007E26CF" w:rsidRPr="00097824" w:rsidRDefault="00266B06" w:rsidP="00F207B4">
      <w:pPr>
        <w:ind w:left="397" w:firstLine="312"/>
        <w:rPr>
          <w:lang w:val="en-US" w:eastAsia="ru-RU"/>
        </w:rPr>
      </w:pPr>
      <w:r w:rsidRPr="00097824">
        <w:rPr>
          <w:lang w:val="en-US" w:eastAsia="ru-RU"/>
        </w:rPr>
        <w:t>149. Ikeda M., Nakachi K., Konishi M., et al. Adjuvant S-1 versus observation in curatively resected biliary tract cancer: A phase III trial (JCOG1202: ASCOT). J Clin Oncol. 2022; 40: 382</w:t>
      </w:r>
    </w:p>
    <w:p w14:paraId="4D603B52" w14:textId="287EA264" w:rsidR="007E26CF" w:rsidRPr="00097824" w:rsidRDefault="00266B06" w:rsidP="00F207B4">
      <w:pPr>
        <w:ind w:left="397" w:firstLine="312"/>
        <w:rPr>
          <w:lang w:val="en-US" w:eastAsia="ru-RU"/>
        </w:rPr>
      </w:pPr>
      <w:r w:rsidRPr="00097824">
        <w:rPr>
          <w:lang w:val="en-US" w:eastAsia="ru-RU"/>
        </w:rPr>
        <w:t>150</w:t>
      </w:r>
      <w:r w:rsidR="007E26CF" w:rsidRPr="00097824">
        <w:rPr>
          <w:lang w:val="en-US" w:eastAsia="ru-RU"/>
        </w:rPr>
        <w:t xml:space="preserve"> Edeline J., Benabdelghani M., Bertaut A., et al. Gemcitabine and Oxaliplatin Chemotherapy or Surveillance in Resected Biliary Tract Cancer (PRODIGE 12-ACCORD 18-UNICANCER GI): A Randomized Phase III Study. J Clin Oncol. 2019; 37: 658-667).</w:t>
      </w:r>
    </w:p>
    <w:p w14:paraId="185BBCF5" w14:textId="77777777" w:rsidR="00581705" w:rsidRPr="00097824" w:rsidRDefault="007E26CF" w:rsidP="00F207B4">
      <w:pPr>
        <w:ind w:left="397" w:firstLine="312"/>
        <w:rPr>
          <w:lang w:val="en-US" w:eastAsia="ru-RU"/>
        </w:rPr>
      </w:pPr>
      <w:r w:rsidRPr="00097824">
        <w:rPr>
          <w:lang w:val="en-US" w:eastAsia="ru-RU"/>
        </w:rPr>
        <w:t xml:space="preserve">151. Ebata T., Hirano S., Konishi M., et al., Randomized clinical trial of adjuvant gemcitabine chemotherapy versus observation in resected bile duct cancer. Br J Surg. 2018; 105: 192-202.  </w:t>
      </w:r>
    </w:p>
    <w:p w14:paraId="41486865" w14:textId="6A08C19C" w:rsidR="00581705" w:rsidRPr="00097824" w:rsidRDefault="00F979A9" w:rsidP="00F207B4">
      <w:pPr>
        <w:ind w:left="397" w:firstLine="312"/>
        <w:rPr>
          <w:lang w:val="en-US" w:eastAsia="ru-RU"/>
        </w:rPr>
      </w:pPr>
      <w:r w:rsidRPr="00097824">
        <w:rPr>
          <w:lang w:val="en-US" w:eastAsia="ru-RU"/>
        </w:rPr>
        <w:t>***</w:t>
      </w:r>
      <w:r w:rsidR="00581705" w:rsidRPr="00097824">
        <w:rPr>
          <w:lang w:val="en-US" w:eastAsia="ru-RU"/>
        </w:rPr>
        <w:t xml:space="preserve">152. Glimelius B., Hoffman K., Sjoden P.O., et al. Chemotherapy improves survival and quality of life in advanced pancreatic and biliary cancer. Ann Oncol. 1996; 7: 593-600.  </w:t>
      </w:r>
    </w:p>
    <w:p w14:paraId="602CEB7A" w14:textId="77777777" w:rsidR="001B44AA" w:rsidRPr="00097824" w:rsidRDefault="00581705" w:rsidP="00F207B4">
      <w:pPr>
        <w:ind w:left="397" w:firstLine="312"/>
        <w:rPr>
          <w:lang w:val="en-US" w:eastAsia="ru-RU"/>
        </w:rPr>
      </w:pPr>
      <w:r w:rsidRPr="00097824">
        <w:rPr>
          <w:lang w:val="en-US" w:eastAsia="ru-RU"/>
        </w:rPr>
        <w:t>153. Sharma A., Dwary A.D., Mohanti B.K. et al. Best supportive care compared with chemotherapy for unresectable gall bladder cancer: a randomized controlled study. J Clin Oncol. 2010; 28: 4581-4586</w:t>
      </w:r>
    </w:p>
    <w:p w14:paraId="4CBB2146" w14:textId="63E754B2" w:rsidR="00361E42" w:rsidRPr="00097824" w:rsidRDefault="001B44AA" w:rsidP="00F207B4">
      <w:pPr>
        <w:ind w:left="397" w:firstLine="312"/>
        <w:rPr>
          <w:lang w:val="en-US" w:eastAsia="ru-RU"/>
        </w:rPr>
      </w:pPr>
      <w:r w:rsidRPr="00097824">
        <w:rPr>
          <w:lang w:val="en-US" w:eastAsia="ru-RU"/>
        </w:rPr>
        <w:t xml:space="preserve">154. </w:t>
      </w:r>
      <w:r w:rsidR="00DA2D39" w:rsidRPr="00097824">
        <w:rPr>
          <w:lang w:val="en-US" w:eastAsia="ru-RU"/>
        </w:rPr>
        <w:t xml:space="preserve">Kim ST, Kang JH, Lee J et al. Capecitabine plus oxaliplatin versus gemcitabine plus oxaliplatin as first-line therapy for advanced biliary tract cancers: a multicenter, open-label, </w:t>
      </w:r>
      <w:r w:rsidR="00DA2D39" w:rsidRPr="00097824">
        <w:rPr>
          <w:lang w:val="en-US" w:eastAsia="ru-RU"/>
        </w:rPr>
        <w:lastRenderedPageBreak/>
        <w:t>randomized, phase III, noninferiority trial. Ann Oncol. 2019 May 1;30(5):788-795. doi: 10.1093/annonc/mdz058.</w:t>
      </w:r>
      <w:r w:rsidR="00361E42" w:rsidRPr="00097824">
        <w:rPr>
          <w:lang w:val="en-US" w:eastAsia="ru-RU"/>
        </w:rPr>
        <w:t xml:space="preserve"> </w:t>
      </w:r>
    </w:p>
    <w:p w14:paraId="67212BEA" w14:textId="77777777" w:rsidR="007D0234" w:rsidRPr="00097824" w:rsidRDefault="00361E42" w:rsidP="00F207B4">
      <w:pPr>
        <w:ind w:left="397" w:firstLine="312"/>
        <w:rPr>
          <w:lang w:val="en-US" w:eastAsia="ru-RU"/>
        </w:rPr>
      </w:pPr>
      <w:r w:rsidRPr="00097824">
        <w:rPr>
          <w:lang w:val="en-US" w:eastAsia="ru-RU"/>
        </w:rPr>
        <w:t>155. Lamarca A., Benafif S., Ross P., et al. Cisplatin and gemcitabine in patients with advanced biliary tract cancer (ABC) and persistent jaundice despite optimal stenting: Effective intervention in patients with luminal disease. Eur J Cancer. 2015; 51: 1694-1703</w:t>
      </w:r>
    </w:p>
    <w:p w14:paraId="627176C0" w14:textId="77777777" w:rsidR="00D850C9" w:rsidRPr="00097824" w:rsidRDefault="007D0234" w:rsidP="00F207B4">
      <w:pPr>
        <w:ind w:left="397" w:firstLine="312"/>
        <w:rPr>
          <w:lang w:val="en-US" w:eastAsia="ru-RU"/>
        </w:rPr>
      </w:pPr>
      <w:r w:rsidRPr="00097824">
        <w:rPr>
          <w:lang w:val="en-US" w:eastAsia="ru-RU"/>
        </w:rPr>
        <w:t>156</w:t>
      </w:r>
      <w:r w:rsidR="00D850C9" w:rsidRPr="00097824">
        <w:rPr>
          <w:lang w:val="en-US" w:eastAsia="ru-RU"/>
        </w:rPr>
        <w:t>.</w:t>
      </w:r>
      <w:r w:rsidRPr="00097824">
        <w:rPr>
          <w:lang w:val="en-US" w:eastAsia="ru-RU"/>
        </w:rPr>
        <w:t xml:space="preserve"> Le Roy B., Gelli M., Pittau G., et al. Neoadjuvant chemotherapy for initially unresectable intrahepatic cholangiocarcinoma. Br J Surg. 2018; 105: 839-847</w:t>
      </w:r>
    </w:p>
    <w:p w14:paraId="1828E3B0" w14:textId="77777777" w:rsidR="003255E5" w:rsidRPr="00097824" w:rsidRDefault="00D850C9" w:rsidP="00F207B4">
      <w:pPr>
        <w:ind w:left="397" w:firstLine="312"/>
        <w:rPr>
          <w:lang w:val="en-US" w:eastAsia="ru-RU"/>
        </w:rPr>
      </w:pPr>
      <w:r w:rsidRPr="00097824">
        <w:rPr>
          <w:lang w:val="en-US" w:eastAsia="ru-RU"/>
        </w:rPr>
        <w:t>157. Javle M.,  Borad M.J., Azad N.S. et al. Pertuzumab and trastuzumab for HER2-positive, metastatic biliary tract cancer (MyPathway): a multicentre, open-label, phase 2a, multiple basket study.Lancet Oncol. 2021; 22: 1290-1300</w:t>
      </w:r>
      <w:r w:rsidR="003255E5" w:rsidRPr="00097824">
        <w:rPr>
          <w:lang w:val="en-US" w:eastAsia="ru-RU"/>
        </w:rPr>
        <w:t>.</w:t>
      </w:r>
    </w:p>
    <w:p w14:paraId="53C86FA9" w14:textId="77777777" w:rsidR="00C0042A" w:rsidRPr="00097824" w:rsidRDefault="003255E5" w:rsidP="00F207B4">
      <w:pPr>
        <w:ind w:left="397" w:firstLine="312"/>
        <w:rPr>
          <w:lang w:val="en-US" w:eastAsia="ru-RU"/>
        </w:rPr>
      </w:pPr>
      <w:r w:rsidRPr="00097824">
        <w:rPr>
          <w:lang w:val="en-US" w:eastAsia="ru-RU"/>
        </w:rPr>
        <w:t>158 Subbiah V., Lassen U., Élez E. et al. Dabrafenib plus trametinib in patients with BRAF(V600E)-mutated biliary tract cancer (ROAR): a phase 2, open-label, single-arm, multicentre basket trial. Lancet Oncol. 2020; 21: 1234-1243</w:t>
      </w:r>
    </w:p>
    <w:p w14:paraId="0482E43D" w14:textId="77777777" w:rsidR="001E7196" w:rsidRPr="00097824" w:rsidRDefault="00C0042A" w:rsidP="00F207B4">
      <w:pPr>
        <w:ind w:left="397" w:firstLine="312"/>
        <w:rPr>
          <w:lang w:val="en-US" w:eastAsia="ru-RU"/>
        </w:rPr>
      </w:pPr>
      <w:r w:rsidRPr="00097824">
        <w:rPr>
          <w:lang w:val="en-US" w:eastAsia="ru-RU"/>
        </w:rPr>
        <w:t>159.  Marabelle A., Le D.T., Ascierto P.A. et al. Efficacy of Pembrolizumab in Patients With Noncolorectal High Microsatellite Instability/Mismatch Repair-Deficient Cancer: Results From the Phase II KEYNOTE-158 Study. J Clin Oncol. 2020; 38</w:t>
      </w:r>
      <w:r w:rsidR="001E7196" w:rsidRPr="00097824">
        <w:rPr>
          <w:lang w:val="en-US" w:eastAsia="ru-RU"/>
        </w:rPr>
        <w:t>: 1-1</w:t>
      </w:r>
    </w:p>
    <w:p w14:paraId="66276FAD" w14:textId="77777777" w:rsidR="001E7196" w:rsidRPr="00097824" w:rsidRDefault="001E7196" w:rsidP="00F207B4">
      <w:pPr>
        <w:ind w:left="397" w:firstLine="312"/>
        <w:rPr>
          <w:lang w:val="en-US" w:eastAsia="ru-RU"/>
        </w:rPr>
      </w:pPr>
      <w:r w:rsidRPr="00097824">
        <w:rPr>
          <w:lang w:val="en-US" w:eastAsia="ru-RU"/>
        </w:rPr>
        <w:t xml:space="preserve">160 Hong D.S., Shen L., van Tilburg C.M., et al. Long-term efficacy and safety of larotrectinib in an integrated dataset of patients with TRK fusion cancer. J Clin Oncol. 2021; 39: 3108 </w:t>
      </w:r>
    </w:p>
    <w:p w14:paraId="0BFAB911" w14:textId="11F43C75" w:rsidR="001E7196" w:rsidRPr="00097824" w:rsidRDefault="001E7196" w:rsidP="00F207B4">
      <w:pPr>
        <w:ind w:left="397" w:firstLine="312"/>
        <w:rPr>
          <w:lang w:val="en-US" w:eastAsia="ru-RU"/>
        </w:rPr>
      </w:pPr>
      <w:r w:rsidRPr="00097824">
        <w:rPr>
          <w:lang w:val="en-US" w:eastAsia="ru-RU"/>
        </w:rPr>
        <w:t xml:space="preserve">161. Doebele R.C., Drilon A., Paz- Ares L., et al. Entrectinib in patients with advanced or metastatic NTRK fusion-positive solid tumours: integrated analysis of three phase 1-2 trials. Lancet Oncol. 2020; 21: 271-282 </w:t>
      </w:r>
    </w:p>
    <w:p w14:paraId="7CA47F53" w14:textId="4E8F266F" w:rsidR="00062B1F" w:rsidRPr="00097824" w:rsidRDefault="00062B1F" w:rsidP="00062B1F">
      <w:pPr>
        <w:ind w:left="397" w:firstLine="312"/>
        <w:rPr>
          <w:lang w:val="en-US" w:eastAsia="ru-RU"/>
        </w:rPr>
      </w:pPr>
      <w:r w:rsidRPr="00097824">
        <w:rPr>
          <w:lang w:val="en-US" w:eastAsia="ru-RU"/>
        </w:rPr>
        <w:t>162. Wong HH, Chu P. Immunohistochemical features of the gastrointestinal tract tumors. J Gastrointest Oncol. 2012 Sep;3(3):262-84. doi: 10.3978/j.issn.2078-6891.2012.019.</w:t>
      </w:r>
    </w:p>
    <w:p w14:paraId="64C24717" w14:textId="2AA54C7E" w:rsidR="00072BBC" w:rsidRPr="00097824" w:rsidRDefault="00072BBC" w:rsidP="00062B1F">
      <w:pPr>
        <w:ind w:left="397" w:firstLine="312"/>
        <w:rPr>
          <w:lang w:val="en-US" w:eastAsia="ru-RU"/>
        </w:rPr>
      </w:pPr>
      <w:r w:rsidRPr="00097824">
        <w:rPr>
          <w:lang w:val="en-US" w:eastAsia="ru-RU"/>
        </w:rPr>
        <w:t>163. Rerknimitr R., Angsuwatcharakon P., Ratanachu-ek T., Khor C.J.L., Ponnudurai R., Moon J.H., Seo D.W., PantongragBrown L., Sangchan A., Pisespongsa P., Akaraviputh T., Reddy N.D., Maydeo A., Itoi T., Pausawasdi N., Punamiya S., Attasaranya S., Devereaux B., Ramchandani M., Goh K.-L. Asia-Pacific consensus recommendations for endoscopic and interventional management of hilar cholangiocarcinoma. J. Gastroenterol. Hepatol. 2013; 28 (4): 593–607.</w:t>
      </w:r>
    </w:p>
    <w:p w14:paraId="227435E6" w14:textId="32486019" w:rsidR="00F07915" w:rsidRPr="00097824" w:rsidRDefault="00F07915" w:rsidP="00062B1F">
      <w:pPr>
        <w:ind w:left="397" w:firstLine="312"/>
        <w:rPr>
          <w:lang w:val="en-US" w:eastAsia="ru-RU"/>
        </w:rPr>
      </w:pPr>
      <w:r w:rsidRPr="00097824">
        <w:rPr>
          <w:lang w:val="en-US" w:eastAsia="ru-RU"/>
        </w:rPr>
        <w:t>164. Diagnostic pathology:Hepatobiliary and pancreas, Third edition, 2022. Elsevier edition.</w:t>
      </w:r>
    </w:p>
    <w:p w14:paraId="11E661BA" w14:textId="6DA14E1C" w:rsidR="0040655D" w:rsidRPr="00097824" w:rsidRDefault="0040655D" w:rsidP="00062B1F">
      <w:pPr>
        <w:ind w:left="397" w:firstLine="312"/>
        <w:rPr>
          <w:lang w:val="en-US" w:eastAsia="ru-RU"/>
        </w:rPr>
      </w:pPr>
      <w:r w:rsidRPr="00097824">
        <w:rPr>
          <w:lang w:val="en-US" w:eastAsia="ru-RU"/>
        </w:rPr>
        <w:lastRenderedPageBreak/>
        <w:t>165. Gkika E, Hawkins MA, Grosu AL, Brunner TB. The Evolving Role of Radiation Therapy in the Treatment of Biliary Tract Cancer. Front Oncol. 2020 Dec 14;10:604387.</w:t>
      </w:r>
    </w:p>
    <w:p w14:paraId="6DF66151" w14:textId="5AF83376" w:rsidR="0040655D" w:rsidRPr="00097824" w:rsidRDefault="0040655D" w:rsidP="00062B1F">
      <w:pPr>
        <w:ind w:left="397" w:firstLine="312"/>
        <w:rPr>
          <w:lang w:val="en-US" w:eastAsia="ru-RU"/>
        </w:rPr>
      </w:pPr>
      <w:r w:rsidRPr="00097824">
        <w:rPr>
          <w:lang w:val="en-US" w:eastAsia="ru-RU"/>
        </w:rPr>
        <w:t>166. Tao R, Krishnan S, Bhosale PR, Javle MM, Aloia TA, Shroff RT, Kaseb AO, Bishop AJ, Swanick CW, Koay EJ, Thames HD, Hong TS, Das P, Crane CH. Ablative Radiotherapy Doses Lead to a Substantial Prolongation of Survival in Patients With Inoperable Intrahepatic Cholangiocarcinoma: A Retrospective Dose Response Analysis. J Clin Oncol. 2016 Jan 20;34(3):219-26.</w:t>
      </w:r>
    </w:p>
    <w:p w14:paraId="1406B97E" w14:textId="275EEC24" w:rsidR="009C4D14" w:rsidRPr="00097824" w:rsidRDefault="009C4D14" w:rsidP="00062B1F">
      <w:pPr>
        <w:ind w:left="397" w:firstLine="312"/>
        <w:rPr>
          <w:lang w:val="en-US" w:eastAsia="ru-RU"/>
        </w:rPr>
      </w:pPr>
      <w:r w:rsidRPr="00097824">
        <w:rPr>
          <w:lang w:val="en-US" w:eastAsia="ru-RU"/>
        </w:rPr>
        <w:t>167. Sakamoto E, Nimura Y, Hayakawa N, Kamiya J, Kondo S, Nagino M, Kanai M, Miyachi M, Uesaka K. The pattern of infiltration at the proximal border of hilar bile duct carcinoma: a histologic analysis of 62 resected cases. Ann Surg. 1998 Mar;227(3):405-11.</w:t>
      </w:r>
    </w:p>
    <w:p w14:paraId="3041AF2B" w14:textId="71C0F07B" w:rsidR="00FE1DF4" w:rsidRPr="00097824" w:rsidRDefault="00FE1DF4" w:rsidP="00F207B4">
      <w:pPr>
        <w:ind w:left="397" w:firstLine="312"/>
        <w:rPr>
          <w:lang w:val="en-US" w:eastAsia="ru-RU"/>
        </w:rPr>
      </w:pPr>
      <w:r w:rsidRPr="00097824">
        <w:rPr>
          <w:lang w:val="en-US" w:eastAsia="ru-RU"/>
        </w:rPr>
        <w:t>168.  Kim D.W., Kim S.Y., Kang H.J., Kang J.H., Lee S.S., Shim J.H. et al. Diagnostic performance of ultrasonography-guided core-needle biopsy according to MRI LI-RADS diagnostic categories. // Ultrasonography. 2021; 40: 387-397</w:t>
      </w:r>
      <w:r w:rsidRPr="00097824">
        <w:fldChar w:fldCharType="begin"/>
      </w:r>
      <w:r w:rsidRPr="00097824">
        <w:rPr>
          <w:lang w:val="en-US"/>
        </w:rPr>
        <w:instrText>HYPERLINK "https://doi.org/10.14366/usg.20110"</w:instrText>
      </w:r>
      <w:r w:rsidRPr="00097824">
        <w:fldChar w:fldCharType="separate"/>
      </w:r>
      <w:r w:rsidRPr="00097824">
        <w:rPr>
          <w:lang w:val="en-US" w:eastAsia="ru-RU"/>
        </w:rPr>
        <w:t>https://doi.org/10.14366/usg.20110</w:t>
      </w:r>
      <w:r w:rsidRPr="00097824">
        <w:fldChar w:fldCharType="end"/>
      </w:r>
    </w:p>
    <w:p w14:paraId="1B445B34" w14:textId="129A04E0" w:rsidR="00FE1DF4" w:rsidRPr="00097824" w:rsidRDefault="00FE1DF4" w:rsidP="00F207B4">
      <w:pPr>
        <w:ind w:left="397" w:firstLine="312"/>
        <w:rPr>
          <w:lang w:val="en-US" w:eastAsia="ru-RU"/>
        </w:rPr>
      </w:pPr>
      <w:r w:rsidRPr="00097824">
        <w:rPr>
          <w:lang w:val="en-US" w:eastAsia="ru-RU"/>
        </w:rPr>
        <w:t>169. Lamarca A, Edeline J, Goyal L. How I treat biliary tract cancer. ESMO Open. 2022; 7(1):100378.  doi:10.1016/j.esmoop.2021.100378</w:t>
      </w:r>
    </w:p>
    <w:p w14:paraId="64E4155F" w14:textId="6B7602DE" w:rsidR="00FE1DF4" w:rsidRPr="00097824" w:rsidRDefault="00FE1DF4" w:rsidP="00F207B4">
      <w:pPr>
        <w:ind w:left="397" w:firstLine="312"/>
        <w:rPr>
          <w:lang w:val="en-US" w:eastAsia="ru-RU"/>
        </w:rPr>
      </w:pPr>
      <w:r w:rsidRPr="00097824">
        <w:rPr>
          <w:lang w:val="en-US" w:eastAsia="ru-RU"/>
        </w:rPr>
        <w:t>170 Park J.H. Kim J.H. Pathologic differential diagnosis of metastatic carcinoma in the liver. // Clin Mol Hepatol. 2019; 25: 12-20 https://doi.org/10.3350/cmh.2018.0067</w:t>
      </w:r>
    </w:p>
    <w:p w14:paraId="49BB837E" w14:textId="26B9E7F2" w:rsidR="00FE1DF4" w:rsidRPr="00097824" w:rsidRDefault="00FE1DF4" w:rsidP="00F207B4">
      <w:pPr>
        <w:ind w:left="397" w:firstLine="312"/>
        <w:rPr>
          <w:lang w:val="en-US" w:eastAsia="ru-RU"/>
        </w:rPr>
      </w:pPr>
      <w:r w:rsidRPr="00097824">
        <w:rPr>
          <w:lang w:val="en-US" w:eastAsia="ru-RU"/>
        </w:rPr>
        <w:t>171 Kim Y., Yeom S., Shin H., Choi S.H., Rhee H., Park J.H., et al.Clinical staging of mass-forming intrahepatic cholangiocarcinoma: computed tomography versus magnetic resonance imaging. // Hepatol Commun. 2021; 5: 2009-2018</w:t>
      </w:r>
      <w:r w:rsidRPr="00097824">
        <w:fldChar w:fldCharType="begin"/>
      </w:r>
      <w:r w:rsidRPr="00097824">
        <w:rPr>
          <w:lang w:val="en-US"/>
        </w:rPr>
        <w:instrText>HYPERLINK "https://doi.org/10.1002/hep4.1774"</w:instrText>
      </w:r>
      <w:r w:rsidRPr="00097824">
        <w:fldChar w:fldCharType="separate"/>
      </w:r>
      <w:r w:rsidRPr="00097824">
        <w:rPr>
          <w:lang w:val="en-US" w:eastAsia="ru-RU"/>
        </w:rPr>
        <w:t>https://doi.org/10.1002/hep4.1774</w:t>
      </w:r>
      <w:r w:rsidRPr="00097824">
        <w:fldChar w:fldCharType="end"/>
      </w:r>
    </w:p>
    <w:p w14:paraId="277F5AEB" w14:textId="664FCFB8" w:rsidR="00FE1DF4" w:rsidRPr="00097824" w:rsidRDefault="00FE1DF4" w:rsidP="00F207B4">
      <w:pPr>
        <w:ind w:left="397" w:firstLine="312"/>
        <w:rPr>
          <w:lang w:val="en-US" w:eastAsia="ru-RU"/>
        </w:rPr>
      </w:pPr>
      <w:r w:rsidRPr="00097824">
        <w:rPr>
          <w:lang w:val="en-US" w:eastAsia="ru-RU"/>
        </w:rPr>
        <w:t xml:space="preserve">172 EASL-ILCA Clinical Practice Guidelines on the management of intrahepatic cholangiocarcinoma // </w:t>
      </w:r>
      <w:r w:rsidRPr="00097824">
        <w:fldChar w:fldCharType="begin"/>
      </w:r>
      <w:r w:rsidRPr="00097824">
        <w:rPr>
          <w:lang w:val="en-US"/>
        </w:rPr>
        <w:instrText>HYPERLINK "https://www.journal-of-hepatology.eu/article/S0168-8278(23)00185-X/fulltext"</w:instrText>
      </w:r>
      <w:r w:rsidRPr="00097824">
        <w:fldChar w:fldCharType="separate"/>
      </w:r>
      <w:r w:rsidRPr="00097824">
        <w:rPr>
          <w:lang w:val="en-US" w:eastAsia="ru-RU"/>
        </w:rPr>
        <w:t>European Association for the Study of the Liver</w:t>
      </w:r>
      <w:r w:rsidRPr="00097824">
        <w:fldChar w:fldCharType="end"/>
      </w:r>
      <w:r w:rsidRPr="00097824">
        <w:rPr>
          <w:lang w:val="en-US" w:eastAsia="ru-RU"/>
        </w:rPr>
        <w:t xml:space="preserve"> Published:April 19, 2023 DOI:</w:t>
      </w:r>
      <w:r w:rsidRPr="00097824">
        <w:fldChar w:fldCharType="begin"/>
      </w:r>
      <w:r w:rsidRPr="00097824">
        <w:rPr>
          <w:lang w:val="en-US"/>
        </w:rPr>
        <w:instrText>HYPERLINK "https://doi.org/10.1016/j.jhep.2023.03.010"</w:instrText>
      </w:r>
      <w:r w:rsidRPr="00097824">
        <w:fldChar w:fldCharType="separate"/>
      </w:r>
      <w:r w:rsidRPr="00097824">
        <w:rPr>
          <w:lang w:val="en-US" w:eastAsia="ru-RU"/>
        </w:rPr>
        <w:t>https://doi.org/10.1016/j.jhep.2023.03.010</w:t>
      </w:r>
      <w:r w:rsidRPr="00097824">
        <w:fldChar w:fldCharType="end"/>
      </w:r>
    </w:p>
    <w:p w14:paraId="37781E87" w14:textId="7773FE87" w:rsidR="00FE1DF4" w:rsidRPr="00097824" w:rsidRDefault="00FE1DF4" w:rsidP="00F207B4">
      <w:pPr>
        <w:ind w:left="397" w:firstLine="312"/>
        <w:rPr>
          <w:lang w:val="en-US" w:eastAsia="ru-RU"/>
        </w:rPr>
      </w:pPr>
      <w:r w:rsidRPr="00097824">
        <w:rPr>
          <w:lang w:val="en-US" w:eastAsia="ru-RU"/>
        </w:rPr>
        <w:t xml:space="preserve">173. Kelley RK, Ueno M, Yoo C, et al. Pembrolizumab in combination with gemcitabine and cisplatin compared with gemcitabine and cisplatin alone for patients with advanced biliary tract cancer (KEYNOTE-966): A randomised, double-blind, placebo-controlled, phase 3 trial. Lancet 2023;401:1853-1865. https://www.ncbi.nlm.nih.gov/pubmed/37075781. </w:t>
      </w:r>
    </w:p>
    <w:p w14:paraId="22D5D7B2" w14:textId="40C90FD7" w:rsidR="00FC6B9E" w:rsidRPr="00097824" w:rsidRDefault="00FC6B9E" w:rsidP="00F207B4">
      <w:pPr>
        <w:ind w:left="397" w:firstLine="312"/>
        <w:rPr>
          <w:lang w:val="en-US" w:eastAsia="ru-RU"/>
        </w:rPr>
      </w:pPr>
      <w:r w:rsidRPr="00097824">
        <w:rPr>
          <w:lang w:val="en-US" w:eastAsia="ru-RU"/>
        </w:rPr>
        <w:t>174. Choi IS, Kim KH, Lee JH et al. A randomised phase II study of oxaliplatin/5-FU (mFOLFOX) versus irinotecan/5-FU (mFOLFIRI) chemotherapy in locally advanced or metastatic biliary tract cancer refractory to first-line gemcitabine/cisplatin chemotherapy. Eur J Cancer. 2021 Sep;154:288-295. doi: 10.1016/j.ejca.2021.06.019. Epub 2021 Jul 22. PMID: 34303267.</w:t>
      </w:r>
    </w:p>
    <w:p w14:paraId="340CEE23" w14:textId="7BFC798F" w:rsidR="00FC6B9E" w:rsidRPr="00097824" w:rsidRDefault="00FC6B9E" w:rsidP="00F207B4">
      <w:pPr>
        <w:ind w:left="397" w:firstLine="312"/>
        <w:rPr>
          <w:lang w:val="en-US" w:eastAsia="ru-RU"/>
        </w:rPr>
      </w:pPr>
      <w:r w:rsidRPr="00097824">
        <w:rPr>
          <w:lang w:val="en-US" w:eastAsia="ru-RU"/>
        </w:rPr>
        <w:lastRenderedPageBreak/>
        <w:t>175. Ohba A, Morizane C, Ueno M et al. Multicenter phase II trial of trastuzumab deruxtecan for HER2-positive unresectable or recurrent biliary tract cancer: HERB trial. Future Oncol. 2022 Jun;18(19):2351-2360. doi: 10.2217/fon-2022-0214. Epub 2022 May 5. PMID: 35510484.</w:t>
      </w:r>
    </w:p>
    <w:p w14:paraId="65FD28A4" w14:textId="237C6DC7" w:rsidR="00FC6B9E" w:rsidRPr="00097824" w:rsidRDefault="00FC6B9E" w:rsidP="00F207B4">
      <w:pPr>
        <w:ind w:left="397" w:firstLine="312"/>
        <w:rPr>
          <w:lang w:val="en-US" w:eastAsia="ru-RU"/>
        </w:rPr>
      </w:pPr>
      <w:r w:rsidRPr="00097824">
        <w:rPr>
          <w:lang w:val="en-US" w:eastAsia="ru-RU"/>
        </w:rPr>
        <w:t>176. Meric-Bernstam F, Rothe M, Mangat PK et al. Cobimetinib Plus Vemurafenib in Patients With Solid Tumors With BRAF Mutations: Results From the Targeted Agent and Profiling Utilization Registry Study. JCO Precis Oncol. 2023 Sep;7:e2300385. doi: 10.1200/PO.23.00385. PMID: 38096472; PMCID: PMC10735080.</w:t>
      </w:r>
    </w:p>
    <w:p w14:paraId="23B1EC32" w14:textId="1236B6C0" w:rsidR="002C0C7A" w:rsidRPr="00097824" w:rsidRDefault="00F979A9" w:rsidP="00F979A9">
      <w:pPr>
        <w:ind w:left="397" w:firstLine="312"/>
        <w:rPr>
          <w:lang w:val="en-US" w:eastAsia="ru-RU"/>
        </w:rPr>
      </w:pPr>
      <w:r w:rsidRPr="00097824">
        <w:rPr>
          <w:lang w:val="en-US" w:eastAsia="ru-RU"/>
        </w:rPr>
        <w:t>***</w:t>
      </w:r>
      <w:r w:rsidR="002C0C7A" w:rsidRPr="00097824">
        <w:rPr>
          <w:lang w:val="en-US" w:eastAsia="ru-RU"/>
        </w:rPr>
        <w:t>177. He J, Kalinava N, Doshi P et al. Evaluation of tissue- and plasma-derived tumor mutational burden (TMB) and genomic alterations of interest in CheckMate 848, a study of nivolumab combined with ipilimumab and nivolumab alone in patients with advanced or metastatic solid tumors with high TMB. J Immunother Cancer. 2023 Nov 30;11(11):e007339. doi: 10.1136/jitc-2023-007339. PMID: 38035725; PMCID: PMC10689409.</w:t>
      </w:r>
    </w:p>
    <w:p w14:paraId="500268FE" w14:textId="580D9A85" w:rsidR="002C0C7A" w:rsidRPr="00097824" w:rsidRDefault="00F979A9" w:rsidP="00F979A9">
      <w:pPr>
        <w:ind w:left="397" w:firstLine="312"/>
        <w:rPr>
          <w:lang w:val="en-US" w:eastAsia="ru-RU"/>
        </w:rPr>
      </w:pPr>
      <w:r w:rsidRPr="00097824">
        <w:rPr>
          <w:lang w:val="en-US" w:eastAsia="ru-RU"/>
        </w:rPr>
        <w:t>***</w:t>
      </w:r>
      <w:r w:rsidR="002C0C7A" w:rsidRPr="00097824">
        <w:rPr>
          <w:lang w:val="en-US" w:eastAsia="ru-RU"/>
        </w:rPr>
        <w:t>178. Subbiah V, Cassier PA, Siena S et al. Pan-cancer efficacy of pralsetinib in patients with RET fusion-positive solid tumors from the phase 1/2 ARROW trial. Nat Med. 2022 Aug;28(8):1640-1645. doi: 10.1038/s41591-022-01931-y. Epub 2022 Aug 12. PMID: 35962206; PMCID: PMC9388374.</w:t>
      </w:r>
    </w:p>
    <w:p w14:paraId="22512139" w14:textId="1CEDD80E" w:rsidR="002C0C7A" w:rsidRPr="00097824" w:rsidRDefault="002C0C7A" w:rsidP="00F979A9">
      <w:pPr>
        <w:ind w:left="397" w:firstLine="312"/>
        <w:rPr>
          <w:lang w:val="en-US" w:eastAsia="ru-RU"/>
        </w:rPr>
      </w:pPr>
      <w:r w:rsidRPr="00097824">
        <w:rPr>
          <w:lang w:val="en-US" w:eastAsia="ru-RU"/>
        </w:rPr>
        <w:t>179. Subbiah V, Wolf J, Konda B et al. Tumour-agnostic efficacy and safety of selpercatinib in patients with RET fusion-positive solid tumours other than lung or thyroid tumours (LIBRETTO-001): a phase 1/2, open-label, basket trial. Lancet Oncol. 2022 Oct;23(10):1261-1273. doi: 10.1016/S1470-2045(22)00541-1. Epub 2022 Sep 12. PMID: 36108661.</w:t>
      </w:r>
    </w:p>
    <w:p w14:paraId="4F6DBFCA" w14:textId="132A1F4A" w:rsidR="002C0C7A" w:rsidRPr="00097824" w:rsidRDefault="00F979A9" w:rsidP="00F207B4">
      <w:pPr>
        <w:ind w:left="397" w:firstLine="312"/>
        <w:rPr>
          <w:lang w:val="en-US" w:eastAsia="ru-RU"/>
        </w:rPr>
      </w:pPr>
      <w:r w:rsidRPr="00097824">
        <w:rPr>
          <w:lang w:val="en-US" w:eastAsia="ru-RU"/>
        </w:rPr>
        <w:t>***</w:t>
      </w:r>
      <w:r w:rsidR="002C0C7A" w:rsidRPr="00097824">
        <w:rPr>
          <w:lang w:val="en-US" w:eastAsia="ru-RU"/>
        </w:rPr>
        <w:t xml:space="preserve">180. </w:t>
      </w:r>
      <w:r w:rsidR="00A12DFB" w:rsidRPr="00097824">
        <w:rPr>
          <w:lang w:val="en-US" w:eastAsia="ru-RU"/>
        </w:rPr>
        <w:t>Hong DS, Fakih MG, Strickler JH et al. KRASG12C Inhibition with Sotorasib in Advanced Solid Tumors. N Engl J Med. 2020 Sep 24;383(13):1207-1217. doi: 10.1056/NEJMoa1917239. </w:t>
      </w:r>
    </w:p>
    <w:p w14:paraId="528E788F" w14:textId="0F514F02" w:rsidR="002C0C7A" w:rsidRPr="00097824" w:rsidRDefault="00F979A9" w:rsidP="00F979A9">
      <w:pPr>
        <w:ind w:left="397" w:firstLine="312"/>
        <w:rPr>
          <w:lang w:val="en-US" w:eastAsia="ru-RU"/>
        </w:rPr>
      </w:pPr>
      <w:r w:rsidRPr="00097824">
        <w:rPr>
          <w:lang w:val="en-US" w:eastAsia="ru-RU"/>
        </w:rPr>
        <w:t>***</w:t>
      </w:r>
      <w:r w:rsidR="002C0C7A" w:rsidRPr="00097824">
        <w:rPr>
          <w:lang w:val="en-US" w:eastAsia="ru-RU"/>
        </w:rPr>
        <w:t xml:space="preserve">181. </w:t>
      </w:r>
      <w:r w:rsidR="00A12DFB" w:rsidRPr="00097824">
        <w:rPr>
          <w:lang w:val="en-US" w:eastAsia="ru-RU"/>
        </w:rPr>
        <w:t>Demols A, Borbath I, Van den Eynde M et al. Regorafenib after failure of gemcitabine and platinum-based chemotherapy for locally advanced/metastatic biliary tumors: REACHIN, a randomized, double-blind, phase II trial. Ann Oncol. 2020 Sep;31(9):1169-1177. doi: 10.1016/j.annonc.2020.05.018. Epub 2020 May 25. PMID: 32464280.</w:t>
      </w:r>
    </w:p>
    <w:p w14:paraId="42ACD905" w14:textId="773B72DB" w:rsidR="00A12DFB" w:rsidRPr="00097824" w:rsidRDefault="002C0C7A" w:rsidP="0047356B">
      <w:pPr>
        <w:ind w:left="397" w:firstLine="312"/>
        <w:rPr>
          <w:lang w:val="en-US"/>
        </w:rPr>
      </w:pPr>
      <w:r w:rsidRPr="00097824">
        <w:rPr>
          <w:lang w:val="en-US" w:eastAsia="ru-RU"/>
        </w:rPr>
        <w:t xml:space="preserve">182. </w:t>
      </w:r>
      <w:r w:rsidR="0047356B" w:rsidRPr="00097824">
        <w:rPr>
          <w:lang w:val="en-US"/>
        </w:rPr>
        <w:t xml:space="preserve">Zheng Y, Tu X, Zhao P, Jiang W, Liu L, Tong Z, Zhang H, Yan C, Fang W, Wang W. A randomised phase II study of second-line XELIRI regimen versus irinotecan </w:t>
      </w:r>
      <w:r w:rsidR="0047356B" w:rsidRPr="00097824">
        <w:rPr>
          <w:lang w:val="en-US"/>
        </w:rPr>
        <w:lastRenderedPageBreak/>
        <w:t>monotherapy in advanced biliary tract cancer patients progressed on gemcitabine and cisplatin. Br J Cancer. 2018 Aug;119(3):291-295</w:t>
      </w:r>
    </w:p>
    <w:p w14:paraId="269B2A65" w14:textId="5AD5977D" w:rsidR="00A12DFB" w:rsidRPr="00097824" w:rsidRDefault="00445121" w:rsidP="00F207B4">
      <w:pPr>
        <w:ind w:left="397" w:firstLine="312"/>
        <w:rPr>
          <w:lang w:val="en-US" w:eastAsia="ru-RU"/>
        </w:rPr>
      </w:pPr>
      <w:r w:rsidRPr="00097824">
        <w:rPr>
          <w:lang w:val="en-US" w:eastAsia="ru-RU"/>
        </w:rPr>
        <w:t xml:space="preserve">183. </w:t>
      </w:r>
      <w:r w:rsidR="00A12DFB" w:rsidRPr="00097824">
        <w:rPr>
          <w:lang w:val="en-US" w:eastAsia="ru-RU"/>
        </w:rPr>
        <w:t>Ben-Josef E., Guthrie K.A., El-Khoueiry A.B., et al. SWOG S0809: a phase II intergroup trial of adjuvant capecitabine and gemcitabine followed by radiotherapy and concurrent capecitabine in extrahepatic cholangiocarcinoma and gallbladder carcinoma.J Clin Oncol. 2015; 33: 2617-2622</w:t>
      </w:r>
    </w:p>
    <w:p w14:paraId="4D470269" w14:textId="3EB229C7" w:rsidR="00F3341F" w:rsidRPr="00097824" w:rsidRDefault="00445121" w:rsidP="0047356B">
      <w:pPr>
        <w:ind w:left="397" w:firstLine="312"/>
        <w:rPr>
          <w:lang w:val="en-US" w:eastAsia="ru-RU"/>
        </w:rPr>
      </w:pPr>
      <w:r w:rsidRPr="00097824">
        <w:rPr>
          <w:lang w:val="en-US" w:eastAsia="ru-RU"/>
        </w:rPr>
        <w:t xml:space="preserve">184. </w:t>
      </w:r>
      <w:r w:rsidR="00A12DFB" w:rsidRPr="00097824">
        <w:rPr>
          <w:lang w:val="en-US" w:eastAsia="ru-RU"/>
        </w:rPr>
        <w:t xml:space="preserve">Wang SJ, Lemieux A, Kalpathy-Cramer J, et al. Nomogram for predicting the benefit of adjuvant chemoradiotherapy for resected gallbladder cancer. J Clin Oncol 2011;29:4627-4632 </w:t>
      </w:r>
      <w:r w:rsidR="00F3341F" w:rsidRPr="00097824">
        <w:rPr>
          <w:lang w:val="en-US" w:eastAsia="ru-RU"/>
        </w:rPr>
        <w:t xml:space="preserve">185. </w:t>
      </w:r>
      <w:r w:rsidR="00A12DFB" w:rsidRPr="00097824">
        <w:rPr>
          <w:lang w:val="en-US" w:eastAsia="ru-RU"/>
        </w:rPr>
        <w:t>Pant S, Schuler M, Iyer G et al. Erdafitinib in patients with advanced solid tumours with FGFR alterations (RAGNAR): an international, single-arm, phase 2 study. Lancet Oncol. 2023 Aug;24(8):925-935. doi: 10.1016/S1470-2045(23)00275-9. PMID: 37541273; PMCID: PMC11224843.</w:t>
      </w:r>
    </w:p>
    <w:p w14:paraId="124BFE33" w14:textId="77777777" w:rsidR="008928A4" w:rsidRPr="00097824" w:rsidRDefault="008928A4" w:rsidP="00F207B4">
      <w:pPr>
        <w:ind w:left="397" w:firstLine="312"/>
        <w:rPr>
          <w:lang w:val="en-US" w:eastAsia="ru-RU"/>
        </w:rPr>
      </w:pPr>
      <w:r w:rsidRPr="00097824">
        <w:rPr>
          <w:lang w:val="en-US" w:eastAsia="ru-RU"/>
        </w:rPr>
        <w:t xml:space="preserve">186. Wang SJ, Lemieux A, Kalpathy-Cramer J, et al. Nomogram for predicting the benefit of adjuvant chemoradiotherapy for resected gallbladder cancer. J Clin Oncol 2011;29:4627-4632 </w:t>
      </w:r>
    </w:p>
    <w:p w14:paraId="6AF16C47" w14:textId="30088889" w:rsidR="001F2C2A" w:rsidRPr="00097824" w:rsidRDefault="00096051" w:rsidP="00F207B4">
      <w:pPr>
        <w:ind w:left="397" w:firstLine="312"/>
        <w:rPr>
          <w:lang w:val="en-US" w:eastAsia="ru-RU"/>
        </w:rPr>
      </w:pPr>
      <w:r w:rsidRPr="00097824">
        <w:rPr>
          <w:lang w:val="en-US" w:eastAsia="ru-RU"/>
        </w:rPr>
        <w:t>18</w:t>
      </w:r>
      <w:r w:rsidR="00513999" w:rsidRPr="00097824">
        <w:rPr>
          <w:lang w:val="en-US" w:eastAsia="ru-RU"/>
        </w:rPr>
        <w:t>7</w:t>
      </w:r>
      <w:r w:rsidRPr="00097824">
        <w:rPr>
          <w:lang w:val="en-US" w:eastAsia="ru-RU"/>
        </w:rPr>
        <w:t xml:space="preserve">. </w:t>
      </w:r>
      <w:r w:rsidR="00A12DFB" w:rsidRPr="00097824">
        <w:rPr>
          <w:lang w:val="en-US" w:eastAsia="ru-RU"/>
        </w:rPr>
        <w:t>Primrose JN, Fox RP, Palmer DH et al. Capecitabine compared with observation in resected biliary tract cancer (BILCAP): a randomised, controlled, multicentre, phase 3 study. Lancet Oncol. 2019 May;20(5):663-673. doi: 10.1016/S1470-2045(18)30915-X.</w:t>
      </w:r>
    </w:p>
    <w:p w14:paraId="4EF9BD4D" w14:textId="53F998A0" w:rsidR="001F2C2A" w:rsidRPr="00097824" w:rsidRDefault="001F2C2A" w:rsidP="0047356B">
      <w:pPr>
        <w:ind w:left="397" w:firstLine="312"/>
        <w:rPr>
          <w:lang w:val="en-US" w:eastAsia="ru-RU"/>
        </w:rPr>
      </w:pPr>
      <w:r w:rsidRPr="00097824">
        <w:rPr>
          <w:lang w:val="en-US" w:eastAsia="ru-RU"/>
        </w:rPr>
        <w:t>188. Gupta P, Dutta U, Rana P, Singhal M, Gulati A, Kalra N, et al.. Gallbladder reporting and data system (GB-RADS) for risk stratification of gallbladder wall thickening on ultrasonography: an international expert consensus. Abdom Radiol (NY). (2022) 47:554–65. doi:  10.1007/s00261-021-03360-w</w:t>
      </w:r>
    </w:p>
    <w:p w14:paraId="3642ED7F" w14:textId="4A0D70EE" w:rsidR="001F2C2A" w:rsidRPr="00097824" w:rsidRDefault="001F2C2A" w:rsidP="00F207B4">
      <w:pPr>
        <w:ind w:left="397" w:firstLine="312"/>
        <w:rPr>
          <w:lang w:val="en-US" w:eastAsia="ru-RU"/>
        </w:rPr>
      </w:pPr>
      <w:r w:rsidRPr="00097824">
        <w:rPr>
          <w:lang w:val="en-US" w:eastAsia="ru-RU"/>
        </w:rPr>
        <w:t>189. Konstantinoff KS, Feister KF, Mellnick VM. RadioGraphics update: new follow-up and management recommendations for polypoid lesions of the gallbladder. Radiographics. (2023) 43:e220189. doi:  10.1148/rg.220189</w:t>
      </w:r>
    </w:p>
    <w:p w14:paraId="6FDCC723" w14:textId="29610A18" w:rsidR="0077218C" w:rsidRPr="00097824" w:rsidRDefault="001F2C2A" w:rsidP="0047356B">
      <w:pPr>
        <w:ind w:left="397" w:firstLine="312"/>
        <w:rPr>
          <w:lang w:val="en-US" w:eastAsia="ru-RU"/>
        </w:rPr>
      </w:pPr>
      <w:r w:rsidRPr="00097824">
        <w:rPr>
          <w:lang w:val="en-US" w:eastAsia="ru-RU"/>
        </w:rPr>
        <w:t xml:space="preserve">190. Хатьков И.Е., Аванесян Р.Г., Ахаладзе Г.Г., </w:t>
      </w:r>
      <w:r w:rsidR="00BA6F33" w:rsidRPr="00097824">
        <w:rPr>
          <w:lang w:val="en-US" w:eastAsia="ru-RU"/>
        </w:rPr>
        <w:t xml:space="preserve">и др. </w:t>
      </w:r>
      <w:r w:rsidRPr="00097824">
        <w:rPr>
          <w:lang w:val="en-US" w:eastAsia="ru-RU"/>
        </w:rPr>
        <w:t xml:space="preserve"> </w:t>
      </w:r>
      <w:r w:rsidRPr="00097824">
        <w:rPr>
          <w:lang w:eastAsia="ru-RU"/>
        </w:rPr>
        <w:t>Российский консенсус по актуальным вопросам диагностики и лечения синдрома механической желтухи.</w:t>
      </w:r>
      <w:r w:rsidR="00BA6F33" w:rsidRPr="00097824">
        <w:rPr>
          <w:lang w:eastAsia="ru-RU"/>
        </w:rPr>
        <w:t xml:space="preserve"> </w:t>
      </w:r>
      <w:r w:rsidR="00BA6F33" w:rsidRPr="00097824">
        <w:rPr>
          <w:lang w:val="en-US" w:eastAsia="ru-RU"/>
        </w:rPr>
        <w:t>Pirogov Russian Journal of Surgery. 2020;(6):5‑17. (In Russ.) https://doi.org/10.17116/hirurgia20200615</w:t>
      </w:r>
    </w:p>
    <w:p w14:paraId="0C0609B0" w14:textId="73BCE0E3" w:rsidR="0077218C" w:rsidRPr="00097824" w:rsidRDefault="0077218C" w:rsidP="00F207B4">
      <w:pPr>
        <w:ind w:left="397" w:firstLine="312"/>
        <w:rPr>
          <w:lang w:val="en-US" w:eastAsia="ru-RU"/>
        </w:rPr>
      </w:pPr>
      <w:r w:rsidRPr="00097824">
        <w:rPr>
          <w:lang w:val="en-US" w:eastAsia="ru-RU"/>
        </w:rPr>
        <w:t>191 Moll CF, de Moura DTH, Ribeiro IB, et al. Endoscopic Biliary Darinage (EBD) versus Percutaneous Transhepatic Biliary Drainage (PTBD) for biliary drainage in patients with Perihilar Cholangiocarcinoma (PCCA): A systematic review and meta-analysis. Clinics (Sao Paulo). 2023;78:100163. Published 2023 Jan 19. doi:10.1016/j.clinsp.2022.100163</w:t>
      </w:r>
    </w:p>
    <w:p w14:paraId="5CE27F0D" w14:textId="77777777" w:rsidR="002410CF" w:rsidRPr="00097824" w:rsidRDefault="002410CF" w:rsidP="00F207B4">
      <w:pPr>
        <w:ind w:left="397" w:firstLine="312"/>
        <w:rPr>
          <w:lang w:val="en-US" w:eastAsia="ru-RU"/>
        </w:rPr>
      </w:pPr>
      <w:r w:rsidRPr="00097824">
        <w:rPr>
          <w:lang w:val="en-US" w:eastAsia="ru-RU"/>
        </w:rPr>
        <w:lastRenderedPageBreak/>
        <w:t xml:space="preserve">192. </w:t>
      </w:r>
      <w:r w:rsidR="0077218C" w:rsidRPr="00097824">
        <w:rPr>
          <w:lang w:val="en-US" w:eastAsia="ru-RU"/>
        </w:rPr>
        <w:t xml:space="preserve">Polyakov AN, Patyutko YuI, Kotelnikov AG, </w:t>
      </w:r>
      <w:r w:rsidRPr="00097824">
        <w:rPr>
          <w:lang w:val="en-US" w:eastAsia="ru-RU"/>
        </w:rPr>
        <w:t xml:space="preserve">et al. </w:t>
      </w:r>
      <w:r w:rsidR="0077218C" w:rsidRPr="00097824">
        <w:rPr>
          <w:lang w:val="en-US" w:eastAsia="ru-RU"/>
        </w:rPr>
        <w:t xml:space="preserve"> Surgical treatment and prognostic factors in perihilar tumors. Pirogov Russian Journal of Surgery. 2024;(2):14‑23. (In Russ., In Engl.).</w:t>
      </w:r>
      <w:r w:rsidRPr="00097824">
        <w:rPr>
          <w:lang w:val="en-US" w:eastAsia="ru-RU"/>
        </w:rPr>
        <w:t xml:space="preserve"> </w:t>
      </w:r>
      <w:r w:rsidR="0077218C" w:rsidRPr="00097824">
        <w:rPr>
          <w:lang w:val="en-US" w:eastAsia="ru-RU"/>
        </w:rPr>
        <w:t xml:space="preserve">https://doi.org/10.17116/hirurgia202402114 </w:t>
      </w:r>
    </w:p>
    <w:p w14:paraId="23CC151B" w14:textId="33D9F862" w:rsidR="0077218C" w:rsidRPr="00097824" w:rsidRDefault="002410CF" w:rsidP="00F207B4">
      <w:pPr>
        <w:ind w:left="397" w:firstLine="312"/>
        <w:rPr>
          <w:lang w:val="en-US" w:eastAsia="ru-RU"/>
        </w:rPr>
      </w:pPr>
      <w:r w:rsidRPr="00097824">
        <w:rPr>
          <w:lang w:val="en-US" w:eastAsia="ru-RU"/>
        </w:rPr>
        <w:t xml:space="preserve">193. </w:t>
      </w:r>
      <w:r w:rsidR="0077218C" w:rsidRPr="00097824">
        <w:rPr>
          <w:lang w:val="en-US" w:eastAsia="ru-RU"/>
        </w:rPr>
        <w:t xml:space="preserve">Zhang X. F., Squires M. H., 3rd, Bagante F., </w:t>
      </w:r>
      <w:r w:rsidRPr="00097824">
        <w:rPr>
          <w:lang w:val="en-US" w:eastAsia="ru-RU"/>
        </w:rPr>
        <w:t xml:space="preserve">et al. </w:t>
      </w:r>
      <w:r w:rsidR="0077218C" w:rsidRPr="00097824">
        <w:rPr>
          <w:lang w:val="en-US" w:eastAsia="ru-RU"/>
        </w:rPr>
        <w:t>The Impact of Intraoperative Re-Resection of a Positive Bile Duct Margin on Clinical Outcomes for Hilar Cholangiocarcinoma // Ann Surg Oncol. ‒ 2018. ‒ T. 25, № 5. ‒ C. 1140-1149.</w:t>
      </w:r>
    </w:p>
    <w:p w14:paraId="65CC32EE" w14:textId="77777777" w:rsidR="00C46819" w:rsidRPr="00097824" w:rsidRDefault="00C46819" w:rsidP="00F207B4">
      <w:pPr>
        <w:ind w:left="397" w:firstLine="312"/>
        <w:rPr>
          <w:lang w:val="en-US" w:eastAsia="ru-RU"/>
        </w:rPr>
      </w:pPr>
      <w:r w:rsidRPr="00097824">
        <w:rPr>
          <w:lang w:val="en-US" w:eastAsia="ru-RU"/>
        </w:rPr>
        <w:t>194. Abou-Alfa GK, Sahai V, Hollebecque A, et al. Pemigatinib for previously treated, locally advanced or metastatic cholangiocarcinoma: a multicentre, open-label, phase 2 study. Lancet Oncol. 2020; 21(5): 671-684.</w:t>
      </w:r>
    </w:p>
    <w:p w14:paraId="625448DE" w14:textId="141FACC8" w:rsidR="00B62BA4" w:rsidRPr="00097824" w:rsidRDefault="00B62BA4" w:rsidP="00F207B4">
      <w:pPr>
        <w:ind w:left="397" w:firstLine="312"/>
        <w:rPr>
          <w:lang w:val="en-US" w:eastAsia="ru-RU"/>
        </w:rPr>
      </w:pPr>
      <w:r w:rsidRPr="00097824">
        <w:rPr>
          <w:lang w:val="en-US" w:eastAsia="ru-RU"/>
        </w:rPr>
        <w:t>195. Yokoyama Y, Ebata T, Igami T, et al.  Different Clinical Characteristics Between Distal Cholangiocarcinoma and Pancreatic Head Carcinoma With Biliary Obstruction. Pancreas. 2017 Nov/Dec;46(10):1322-1326. doi: 10.1097/MPA.0000000000000942.</w:t>
      </w:r>
    </w:p>
    <w:p w14:paraId="55EEB5CF" w14:textId="000F3C3E" w:rsidR="00B62BA4" w:rsidRPr="00097824" w:rsidRDefault="00B62BA4" w:rsidP="00F207B4">
      <w:pPr>
        <w:ind w:left="397" w:firstLine="312"/>
        <w:rPr>
          <w:lang w:val="en-US" w:eastAsia="ru-RU"/>
        </w:rPr>
      </w:pPr>
      <w:r w:rsidRPr="00097824">
        <w:rPr>
          <w:lang w:val="en-US" w:eastAsia="ru-RU"/>
        </w:rPr>
        <w:t>196</w:t>
      </w:r>
      <w:r w:rsidR="00AA52DF" w:rsidRPr="00097824">
        <w:rPr>
          <w:lang w:val="en-US" w:eastAsia="ru-RU"/>
        </w:rPr>
        <w:t>.</w:t>
      </w:r>
      <w:r w:rsidRPr="00097824">
        <w:rPr>
          <w:lang w:val="en-US" w:eastAsia="ru-RU"/>
        </w:rPr>
        <w:t xml:space="preserve"> Gupta P, Dutta U, Rana P, Singhal M, Gulati A, Kalra N, et al.. Gallbladder reporting and data system (GB-RADS) for risk stratification of gallbladder wall thickening on ultrasonography: an international expert consensus. Abdom Radiol (NY). (2022) 47:554–65. doi:  10.1007/s00261-021-03360-w</w:t>
      </w:r>
    </w:p>
    <w:p w14:paraId="71AF93A2" w14:textId="4C52DBAB" w:rsidR="00B62BA4" w:rsidRPr="00097824" w:rsidRDefault="00B62BA4" w:rsidP="00F207B4">
      <w:pPr>
        <w:ind w:left="397" w:firstLine="312"/>
        <w:rPr>
          <w:lang w:val="en-US" w:eastAsia="ru-RU"/>
        </w:rPr>
      </w:pPr>
      <w:r w:rsidRPr="00097824">
        <w:rPr>
          <w:lang w:val="en-US" w:eastAsia="ru-RU"/>
        </w:rPr>
        <w:t>197. Konstantinoff KS, Feister KF, Mellnick VM. RadioGraphics update: new follow-up and management recommendations for polypoid lesions of the gallbladder. Radiographics. (2023) 43:e220189. doi:  10.1148/rg.220189</w:t>
      </w:r>
    </w:p>
    <w:p w14:paraId="28E0FC54" w14:textId="5BC0FD29" w:rsidR="00B62BA4" w:rsidRPr="00097824" w:rsidRDefault="00AA52DF" w:rsidP="00F207B4">
      <w:pPr>
        <w:ind w:left="397" w:firstLine="312"/>
        <w:rPr>
          <w:lang w:eastAsia="ru-RU"/>
        </w:rPr>
      </w:pPr>
      <w:r w:rsidRPr="00097824">
        <w:rPr>
          <w:lang w:val="en-US" w:eastAsia="ru-RU"/>
        </w:rPr>
        <w:t>198. Del Vecchio Blanco G, Mossa M, Troncone E, et al. Tips and tricks for the diagnosis and management of biliary stenosis-state of the art review. World</w:t>
      </w:r>
      <w:r w:rsidRPr="00097824">
        <w:rPr>
          <w:lang w:eastAsia="ru-RU"/>
        </w:rPr>
        <w:t xml:space="preserve"> </w:t>
      </w:r>
      <w:r w:rsidRPr="00097824">
        <w:rPr>
          <w:lang w:val="en-US" w:eastAsia="ru-RU"/>
        </w:rPr>
        <w:t>J</w:t>
      </w:r>
      <w:r w:rsidRPr="00097824">
        <w:rPr>
          <w:lang w:eastAsia="ru-RU"/>
        </w:rPr>
        <w:t xml:space="preserve"> </w:t>
      </w:r>
      <w:r w:rsidRPr="00097824">
        <w:rPr>
          <w:lang w:val="en-US" w:eastAsia="ru-RU"/>
        </w:rPr>
        <w:t>Gastrointest</w:t>
      </w:r>
      <w:r w:rsidRPr="00097824">
        <w:rPr>
          <w:lang w:eastAsia="ru-RU"/>
        </w:rPr>
        <w:t xml:space="preserve"> </w:t>
      </w:r>
      <w:r w:rsidRPr="00097824">
        <w:rPr>
          <w:lang w:val="en-US" w:eastAsia="ru-RU"/>
        </w:rPr>
        <w:t>Endosc</w:t>
      </w:r>
      <w:r w:rsidRPr="00097824">
        <w:rPr>
          <w:lang w:eastAsia="ru-RU"/>
        </w:rPr>
        <w:t xml:space="preserve">. 2021;13(10):473-490. </w:t>
      </w:r>
      <w:r w:rsidRPr="00097824">
        <w:rPr>
          <w:lang w:val="en-US" w:eastAsia="ru-RU"/>
        </w:rPr>
        <w:t>doi</w:t>
      </w:r>
      <w:r w:rsidRPr="00097824">
        <w:rPr>
          <w:lang w:eastAsia="ru-RU"/>
        </w:rPr>
        <w:t>:10.4253/</w:t>
      </w:r>
      <w:r w:rsidRPr="00097824">
        <w:rPr>
          <w:lang w:val="en-US" w:eastAsia="ru-RU"/>
        </w:rPr>
        <w:t>wjge</w:t>
      </w:r>
      <w:r w:rsidRPr="00097824">
        <w:rPr>
          <w:lang w:eastAsia="ru-RU"/>
        </w:rPr>
        <w:t>.</w:t>
      </w:r>
      <w:r w:rsidRPr="00097824">
        <w:rPr>
          <w:lang w:val="en-US" w:eastAsia="ru-RU"/>
        </w:rPr>
        <w:t>v</w:t>
      </w:r>
      <w:r w:rsidRPr="00097824">
        <w:rPr>
          <w:lang w:eastAsia="ru-RU"/>
        </w:rPr>
        <w:t>13.</w:t>
      </w:r>
      <w:r w:rsidRPr="00097824">
        <w:rPr>
          <w:lang w:val="en-US" w:eastAsia="ru-RU"/>
        </w:rPr>
        <w:t>i</w:t>
      </w:r>
      <w:r w:rsidRPr="00097824">
        <w:rPr>
          <w:lang w:eastAsia="ru-RU"/>
        </w:rPr>
        <w:t>10.473</w:t>
      </w:r>
    </w:p>
    <w:p w14:paraId="15B67065" w14:textId="65CAB69D" w:rsidR="00C46819" w:rsidRPr="00097824" w:rsidRDefault="00C46819" w:rsidP="00F207B4">
      <w:pPr>
        <w:ind w:left="397" w:firstLine="312"/>
        <w:rPr>
          <w:lang w:eastAsia="ru-RU"/>
        </w:rPr>
      </w:pPr>
    </w:p>
    <w:p w14:paraId="4DB01026" w14:textId="34FA3EC2" w:rsidR="00056FC6" w:rsidRPr="00097824" w:rsidRDefault="00056FC6" w:rsidP="00F207B4">
      <w:pPr>
        <w:ind w:left="397" w:firstLine="312"/>
        <w:rPr>
          <w:lang w:eastAsia="ru-RU"/>
        </w:rPr>
      </w:pPr>
    </w:p>
    <w:p w14:paraId="2510A962" w14:textId="77777777" w:rsidR="00864D54" w:rsidRPr="00097824" w:rsidRDefault="00864D54" w:rsidP="00F207B4">
      <w:pPr>
        <w:ind w:left="397" w:firstLine="312"/>
        <w:rPr>
          <w:lang w:eastAsia="ru-RU"/>
        </w:rPr>
      </w:pPr>
    </w:p>
    <w:p w14:paraId="35E69C1B" w14:textId="0863A187" w:rsidR="008928A4" w:rsidRPr="00097824" w:rsidRDefault="008928A4" w:rsidP="00B62BA4">
      <w:pPr>
        <w:pStyle w:val="loaitem"/>
        <w:rPr>
          <w:b/>
          <w:bCs/>
          <w:color w:val="505050"/>
        </w:rPr>
      </w:pPr>
    </w:p>
    <w:p w14:paraId="5C15BC26" w14:textId="38344D70" w:rsidR="00F3341F" w:rsidRPr="00097824" w:rsidRDefault="00F3341F" w:rsidP="00FE1DF4">
      <w:pPr>
        <w:pStyle w:val="10"/>
        <w:jc w:val="left"/>
        <w:rPr>
          <w:rStyle w:val="article-headerdoi"/>
          <w:b w:val="0"/>
          <w:bCs/>
          <w:color w:val="FFFFFF"/>
          <w:sz w:val="24"/>
          <w:szCs w:val="24"/>
        </w:rPr>
      </w:pPr>
    </w:p>
    <w:p w14:paraId="773AB2A7" w14:textId="77777777" w:rsidR="00FE1DF4" w:rsidRPr="00097824" w:rsidRDefault="00FE1DF4" w:rsidP="00B62BA4">
      <w:pPr>
        <w:pStyle w:val="10"/>
        <w:jc w:val="left"/>
        <w:rPr>
          <w:bCs/>
          <w:color w:val="FFFFFF"/>
          <w:szCs w:val="24"/>
          <w:lang w:eastAsia="ru-RU"/>
        </w:rPr>
      </w:pPr>
    </w:p>
    <w:p w14:paraId="47A14780" w14:textId="5BCFA995" w:rsidR="00FE1DF4" w:rsidRPr="00097824" w:rsidRDefault="00FE1DF4" w:rsidP="00B62BA4">
      <w:pPr>
        <w:pStyle w:val="loaitem"/>
        <w:rPr>
          <w:bCs/>
          <w:color w:val="505050"/>
        </w:rPr>
      </w:pPr>
    </w:p>
    <w:p w14:paraId="4A4139EE" w14:textId="39B06126" w:rsidR="00FE1DF4" w:rsidRPr="00097824" w:rsidRDefault="00FE1DF4" w:rsidP="00FE1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bCs/>
          <w:color w:val="000000"/>
          <w:szCs w:val="24"/>
          <w:lang w:eastAsia="ru-RU"/>
        </w:rPr>
      </w:pPr>
    </w:p>
    <w:p w14:paraId="6007FFF1" w14:textId="62E9DC5C" w:rsidR="00FE1DF4" w:rsidRPr="00097824" w:rsidRDefault="00FE1DF4" w:rsidP="00B62BA4">
      <w:pPr>
        <w:ind w:left="397" w:firstLine="312"/>
        <w:jc w:val="left"/>
        <w:rPr>
          <w:bCs/>
          <w:szCs w:val="24"/>
          <w:lang w:eastAsia="ru-RU"/>
        </w:rPr>
      </w:pPr>
    </w:p>
    <w:p w14:paraId="36C79409" w14:textId="2186F5C3" w:rsidR="007D0234" w:rsidRPr="00097824" w:rsidRDefault="007D0234" w:rsidP="001153D4">
      <w:pPr>
        <w:ind w:firstLine="0"/>
        <w:jc w:val="left"/>
        <w:rPr>
          <w:bCs/>
          <w:szCs w:val="24"/>
          <w:lang w:eastAsia="ru-RU"/>
        </w:rPr>
      </w:pPr>
    </w:p>
    <w:p w14:paraId="40DA690F" w14:textId="77777777" w:rsidR="00EF7802" w:rsidRPr="00097824" w:rsidRDefault="007F5427" w:rsidP="00AD4A9F">
      <w:pPr>
        <w:pStyle w:val="10"/>
        <w:spacing w:before="0"/>
        <w:ind w:left="397" w:firstLine="357"/>
        <w:jc w:val="left"/>
        <w:rPr>
          <w:lang w:eastAsia="ru-RU"/>
        </w:rPr>
      </w:pPr>
      <w:r w:rsidRPr="00097824">
        <w:rPr>
          <w:sz w:val="24"/>
          <w:szCs w:val="24"/>
          <w:lang w:eastAsia="ru-RU"/>
        </w:rPr>
        <w:fldChar w:fldCharType="end"/>
      </w:r>
      <w:bookmarkEnd w:id="128"/>
      <w:r w:rsidRPr="00097824">
        <w:rPr>
          <w:lang w:eastAsia="ru-RU"/>
        </w:rPr>
        <w:br w:type="page"/>
      </w:r>
      <w:bookmarkStart w:id="129" w:name="_Toc23142740"/>
      <w:bookmarkStart w:id="130" w:name="_Toc113198780"/>
      <w:bookmarkStart w:id="131" w:name="_Toc113205071"/>
      <w:r w:rsidR="00EF7802" w:rsidRPr="00097824">
        <w:rPr>
          <w:lang w:eastAsia="ru-RU"/>
        </w:rPr>
        <w:lastRenderedPageBreak/>
        <w:t xml:space="preserve">Приложение А1. </w:t>
      </w:r>
      <w:bookmarkEnd w:id="129"/>
      <w:r w:rsidR="00F75E46" w:rsidRPr="00097824">
        <w:rPr>
          <w:lang w:eastAsia="ru-RU"/>
        </w:rPr>
        <w:t>Состав рабочей группы по разработке и пересмотру клинических рекомендаций</w:t>
      </w:r>
      <w:bookmarkEnd w:id="130"/>
      <w:bookmarkEnd w:id="131"/>
    </w:p>
    <w:p w14:paraId="5D153902" w14:textId="77777777" w:rsidR="001153D4" w:rsidRPr="00097824" w:rsidRDefault="001153D4" w:rsidP="001153D4">
      <w:pPr>
        <w:numPr>
          <w:ilvl w:val="0"/>
          <w:numId w:val="56"/>
        </w:numPr>
        <w:ind w:left="397" w:firstLine="357"/>
        <w:rPr>
          <w:rFonts w:eastAsia="Times New Roman"/>
          <w:szCs w:val="24"/>
          <w:lang w:eastAsia="ru-RU"/>
        </w:rPr>
      </w:pPr>
      <w:proofErr w:type="spellStart"/>
      <w:r w:rsidRPr="00097824">
        <w:rPr>
          <w:rFonts w:eastAsia="Times New Roman"/>
          <w:szCs w:val="24"/>
          <w:lang w:eastAsia="ru-RU"/>
        </w:rPr>
        <w:t>Базин</w:t>
      </w:r>
      <w:proofErr w:type="spellEnd"/>
      <w:r w:rsidRPr="00097824">
        <w:rPr>
          <w:rFonts w:eastAsia="Times New Roman"/>
          <w:szCs w:val="24"/>
          <w:lang w:eastAsia="ru-RU"/>
        </w:rPr>
        <w:t xml:space="preserve"> И.С., д.м.н., ведущий научный сотрудник отделения противоопухолевой лекарственной терапии №2 НИИ клинической онкологии им. акад. РАН и РАМН Н.Н. Трапезникова ФГБУ «Национальный медицинский исследовательский центр онкологии им. Н.Н. Блохина» Министерства здравоохранения Российской Федерации.</w:t>
      </w:r>
    </w:p>
    <w:p w14:paraId="1238DD71" w14:textId="77777777" w:rsidR="001153D4" w:rsidRPr="00097824" w:rsidRDefault="001153D4" w:rsidP="001153D4">
      <w:pPr>
        <w:numPr>
          <w:ilvl w:val="0"/>
          <w:numId w:val="56"/>
        </w:numPr>
        <w:ind w:left="397" w:firstLine="357"/>
        <w:rPr>
          <w:rFonts w:eastAsia="Times New Roman"/>
          <w:szCs w:val="24"/>
          <w:lang w:eastAsia="ru-RU"/>
        </w:rPr>
      </w:pPr>
      <w:proofErr w:type="spellStart"/>
      <w:r w:rsidRPr="00097824">
        <w:rPr>
          <w:rFonts w:eastAsia="Times New Roman"/>
          <w:szCs w:val="24"/>
          <w:lang w:eastAsia="ru-RU"/>
        </w:rPr>
        <w:t>Бредер</w:t>
      </w:r>
      <w:proofErr w:type="spellEnd"/>
      <w:r w:rsidRPr="00097824">
        <w:rPr>
          <w:rFonts w:eastAsia="Times New Roman"/>
          <w:szCs w:val="24"/>
          <w:lang w:eastAsia="ru-RU"/>
        </w:rPr>
        <w:t xml:space="preserve"> В.В., д.м.н., заведующий отделом лекарственного лечения НИИ клинической онкологии им. акад. РАН и РАМН Н.Н. Трапезникова ФГБУ «Национальный медицинский исследовательский центр онкологии им. Н.Н. Блохина» Министерства здравоохранения Российской Федерации.</w:t>
      </w:r>
    </w:p>
    <w:p w14:paraId="2A93F81E" w14:textId="77777777" w:rsidR="001153D4" w:rsidRPr="00097824" w:rsidRDefault="001153D4" w:rsidP="001153D4">
      <w:pPr>
        <w:numPr>
          <w:ilvl w:val="0"/>
          <w:numId w:val="56"/>
        </w:numPr>
        <w:ind w:left="397" w:firstLine="357"/>
        <w:rPr>
          <w:rFonts w:eastAsia="Times New Roman"/>
          <w:szCs w:val="24"/>
          <w:lang w:eastAsia="ru-RU"/>
        </w:rPr>
      </w:pPr>
      <w:proofErr w:type="spellStart"/>
      <w:r w:rsidRPr="00097824">
        <w:rPr>
          <w:rFonts w:eastAsia="Times New Roman"/>
          <w:szCs w:val="24"/>
          <w:lang w:eastAsia="ru-RU"/>
        </w:rPr>
        <w:t>Виршке</w:t>
      </w:r>
      <w:proofErr w:type="spellEnd"/>
      <w:r w:rsidRPr="00097824">
        <w:rPr>
          <w:rFonts w:eastAsia="Times New Roman"/>
          <w:szCs w:val="24"/>
          <w:lang w:eastAsia="ru-RU"/>
        </w:rPr>
        <w:t xml:space="preserve"> Э.Р., д.м.н., заведующий </w:t>
      </w:r>
      <w:proofErr w:type="spellStart"/>
      <w:r w:rsidRPr="00097824">
        <w:rPr>
          <w:rFonts w:eastAsia="Times New Roman"/>
          <w:szCs w:val="24"/>
          <w:lang w:eastAsia="ru-RU"/>
        </w:rPr>
        <w:t>рентгенооперационным</w:t>
      </w:r>
      <w:proofErr w:type="spellEnd"/>
      <w:r w:rsidRPr="00097824">
        <w:rPr>
          <w:rFonts w:eastAsia="Times New Roman"/>
          <w:szCs w:val="24"/>
          <w:lang w:eastAsia="ru-RU"/>
        </w:rPr>
        <w:t xml:space="preserve"> блоком НИИ клинической и экспериментальной радиологии ФГБУ «Национальный медицинский исследовательский центр онкологии им. Н.Н. Блохина» Министерства здравоохранения Российской Федерации.</w:t>
      </w:r>
    </w:p>
    <w:p w14:paraId="09A255FE"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Долгушин Б.И, академик РАН, профессор, д.м.н., директор НИИ клинической и экспериментальной радиологии ФГБУ «Национальный медицинский исследовательский центр онкологии им. Н.Н. Блохина» Министерства здравоохранения Российской Федерации.</w:t>
      </w:r>
    </w:p>
    <w:p w14:paraId="33C9A281"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Кудашкин Н.Е., к.м.н.</w:t>
      </w:r>
      <w:proofErr w:type="gramStart"/>
      <w:r w:rsidRPr="00097824">
        <w:rPr>
          <w:rFonts w:eastAsia="Times New Roman"/>
          <w:szCs w:val="24"/>
          <w:lang w:eastAsia="ru-RU"/>
        </w:rPr>
        <w:t>,  старший</w:t>
      </w:r>
      <w:proofErr w:type="gramEnd"/>
      <w:r w:rsidRPr="00097824">
        <w:rPr>
          <w:rFonts w:eastAsia="Times New Roman"/>
          <w:szCs w:val="24"/>
          <w:lang w:eastAsia="ru-RU"/>
        </w:rPr>
        <w:t xml:space="preserve"> научный сотрудник отделения абдоминальной онкологии №2 (опухолей </w:t>
      </w:r>
      <w:proofErr w:type="spellStart"/>
      <w:r w:rsidRPr="00097824">
        <w:rPr>
          <w:rFonts w:eastAsia="Times New Roman"/>
          <w:szCs w:val="24"/>
          <w:lang w:eastAsia="ru-RU"/>
        </w:rPr>
        <w:t>гепатопанкреатобилиарной</w:t>
      </w:r>
      <w:proofErr w:type="spellEnd"/>
      <w:r w:rsidRPr="00097824">
        <w:rPr>
          <w:rFonts w:eastAsia="Times New Roman"/>
          <w:szCs w:val="24"/>
          <w:lang w:eastAsia="ru-RU"/>
        </w:rPr>
        <w:t xml:space="preserve"> зоны) НИИ клинической онкологии им. акад. РАН и РАМН Н.Н. Трапезникова ФГБУ «Национальный медицинский исследовательский центр онкологии им. Н.Н. Блохина» Министерства здравоохранения Российской Федерации.</w:t>
      </w:r>
    </w:p>
    <w:p w14:paraId="596BEF4D"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Ледин Е.В., к.м.н., руководитель центра химиотерапии, заведующий отделением химиотерапии Международного центра онкологии на базе клинической больницы МЕДСИ в Боткинском проезде.</w:t>
      </w:r>
    </w:p>
    <w:p w14:paraId="1CC83EE8"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Лукьянченко А.Б., профессор, д.м.н., научный консультант рентгенодиагностического отделения НИИ клинической и экспериментальной радиологии ФГБУ «Национальный медицинский исследовательский центр онкологии им. Н.Н. Блохина» Министерства здравоохранения Российской Федерации.</w:t>
      </w:r>
    </w:p>
    <w:p w14:paraId="49220D44"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 xml:space="preserve">Медведева Б.М., профессор, д.м.н., главный научный сотрудник рентгенодиагностического отделения НИИ клинической и экспериментальной </w:t>
      </w:r>
      <w:r w:rsidRPr="00097824">
        <w:rPr>
          <w:rFonts w:eastAsia="Times New Roman"/>
          <w:szCs w:val="24"/>
          <w:lang w:eastAsia="ru-RU"/>
        </w:rPr>
        <w:lastRenderedPageBreak/>
        <w:t>радиологии ФГБУ «Российский онкологический научный центр им. Н.Н. Блохина» Минздрава России, г. Москва.</w:t>
      </w:r>
    </w:p>
    <w:p w14:paraId="3A63D261"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Мороз Е.А., к.м.н., старший научный сотрудник отдела патологической анатомии опухолей ФГБУ «Национальный медицинский исследовательский центр онкологии им. Н.Н. Блохина» Министерства здравоохранения Российской Федерации.</w:t>
      </w:r>
    </w:p>
    <w:p w14:paraId="228AA390" w14:textId="77777777" w:rsidR="001153D4" w:rsidRPr="00097824" w:rsidRDefault="001153D4" w:rsidP="001153D4">
      <w:pPr>
        <w:numPr>
          <w:ilvl w:val="0"/>
          <w:numId w:val="56"/>
        </w:numPr>
        <w:ind w:left="397" w:firstLine="357"/>
        <w:rPr>
          <w:rFonts w:eastAsia="Times New Roman"/>
          <w:szCs w:val="24"/>
          <w:lang w:eastAsia="ru-RU"/>
        </w:rPr>
      </w:pPr>
      <w:proofErr w:type="spellStart"/>
      <w:r w:rsidRPr="00097824">
        <w:rPr>
          <w:rFonts w:eastAsia="Times New Roman"/>
          <w:szCs w:val="24"/>
          <w:lang w:eastAsia="ru-RU"/>
        </w:rPr>
        <w:t>Патютко</w:t>
      </w:r>
      <w:proofErr w:type="spellEnd"/>
      <w:r w:rsidRPr="00097824">
        <w:rPr>
          <w:rFonts w:eastAsia="Times New Roman"/>
          <w:szCs w:val="24"/>
          <w:lang w:eastAsia="ru-RU"/>
        </w:rPr>
        <w:t xml:space="preserve"> Ю.И., профессор, д.м.н., главный научный консультант отделения абдоминальной онкологии №2 (опухолей </w:t>
      </w:r>
      <w:proofErr w:type="spellStart"/>
      <w:r w:rsidRPr="00097824">
        <w:rPr>
          <w:rFonts w:eastAsia="Times New Roman"/>
          <w:szCs w:val="24"/>
          <w:lang w:eastAsia="ru-RU"/>
        </w:rPr>
        <w:t>гепатопанкреатобилиарной</w:t>
      </w:r>
      <w:proofErr w:type="spellEnd"/>
      <w:r w:rsidRPr="00097824">
        <w:rPr>
          <w:rFonts w:eastAsia="Times New Roman"/>
          <w:szCs w:val="24"/>
          <w:lang w:eastAsia="ru-RU"/>
        </w:rPr>
        <w:t xml:space="preserve"> зоны) НИИ клинической онкологии им. акад. РАН и РАМН Н.Н. Трапезникова ФГБУ «Национальный медицинский исследовательский центр онкологии им. Н.Н. Блохина» Министерства здравоохранения Российской Федерации.</w:t>
      </w:r>
    </w:p>
    <w:p w14:paraId="3BB19A5D"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Погребняков И.В., к.м.н., заведующий отделением рентгенохирургических методов диагностики и лечения НИИ клинической и экспериментальной радиологии ФГБУ «Национальный медицинский исследовательский центр онкологии им. Н.Н. Блохина» Министерства здравоохранения Российской Федерации.</w:t>
      </w:r>
    </w:p>
    <w:p w14:paraId="277BAD77"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Поляков А.Н., к.м.н.</w:t>
      </w:r>
      <w:proofErr w:type="gramStart"/>
      <w:r w:rsidRPr="00097824">
        <w:rPr>
          <w:rFonts w:eastAsia="Times New Roman"/>
          <w:szCs w:val="24"/>
          <w:lang w:eastAsia="ru-RU"/>
        </w:rPr>
        <w:t>,  старший</w:t>
      </w:r>
      <w:proofErr w:type="gramEnd"/>
      <w:r w:rsidRPr="00097824">
        <w:rPr>
          <w:rFonts w:eastAsia="Times New Roman"/>
          <w:szCs w:val="24"/>
          <w:lang w:eastAsia="ru-RU"/>
        </w:rPr>
        <w:t xml:space="preserve"> научный сотрудник отделения абдоминальной онкологии №2 (опухолей </w:t>
      </w:r>
      <w:proofErr w:type="spellStart"/>
      <w:r w:rsidRPr="00097824">
        <w:rPr>
          <w:rFonts w:eastAsia="Times New Roman"/>
          <w:szCs w:val="24"/>
          <w:lang w:eastAsia="ru-RU"/>
        </w:rPr>
        <w:t>гепатопанкреатобилиарной</w:t>
      </w:r>
      <w:proofErr w:type="spellEnd"/>
      <w:r w:rsidRPr="00097824">
        <w:rPr>
          <w:rFonts w:eastAsia="Times New Roman"/>
          <w:szCs w:val="24"/>
          <w:lang w:eastAsia="ru-RU"/>
        </w:rPr>
        <w:t xml:space="preserve"> зоны) НИИ клинической онкологии им. акад. РАН и РАМН Н.Н. Трапезникова ФГБУ «Национальный медицинский исследовательский центр онкологии им. Н.Н. Блохина» Министерства здравоохранения Российской Федерации.</w:t>
      </w:r>
    </w:p>
    <w:p w14:paraId="4EBA733D" w14:textId="77777777" w:rsidR="001153D4" w:rsidRPr="00097824" w:rsidRDefault="001153D4" w:rsidP="001153D4">
      <w:pPr>
        <w:numPr>
          <w:ilvl w:val="0"/>
          <w:numId w:val="56"/>
        </w:numPr>
        <w:ind w:left="397" w:firstLine="357"/>
        <w:rPr>
          <w:rFonts w:eastAsia="Times New Roman"/>
          <w:szCs w:val="24"/>
          <w:lang w:eastAsia="ru-RU"/>
        </w:rPr>
      </w:pPr>
      <w:proofErr w:type="spellStart"/>
      <w:r w:rsidRPr="00097824">
        <w:rPr>
          <w:rFonts w:eastAsia="Times New Roman"/>
          <w:szCs w:val="24"/>
          <w:lang w:eastAsia="ru-RU"/>
        </w:rPr>
        <w:t>Подлужный</w:t>
      </w:r>
      <w:proofErr w:type="spellEnd"/>
      <w:r w:rsidRPr="00097824">
        <w:rPr>
          <w:rFonts w:eastAsia="Times New Roman"/>
          <w:szCs w:val="24"/>
          <w:lang w:eastAsia="ru-RU"/>
        </w:rPr>
        <w:t xml:space="preserve"> Д.В., доцент, к.м.н., заведующий отделением абдоминальной онкологии №2 (опухолей </w:t>
      </w:r>
      <w:proofErr w:type="spellStart"/>
      <w:r w:rsidRPr="00097824">
        <w:rPr>
          <w:rFonts w:eastAsia="Times New Roman"/>
          <w:szCs w:val="24"/>
          <w:lang w:eastAsia="ru-RU"/>
        </w:rPr>
        <w:t>гепатопанкреатобилиарной</w:t>
      </w:r>
      <w:proofErr w:type="spellEnd"/>
      <w:r w:rsidRPr="00097824">
        <w:rPr>
          <w:rFonts w:eastAsia="Times New Roman"/>
          <w:szCs w:val="24"/>
          <w:lang w:eastAsia="ru-RU"/>
        </w:rPr>
        <w:t xml:space="preserve"> зоны) НИИ клинической онкологии им. акад. РАН и РАМН Н.Н. Трапезникова ФГБУ «Национальный медицинский исследовательский центр онкологии им. Н.Н. Блохина» Министерства здравоохранения Российской Федерации.</w:t>
      </w:r>
    </w:p>
    <w:p w14:paraId="61E3D029"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Сергеева О.Н., к.м.н., старший научный сотрудник отделения рентгенохирургических методов диагностики и лечения НИИ клинической и экспериментальной радиологии ФГБУ «Национальный медицинский исследовательский центр онкологии им. Н.Н. Блохина» Министерства здравоохранения Российской Федерации.</w:t>
      </w:r>
    </w:p>
    <w:p w14:paraId="7BB5AF66"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Францев Д.Ю., к.м.н., врач отделения рентгенохирургических методов диагностики и лечения НИИ клинической и экспериментальной радиологии ФГБУ «Национальный медицинский исследовательский центр онкологии им. Н.Н. Блохина» Министерства здравоохранения Российской Федерации.</w:t>
      </w:r>
    </w:p>
    <w:p w14:paraId="0416DB96"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lastRenderedPageBreak/>
        <w:t>Иванов В.А., к.м.н., врач отделения радиотерапии ФГБУ «Национальный медицинский исследовательский центр онкологии им. Н.Н. Блохина» Министерства здравоохранения Российской Федерации.</w:t>
      </w:r>
    </w:p>
    <w:p w14:paraId="7BF2C2CF"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Федянин М.Ю., профессор, д.м.н., руководитель департамента науки ФГБУ «Национальный медицинский исследовательский центр онкологии им. Н.Н. Блохина» Министерства здравоохранения Российской Федерации. Руководитель службы химиотерапевтического лечения «ГБУЗ ММКЦ «Коммунарка» ДЗМ». Заведующий кафедрой онкологии ИУВ ФГБУ «НМЦХ им. Н.И. Пирогова» Министерства здравоохранения Российской Федерации</w:t>
      </w:r>
    </w:p>
    <w:p w14:paraId="2B287DAE" w14:textId="77777777" w:rsidR="001153D4" w:rsidRPr="00097824" w:rsidRDefault="001153D4" w:rsidP="001153D4">
      <w:pPr>
        <w:numPr>
          <w:ilvl w:val="0"/>
          <w:numId w:val="56"/>
        </w:numPr>
        <w:ind w:left="397" w:firstLine="357"/>
        <w:rPr>
          <w:rFonts w:eastAsia="Times New Roman"/>
          <w:szCs w:val="24"/>
          <w:lang w:eastAsia="ru-RU"/>
        </w:rPr>
      </w:pPr>
      <w:proofErr w:type="spellStart"/>
      <w:r w:rsidRPr="00097824">
        <w:rPr>
          <w:rFonts w:eastAsia="Times New Roman"/>
          <w:szCs w:val="24"/>
          <w:lang w:eastAsia="ru-RU"/>
        </w:rPr>
        <w:t>Трякин</w:t>
      </w:r>
      <w:proofErr w:type="spellEnd"/>
      <w:r w:rsidRPr="00097824">
        <w:rPr>
          <w:rFonts w:eastAsia="Times New Roman"/>
          <w:szCs w:val="24"/>
          <w:lang w:eastAsia="ru-RU"/>
        </w:rPr>
        <w:t xml:space="preserve"> А.А., профессор, д.м.н., заместитель директора по научной работе, заведующий отделением противоопухолевой лекарственной терапии №2 НИИ клинической онкологии им. акад. РАН и РАМН Н.Н. Трапезникова ФГБУ «Национальный медицинский исследовательский центр онкологии им. Н.Н. Блохина» Министерства здравоохранения Российской Федерации. </w:t>
      </w:r>
    </w:p>
    <w:p w14:paraId="4B6A4710"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 xml:space="preserve">Владимирова Л.Ю., профессор, д.м.н., заведующая отделом лекарственного лечения опухолей, заведующая отделением противоопухолевой лекарственной терапии ФГБУ «Национальный медицинский исследовательский центр онкологии» Министерства здравоохранения Российской Федерации. </w:t>
      </w:r>
    </w:p>
    <w:p w14:paraId="47351C42" w14:textId="77777777" w:rsidR="001153D4" w:rsidRPr="00097824" w:rsidRDefault="001153D4" w:rsidP="001153D4">
      <w:pPr>
        <w:numPr>
          <w:ilvl w:val="0"/>
          <w:numId w:val="56"/>
        </w:numPr>
        <w:ind w:left="397" w:firstLine="357"/>
      </w:pPr>
      <w:proofErr w:type="spellStart"/>
      <w:r w:rsidRPr="00097824">
        <w:rPr>
          <w:rFonts w:eastAsia="Times New Roman"/>
          <w:szCs w:val="24"/>
          <w:lang w:eastAsia="ru-RU"/>
        </w:rPr>
        <w:t>Петкау</w:t>
      </w:r>
      <w:proofErr w:type="spellEnd"/>
      <w:r w:rsidRPr="00097824">
        <w:rPr>
          <w:rFonts w:eastAsia="Times New Roman"/>
          <w:szCs w:val="24"/>
          <w:lang w:eastAsia="ru-RU"/>
        </w:rPr>
        <w:t xml:space="preserve"> В.В., к.м.н., </w:t>
      </w:r>
      <w:r w:rsidRPr="00097824">
        <w:t>проректор</w:t>
      </w:r>
      <w:r w:rsidRPr="00097824">
        <w:rPr>
          <w:rStyle w:val="apple-converted-space"/>
          <w:color w:val="474747"/>
          <w:sz w:val="21"/>
          <w:szCs w:val="21"/>
          <w:shd w:val="clear" w:color="auto" w:fill="FFFFFF"/>
        </w:rPr>
        <w:t> </w:t>
      </w:r>
      <w:r w:rsidRPr="00097824">
        <w:t xml:space="preserve">по научно-исследовательской и инновационной деятельности </w:t>
      </w:r>
      <w:r w:rsidRPr="00097824">
        <w:rPr>
          <w:color w:val="474747"/>
          <w:szCs w:val="24"/>
          <w:shd w:val="clear" w:color="auto" w:fill="FFFFFF"/>
        </w:rPr>
        <w:t>Уральского государственного медицинского университета, Екатеринбург</w:t>
      </w:r>
      <w:r w:rsidRPr="00097824">
        <w:t>.</w:t>
      </w:r>
    </w:p>
    <w:p w14:paraId="5B89FBF2" w14:textId="77777777" w:rsidR="001153D4" w:rsidRPr="00097824" w:rsidRDefault="001153D4" w:rsidP="001153D4">
      <w:pPr>
        <w:numPr>
          <w:ilvl w:val="0"/>
          <w:numId w:val="56"/>
        </w:numPr>
        <w:ind w:left="397" w:firstLine="357"/>
        <w:rPr>
          <w:rFonts w:eastAsia="Times New Roman"/>
          <w:szCs w:val="24"/>
          <w:lang w:eastAsia="ru-RU"/>
        </w:rPr>
      </w:pPr>
      <w:proofErr w:type="spellStart"/>
      <w:r w:rsidRPr="00097824">
        <w:rPr>
          <w:rFonts w:eastAsia="Times New Roman"/>
          <w:szCs w:val="24"/>
          <w:lang w:eastAsia="ru-RU"/>
        </w:rPr>
        <w:t>Зуков</w:t>
      </w:r>
      <w:proofErr w:type="spellEnd"/>
      <w:r w:rsidRPr="00097824">
        <w:rPr>
          <w:rFonts w:eastAsia="Times New Roman"/>
          <w:szCs w:val="24"/>
          <w:lang w:eastAsia="ru-RU"/>
        </w:rPr>
        <w:t xml:space="preserve"> Р.А., профессор, д.м.н., главный врач КГБУЗ «Красноярский краевой онкологический диспансер им. А.И. Крыжановского». Заведующий кафедрой онкологии и лучевой терапии с курсом ПО ГБОУ ВПО «Красноярский государственный медицинский университет им. проф. В.Ф. Войно-Ясенецкого».</w:t>
      </w:r>
    </w:p>
    <w:p w14:paraId="5793694D" w14:textId="77777777" w:rsidR="001153D4" w:rsidRPr="00097824" w:rsidRDefault="001153D4" w:rsidP="001153D4">
      <w:pPr>
        <w:numPr>
          <w:ilvl w:val="0"/>
          <w:numId w:val="56"/>
        </w:numPr>
        <w:ind w:left="397" w:firstLine="357"/>
        <w:rPr>
          <w:rFonts w:eastAsia="Times New Roman"/>
          <w:szCs w:val="24"/>
          <w:lang w:eastAsia="ru-RU"/>
        </w:rPr>
      </w:pPr>
      <w:proofErr w:type="spellStart"/>
      <w:r w:rsidRPr="00097824">
        <w:rPr>
          <w:rFonts w:eastAsia="Times New Roman"/>
          <w:szCs w:val="24"/>
          <w:lang w:eastAsia="ru-RU"/>
        </w:rPr>
        <w:t>Покатаев</w:t>
      </w:r>
      <w:proofErr w:type="spellEnd"/>
      <w:r w:rsidRPr="00097824">
        <w:rPr>
          <w:rFonts w:eastAsia="Times New Roman"/>
          <w:szCs w:val="24"/>
          <w:lang w:eastAsia="ru-RU"/>
        </w:rPr>
        <w:t xml:space="preserve"> И.А., д.м.н., руководитель службы химиотерапевтического лечения «Онкологический центр №1 ГКБ им. С.С. Юдина ДЗМ».</w:t>
      </w:r>
    </w:p>
    <w:p w14:paraId="4D3B8883" w14:textId="77777777" w:rsidR="001153D4" w:rsidRPr="00097824" w:rsidRDefault="001153D4" w:rsidP="001153D4">
      <w:pPr>
        <w:numPr>
          <w:ilvl w:val="0"/>
          <w:numId w:val="56"/>
        </w:numPr>
        <w:ind w:left="397" w:firstLine="357"/>
        <w:rPr>
          <w:rFonts w:eastAsia="Times New Roman"/>
          <w:szCs w:val="24"/>
          <w:lang w:eastAsia="ru-RU"/>
        </w:rPr>
      </w:pPr>
      <w:proofErr w:type="spellStart"/>
      <w:r w:rsidRPr="00097824">
        <w:rPr>
          <w:rFonts w:eastAsia="Times New Roman"/>
          <w:szCs w:val="24"/>
          <w:lang w:eastAsia="ru-RU"/>
        </w:rPr>
        <w:t>Корниецкая</w:t>
      </w:r>
      <w:proofErr w:type="spellEnd"/>
      <w:r w:rsidRPr="00097824">
        <w:rPr>
          <w:rFonts w:eastAsia="Times New Roman"/>
          <w:szCs w:val="24"/>
          <w:lang w:eastAsia="ru-RU"/>
        </w:rPr>
        <w:t xml:space="preserve"> А.Л., к.м.н., ведущий научный сотрудник отдела лекарственного лечения опухолей МНИОИ им. П.А. Герцена – филиал ФГБУ «Национальный медицинский исследовательский центр радиологии» Министерства здравоохранения Российской Федерации. </w:t>
      </w:r>
    </w:p>
    <w:p w14:paraId="7FF0E5C0"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 xml:space="preserve">Варфоломеева С.Р., профессор, д.м.н., директор НИИ детской онкологии и гематологии им. акад. РАМН Л.А. Дурнова ФГБУ «Национальный медицинский </w:t>
      </w:r>
      <w:r w:rsidRPr="00097824">
        <w:rPr>
          <w:rFonts w:eastAsia="Times New Roman"/>
          <w:szCs w:val="24"/>
          <w:lang w:eastAsia="ru-RU"/>
        </w:rPr>
        <w:lastRenderedPageBreak/>
        <w:t>исследовательский центр онкологии им. Н.Н. Блохина» Министерства здравоохранения Российской Федерации.</w:t>
      </w:r>
    </w:p>
    <w:p w14:paraId="57AAE09F" w14:textId="77777777" w:rsidR="001153D4" w:rsidRPr="00097824" w:rsidRDefault="001153D4" w:rsidP="001153D4">
      <w:pPr>
        <w:numPr>
          <w:ilvl w:val="0"/>
          <w:numId w:val="56"/>
        </w:numPr>
        <w:ind w:left="397" w:firstLine="357"/>
        <w:rPr>
          <w:rFonts w:eastAsia="Times New Roman"/>
          <w:szCs w:val="24"/>
          <w:lang w:eastAsia="ru-RU"/>
        </w:rPr>
      </w:pPr>
      <w:r w:rsidRPr="00097824">
        <w:rPr>
          <w:rFonts w:eastAsia="Times New Roman"/>
          <w:szCs w:val="24"/>
          <w:lang w:eastAsia="ru-RU"/>
        </w:rPr>
        <w:t xml:space="preserve">Киргизов К.И., доцент, к.м.н., заместитель директора по научной </w:t>
      </w:r>
      <w:proofErr w:type="gramStart"/>
      <w:r w:rsidRPr="00097824">
        <w:rPr>
          <w:rFonts w:eastAsia="Times New Roman"/>
          <w:szCs w:val="24"/>
          <w:lang w:eastAsia="ru-RU"/>
        </w:rPr>
        <w:t>работе,  и.о.</w:t>
      </w:r>
      <w:proofErr w:type="gramEnd"/>
      <w:r w:rsidRPr="00097824">
        <w:rPr>
          <w:rFonts w:eastAsia="Times New Roman"/>
          <w:szCs w:val="24"/>
          <w:lang w:eastAsia="ru-RU"/>
        </w:rPr>
        <w:t xml:space="preserve"> заведующего отделением детской трансплантации костного мозга и гемопоэтических стволовых клеток НИИ детской онкологии и гематологии им. акад. РАМН Л.А. Дурнова ФГБУ «Национальный медицинский исследовательский центр онкологии им. Н.Н. Блохина» Министерства здравоохранения Российской Федерации. </w:t>
      </w:r>
    </w:p>
    <w:p w14:paraId="23E9FEA8" w14:textId="77777777" w:rsidR="00747756" w:rsidRPr="00097824" w:rsidRDefault="00747756" w:rsidP="00AD4A9F">
      <w:pPr>
        <w:ind w:left="397" w:firstLine="357"/>
        <w:rPr>
          <w:rFonts w:eastAsia="Times New Roman"/>
          <w:b/>
          <w:bCs/>
          <w:szCs w:val="24"/>
          <w:lang w:eastAsia="ru-RU"/>
        </w:rPr>
      </w:pPr>
    </w:p>
    <w:p w14:paraId="4736E4C2" w14:textId="77777777" w:rsidR="001D7531" w:rsidRPr="00097824" w:rsidRDefault="001D7531" w:rsidP="001D7531">
      <w:pPr>
        <w:ind w:left="397" w:firstLine="357"/>
        <w:rPr>
          <w:rFonts w:eastAsia="Times New Roman"/>
          <w:b/>
          <w:bCs/>
          <w:szCs w:val="24"/>
          <w:lang w:eastAsia="ru-RU"/>
        </w:rPr>
      </w:pPr>
      <w:r w:rsidRPr="00097824">
        <w:rPr>
          <w:rFonts w:eastAsia="Times New Roman"/>
          <w:b/>
          <w:bCs/>
          <w:szCs w:val="24"/>
          <w:lang w:eastAsia="ru-RU"/>
        </w:rPr>
        <w:t>Блок Организация оказания медицинской помощи</w:t>
      </w:r>
    </w:p>
    <w:p w14:paraId="1FF2C75C" w14:textId="34DD6541" w:rsidR="001D7531" w:rsidRPr="00097824" w:rsidRDefault="001D7531" w:rsidP="001D7531">
      <w:pPr>
        <w:ind w:left="397" w:firstLine="357"/>
        <w:rPr>
          <w:rFonts w:eastAsia="Times New Roman"/>
          <w:szCs w:val="24"/>
          <w:lang w:eastAsia="ru-RU"/>
        </w:rPr>
      </w:pPr>
      <w:r w:rsidRPr="00097824">
        <w:rPr>
          <w:rFonts w:eastAsia="Times New Roman"/>
          <w:szCs w:val="24"/>
          <w:lang w:eastAsia="ru-RU"/>
        </w:rPr>
        <w:t>1.</w:t>
      </w:r>
      <w:r w:rsidRPr="00097824">
        <w:rPr>
          <w:rFonts w:eastAsia="Times New Roman"/>
          <w:szCs w:val="24"/>
          <w:lang w:eastAsia="ru-RU"/>
        </w:rPr>
        <w:tab/>
        <w:t xml:space="preserve">Геворкян Тигран </w:t>
      </w:r>
      <w:proofErr w:type="spellStart"/>
      <w:r w:rsidRPr="00097824">
        <w:rPr>
          <w:rFonts w:eastAsia="Times New Roman"/>
          <w:szCs w:val="24"/>
          <w:lang w:eastAsia="ru-RU"/>
        </w:rPr>
        <w:t>Гагикович</w:t>
      </w:r>
      <w:proofErr w:type="spellEnd"/>
      <w:r w:rsidRPr="00097824">
        <w:rPr>
          <w:rFonts w:eastAsia="Times New Roman"/>
          <w:szCs w:val="24"/>
          <w:lang w:eastAsia="ru-RU"/>
        </w:rPr>
        <w:t>, заместитель директора ФГБУ «НМИЦ онкологии им. Н.Н. Блохина» Минздрава России</w:t>
      </w:r>
    </w:p>
    <w:p w14:paraId="3FD6E8F1" w14:textId="19DB0FF7" w:rsidR="001D7531" w:rsidRPr="00097824" w:rsidRDefault="001D7531" w:rsidP="001D7531">
      <w:pPr>
        <w:ind w:left="397" w:firstLine="357"/>
        <w:rPr>
          <w:rFonts w:eastAsia="Times New Roman"/>
          <w:szCs w:val="24"/>
          <w:lang w:eastAsia="ru-RU"/>
        </w:rPr>
      </w:pPr>
      <w:r w:rsidRPr="00097824">
        <w:rPr>
          <w:rFonts w:eastAsia="Times New Roman"/>
          <w:szCs w:val="24"/>
          <w:lang w:eastAsia="ru-RU"/>
        </w:rPr>
        <w:t>2.</w:t>
      </w:r>
      <w:r w:rsidRPr="00097824">
        <w:rPr>
          <w:rFonts w:eastAsia="Times New Roman"/>
          <w:szCs w:val="24"/>
          <w:lang w:eastAsia="ru-RU"/>
        </w:rPr>
        <w:tab/>
        <w:t>Иванов Сергей Анатольевич, д.м.н., профессор РАН, директор МРНЦ им. А.Ф. Цыба - филиала ФГБУ «НМИЦ радиологии» Минздрава России</w:t>
      </w:r>
    </w:p>
    <w:p w14:paraId="32B33B32" w14:textId="16B335AB" w:rsidR="001D7531" w:rsidRPr="00097824" w:rsidRDefault="001D7531" w:rsidP="001D7531">
      <w:pPr>
        <w:ind w:left="397" w:firstLine="357"/>
        <w:rPr>
          <w:rFonts w:eastAsia="Times New Roman"/>
          <w:szCs w:val="24"/>
          <w:lang w:eastAsia="ru-RU"/>
        </w:rPr>
      </w:pPr>
      <w:r w:rsidRPr="00097824">
        <w:rPr>
          <w:rFonts w:eastAsia="Times New Roman"/>
          <w:szCs w:val="24"/>
          <w:lang w:eastAsia="ru-RU"/>
        </w:rPr>
        <w:t>3.</w:t>
      </w:r>
      <w:r w:rsidRPr="00097824">
        <w:rPr>
          <w:rFonts w:eastAsia="Times New Roman"/>
          <w:szCs w:val="24"/>
          <w:lang w:eastAsia="ru-RU"/>
        </w:rPr>
        <w:tab/>
      </w:r>
      <w:proofErr w:type="spellStart"/>
      <w:r w:rsidRPr="00097824">
        <w:rPr>
          <w:rFonts w:eastAsia="Times New Roman"/>
          <w:szCs w:val="24"/>
          <w:lang w:eastAsia="ru-RU"/>
        </w:rPr>
        <w:t>Невольских</w:t>
      </w:r>
      <w:proofErr w:type="spellEnd"/>
      <w:r w:rsidRPr="00097824">
        <w:rPr>
          <w:rFonts w:eastAsia="Times New Roman"/>
          <w:szCs w:val="24"/>
          <w:lang w:eastAsia="ru-RU"/>
        </w:rPr>
        <w:t xml:space="preserve"> Алексей Алексеевич, д.м.н., заместитель директора по лечебной работе МРНЦ им. А.Ф. Цыба – филиала ФГБУ «НМИЦ радиологии» Минздрава России.</w:t>
      </w:r>
    </w:p>
    <w:p w14:paraId="4A90D889" w14:textId="56036E90" w:rsidR="001D7531" w:rsidRPr="00097824" w:rsidRDefault="001D7531" w:rsidP="001D7531">
      <w:pPr>
        <w:ind w:left="397" w:firstLine="357"/>
        <w:rPr>
          <w:rFonts w:eastAsia="Times New Roman"/>
          <w:szCs w:val="24"/>
          <w:lang w:eastAsia="ru-RU"/>
        </w:rPr>
      </w:pPr>
      <w:r w:rsidRPr="00097824">
        <w:rPr>
          <w:rFonts w:eastAsia="Times New Roman"/>
          <w:szCs w:val="24"/>
          <w:lang w:eastAsia="ru-RU"/>
        </w:rPr>
        <w:t>4.</w:t>
      </w:r>
      <w:r w:rsidRPr="00097824">
        <w:rPr>
          <w:rFonts w:eastAsia="Times New Roman"/>
          <w:szCs w:val="24"/>
          <w:lang w:eastAsia="ru-RU"/>
        </w:rPr>
        <w:tab/>
      </w:r>
      <w:proofErr w:type="spellStart"/>
      <w:r w:rsidRPr="00097824">
        <w:rPr>
          <w:rFonts w:eastAsia="Times New Roman"/>
          <w:szCs w:val="24"/>
          <w:lang w:eastAsia="ru-RU"/>
        </w:rPr>
        <w:t>Хайлова</w:t>
      </w:r>
      <w:proofErr w:type="spellEnd"/>
      <w:r w:rsidRPr="00097824">
        <w:rPr>
          <w:rFonts w:eastAsia="Times New Roman"/>
          <w:szCs w:val="24"/>
          <w:lang w:eastAsia="ru-RU"/>
        </w:rPr>
        <w:t xml:space="preserve"> Жанна Владимировна, к.м.н., заместитель директора по организационно-методической работе МРНЦ им. А.Ф. Цыба - филиал ФГБУ "НМИЦ радиологии" Минздрава России.</w:t>
      </w:r>
    </w:p>
    <w:p w14:paraId="0E9AB3C0" w14:textId="77777777" w:rsidR="00FF29EC" w:rsidRPr="00097824" w:rsidRDefault="00FF29EC" w:rsidP="00AD4A9F">
      <w:pPr>
        <w:ind w:left="397" w:firstLine="357"/>
        <w:rPr>
          <w:rFonts w:eastAsia="Times New Roman"/>
          <w:b/>
          <w:szCs w:val="24"/>
          <w:lang w:eastAsia="ru-RU"/>
        </w:rPr>
      </w:pPr>
    </w:p>
    <w:p w14:paraId="5FEE7DFA" w14:textId="77777777" w:rsidR="00EF7802" w:rsidRPr="00097824" w:rsidRDefault="00EF7802" w:rsidP="00AD4A9F">
      <w:pPr>
        <w:ind w:left="397" w:firstLine="357"/>
        <w:rPr>
          <w:rFonts w:eastAsia="Times New Roman"/>
          <w:szCs w:val="24"/>
          <w:lang w:eastAsia="ru-RU"/>
        </w:rPr>
      </w:pPr>
      <w:r w:rsidRPr="00097824">
        <w:rPr>
          <w:rFonts w:eastAsia="Times New Roman"/>
          <w:b/>
          <w:szCs w:val="24"/>
          <w:lang w:eastAsia="ru-RU"/>
        </w:rPr>
        <w:t>Конфликта интересов нет.</w:t>
      </w:r>
    </w:p>
    <w:p w14:paraId="1DC7A3B2" w14:textId="77777777" w:rsidR="00CD17D7" w:rsidRPr="00097824" w:rsidRDefault="00CD17D7" w:rsidP="00062B1F">
      <w:pPr>
        <w:pStyle w:val="a1"/>
        <w:spacing w:before="0"/>
        <w:jc w:val="both"/>
      </w:pPr>
      <w:r w:rsidRPr="00097824">
        <w:br w:type="page"/>
      </w:r>
      <w:bookmarkStart w:id="132" w:name="__RefHeading___doc_a2"/>
      <w:bookmarkStart w:id="133" w:name="_Toc11747752"/>
      <w:bookmarkStart w:id="134" w:name="_Toc23142741"/>
      <w:bookmarkStart w:id="135" w:name="_Toc113198781"/>
      <w:bookmarkStart w:id="136" w:name="_Toc113205072"/>
      <w:r w:rsidRPr="00097824">
        <w:lastRenderedPageBreak/>
        <w:t>Приложение А2. Методология разработки клинических рекомендаций</w:t>
      </w:r>
      <w:bookmarkEnd w:id="132"/>
      <w:bookmarkEnd w:id="133"/>
      <w:bookmarkEnd w:id="134"/>
      <w:bookmarkEnd w:id="135"/>
      <w:bookmarkEnd w:id="136"/>
    </w:p>
    <w:p w14:paraId="0EDFA6A7" w14:textId="77777777" w:rsidR="006C5E5E" w:rsidRPr="00097824" w:rsidRDefault="006C5E5E" w:rsidP="00AD4A9F">
      <w:pPr>
        <w:pStyle w:val="a2"/>
        <w:spacing w:before="0"/>
        <w:ind w:left="397" w:firstLine="357"/>
      </w:pPr>
      <w:r w:rsidRPr="00097824">
        <w:t>Целевая аудитория данных клинических рекомендаций:</w:t>
      </w:r>
    </w:p>
    <w:p w14:paraId="350916FB" w14:textId="77777777" w:rsidR="006C5E5E" w:rsidRPr="00097824" w:rsidRDefault="006C5E5E" w:rsidP="00CC2BE1">
      <w:pPr>
        <w:pStyle w:val="-11"/>
        <w:numPr>
          <w:ilvl w:val="0"/>
          <w:numId w:val="7"/>
        </w:numPr>
        <w:ind w:left="397" w:firstLine="357"/>
      </w:pPr>
      <w:r w:rsidRPr="00097824">
        <w:t xml:space="preserve">врачи-онкологи; </w:t>
      </w:r>
    </w:p>
    <w:p w14:paraId="38C36B82" w14:textId="77777777" w:rsidR="006C5E5E" w:rsidRPr="00097824" w:rsidRDefault="00D02068" w:rsidP="00CC2BE1">
      <w:pPr>
        <w:pStyle w:val="-11"/>
        <w:numPr>
          <w:ilvl w:val="0"/>
          <w:numId w:val="7"/>
        </w:numPr>
        <w:ind w:left="397" w:firstLine="357"/>
      </w:pPr>
      <w:r w:rsidRPr="00097824">
        <w:t>в</w:t>
      </w:r>
      <w:r w:rsidR="006C5E5E" w:rsidRPr="00097824">
        <w:t>рачи-хирурги;</w:t>
      </w:r>
    </w:p>
    <w:p w14:paraId="3C002947" w14:textId="77777777" w:rsidR="006C5E5E" w:rsidRPr="00097824" w:rsidRDefault="00D02068" w:rsidP="00CC2BE1">
      <w:pPr>
        <w:pStyle w:val="-11"/>
        <w:numPr>
          <w:ilvl w:val="0"/>
          <w:numId w:val="7"/>
        </w:numPr>
        <w:ind w:left="397" w:firstLine="357"/>
      </w:pPr>
      <w:r w:rsidRPr="00097824">
        <w:t>в</w:t>
      </w:r>
      <w:r w:rsidR="006C5E5E" w:rsidRPr="00097824">
        <w:t>рачи-радиологи;</w:t>
      </w:r>
    </w:p>
    <w:p w14:paraId="6D3C5478" w14:textId="257756A2" w:rsidR="006C5E5E" w:rsidRPr="00097824" w:rsidRDefault="00D02068" w:rsidP="00CC2BE1">
      <w:pPr>
        <w:pStyle w:val="-11"/>
        <w:numPr>
          <w:ilvl w:val="0"/>
          <w:numId w:val="7"/>
        </w:numPr>
        <w:ind w:left="397" w:firstLine="357"/>
      </w:pPr>
      <w:r w:rsidRPr="00097824">
        <w:t>в</w:t>
      </w:r>
      <w:r w:rsidR="006C5E5E" w:rsidRPr="00097824">
        <w:t>рачи</w:t>
      </w:r>
      <w:r w:rsidR="00714BAA" w:rsidRPr="00097824">
        <w:t>-</w:t>
      </w:r>
      <w:r w:rsidR="006C5E5E" w:rsidRPr="00097824">
        <w:t>интервенционные радиологи</w:t>
      </w:r>
      <w:r w:rsidRPr="00097824">
        <w:t>;</w:t>
      </w:r>
    </w:p>
    <w:p w14:paraId="3E816AF7" w14:textId="77777777" w:rsidR="006C5E5E" w:rsidRPr="00097824" w:rsidRDefault="00D02068" w:rsidP="00CC2BE1">
      <w:pPr>
        <w:pStyle w:val="-11"/>
        <w:numPr>
          <w:ilvl w:val="0"/>
          <w:numId w:val="7"/>
        </w:numPr>
        <w:ind w:left="397" w:firstLine="357"/>
      </w:pPr>
      <w:r w:rsidRPr="00097824">
        <w:t>в</w:t>
      </w:r>
      <w:r w:rsidR="006C5E5E" w:rsidRPr="00097824">
        <w:t>рачи-химиотерапевты;</w:t>
      </w:r>
    </w:p>
    <w:p w14:paraId="05F16AD0" w14:textId="77777777" w:rsidR="006C5E5E" w:rsidRPr="00097824" w:rsidRDefault="00D02068" w:rsidP="00CC2BE1">
      <w:pPr>
        <w:pStyle w:val="-11"/>
        <w:numPr>
          <w:ilvl w:val="0"/>
          <w:numId w:val="7"/>
        </w:numPr>
        <w:ind w:left="397" w:firstLine="357"/>
      </w:pPr>
      <w:r w:rsidRPr="00097824">
        <w:t>с</w:t>
      </w:r>
      <w:r w:rsidR="006C5E5E" w:rsidRPr="00097824">
        <w:t xml:space="preserve">туденты медицинских </w:t>
      </w:r>
      <w:r w:rsidRPr="00097824">
        <w:t>вуз</w:t>
      </w:r>
      <w:r w:rsidR="006C5E5E" w:rsidRPr="00097824">
        <w:t>ов, ординаторы и аспиранты.</w:t>
      </w:r>
    </w:p>
    <w:p w14:paraId="199B6251" w14:textId="77777777" w:rsidR="006C5E5E" w:rsidRPr="00097824" w:rsidRDefault="006C5E5E" w:rsidP="00AD4A9F">
      <w:pPr>
        <w:ind w:left="397" w:firstLine="357"/>
      </w:pPr>
      <w:r w:rsidRPr="00097824">
        <w:rPr>
          <w:b/>
        </w:rPr>
        <w:t xml:space="preserve">Методы, использованные для сбора/селекции доказательств: </w:t>
      </w:r>
      <w:r w:rsidRPr="00097824">
        <w:t>поиск в</w:t>
      </w:r>
      <w:r w:rsidR="00D02068" w:rsidRPr="00097824">
        <w:t> </w:t>
      </w:r>
      <w:r w:rsidRPr="00097824">
        <w:t xml:space="preserve">электронных базах данных; анализ современных научных разработок по проблеме </w:t>
      </w:r>
      <w:r w:rsidR="00F11A36" w:rsidRPr="00097824">
        <w:t>Х</w:t>
      </w:r>
      <w:r w:rsidRPr="00097824">
        <w:t>ЦР в</w:t>
      </w:r>
      <w:r w:rsidR="00D02068" w:rsidRPr="00097824">
        <w:t> </w:t>
      </w:r>
      <w:r w:rsidRPr="00097824">
        <w:t>РФ и за рубежом; обобщение практического опыта российских и зарубежных специалистов.</w:t>
      </w:r>
    </w:p>
    <w:p w14:paraId="79176C1A" w14:textId="77777777" w:rsidR="006C5E5E" w:rsidRPr="00097824" w:rsidRDefault="006C5E5E" w:rsidP="00AD4A9F">
      <w:pPr>
        <w:ind w:left="397" w:firstLine="357"/>
      </w:pPr>
    </w:p>
    <w:p w14:paraId="129B27DF" w14:textId="77777777" w:rsidR="006C5E5E" w:rsidRPr="00097824" w:rsidRDefault="006C5E5E" w:rsidP="00AD4A9F">
      <w:pPr>
        <w:ind w:left="397" w:firstLine="357"/>
        <w:contextualSpacing/>
      </w:pPr>
      <w:r w:rsidRPr="00097824">
        <w:t>Таблица П</w:t>
      </w:r>
      <w:proofErr w:type="gramStart"/>
      <w:r w:rsidRPr="00097824">
        <w:t>1</w:t>
      </w:r>
      <w:r w:rsidR="00E80CE9" w:rsidRPr="00097824">
        <w:t>.</w:t>
      </w:r>
      <w:r w:rsidR="008422F8" w:rsidRPr="00097824">
        <w:t>Шкала</w:t>
      </w:r>
      <w:proofErr w:type="gramEnd"/>
      <w:r w:rsidR="008422F8" w:rsidRPr="00097824">
        <w:t xml:space="preserve"> оценки уровней достоверности </w:t>
      </w:r>
      <w:r w:rsidR="006846F3" w:rsidRPr="00097824">
        <w:t>доказательств</w:t>
      </w:r>
      <w:r w:rsidR="008422F8" w:rsidRPr="00097824">
        <w:t xml:space="preserve"> (УДД) для методов диагностики (диагностических вмешательств).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7066"/>
      </w:tblGrid>
      <w:tr w:rsidR="005A526D" w:rsidRPr="00097824" w14:paraId="579B6874" w14:textId="77777777" w:rsidTr="008A5C0F">
        <w:trPr>
          <w:tblHeader/>
        </w:trPr>
        <w:tc>
          <w:tcPr>
            <w:tcW w:w="2279" w:type="dxa"/>
            <w:vAlign w:val="center"/>
          </w:tcPr>
          <w:p w14:paraId="65554464" w14:textId="6E4352A0" w:rsidR="006C5E5E" w:rsidRPr="00097824" w:rsidRDefault="008A5C0F" w:rsidP="00AD4A9F">
            <w:pPr>
              <w:ind w:left="397" w:firstLine="357"/>
              <w:jc w:val="center"/>
              <w:rPr>
                <w:b/>
              </w:rPr>
            </w:pPr>
            <w:r w:rsidRPr="00097824">
              <w:rPr>
                <w:b/>
              </w:rPr>
              <w:t>УДД</w:t>
            </w:r>
          </w:p>
        </w:tc>
        <w:tc>
          <w:tcPr>
            <w:tcW w:w="7066" w:type="dxa"/>
            <w:vAlign w:val="center"/>
          </w:tcPr>
          <w:p w14:paraId="132D9AE1" w14:textId="77777777" w:rsidR="006C5E5E" w:rsidRPr="00097824" w:rsidRDefault="00F850F4" w:rsidP="00AD4A9F">
            <w:pPr>
              <w:ind w:left="397" w:firstLine="357"/>
              <w:jc w:val="center"/>
              <w:rPr>
                <w:b/>
              </w:rPr>
            </w:pPr>
            <w:r w:rsidRPr="00097824">
              <w:rPr>
                <w:b/>
              </w:rPr>
              <w:t>Расшифровка</w:t>
            </w:r>
          </w:p>
        </w:tc>
      </w:tr>
      <w:tr w:rsidR="005A526D" w:rsidRPr="00097824" w14:paraId="510530FD" w14:textId="77777777" w:rsidTr="008A5C0F">
        <w:tc>
          <w:tcPr>
            <w:tcW w:w="2279" w:type="dxa"/>
            <w:vAlign w:val="center"/>
          </w:tcPr>
          <w:p w14:paraId="00030542" w14:textId="77777777" w:rsidR="00D630AE" w:rsidRPr="00097824" w:rsidRDefault="00F850F4" w:rsidP="00AD4A9F">
            <w:pPr>
              <w:ind w:left="397" w:firstLine="357"/>
              <w:jc w:val="center"/>
            </w:pPr>
            <w:r w:rsidRPr="00097824">
              <w:t>1</w:t>
            </w:r>
          </w:p>
        </w:tc>
        <w:tc>
          <w:tcPr>
            <w:tcW w:w="7066" w:type="dxa"/>
          </w:tcPr>
          <w:p w14:paraId="754AC8C5" w14:textId="6668FA86" w:rsidR="00F850F4" w:rsidRPr="00097824" w:rsidRDefault="00F850F4" w:rsidP="00AD4A9F">
            <w:pPr>
              <w:ind w:left="397" w:firstLine="357"/>
            </w:pPr>
            <w:r w:rsidRPr="00097824">
              <w:t>Систематический обзор рандомизированных клинических исследований с применением метаанализа</w:t>
            </w:r>
          </w:p>
        </w:tc>
      </w:tr>
      <w:tr w:rsidR="005A526D" w:rsidRPr="00097824" w14:paraId="0418EC1A" w14:textId="77777777" w:rsidTr="008A5C0F">
        <w:tc>
          <w:tcPr>
            <w:tcW w:w="2279" w:type="dxa"/>
            <w:vAlign w:val="center"/>
          </w:tcPr>
          <w:p w14:paraId="4A847697" w14:textId="645FCC48" w:rsidR="00D630AE" w:rsidRPr="00097824" w:rsidRDefault="00F850F4" w:rsidP="00AD4A9F">
            <w:pPr>
              <w:ind w:left="397" w:firstLine="357"/>
              <w:jc w:val="center"/>
            </w:pPr>
            <w:r w:rsidRPr="00097824">
              <w:t>2</w:t>
            </w:r>
          </w:p>
        </w:tc>
        <w:tc>
          <w:tcPr>
            <w:tcW w:w="7066" w:type="dxa"/>
          </w:tcPr>
          <w:p w14:paraId="11B5BCCE" w14:textId="67921CF2" w:rsidR="00F850F4" w:rsidRPr="00097824" w:rsidRDefault="00F850F4" w:rsidP="00AD4A9F">
            <w:pPr>
              <w:ind w:left="397" w:firstLine="357"/>
            </w:pPr>
            <w:r w:rsidRPr="00097824">
              <w:t>Отдельные</w:t>
            </w:r>
            <w:r w:rsidR="00221FD9" w:rsidRPr="00097824">
              <w:t xml:space="preserve"> </w:t>
            </w:r>
            <w:r w:rsidRPr="00097824">
              <w:t>рандомизированные клинические исследования и систематические обзоры исследования любого дизайна, за исключением рандомизированных клинических исследований, с применением метаанализа</w:t>
            </w:r>
          </w:p>
        </w:tc>
      </w:tr>
      <w:tr w:rsidR="005A526D" w:rsidRPr="00097824" w14:paraId="5F849BDA" w14:textId="77777777" w:rsidTr="008A5C0F">
        <w:tc>
          <w:tcPr>
            <w:tcW w:w="2279" w:type="dxa"/>
            <w:vAlign w:val="center"/>
          </w:tcPr>
          <w:p w14:paraId="19C84592" w14:textId="77777777" w:rsidR="00D630AE" w:rsidRPr="00097824" w:rsidRDefault="00F850F4" w:rsidP="00AD4A9F">
            <w:pPr>
              <w:ind w:left="397" w:firstLine="357"/>
              <w:jc w:val="center"/>
            </w:pPr>
            <w:r w:rsidRPr="00097824">
              <w:t>3</w:t>
            </w:r>
          </w:p>
        </w:tc>
        <w:tc>
          <w:tcPr>
            <w:tcW w:w="7066" w:type="dxa"/>
          </w:tcPr>
          <w:p w14:paraId="2FAEC9E8" w14:textId="4A2CCBAF" w:rsidR="00F850F4" w:rsidRPr="00097824" w:rsidRDefault="00F850F4" w:rsidP="00AD4A9F">
            <w:pPr>
              <w:ind w:left="397" w:firstLine="357"/>
            </w:pPr>
            <w:proofErr w:type="spellStart"/>
            <w:r w:rsidRPr="00097824">
              <w:t>Нерандомизированные</w:t>
            </w:r>
            <w:proofErr w:type="spellEnd"/>
            <w:r w:rsidRPr="00097824">
              <w:t xml:space="preserve"> сравнительные исследования, в том числе </w:t>
            </w:r>
            <w:proofErr w:type="spellStart"/>
            <w:r w:rsidRPr="00097824">
              <w:t>когортные</w:t>
            </w:r>
            <w:proofErr w:type="spellEnd"/>
            <w:r w:rsidRPr="00097824">
              <w:t xml:space="preserve"> исследования</w:t>
            </w:r>
          </w:p>
        </w:tc>
      </w:tr>
      <w:tr w:rsidR="005A526D" w:rsidRPr="00097824" w14:paraId="024462EF" w14:textId="77777777" w:rsidTr="008A5C0F">
        <w:tc>
          <w:tcPr>
            <w:tcW w:w="2279" w:type="dxa"/>
            <w:vAlign w:val="center"/>
          </w:tcPr>
          <w:p w14:paraId="47D963D2" w14:textId="77777777" w:rsidR="00D630AE" w:rsidRPr="00097824" w:rsidRDefault="00F850F4" w:rsidP="00AD4A9F">
            <w:pPr>
              <w:ind w:left="397" w:firstLine="357"/>
              <w:jc w:val="center"/>
            </w:pPr>
            <w:r w:rsidRPr="00097824">
              <w:t>4</w:t>
            </w:r>
          </w:p>
        </w:tc>
        <w:tc>
          <w:tcPr>
            <w:tcW w:w="7066" w:type="dxa"/>
          </w:tcPr>
          <w:p w14:paraId="51AD5937" w14:textId="09E01609" w:rsidR="00F850F4" w:rsidRPr="00097824" w:rsidRDefault="00F850F4" w:rsidP="00AD4A9F">
            <w:pPr>
              <w:ind w:left="397" w:firstLine="357"/>
            </w:pPr>
            <w:proofErr w:type="spellStart"/>
            <w:r w:rsidRPr="00097824">
              <w:t>Несравнительные</w:t>
            </w:r>
            <w:proofErr w:type="spellEnd"/>
            <w:r w:rsidRPr="00097824">
              <w:t xml:space="preserve"> исследования, описание клинического случая</w:t>
            </w:r>
            <w:r w:rsidR="00F11A36" w:rsidRPr="00097824">
              <w:t xml:space="preserve"> или серии случаев, исследования </w:t>
            </w:r>
            <w:r w:rsidR="008A5C0F" w:rsidRPr="00097824">
              <w:t>«</w:t>
            </w:r>
            <w:r w:rsidR="00F11A36" w:rsidRPr="00097824">
              <w:t>случай</w:t>
            </w:r>
            <w:r w:rsidR="008A5C0F" w:rsidRPr="00097824">
              <w:t xml:space="preserve"> – </w:t>
            </w:r>
            <w:r w:rsidR="00F11A36" w:rsidRPr="00097824">
              <w:t>контроль</w:t>
            </w:r>
            <w:r w:rsidR="008A5C0F" w:rsidRPr="00097824">
              <w:t>»</w:t>
            </w:r>
          </w:p>
        </w:tc>
      </w:tr>
      <w:tr w:rsidR="005A526D" w:rsidRPr="00097824" w14:paraId="69116833" w14:textId="77777777" w:rsidTr="008A5C0F">
        <w:trPr>
          <w:trHeight w:val="422"/>
        </w:trPr>
        <w:tc>
          <w:tcPr>
            <w:tcW w:w="2279" w:type="dxa"/>
            <w:vAlign w:val="center"/>
          </w:tcPr>
          <w:p w14:paraId="10446E32" w14:textId="77777777" w:rsidR="00D630AE" w:rsidRPr="00097824" w:rsidRDefault="00F11A36" w:rsidP="00AD4A9F">
            <w:pPr>
              <w:ind w:left="397" w:firstLine="357"/>
              <w:jc w:val="center"/>
            </w:pPr>
            <w:r w:rsidRPr="00097824">
              <w:t>5</w:t>
            </w:r>
          </w:p>
        </w:tc>
        <w:tc>
          <w:tcPr>
            <w:tcW w:w="7066" w:type="dxa"/>
          </w:tcPr>
          <w:p w14:paraId="4DBD0FBB" w14:textId="77777777" w:rsidR="00F11A36" w:rsidRPr="00097824" w:rsidRDefault="00F11A36" w:rsidP="00AD4A9F">
            <w:pPr>
              <w:ind w:left="397" w:firstLine="357"/>
            </w:pPr>
            <w:r w:rsidRPr="00097824">
              <w:t>Имеется лишь обоснование механизма действия вмешательства (доклинические исследования) или мнение экспертов</w:t>
            </w:r>
          </w:p>
        </w:tc>
      </w:tr>
    </w:tbl>
    <w:p w14:paraId="5BD7629D" w14:textId="77777777" w:rsidR="00C40CC2" w:rsidRPr="00097824" w:rsidRDefault="00C40CC2" w:rsidP="00AD4A9F">
      <w:pPr>
        <w:ind w:left="397" w:firstLine="357"/>
        <w:contextualSpacing/>
      </w:pPr>
    </w:p>
    <w:p w14:paraId="70EF0510" w14:textId="77777777" w:rsidR="001F5615" w:rsidRPr="00097824" w:rsidRDefault="006C5E5E" w:rsidP="00AD4A9F">
      <w:pPr>
        <w:ind w:left="397" w:firstLine="357"/>
        <w:contextualSpacing/>
      </w:pPr>
      <w:r w:rsidRPr="00097824">
        <w:t>Таблица П2</w:t>
      </w:r>
      <w:r w:rsidR="00E7175B" w:rsidRPr="00097824">
        <w:t>.</w:t>
      </w:r>
      <w:r w:rsidR="001F5615" w:rsidRPr="00097824">
        <w:t xml:space="preserve"> Шкала оценки уровней достоверности доказательств (УДД) для методов профилактики, лечения и реабилитации (профилактических, лечебных реабилитационных вмешательств)</w:t>
      </w:r>
    </w:p>
    <w:p w14:paraId="1CA22376" w14:textId="77777777" w:rsidR="001F5615" w:rsidRPr="00097824" w:rsidRDefault="001F5615" w:rsidP="00AD4A9F">
      <w:pPr>
        <w:ind w:left="397" w:firstLine="357"/>
        <w:contextualSpacing/>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81"/>
      </w:tblGrid>
      <w:tr w:rsidR="005A526D" w:rsidRPr="00097824" w14:paraId="25A74BDE" w14:textId="77777777" w:rsidTr="008A5C0F">
        <w:trPr>
          <w:tblHeader/>
        </w:trPr>
        <w:tc>
          <w:tcPr>
            <w:tcW w:w="2263" w:type="dxa"/>
            <w:tcBorders>
              <w:top w:val="single" w:sz="4" w:space="0" w:color="auto"/>
              <w:left w:val="single" w:sz="4" w:space="0" w:color="auto"/>
              <w:bottom w:val="single" w:sz="4" w:space="0" w:color="auto"/>
              <w:right w:val="single" w:sz="4" w:space="0" w:color="auto"/>
            </w:tcBorders>
            <w:vAlign w:val="center"/>
          </w:tcPr>
          <w:p w14:paraId="46077D4B" w14:textId="77777777" w:rsidR="001F5615" w:rsidRPr="00097824" w:rsidRDefault="001F5615" w:rsidP="00AD4A9F">
            <w:pPr>
              <w:ind w:left="397" w:firstLine="357"/>
              <w:jc w:val="center"/>
              <w:rPr>
                <w:b/>
              </w:rPr>
            </w:pPr>
            <w:r w:rsidRPr="00097824">
              <w:rPr>
                <w:b/>
              </w:rPr>
              <w:lastRenderedPageBreak/>
              <w:t>УДД</w:t>
            </w:r>
          </w:p>
        </w:tc>
        <w:tc>
          <w:tcPr>
            <w:tcW w:w="7081" w:type="dxa"/>
            <w:tcBorders>
              <w:top w:val="single" w:sz="4" w:space="0" w:color="auto"/>
              <w:left w:val="single" w:sz="4" w:space="0" w:color="auto"/>
              <w:bottom w:val="single" w:sz="4" w:space="0" w:color="auto"/>
              <w:right w:val="single" w:sz="4" w:space="0" w:color="auto"/>
            </w:tcBorders>
            <w:vAlign w:val="center"/>
          </w:tcPr>
          <w:p w14:paraId="4C02E210" w14:textId="77777777" w:rsidR="001F5615" w:rsidRPr="00097824" w:rsidRDefault="001F5615" w:rsidP="00AD4A9F">
            <w:pPr>
              <w:ind w:left="397" w:firstLine="357"/>
              <w:jc w:val="center"/>
              <w:rPr>
                <w:b/>
              </w:rPr>
            </w:pPr>
            <w:r w:rsidRPr="00097824">
              <w:rPr>
                <w:b/>
              </w:rPr>
              <w:t>Расшифровка</w:t>
            </w:r>
          </w:p>
        </w:tc>
      </w:tr>
      <w:tr w:rsidR="005A526D" w:rsidRPr="00097824" w14:paraId="1FCBE525" w14:textId="77777777" w:rsidTr="008A5C0F">
        <w:tc>
          <w:tcPr>
            <w:tcW w:w="2263" w:type="dxa"/>
            <w:tcBorders>
              <w:top w:val="single" w:sz="4" w:space="0" w:color="auto"/>
              <w:left w:val="single" w:sz="4" w:space="0" w:color="auto"/>
              <w:bottom w:val="single" w:sz="4" w:space="0" w:color="auto"/>
              <w:right w:val="single" w:sz="4" w:space="0" w:color="auto"/>
            </w:tcBorders>
            <w:vAlign w:val="center"/>
          </w:tcPr>
          <w:p w14:paraId="1E164523" w14:textId="77777777" w:rsidR="00D630AE" w:rsidRPr="00097824" w:rsidRDefault="001F5615" w:rsidP="00AD4A9F">
            <w:pPr>
              <w:ind w:left="397" w:firstLine="357"/>
              <w:jc w:val="center"/>
            </w:pPr>
            <w:r w:rsidRPr="00097824">
              <w:t>1</w:t>
            </w:r>
          </w:p>
        </w:tc>
        <w:tc>
          <w:tcPr>
            <w:tcW w:w="7081" w:type="dxa"/>
            <w:tcBorders>
              <w:top w:val="single" w:sz="4" w:space="0" w:color="auto"/>
              <w:left w:val="single" w:sz="4" w:space="0" w:color="auto"/>
              <w:bottom w:val="single" w:sz="4" w:space="0" w:color="auto"/>
              <w:right w:val="single" w:sz="4" w:space="0" w:color="auto"/>
            </w:tcBorders>
          </w:tcPr>
          <w:p w14:paraId="2A47CE8E" w14:textId="77777777" w:rsidR="00D630AE" w:rsidRPr="00097824" w:rsidRDefault="001F5615" w:rsidP="00AD4A9F">
            <w:pPr>
              <w:ind w:left="397" w:firstLine="357"/>
            </w:pPr>
            <w:r w:rsidRPr="00097824">
              <w:t>Систематический обзор рандомизированных клинических исследований</w:t>
            </w:r>
            <w:r w:rsidR="00AF6B1D" w:rsidRPr="00097824">
              <w:t xml:space="preserve"> с применением метаанализа</w:t>
            </w:r>
          </w:p>
        </w:tc>
      </w:tr>
      <w:tr w:rsidR="005A526D" w:rsidRPr="00097824" w14:paraId="313BC387" w14:textId="77777777" w:rsidTr="008A5C0F">
        <w:tc>
          <w:tcPr>
            <w:tcW w:w="2263" w:type="dxa"/>
            <w:tcBorders>
              <w:top w:val="single" w:sz="4" w:space="0" w:color="auto"/>
              <w:left w:val="single" w:sz="4" w:space="0" w:color="auto"/>
              <w:bottom w:val="single" w:sz="4" w:space="0" w:color="auto"/>
              <w:right w:val="single" w:sz="4" w:space="0" w:color="auto"/>
            </w:tcBorders>
            <w:vAlign w:val="center"/>
          </w:tcPr>
          <w:p w14:paraId="6C2281D3" w14:textId="77777777" w:rsidR="00D630AE" w:rsidRPr="00097824" w:rsidRDefault="00AF6B1D" w:rsidP="00AD4A9F">
            <w:pPr>
              <w:ind w:left="397" w:firstLine="357"/>
              <w:jc w:val="center"/>
            </w:pPr>
            <w:r w:rsidRPr="00097824">
              <w:t>2</w:t>
            </w:r>
          </w:p>
        </w:tc>
        <w:tc>
          <w:tcPr>
            <w:tcW w:w="7081" w:type="dxa"/>
            <w:tcBorders>
              <w:top w:val="single" w:sz="4" w:space="0" w:color="auto"/>
              <w:left w:val="single" w:sz="4" w:space="0" w:color="auto"/>
              <w:bottom w:val="single" w:sz="4" w:space="0" w:color="auto"/>
              <w:right w:val="single" w:sz="4" w:space="0" w:color="auto"/>
            </w:tcBorders>
          </w:tcPr>
          <w:p w14:paraId="3490C754" w14:textId="77777777" w:rsidR="00D630AE" w:rsidRPr="00097824" w:rsidRDefault="00AF6B1D" w:rsidP="00AD4A9F">
            <w:pPr>
              <w:ind w:left="397" w:firstLine="357"/>
            </w:pPr>
            <w:r w:rsidRPr="00097824">
              <w:t>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5A526D" w:rsidRPr="00097824" w14:paraId="0885FF57" w14:textId="77777777" w:rsidTr="008A5C0F">
        <w:tc>
          <w:tcPr>
            <w:tcW w:w="2263" w:type="dxa"/>
            <w:tcBorders>
              <w:top w:val="single" w:sz="4" w:space="0" w:color="auto"/>
              <w:left w:val="single" w:sz="4" w:space="0" w:color="auto"/>
              <w:bottom w:val="single" w:sz="4" w:space="0" w:color="auto"/>
              <w:right w:val="single" w:sz="4" w:space="0" w:color="auto"/>
            </w:tcBorders>
            <w:vAlign w:val="center"/>
          </w:tcPr>
          <w:p w14:paraId="5CC8CCA3" w14:textId="77777777" w:rsidR="00D630AE" w:rsidRPr="00097824" w:rsidRDefault="00AF6B1D" w:rsidP="00AD4A9F">
            <w:pPr>
              <w:ind w:left="397" w:firstLine="357"/>
              <w:jc w:val="center"/>
            </w:pPr>
            <w:r w:rsidRPr="00097824">
              <w:t>3</w:t>
            </w:r>
          </w:p>
        </w:tc>
        <w:tc>
          <w:tcPr>
            <w:tcW w:w="7081" w:type="dxa"/>
            <w:tcBorders>
              <w:top w:val="single" w:sz="4" w:space="0" w:color="auto"/>
              <w:left w:val="single" w:sz="4" w:space="0" w:color="auto"/>
              <w:bottom w:val="single" w:sz="4" w:space="0" w:color="auto"/>
              <w:right w:val="single" w:sz="4" w:space="0" w:color="auto"/>
            </w:tcBorders>
          </w:tcPr>
          <w:p w14:paraId="4259C276" w14:textId="77777777" w:rsidR="00AF6B1D" w:rsidRPr="00097824" w:rsidRDefault="00AF6B1D" w:rsidP="00AD4A9F">
            <w:pPr>
              <w:ind w:left="397" w:firstLine="357"/>
            </w:pPr>
            <w:proofErr w:type="spellStart"/>
            <w:r w:rsidRPr="00097824">
              <w:t>Нерандомизированные</w:t>
            </w:r>
            <w:proofErr w:type="spellEnd"/>
            <w:r w:rsidRPr="00097824">
              <w:t xml:space="preserve"> сравнительные исследования, в том числе </w:t>
            </w:r>
            <w:proofErr w:type="spellStart"/>
            <w:r w:rsidRPr="00097824">
              <w:t>когортные</w:t>
            </w:r>
            <w:proofErr w:type="spellEnd"/>
            <w:r w:rsidRPr="00097824">
              <w:t xml:space="preserve"> исследования.</w:t>
            </w:r>
          </w:p>
        </w:tc>
      </w:tr>
      <w:tr w:rsidR="005A526D" w:rsidRPr="00097824" w14:paraId="55AD9803" w14:textId="77777777" w:rsidTr="008A5C0F">
        <w:tc>
          <w:tcPr>
            <w:tcW w:w="2263" w:type="dxa"/>
            <w:tcBorders>
              <w:top w:val="single" w:sz="4" w:space="0" w:color="auto"/>
              <w:left w:val="single" w:sz="4" w:space="0" w:color="auto"/>
              <w:bottom w:val="single" w:sz="4" w:space="0" w:color="auto"/>
              <w:right w:val="single" w:sz="4" w:space="0" w:color="auto"/>
            </w:tcBorders>
            <w:vAlign w:val="center"/>
          </w:tcPr>
          <w:p w14:paraId="17A15140" w14:textId="77777777" w:rsidR="00D630AE" w:rsidRPr="00097824" w:rsidRDefault="00AF6B1D" w:rsidP="00AD4A9F">
            <w:pPr>
              <w:ind w:left="397" w:firstLine="357"/>
              <w:jc w:val="center"/>
            </w:pPr>
            <w:r w:rsidRPr="00097824">
              <w:t>4</w:t>
            </w:r>
          </w:p>
        </w:tc>
        <w:tc>
          <w:tcPr>
            <w:tcW w:w="7081" w:type="dxa"/>
            <w:tcBorders>
              <w:top w:val="single" w:sz="4" w:space="0" w:color="auto"/>
              <w:left w:val="single" w:sz="4" w:space="0" w:color="auto"/>
              <w:bottom w:val="single" w:sz="4" w:space="0" w:color="auto"/>
              <w:right w:val="single" w:sz="4" w:space="0" w:color="auto"/>
            </w:tcBorders>
          </w:tcPr>
          <w:p w14:paraId="22B6B0E9" w14:textId="217FE472" w:rsidR="00D630AE" w:rsidRPr="00097824" w:rsidRDefault="00AF6B1D" w:rsidP="00AD4A9F">
            <w:pPr>
              <w:ind w:left="397" w:firstLine="357"/>
            </w:pPr>
            <w:proofErr w:type="spellStart"/>
            <w:r w:rsidRPr="00097824">
              <w:t>Несравнительные</w:t>
            </w:r>
            <w:proofErr w:type="spellEnd"/>
            <w:r w:rsidRPr="00097824">
              <w:t xml:space="preserve"> исследования, описание клинического случая или серии случаев, исследование «случай</w:t>
            </w:r>
            <w:r w:rsidR="008A5C0F" w:rsidRPr="00097824">
              <w:t xml:space="preserve"> – </w:t>
            </w:r>
            <w:r w:rsidRPr="00097824">
              <w:t>контроль»</w:t>
            </w:r>
          </w:p>
        </w:tc>
      </w:tr>
      <w:tr w:rsidR="005A526D" w:rsidRPr="00097824" w14:paraId="647F950B" w14:textId="77777777" w:rsidTr="008A5C0F">
        <w:tc>
          <w:tcPr>
            <w:tcW w:w="2263" w:type="dxa"/>
            <w:tcBorders>
              <w:top w:val="single" w:sz="4" w:space="0" w:color="auto"/>
              <w:left w:val="single" w:sz="4" w:space="0" w:color="auto"/>
              <w:bottom w:val="single" w:sz="4" w:space="0" w:color="auto"/>
              <w:right w:val="single" w:sz="4" w:space="0" w:color="auto"/>
            </w:tcBorders>
            <w:vAlign w:val="center"/>
          </w:tcPr>
          <w:p w14:paraId="7FAD7BDC" w14:textId="77777777" w:rsidR="00D630AE" w:rsidRPr="00097824" w:rsidRDefault="00AF6B1D" w:rsidP="00AD4A9F">
            <w:pPr>
              <w:ind w:left="397" w:firstLine="357"/>
              <w:jc w:val="center"/>
            </w:pPr>
            <w:r w:rsidRPr="00097824">
              <w:t>5</w:t>
            </w:r>
          </w:p>
        </w:tc>
        <w:tc>
          <w:tcPr>
            <w:tcW w:w="7081" w:type="dxa"/>
            <w:tcBorders>
              <w:top w:val="single" w:sz="4" w:space="0" w:color="auto"/>
              <w:left w:val="single" w:sz="4" w:space="0" w:color="auto"/>
              <w:bottom w:val="single" w:sz="4" w:space="0" w:color="auto"/>
              <w:right w:val="single" w:sz="4" w:space="0" w:color="auto"/>
            </w:tcBorders>
          </w:tcPr>
          <w:p w14:paraId="3D759FC8" w14:textId="77777777" w:rsidR="00D630AE" w:rsidRPr="00097824" w:rsidRDefault="00AF6B1D" w:rsidP="00AD4A9F">
            <w:pPr>
              <w:ind w:left="397" w:firstLine="357"/>
            </w:pPr>
            <w:r w:rsidRPr="00097824">
              <w:t>Имеется лишь обоснование механизма действия вмешательства (доклинические исследования) или мнение экспертов</w:t>
            </w:r>
          </w:p>
        </w:tc>
      </w:tr>
    </w:tbl>
    <w:p w14:paraId="0D85BB97" w14:textId="77777777" w:rsidR="006C5E5E" w:rsidRPr="00097824" w:rsidRDefault="006C5E5E" w:rsidP="00AD4A9F">
      <w:pPr>
        <w:pStyle w:val="desc"/>
        <w:autoSpaceDE w:val="0"/>
        <w:autoSpaceDN w:val="0"/>
        <w:adjustRightInd w:val="0"/>
        <w:spacing w:beforeAutospacing="0" w:afterAutospacing="0" w:line="360" w:lineRule="auto"/>
        <w:ind w:left="397" w:firstLine="357"/>
        <w:contextualSpacing/>
        <w:rPr>
          <w:b/>
        </w:rPr>
      </w:pPr>
    </w:p>
    <w:p w14:paraId="5E7A353E" w14:textId="3AD9CFAF" w:rsidR="000F16CF" w:rsidRPr="00097824" w:rsidRDefault="000F16CF" w:rsidP="00AD4A9F">
      <w:pPr>
        <w:pStyle w:val="desc"/>
        <w:autoSpaceDE w:val="0"/>
        <w:autoSpaceDN w:val="0"/>
        <w:adjustRightInd w:val="0"/>
        <w:spacing w:beforeAutospacing="0" w:afterAutospacing="0" w:line="360" w:lineRule="auto"/>
        <w:ind w:left="397" w:firstLine="357"/>
        <w:contextualSpacing/>
        <w:rPr>
          <w:b/>
        </w:rPr>
      </w:pPr>
      <w:r w:rsidRPr="00097824">
        <w:rPr>
          <w:b/>
        </w:rPr>
        <w:t>Таблица П3 –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w:t>
      </w:r>
      <w:r w:rsidR="00221FD9" w:rsidRPr="00097824">
        <w:rPr>
          <w:b/>
        </w:rPr>
        <w:t xml:space="preserve"> </w:t>
      </w:r>
      <w:r w:rsidRPr="00097824">
        <w:rPr>
          <w:b/>
        </w:rPr>
        <w:t>реабилитационных</w:t>
      </w:r>
      <w:r w:rsidR="00221FD9" w:rsidRPr="00097824">
        <w:rPr>
          <w:b/>
        </w:rPr>
        <w:t xml:space="preserve"> </w:t>
      </w:r>
      <w:r w:rsidR="008B1897" w:rsidRPr="00097824">
        <w:rPr>
          <w:b/>
        </w:rPr>
        <w:t>вмешательств</w:t>
      </w:r>
      <w:r w:rsidRPr="00097824">
        <w:rPr>
          <w:b/>
        </w:rPr>
        <w:t>)</w:t>
      </w:r>
    </w:p>
    <w:tbl>
      <w:tblPr>
        <w:tblStyle w:val="affb"/>
        <w:tblW w:w="0" w:type="auto"/>
        <w:tblLook w:val="04A0" w:firstRow="1" w:lastRow="0" w:firstColumn="1" w:lastColumn="0" w:noHBand="0" w:noVBand="1"/>
      </w:tblPr>
      <w:tblGrid>
        <w:gridCol w:w="2067"/>
        <w:gridCol w:w="7278"/>
      </w:tblGrid>
      <w:tr w:rsidR="005A526D" w:rsidRPr="00097824" w14:paraId="422F0E24" w14:textId="77777777" w:rsidTr="00D06DDF">
        <w:tc>
          <w:tcPr>
            <w:tcW w:w="2093" w:type="dxa"/>
          </w:tcPr>
          <w:p w14:paraId="11597DDE" w14:textId="77777777" w:rsidR="00D630AE" w:rsidRPr="00097824" w:rsidRDefault="000F16CF" w:rsidP="00AD4A9F">
            <w:pPr>
              <w:pStyle w:val="desc"/>
              <w:autoSpaceDE w:val="0"/>
              <w:autoSpaceDN w:val="0"/>
              <w:adjustRightInd w:val="0"/>
              <w:spacing w:beforeAutospacing="0" w:afterAutospacing="0" w:line="360" w:lineRule="auto"/>
              <w:ind w:left="397" w:firstLine="357"/>
              <w:contextualSpacing/>
              <w:jc w:val="center"/>
              <w:rPr>
                <w:b/>
                <w:sz w:val="22"/>
              </w:rPr>
            </w:pPr>
            <w:r w:rsidRPr="00097824">
              <w:rPr>
                <w:b/>
              </w:rPr>
              <w:t>УУР</w:t>
            </w:r>
          </w:p>
        </w:tc>
        <w:tc>
          <w:tcPr>
            <w:tcW w:w="7478" w:type="dxa"/>
          </w:tcPr>
          <w:p w14:paraId="313E682B" w14:textId="77777777" w:rsidR="00D630AE" w:rsidRPr="00097824" w:rsidRDefault="000F16CF" w:rsidP="00AD4A9F">
            <w:pPr>
              <w:pStyle w:val="desc"/>
              <w:autoSpaceDE w:val="0"/>
              <w:autoSpaceDN w:val="0"/>
              <w:adjustRightInd w:val="0"/>
              <w:spacing w:beforeAutospacing="0" w:afterAutospacing="0" w:line="360" w:lineRule="auto"/>
              <w:ind w:left="397" w:firstLine="357"/>
              <w:contextualSpacing/>
              <w:jc w:val="center"/>
              <w:rPr>
                <w:b/>
                <w:sz w:val="22"/>
              </w:rPr>
            </w:pPr>
            <w:r w:rsidRPr="00097824">
              <w:rPr>
                <w:b/>
              </w:rPr>
              <w:t>Расшифровка</w:t>
            </w:r>
          </w:p>
        </w:tc>
      </w:tr>
      <w:tr w:rsidR="005A526D" w:rsidRPr="00097824" w14:paraId="10648E83" w14:textId="77777777" w:rsidTr="002E712A">
        <w:tc>
          <w:tcPr>
            <w:tcW w:w="2093" w:type="dxa"/>
            <w:vAlign w:val="center"/>
          </w:tcPr>
          <w:p w14:paraId="223E50B9" w14:textId="77777777" w:rsidR="00D630AE" w:rsidRPr="00097824" w:rsidRDefault="000F16CF" w:rsidP="00AD4A9F">
            <w:pPr>
              <w:pStyle w:val="desc"/>
              <w:autoSpaceDE w:val="0"/>
              <w:autoSpaceDN w:val="0"/>
              <w:adjustRightInd w:val="0"/>
              <w:spacing w:beforeAutospacing="0" w:afterAutospacing="0" w:line="360" w:lineRule="auto"/>
              <w:ind w:left="397" w:firstLine="357"/>
              <w:contextualSpacing/>
              <w:jc w:val="center"/>
              <w:rPr>
                <w:b/>
                <w:sz w:val="22"/>
              </w:rPr>
            </w:pPr>
            <w:r w:rsidRPr="00097824">
              <w:rPr>
                <w:b/>
              </w:rPr>
              <w:t>А</w:t>
            </w:r>
          </w:p>
        </w:tc>
        <w:tc>
          <w:tcPr>
            <w:tcW w:w="7478" w:type="dxa"/>
          </w:tcPr>
          <w:p w14:paraId="4BAB9449" w14:textId="77777777" w:rsidR="000F16CF" w:rsidRPr="00097824" w:rsidRDefault="007F5427" w:rsidP="00AD4A9F">
            <w:pPr>
              <w:pStyle w:val="desc"/>
              <w:autoSpaceDE w:val="0"/>
              <w:autoSpaceDN w:val="0"/>
              <w:adjustRightInd w:val="0"/>
              <w:spacing w:beforeAutospacing="0" w:afterAutospacing="0" w:line="360" w:lineRule="auto"/>
              <w:ind w:left="397" w:firstLine="357"/>
              <w:contextualSpacing/>
              <w:rPr>
                <w:bCs/>
              </w:rPr>
            </w:pPr>
            <w:r w:rsidRPr="00097824">
              <w:rPr>
                <w:bCs/>
              </w:rPr>
              <w:t>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является согласованными)</w:t>
            </w:r>
          </w:p>
        </w:tc>
      </w:tr>
      <w:tr w:rsidR="005A526D" w:rsidRPr="00097824" w14:paraId="63C883E0" w14:textId="77777777" w:rsidTr="002E712A">
        <w:tc>
          <w:tcPr>
            <w:tcW w:w="2093" w:type="dxa"/>
            <w:vAlign w:val="center"/>
          </w:tcPr>
          <w:p w14:paraId="7CBBF0D5" w14:textId="77777777" w:rsidR="00D630AE" w:rsidRPr="00097824" w:rsidRDefault="00396927" w:rsidP="00AD4A9F">
            <w:pPr>
              <w:pStyle w:val="desc"/>
              <w:autoSpaceDE w:val="0"/>
              <w:autoSpaceDN w:val="0"/>
              <w:adjustRightInd w:val="0"/>
              <w:spacing w:beforeAutospacing="0" w:afterAutospacing="0" w:line="360" w:lineRule="auto"/>
              <w:ind w:left="397" w:firstLine="357"/>
              <w:contextualSpacing/>
              <w:jc w:val="center"/>
              <w:rPr>
                <w:b/>
                <w:sz w:val="22"/>
              </w:rPr>
            </w:pPr>
            <w:r w:rsidRPr="00097824">
              <w:rPr>
                <w:b/>
              </w:rPr>
              <w:t>В</w:t>
            </w:r>
          </w:p>
        </w:tc>
        <w:tc>
          <w:tcPr>
            <w:tcW w:w="7478" w:type="dxa"/>
          </w:tcPr>
          <w:p w14:paraId="511312E4" w14:textId="412F6838" w:rsidR="000F16CF" w:rsidRPr="00097824" w:rsidRDefault="007F5427" w:rsidP="00AD4A9F">
            <w:pPr>
              <w:pStyle w:val="desc"/>
              <w:autoSpaceDE w:val="0"/>
              <w:autoSpaceDN w:val="0"/>
              <w:adjustRightInd w:val="0"/>
              <w:spacing w:beforeAutospacing="0" w:afterAutospacing="0" w:line="360" w:lineRule="auto"/>
              <w:ind w:left="397" w:firstLine="357"/>
              <w:contextualSpacing/>
              <w:rPr>
                <w:bCs/>
              </w:rPr>
            </w:pPr>
            <w:r w:rsidRPr="00097824">
              <w:rPr>
                <w:bCs/>
              </w:rPr>
              <w:t>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w:t>
            </w:r>
            <w:r w:rsidR="009A13B1" w:rsidRPr="00097824">
              <w:rPr>
                <w:bCs/>
              </w:rPr>
              <w:t>че</w:t>
            </w:r>
            <w:r w:rsidRPr="00097824">
              <w:rPr>
                <w:bCs/>
              </w:rPr>
              <w:t>ское качество и</w:t>
            </w:r>
            <w:r w:rsidR="002E712A" w:rsidRPr="00097824">
              <w:rPr>
                <w:bCs/>
              </w:rPr>
              <w:t>/</w:t>
            </w:r>
            <w:r w:rsidRPr="00097824">
              <w:rPr>
                <w:bCs/>
              </w:rPr>
              <w:t>или их выводы по интересующим исходам не являются согласованными)</w:t>
            </w:r>
          </w:p>
        </w:tc>
      </w:tr>
      <w:tr w:rsidR="005A526D" w:rsidRPr="00097824" w14:paraId="38917FBE" w14:textId="77777777" w:rsidTr="002E712A">
        <w:tc>
          <w:tcPr>
            <w:tcW w:w="2093" w:type="dxa"/>
            <w:vAlign w:val="center"/>
          </w:tcPr>
          <w:p w14:paraId="1E781A6B" w14:textId="77777777" w:rsidR="00D630AE" w:rsidRPr="00097824" w:rsidRDefault="00396927" w:rsidP="00AD4A9F">
            <w:pPr>
              <w:pStyle w:val="desc"/>
              <w:autoSpaceDE w:val="0"/>
              <w:autoSpaceDN w:val="0"/>
              <w:adjustRightInd w:val="0"/>
              <w:spacing w:beforeAutospacing="0" w:afterAutospacing="0" w:line="360" w:lineRule="auto"/>
              <w:ind w:left="397" w:firstLine="357"/>
              <w:contextualSpacing/>
              <w:jc w:val="center"/>
              <w:rPr>
                <w:b/>
                <w:sz w:val="22"/>
              </w:rPr>
            </w:pPr>
            <w:r w:rsidRPr="00097824">
              <w:rPr>
                <w:b/>
              </w:rPr>
              <w:t>С</w:t>
            </w:r>
          </w:p>
        </w:tc>
        <w:tc>
          <w:tcPr>
            <w:tcW w:w="7478" w:type="dxa"/>
          </w:tcPr>
          <w:p w14:paraId="009A3FE2" w14:textId="77777777" w:rsidR="000F16CF" w:rsidRPr="00097824" w:rsidRDefault="007F5427" w:rsidP="00AD4A9F">
            <w:pPr>
              <w:pStyle w:val="desc"/>
              <w:autoSpaceDE w:val="0"/>
              <w:autoSpaceDN w:val="0"/>
              <w:adjustRightInd w:val="0"/>
              <w:spacing w:beforeAutospacing="0" w:afterAutospacing="0" w:line="360" w:lineRule="auto"/>
              <w:ind w:left="397" w:firstLine="357"/>
              <w:contextualSpacing/>
              <w:rPr>
                <w:bCs/>
              </w:rPr>
            </w:pPr>
            <w:r w:rsidRPr="00097824">
              <w:rPr>
                <w:bCs/>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w:t>
            </w:r>
            <w:r w:rsidRPr="00097824">
              <w:rPr>
                <w:bCs/>
              </w:rPr>
              <w:lastRenderedPageBreak/>
              <w:t>исходам не являются согласованными)</w:t>
            </w:r>
          </w:p>
        </w:tc>
      </w:tr>
    </w:tbl>
    <w:p w14:paraId="40DE702B" w14:textId="77777777" w:rsidR="000F16CF" w:rsidRPr="00097824" w:rsidRDefault="000F16CF" w:rsidP="00AD4A9F">
      <w:pPr>
        <w:pStyle w:val="desc"/>
        <w:autoSpaceDE w:val="0"/>
        <w:autoSpaceDN w:val="0"/>
        <w:adjustRightInd w:val="0"/>
        <w:spacing w:beforeAutospacing="0" w:afterAutospacing="0" w:line="360" w:lineRule="auto"/>
        <w:ind w:left="397" w:firstLine="357"/>
        <w:contextualSpacing/>
        <w:rPr>
          <w:b/>
        </w:rPr>
      </w:pPr>
    </w:p>
    <w:p w14:paraId="30820640" w14:textId="77777777" w:rsidR="006C5E5E" w:rsidRPr="00097824" w:rsidRDefault="006C5E5E" w:rsidP="00AD4A9F">
      <w:pPr>
        <w:pStyle w:val="desc"/>
        <w:autoSpaceDE w:val="0"/>
        <w:autoSpaceDN w:val="0"/>
        <w:adjustRightInd w:val="0"/>
        <w:spacing w:beforeAutospacing="0" w:afterAutospacing="0" w:line="360" w:lineRule="auto"/>
        <w:ind w:left="397" w:firstLine="357"/>
        <w:contextualSpacing/>
      </w:pPr>
      <w:r w:rsidRPr="00097824">
        <w:rPr>
          <w:b/>
        </w:rPr>
        <w:t>Методы, использованные для формулирования рекомендаций –</w:t>
      </w:r>
      <w:r w:rsidRPr="00097824">
        <w:t xml:space="preserve"> консенсус экспертов.</w:t>
      </w:r>
    </w:p>
    <w:p w14:paraId="07369CEB" w14:textId="77777777" w:rsidR="006C5E5E" w:rsidRPr="00097824" w:rsidRDefault="006C5E5E" w:rsidP="00AD4A9F">
      <w:pPr>
        <w:pStyle w:val="desc"/>
        <w:autoSpaceDE w:val="0"/>
        <w:autoSpaceDN w:val="0"/>
        <w:adjustRightInd w:val="0"/>
        <w:spacing w:beforeAutospacing="0" w:afterAutospacing="0" w:line="360" w:lineRule="auto"/>
        <w:ind w:left="397" w:firstLine="357"/>
      </w:pPr>
      <w:r w:rsidRPr="00097824">
        <w:rPr>
          <w:b/>
        </w:rPr>
        <w:t>Экономический анализ</w:t>
      </w:r>
    </w:p>
    <w:p w14:paraId="552EAAC7" w14:textId="77777777" w:rsidR="006C5E5E" w:rsidRPr="00097824" w:rsidRDefault="006C5E5E" w:rsidP="00AD4A9F">
      <w:pPr>
        <w:pStyle w:val="desc"/>
        <w:autoSpaceDE w:val="0"/>
        <w:autoSpaceDN w:val="0"/>
        <w:adjustRightInd w:val="0"/>
        <w:spacing w:beforeAutospacing="0" w:afterAutospacing="0" w:line="360" w:lineRule="auto"/>
        <w:ind w:left="397" w:firstLine="357"/>
        <w:contextualSpacing/>
      </w:pPr>
      <w:r w:rsidRPr="00097824">
        <w:t xml:space="preserve">Анализ стоимости не проводился и публикации по </w:t>
      </w:r>
      <w:proofErr w:type="spellStart"/>
      <w:r w:rsidRPr="00097824">
        <w:t>фармакоэкономике</w:t>
      </w:r>
      <w:proofErr w:type="spellEnd"/>
      <w:r w:rsidRPr="00097824">
        <w:t xml:space="preserve"> не анализировались.</w:t>
      </w:r>
    </w:p>
    <w:p w14:paraId="7A5A721A" w14:textId="77777777" w:rsidR="006C5E5E" w:rsidRPr="00097824" w:rsidRDefault="006C5E5E" w:rsidP="00AD4A9F">
      <w:pPr>
        <w:pStyle w:val="desc"/>
        <w:autoSpaceDE w:val="0"/>
        <w:autoSpaceDN w:val="0"/>
        <w:adjustRightInd w:val="0"/>
        <w:spacing w:beforeAutospacing="0" w:afterAutospacing="0" w:line="360" w:lineRule="auto"/>
        <w:ind w:left="397" w:firstLine="357"/>
        <w:rPr>
          <w:b/>
        </w:rPr>
      </w:pPr>
      <w:r w:rsidRPr="00097824">
        <w:rPr>
          <w:b/>
        </w:rPr>
        <w:t>Метод валидизации рекомендаций:</w:t>
      </w:r>
    </w:p>
    <w:p w14:paraId="7AD8392A" w14:textId="77777777" w:rsidR="006C5E5E" w:rsidRPr="00097824" w:rsidRDefault="00E7175B" w:rsidP="00CC2BE1">
      <w:pPr>
        <w:pStyle w:val="desc"/>
        <w:numPr>
          <w:ilvl w:val="0"/>
          <w:numId w:val="13"/>
        </w:numPr>
        <w:autoSpaceDE w:val="0"/>
        <w:autoSpaceDN w:val="0"/>
        <w:adjustRightInd w:val="0"/>
        <w:spacing w:beforeAutospacing="0" w:afterAutospacing="0" w:line="360" w:lineRule="auto"/>
        <w:ind w:left="397" w:firstLine="357"/>
        <w:contextualSpacing/>
      </w:pPr>
      <w:r w:rsidRPr="00097824">
        <w:t>в</w:t>
      </w:r>
      <w:r w:rsidR="006C5E5E" w:rsidRPr="00097824">
        <w:t>нешняя экспертная оценка</w:t>
      </w:r>
      <w:r w:rsidRPr="00097824">
        <w:t>;</w:t>
      </w:r>
    </w:p>
    <w:p w14:paraId="54160BD9" w14:textId="77777777" w:rsidR="006C5E5E" w:rsidRPr="00097824" w:rsidRDefault="00E7175B" w:rsidP="00CC2BE1">
      <w:pPr>
        <w:pStyle w:val="desc"/>
        <w:numPr>
          <w:ilvl w:val="0"/>
          <w:numId w:val="13"/>
        </w:numPr>
        <w:autoSpaceDE w:val="0"/>
        <w:autoSpaceDN w:val="0"/>
        <w:adjustRightInd w:val="0"/>
        <w:spacing w:beforeAutospacing="0" w:afterAutospacing="0" w:line="360" w:lineRule="auto"/>
        <w:ind w:left="397" w:firstLine="357"/>
        <w:contextualSpacing/>
      </w:pPr>
      <w:r w:rsidRPr="00097824">
        <w:t>в</w:t>
      </w:r>
      <w:r w:rsidR="006C5E5E" w:rsidRPr="00097824">
        <w:t>нутренняя экспертная оценка</w:t>
      </w:r>
      <w:r w:rsidRPr="00097824">
        <w:t>.</w:t>
      </w:r>
    </w:p>
    <w:p w14:paraId="6CD16CF4" w14:textId="77777777" w:rsidR="006C5E5E" w:rsidRPr="00097824" w:rsidRDefault="006C5E5E" w:rsidP="00AD4A9F">
      <w:pPr>
        <w:pStyle w:val="desc"/>
        <w:autoSpaceDE w:val="0"/>
        <w:autoSpaceDN w:val="0"/>
        <w:adjustRightInd w:val="0"/>
        <w:spacing w:beforeAutospacing="0" w:afterAutospacing="0" w:line="360" w:lineRule="auto"/>
        <w:ind w:left="397" w:firstLine="357"/>
      </w:pPr>
      <w:r w:rsidRPr="00097824">
        <w:rPr>
          <w:b/>
        </w:rPr>
        <w:t>Описание метода валидизации рекомендаций</w:t>
      </w:r>
    </w:p>
    <w:p w14:paraId="394DC6C6" w14:textId="77777777" w:rsidR="006C5E5E" w:rsidRPr="00097824" w:rsidRDefault="006C5E5E" w:rsidP="00AD4A9F">
      <w:pPr>
        <w:pStyle w:val="desc"/>
        <w:autoSpaceDE w:val="0"/>
        <w:autoSpaceDN w:val="0"/>
        <w:adjustRightInd w:val="0"/>
        <w:spacing w:beforeAutospacing="0" w:afterAutospacing="0" w:line="360" w:lineRule="auto"/>
        <w:ind w:left="397" w:firstLine="357"/>
        <w:contextualSpacing/>
      </w:pPr>
      <w:r w:rsidRPr="00097824">
        <w:t>Настоящие рекомендации в предварительной версии рецензированы независимыми экспертами, которы</w:t>
      </w:r>
      <w:r w:rsidR="00E7175B" w:rsidRPr="00097824">
        <w:t>х</w:t>
      </w:r>
      <w:r w:rsidRPr="00097824">
        <w:t xml:space="preserve"> попросили прокомментировать, прежде всего, насколько интерпретация доказательств, лежащих в основе рекомендаций, доступна для понимания.</w:t>
      </w:r>
    </w:p>
    <w:p w14:paraId="77CF76C3" w14:textId="77777777" w:rsidR="006C5E5E" w:rsidRPr="00097824" w:rsidRDefault="006C5E5E" w:rsidP="00AD4A9F">
      <w:pPr>
        <w:pStyle w:val="desc"/>
        <w:autoSpaceDE w:val="0"/>
        <w:autoSpaceDN w:val="0"/>
        <w:adjustRightInd w:val="0"/>
        <w:spacing w:beforeAutospacing="0" w:afterAutospacing="0" w:line="360" w:lineRule="auto"/>
        <w:ind w:left="397" w:firstLine="357"/>
        <w:contextualSpacing/>
      </w:pPr>
      <w:r w:rsidRPr="00097824">
        <w:t>Получены комментарии со стороны врачей-онкологов первичного звена в</w:t>
      </w:r>
      <w:r w:rsidR="00E7175B" w:rsidRPr="00097824">
        <w:t> </w:t>
      </w:r>
      <w:r w:rsidRPr="00097824">
        <w:t>отношении доходчивости изложения рекомендаций и их оценки важности рекомендаций как рабочего инструмента повседневной практики.</w:t>
      </w:r>
    </w:p>
    <w:p w14:paraId="6D0C1910" w14:textId="77777777" w:rsidR="006C5E5E" w:rsidRPr="00097824" w:rsidRDefault="006C5E5E" w:rsidP="00AD4A9F">
      <w:pPr>
        <w:pStyle w:val="desc"/>
        <w:autoSpaceDE w:val="0"/>
        <w:autoSpaceDN w:val="0"/>
        <w:adjustRightInd w:val="0"/>
        <w:spacing w:beforeAutospacing="0" w:afterAutospacing="0" w:line="360" w:lineRule="auto"/>
        <w:ind w:left="397" w:firstLine="357"/>
        <w:contextualSpacing/>
      </w:pPr>
      <w:r w:rsidRPr="00097824">
        <w:t>Комментарии, полученные от экспертов, тщательно систематизировались и</w:t>
      </w:r>
      <w:r w:rsidR="00E7175B" w:rsidRPr="00097824">
        <w:t> </w:t>
      </w:r>
      <w:r w:rsidRPr="00097824">
        <w:t>обсуждались председателем и членами рабочей группы. Каждый пункт обсуждался</w:t>
      </w:r>
      <w:r w:rsidR="00E7175B" w:rsidRPr="00097824">
        <w:t>,</w:t>
      </w:r>
      <w:r w:rsidRPr="00097824">
        <w:t xml:space="preserve"> и</w:t>
      </w:r>
      <w:r w:rsidR="00E7175B" w:rsidRPr="00097824">
        <w:t xml:space="preserve"> регистрировались </w:t>
      </w:r>
      <w:r w:rsidRPr="00097824">
        <w:t>вносимые в результате этого изменения в рекомендации. Если же изменения не вносились, то регистрировались причины отказа от внесения изменений.</w:t>
      </w:r>
    </w:p>
    <w:p w14:paraId="042A6F54" w14:textId="77777777" w:rsidR="00E7175B" w:rsidRPr="00097824" w:rsidRDefault="006C5E5E" w:rsidP="00AD4A9F">
      <w:pPr>
        <w:pStyle w:val="desc"/>
        <w:autoSpaceDE w:val="0"/>
        <w:autoSpaceDN w:val="0"/>
        <w:adjustRightInd w:val="0"/>
        <w:spacing w:beforeAutospacing="0" w:afterAutospacing="0" w:line="360" w:lineRule="auto"/>
        <w:ind w:left="397" w:firstLine="357"/>
        <w:rPr>
          <w:b/>
        </w:rPr>
      </w:pPr>
      <w:r w:rsidRPr="00097824">
        <w:rPr>
          <w:b/>
        </w:rPr>
        <w:t>Консультации и экспертная оценка</w:t>
      </w:r>
    </w:p>
    <w:p w14:paraId="6AFDAE5F" w14:textId="77777777" w:rsidR="006C5E5E" w:rsidRPr="00097824" w:rsidRDefault="006C5E5E" w:rsidP="00AD4A9F">
      <w:pPr>
        <w:pStyle w:val="desc"/>
        <w:autoSpaceDE w:val="0"/>
        <w:autoSpaceDN w:val="0"/>
        <w:adjustRightInd w:val="0"/>
        <w:spacing w:beforeAutospacing="0" w:afterAutospacing="0" w:line="360" w:lineRule="auto"/>
        <w:ind w:left="397" w:firstLine="357"/>
        <w:contextualSpacing/>
      </w:pPr>
      <w:r w:rsidRPr="00097824">
        <w:t>Проект рекомендаций рецензирован также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w:t>
      </w:r>
    </w:p>
    <w:p w14:paraId="21176FF2" w14:textId="77777777" w:rsidR="006C5E5E" w:rsidRPr="00097824" w:rsidRDefault="006C5E5E" w:rsidP="00AD4A9F">
      <w:pPr>
        <w:pStyle w:val="desc"/>
        <w:autoSpaceDE w:val="0"/>
        <w:autoSpaceDN w:val="0"/>
        <w:adjustRightInd w:val="0"/>
        <w:spacing w:beforeAutospacing="0" w:afterAutospacing="0" w:line="360" w:lineRule="auto"/>
        <w:ind w:left="397" w:firstLine="357"/>
        <w:contextualSpacing/>
      </w:pPr>
      <w:r w:rsidRPr="00097824">
        <w:t>Для окончательной редакции и контроля качества рекомендации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w:t>
      </w:r>
    </w:p>
    <w:p w14:paraId="1B2E4D17" w14:textId="168704A4" w:rsidR="006C5E5E" w:rsidRPr="00097824" w:rsidRDefault="006C5E5E" w:rsidP="00AD4A9F">
      <w:pPr>
        <w:pStyle w:val="desc"/>
        <w:autoSpaceDE w:val="0"/>
        <w:autoSpaceDN w:val="0"/>
        <w:adjustRightInd w:val="0"/>
        <w:spacing w:beforeAutospacing="0" w:afterAutospacing="0" w:line="360" w:lineRule="auto"/>
        <w:ind w:left="397" w:firstLine="357"/>
        <w:contextualSpacing/>
      </w:pPr>
      <w:r w:rsidRPr="00097824">
        <w:t>Обновления клинических рекомендаций: актуализация проводится не реже чем один раз в три года</w:t>
      </w:r>
      <w:r w:rsidRPr="00097824">
        <w:rPr>
          <w:bCs/>
        </w:rPr>
        <w:t xml:space="preserve"> с учетом появившейся новой информации о диагностике и тактике ведения </w:t>
      </w:r>
      <w:r w:rsidR="00A02407" w:rsidRPr="00097824">
        <w:rPr>
          <w:bCs/>
        </w:rPr>
        <w:t>пациентов с</w:t>
      </w:r>
      <w:r w:rsidR="002B1E7B" w:rsidRPr="00097824">
        <w:rPr>
          <w:bCs/>
        </w:rPr>
        <w:t xml:space="preserve"> </w:t>
      </w:r>
      <w:r w:rsidRPr="00097824">
        <w:rPr>
          <w:bCs/>
        </w:rPr>
        <w:t xml:space="preserve">раком желчевыводящей системы. Сформированные предложения </w:t>
      </w:r>
      <w:r w:rsidRPr="00097824">
        <w:rPr>
          <w:bCs/>
        </w:rPr>
        <w:lastRenderedPageBreak/>
        <w:t>должны учитывать результаты комплексной оценки лекарственных препаратов, медицинских изделий, а</w:t>
      </w:r>
      <w:r w:rsidR="00E7175B" w:rsidRPr="00097824">
        <w:rPr>
          <w:bCs/>
        </w:rPr>
        <w:t> </w:t>
      </w:r>
      <w:r w:rsidRPr="00097824">
        <w:rPr>
          <w:bCs/>
        </w:rPr>
        <w:t xml:space="preserve">также </w:t>
      </w:r>
      <w:r w:rsidRPr="00097824">
        <w:t>результаты клинической апробации.</w:t>
      </w:r>
    </w:p>
    <w:p w14:paraId="5A502B58" w14:textId="77777777" w:rsidR="006C5E5E" w:rsidRPr="00097824" w:rsidRDefault="006C5E5E" w:rsidP="00AD4A9F">
      <w:pPr>
        <w:ind w:left="397" w:firstLine="357"/>
        <w:contextualSpacing/>
      </w:pPr>
      <w:r w:rsidRPr="00097824">
        <w:t>При отборе публикаций как потенциальных источников доказательств использованная в каждом исследовании методология изучается для того, чтобы убедиться в ее достоверности. Результат изучения влияет на уровень доказательств, присваиваемый публикации, что</w:t>
      </w:r>
      <w:r w:rsidR="00E7175B" w:rsidRPr="00097824">
        <w:t>,</w:t>
      </w:r>
      <w:r w:rsidRPr="00097824">
        <w:t xml:space="preserve"> в свою очередь</w:t>
      </w:r>
      <w:r w:rsidR="00E7175B" w:rsidRPr="00097824">
        <w:t>,</w:t>
      </w:r>
      <w:r w:rsidRPr="00097824">
        <w:t xml:space="preserve"> влияет на силу вытекающих из нее рекомендаций.</w:t>
      </w:r>
    </w:p>
    <w:p w14:paraId="509BAD74" w14:textId="77777777" w:rsidR="006C5E5E" w:rsidRPr="00097824" w:rsidRDefault="006C5E5E" w:rsidP="00AD4A9F">
      <w:pPr>
        <w:ind w:left="397" w:firstLine="357"/>
        <w:jc w:val="left"/>
        <w:rPr>
          <w:rFonts w:eastAsia="MS Gothic"/>
          <w:b/>
          <w:sz w:val="28"/>
        </w:rPr>
      </w:pPr>
    </w:p>
    <w:p w14:paraId="73C102D9" w14:textId="77777777" w:rsidR="002B1E7B" w:rsidRPr="00097824" w:rsidRDefault="002B1E7B" w:rsidP="00AD4A9F">
      <w:pPr>
        <w:pStyle w:val="10"/>
        <w:spacing w:before="0"/>
        <w:ind w:left="397" w:firstLine="357"/>
      </w:pPr>
      <w:bookmarkStart w:id="137" w:name="_Toc473215165"/>
      <w:r w:rsidRPr="00097824">
        <w:t>Приложение A3.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p>
    <w:p w14:paraId="2B5FDA6B" w14:textId="1EE0EB21" w:rsidR="002B1E7B" w:rsidRPr="00097824" w:rsidRDefault="002B1E7B" w:rsidP="00B62BA4">
      <w:r w:rsidRPr="00097824">
        <w:t>Нет.</w:t>
      </w:r>
    </w:p>
    <w:p w14:paraId="7F5A16D9" w14:textId="78FD602F" w:rsidR="006C5E5E" w:rsidRPr="00097824" w:rsidRDefault="006C5E5E" w:rsidP="00AD4A9F">
      <w:pPr>
        <w:pStyle w:val="10"/>
        <w:spacing w:before="0"/>
        <w:ind w:left="397" w:firstLine="357"/>
      </w:pPr>
      <w:r w:rsidRPr="00097824">
        <w:br w:type="page"/>
      </w:r>
      <w:bookmarkStart w:id="138" w:name="_Toc473215164"/>
      <w:bookmarkStart w:id="139" w:name="_Toc473235571"/>
      <w:bookmarkStart w:id="140" w:name="_Toc511082528"/>
      <w:bookmarkStart w:id="141" w:name="_Toc511221611"/>
      <w:bookmarkStart w:id="142" w:name="_Toc23142742"/>
      <w:bookmarkStart w:id="143" w:name="_Toc113198782"/>
      <w:bookmarkStart w:id="144" w:name="_Toc113205073"/>
      <w:r w:rsidRPr="00097824">
        <w:lastRenderedPageBreak/>
        <w:t>Приложение Б. Алгоритм</w:t>
      </w:r>
      <w:r w:rsidR="00F75E46" w:rsidRPr="00097824">
        <w:t>ы действий врача</w:t>
      </w:r>
      <w:bookmarkEnd w:id="138"/>
      <w:bookmarkEnd w:id="139"/>
      <w:bookmarkEnd w:id="140"/>
      <w:bookmarkEnd w:id="141"/>
      <w:bookmarkEnd w:id="142"/>
      <w:bookmarkEnd w:id="143"/>
      <w:bookmarkEnd w:id="144"/>
    </w:p>
    <w:p w14:paraId="3E2B8F9F" w14:textId="77777777" w:rsidR="00D630AE" w:rsidRPr="00097824" w:rsidRDefault="006C5E5E" w:rsidP="00AD4A9F">
      <w:pPr>
        <w:ind w:left="397" w:firstLine="357"/>
        <w:jc w:val="center"/>
        <w:rPr>
          <w:b/>
        </w:rPr>
      </w:pPr>
      <w:r w:rsidRPr="00097824">
        <w:rPr>
          <w:rFonts w:ascii="Arial" w:hAnsi="Arial" w:cs="Arial"/>
          <w:b/>
          <w:bCs/>
          <w:noProof/>
          <w:kern w:val="32"/>
          <w:sz w:val="32"/>
          <w:szCs w:val="32"/>
          <w:lang w:val="en-US" w:eastAsia="ru-RU"/>
        </w:rPr>
        <w:drawing>
          <wp:inline distT="0" distB="0" distL="0" distR="0" wp14:anchorId="1720DE73" wp14:editId="6302A5CF">
            <wp:extent cx="4533701" cy="3446953"/>
            <wp:effectExtent l="0" t="0" r="0" b="7620"/>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2">
                      <a:extLst>
                        <a:ext uri="{28A0092B-C50C-407E-A947-70E740481C1C}">
                          <a14:useLocalDpi xmlns:a14="http://schemas.microsoft.com/office/drawing/2010/main" val="0"/>
                        </a:ext>
                      </a:extLst>
                    </a:blip>
                    <a:stretch>
                      <a:fillRect/>
                    </a:stretch>
                  </pic:blipFill>
                  <pic:spPr>
                    <a:xfrm>
                      <a:off x="0" y="0"/>
                      <a:ext cx="4533701" cy="3446953"/>
                    </a:xfrm>
                    <a:prstGeom prst="rect">
                      <a:avLst/>
                    </a:prstGeom>
                  </pic:spPr>
                </pic:pic>
              </a:graphicData>
            </a:graphic>
          </wp:inline>
        </w:drawing>
      </w:r>
    </w:p>
    <w:p w14:paraId="2831AC4B" w14:textId="77777777" w:rsidR="00D630AE" w:rsidRPr="00097824" w:rsidRDefault="00F75E46" w:rsidP="00AD4A9F">
      <w:pPr>
        <w:ind w:left="397" w:firstLine="357"/>
        <w:jc w:val="center"/>
        <w:rPr>
          <w:b/>
        </w:rPr>
      </w:pPr>
      <w:r w:rsidRPr="00097824">
        <w:rPr>
          <w:b/>
        </w:rPr>
        <w:t xml:space="preserve">Блок-схема диагностики и лечения </w:t>
      </w:r>
      <w:r w:rsidR="000F1391" w:rsidRPr="00097824">
        <w:rPr>
          <w:b/>
        </w:rPr>
        <w:t xml:space="preserve">пациента с </w:t>
      </w:r>
      <w:r w:rsidRPr="00097824">
        <w:rPr>
          <w:b/>
        </w:rPr>
        <w:t>ХЦР</w:t>
      </w:r>
    </w:p>
    <w:p w14:paraId="14AB7172" w14:textId="77777777" w:rsidR="006C5E5E" w:rsidRPr="00097824" w:rsidRDefault="006C5E5E" w:rsidP="00AD4A9F">
      <w:pPr>
        <w:ind w:left="397" w:firstLine="357"/>
        <w:jc w:val="left"/>
        <w:rPr>
          <w:b/>
          <w:bCs/>
          <w:kern w:val="32"/>
          <w:sz w:val="28"/>
          <w:szCs w:val="32"/>
        </w:rPr>
      </w:pPr>
    </w:p>
    <w:p w14:paraId="102BDEBC" w14:textId="77777777" w:rsidR="00F75E46" w:rsidRPr="00097824" w:rsidRDefault="00F75E46" w:rsidP="00AD4A9F">
      <w:pPr>
        <w:ind w:left="397" w:firstLine="357"/>
        <w:jc w:val="left"/>
        <w:rPr>
          <w:b/>
          <w:bCs/>
          <w:kern w:val="32"/>
          <w:sz w:val="28"/>
          <w:szCs w:val="32"/>
        </w:rPr>
      </w:pPr>
    </w:p>
    <w:p w14:paraId="7E0C8E3C" w14:textId="77777777" w:rsidR="00F75E46" w:rsidRPr="00097824" w:rsidRDefault="00F75E46" w:rsidP="00AD4A9F">
      <w:pPr>
        <w:ind w:left="397" w:firstLine="357"/>
        <w:jc w:val="left"/>
        <w:rPr>
          <w:b/>
          <w:bCs/>
          <w:kern w:val="32"/>
          <w:sz w:val="28"/>
          <w:szCs w:val="32"/>
        </w:rPr>
      </w:pPr>
    </w:p>
    <w:p w14:paraId="42B99FFD" w14:textId="77777777" w:rsidR="00F75E46" w:rsidRPr="00097824" w:rsidRDefault="00F75E46" w:rsidP="00AD4A9F">
      <w:pPr>
        <w:ind w:left="397" w:firstLine="357"/>
        <w:jc w:val="left"/>
        <w:rPr>
          <w:b/>
          <w:bCs/>
          <w:kern w:val="32"/>
          <w:sz w:val="28"/>
          <w:szCs w:val="32"/>
        </w:rPr>
      </w:pPr>
    </w:p>
    <w:p w14:paraId="663B810D" w14:textId="77777777" w:rsidR="00F75E46" w:rsidRPr="00097824" w:rsidRDefault="00F75E46" w:rsidP="00AD4A9F">
      <w:pPr>
        <w:ind w:left="397" w:firstLine="357"/>
        <w:jc w:val="left"/>
        <w:rPr>
          <w:b/>
          <w:bCs/>
          <w:kern w:val="32"/>
          <w:sz w:val="28"/>
          <w:szCs w:val="32"/>
        </w:rPr>
      </w:pPr>
    </w:p>
    <w:p w14:paraId="13D2CF41" w14:textId="77777777" w:rsidR="00F75E46" w:rsidRPr="00097824" w:rsidRDefault="00F75E46" w:rsidP="00AD4A9F">
      <w:pPr>
        <w:ind w:left="397" w:firstLine="357"/>
        <w:jc w:val="left"/>
        <w:rPr>
          <w:b/>
          <w:bCs/>
          <w:kern w:val="32"/>
          <w:sz w:val="28"/>
          <w:szCs w:val="32"/>
        </w:rPr>
      </w:pPr>
    </w:p>
    <w:p w14:paraId="1965A9F0" w14:textId="77777777" w:rsidR="00F75E46" w:rsidRPr="00097824" w:rsidRDefault="00F75E46" w:rsidP="00AD4A9F">
      <w:pPr>
        <w:ind w:left="397" w:firstLine="357"/>
        <w:jc w:val="left"/>
        <w:rPr>
          <w:b/>
          <w:bCs/>
          <w:kern w:val="32"/>
          <w:sz w:val="28"/>
          <w:szCs w:val="32"/>
        </w:rPr>
      </w:pPr>
    </w:p>
    <w:p w14:paraId="6C350DF0" w14:textId="77777777" w:rsidR="00F75E46" w:rsidRPr="00097824" w:rsidRDefault="00F75E46" w:rsidP="00AD4A9F">
      <w:pPr>
        <w:ind w:left="397" w:firstLine="357"/>
        <w:jc w:val="left"/>
        <w:rPr>
          <w:b/>
          <w:bCs/>
          <w:kern w:val="32"/>
          <w:sz w:val="28"/>
          <w:szCs w:val="32"/>
        </w:rPr>
      </w:pPr>
    </w:p>
    <w:p w14:paraId="4A64A167" w14:textId="77777777" w:rsidR="00F75E46" w:rsidRPr="00097824" w:rsidRDefault="00F75E46" w:rsidP="00AD4A9F">
      <w:pPr>
        <w:ind w:left="397" w:firstLine="357"/>
        <w:jc w:val="left"/>
        <w:rPr>
          <w:b/>
          <w:bCs/>
          <w:kern w:val="32"/>
          <w:sz w:val="28"/>
          <w:szCs w:val="32"/>
        </w:rPr>
      </w:pPr>
    </w:p>
    <w:p w14:paraId="1190D7F1" w14:textId="77777777" w:rsidR="00F75E46" w:rsidRPr="00097824" w:rsidRDefault="00F75E46" w:rsidP="00AD4A9F">
      <w:pPr>
        <w:ind w:left="397" w:firstLine="357"/>
        <w:jc w:val="left"/>
        <w:rPr>
          <w:b/>
          <w:bCs/>
          <w:kern w:val="32"/>
          <w:sz w:val="28"/>
          <w:szCs w:val="32"/>
        </w:rPr>
      </w:pPr>
    </w:p>
    <w:p w14:paraId="7CB90520" w14:textId="77777777" w:rsidR="00F75E46" w:rsidRPr="00097824" w:rsidRDefault="00F75E46" w:rsidP="00AD4A9F">
      <w:pPr>
        <w:ind w:left="397" w:firstLine="357"/>
        <w:jc w:val="left"/>
        <w:rPr>
          <w:b/>
          <w:bCs/>
          <w:kern w:val="32"/>
          <w:sz w:val="28"/>
          <w:szCs w:val="32"/>
        </w:rPr>
      </w:pPr>
    </w:p>
    <w:p w14:paraId="61068EE4" w14:textId="77777777" w:rsidR="00F75E46" w:rsidRPr="00097824" w:rsidRDefault="00F75E46" w:rsidP="00AD4A9F">
      <w:pPr>
        <w:ind w:left="397" w:firstLine="357"/>
        <w:jc w:val="left"/>
        <w:rPr>
          <w:b/>
          <w:bCs/>
          <w:kern w:val="32"/>
          <w:sz w:val="28"/>
          <w:szCs w:val="32"/>
        </w:rPr>
      </w:pPr>
    </w:p>
    <w:p w14:paraId="53A49AD1" w14:textId="77777777" w:rsidR="00F75E46" w:rsidRPr="00097824" w:rsidRDefault="00F75E46" w:rsidP="00AD4A9F">
      <w:pPr>
        <w:ind w:left="397" w:firstLine="357"/>
        <w:jc w:val="left"/>
        <w:rPr>
          <w:b/>
          <w:bCs/>
          <w:kern w:val="32"/>
          <w:sz w:val="28"/>
          <w:szCs w:val="32"/>
        </w:rPr>
      </w:pPr>
    </w:p>
    <w:p w14:paraId="6CD42388" w14:textId="77777777" w:rsidR="00F75E46" w:rsidRPr="00097824" w:rsidRDefault="00F75E46" w:rsidP="00AD4A9F">
      <w:pPr>
        <w:ind w:left="397" w:firstLine="357"/>
        <w:jc w:val="left"/>
        <w:rPr>
          <w:b/>
          <w:bCs/>
          <w:kern w:val="32"/>
          <w:sz w:val="28"/>
          <w:szCs w:val="32"/>
        </w:rPr>
      </w:pPr>
    </w:p>
    <w:p w14:paraId="21640FEB" w14:textId="77777777" w:rsidR="00F75E46" w:rsidRPr="00097824" w:rsidRDefault="00F75E46" w:rsidP="00AD4A9F">
      <w:pPr>
        <w:ind w:left="397" w:firstLine="357"/>
        <w:jc w:val="left"/>
        <w:rPr>
          <w:b/>
          <w:bCs/>
          <w:kern w:val="32"/>
          <w:sz w:val="28"/>
          <w:szCs w:val="32"/>
        </w:rPr>
      </w:pPr>
    </w:p>
    <w:p w14:paraId="16C3796C" w14:textId="77777777" w:rsidR="00F75E46" w:rsidRPr="00097824" w:rsidRDefault="00F75E46" w:rsidP="00AD4A9F">
      <w:pPr>
        <w:ind w:left="397" w:firstLine="357"/>
        <w:jc w:val="left"/>
        <w:rPr>
          <w:b/>
          <w:bCs/>
          <w:kern w:val="32"/>
          <w:sz w:val="28"/>
          <w:szCs w:val="32"/>
        </w:rPr>
      </w:pPr>
    </w:p>
    <w:p w14:paraId="6415EFE9" w14:textId="77777777" w:rsidR="006C5E5E" w:rsidRPr="00097824" w:rsidRDefault="006C5E5E" w:rsidP="00AD4A9F">
      <w:pPr>
        <w:pStyle w:val="10"/>
        <w:spacing w:before="0"/>
        <w:ind w:left="397" w:firstLine="357"/>
      </w:pPr>
      <w:bookmarkStart w:id="145" w:name="_Toc473235572"/>
      <w:bookmarkStart w:id="146" w:name="_Toc511082529"/>
      <w:bookmarkStart w:id="147" w:name="_Toc511221612"/>
      <w:bookmarkStart w:id="148" w:name="_Toc23142743"/>
      <w:bookmarkStart w:id="149" w:name="_Toc113198783"/>
      <w:bookmarkStart w:id="150" w:name="_Toc113205074"/>
      <w:r w:rsidRPr="00097824">
        <w:lastRenderedPageBreak/>
        <w:t>Приложение В. Информация для пациента</w:t>
      </w:r>
      <w:bookmarkEnd w:id="137"/>
      <w:bookmarkEnd w:id="145"/>
      <w:bookmarkEnd w:id="146"/>
      <w:bookmarkEnd w:id="147"/>
      <w:bookmarkEnd w:id="148"/>
      <w:bookmarkEnd w:id="149"/>
      <w:bookmarkEnd w:id="150"/>
    </w:p>
    <w:p w14:paraId="38A1A904" w14:textId="77777777" w:rsidR="006C5E5E" w:rsidRPr="00097824" w:rsidRDefault="006C5E5E" w:rsidP="00AD4A9F">
      <w:pPr>
        <w:ind w:left="397" w:firstLine="357"/>
      </w:pPr>
      <w:r w:rsidRPr="00097824">
        <w:rPr>
          <w:b/>
          <w:bCs/>
          <w:u w:val="single"/>
        </w:rPr>
        <w:t xml:space="preserve">Рекомендации при осложнениях хирургического лечения </w:t>
      </w:r>
      <w:r w:rsidRPr="00097824">
        <w:rPr>
          <w:bCs/>
          <w:u w:val="single"/>
        </w:rPr>
        <w:t xml:space="preserve">– связаться с оперировавшим </w:t>
      </w:r>
      <w:r w:rsidR="000F1391" w:rsidRPr="00097824">
        <w:rPr>
          <w:bCs/>
          <w:u w:val="single"/>
        </w:rPr>
        <w:t>врачом-</w:t>
      </w:r>
      <w:r w:rsidRPr="00097824">
        <w:rPr>
          <w:bCs/>
          <w:u w:val="single"/>
        </w:rPr>
        <w:t>хирургом.</w:t>
      </w:r>
    </w:p>
    <w:p w14:paraId="2CDDE375" w14:textId="77777777" w:rsidR="006C5E5E" w:rsidRPr="00097824" w:rsidRDefault="006C5E5E" w:rsidP="00AD4A9F">
      <w:pPr>
        <w:ind w:left="397" w:firstLine="357"/>
      </w:pPr>
      <w:r w:rsidRPr="00097824">
        <w:rPr>
          <w:b/>
          <w:bCs/>
          <w:u w:val="single"/>
        </w:rPr>
        <w:t xml:space="preserve">Рекомендации при осложнениях химиотерапии </w:t>
      </w:r>
      <w:r w:rsidR="00E7175B" w:rsidRPr="00097824">
        <w:rPr>
          <w:bCs/>
          <w:u w:val="single"/>
        </w:rPr>
        <w:t>–</w:t>
      </w:r>
      <w:r w:rsidRPr="00097824">
        <w:rPr>
          <w:bCs/>
          <w:u w:val="single"/>
        </w:rPr>
        <w:t xml:space="preserve"> связаться с </w:t>
      </w:r>
      <w:r w:rsidR="00C15B99" w:rsidRPr="00097824">
        <w:rPr>
          <w:bCs/>
          <w:u w:val="single"/>
        </w:rPr>
        <w:t>врачом-онкологом (</w:t>
      </w:r>
      <w:r w:rsidRPr="00097824">
        <w:rPr>
          <w:bCs/>
          <w:u w:val="single"/>
        </w:rPr>
        <w:t>химиотерапевтом</w:t>
      </w:r>
      <w:r w:rsidR="00C15B99" w:rsidRPr="00097824">
        <w:rPr>
          <w:bCs/>
          <w:u w:val="single"/>
        </w:rPr>
        <w:t>)</w:t>
      </w:r>
      <w:r w:rsidRPr="00097824">
        <w:t>.</w:t>
      </w:r>
    </w:p>
    <w:p w14:paraId="576BD3A6" w14:textId="77777777" w:rsidR="006C5E5E" w:rsidRPr="00097824" w:rsidRDefault="006C5E5E" w:rsidP="00AD4A9F">
      <w:pPr>
        <w:ind w:left="397" w:firstLine="357"/>
        <w:jc w:val="center"/>
      </w:pPr>
    </w:p>
    <w:p w14:paraId="5EA36078" w14:textId="77777777" w:rsidR="006C5E5E" w:rsidRPr="00097824" w:rsidRDefault="006C5E5E" w:rsidP="00AD4A9F">
      <w:pPr>
        <w:ind w:left="397" w:firstLine="357"/>
        <w:rPr>
          <w:b/>
          <w:bCs/>
        </w:rPr>
      </w:pPr>
      <w:r w:rsidRPr="00097824">
        <w:rPr>
          <w:b/>
          <w:bCs/>
        </w:rPr>
        <w:t xml:space="preserve">При повышении температуры тела </w:t>
      </w:r>
      <w:r w:rsidR="004F024E" w:rsidRPr="00097824">
        <w:rPr>
          <w:b/>
          <w:bCs/>
        </w:rPr>
        <w:t xml:space="preserve">до </w:t>
      </w:r>
      <w:r w:rsidRPr="00097824">
        <w:rPr>
          <w:b/>
          <w:bCs/>
        </w:rPr>
        <w:t>38°</w:t>
      </w:r>
      <w:r w:rsidRPr="00097824">
        <w:rPr>
          <w:b/>
          <w:bCs/>
          <w:lang w:val="en-US"/>
        </w:rPr>
        <w:t>C</w:t>
      </w:r>
      <w:r w:rsidRPr="00097824">
        <w:rPr>
          <w:b/>
          <w:bCs/>
        </w:rPr>
        <w:t xml:space="preserve"> и выше:</w:t>
      </w:r>
    </w:p>
    <w:p w14:paraId="3CB8BB47" w14:textId="77777777" w:rsidR="006C5E5E" w:rsidRPr="00097824" w:rsidRDefault="00C15B99" w:rsidP="00CC2BE1">
      <w:pPr>
        <w:numPr>
          <w:ilvl w:val="0"/>
          <w:numId w:val="15"/>
        </w:numPr>
        <w:tabs>
          <w:tab w:val="num" w:pos="1149"/>
        </w:tabs>
        <w:suppressAutoHyphens/>
        <w:ind w:left="397" w:firstLine="357"/>
      </w:pPr>
      <w:r w:rsidRPr="00097824">
        <w:rPr>
          <w:bCs/>
          <w:u w:val="single"/>
        </w:rPr>
        <w:t>связаться с врачом-онкологом</w:t>
      </w:r>
      <w:r w:rsidR="004F024E" w:rsidRPr="00097824">
        <w:rPr>
          <w:u w:val="single"/>
        </w:rPr>
        <w:t>.</w:t>
      </w:r>
    </w:p>
    <w:p w14:paraId="15F56AE9" w14:textId="77777777" w:rsidR="006C5E5E" w:rsidRPr="00097824" w:rsidRDefault="006C5E5E" w:rsidP="00AD4A9F">
      <w:pPr>
        <w:ind w:left="397" w:firstLine="357"/>
        <w:rPr>
          <w:b/>
          <w:bCs/>
        </w:rPr>
      </w:pPr>
      <w:r w:rsidRPr="00097824">
        <w:rPr>
          <w:b/>
          <w:bCs/>
        </w:rPr>
        <w:t>При стоматите</w:t>
      </w:r>
      <w:r w:rsidR="004F024E" w:rsidRPr="00097824">
        <w:rPr>
          <w:b/>
          <w:bCs/>
        </w:rPr>
        <w:t>:</w:t>
      </w:r>
    </w:p>
    <w:p w14:paraId="03133780" w14:textId="77777777" w:rsidR="006C5E5E" w:rsidRPr="00097824" w:rsidRDefault="006C5E5E" w:rsidP="00CC2BE1">
      <w:pPr>
        <w:pStyle w:val="aff"/>
        <w:numPr>
          <w:ilvl w:val="0"/>
          <w:numId w:val="15"/>
        </w:numPr>
        <w:suppressAutoHyphens/>
        <w:ind w:left="397" w:firstLine="357"/>
      </w:pPr>
      <w:r w:rsidRPr="00097824">
        <w:t xml:space="preserve">Диета – механическое, термическое </w:t>
      </w:r>
      <w:proofErr w:type="spellStart"/>
      <w:r w:rsidRPr="00097824">
        <w:t>щажение</w:t>
      </w:r>
      <w:proofErr w:type="spellEnd"/>
      <w:r w:rsidR="004F024E" w:rsidRPr="00097824">
        <w:t>.</w:t>
      </w:r>
    </w:p>
    <w:p w14:paraId="1344EE96" w14:textId="77777777" w:rsidR="006C5E5E" w:rsidRPr="00097824" w:rsidRDefault="006C5E5E" w:rsidP="00CC2BE1">
      <w:pPr>
        <w:pStyle w:val="aff"/>
        <w:numPr>
          <w:ilvl w:val="0"/>
          <w:numId w:val="15"/>
        </w:numPr>
        <w:suppressAutoHyphens/>
        <w:ind w:left="397" w:firstLine="357"/>
      </w:pPr>
      <w:r w:rsidRPr="00097824">
        <w:t>Частое полоскание рта (каждый час) – ромашка, кора дуба, шалфей, смазывать полость рта облепиховым (персиковым) маслом</w:t>
      </w:r>
      <w:r w:rsidR="004F024E" w:rsidRPr="00097824">
        <w:t>.</w:t>
      </w:r>
    </w:p>
    <w:p w14:paraId="5681B61A" w14:textId="77777777" w:rsidR="004F024E" w:rsidRPr="00097824" w:rsidRDefault="006C5E5E" w:rsidP="00CC2BE1">
      <w:pPr>
        <w:pStyle w:val="aff"/>
        <w:numPr>
          <w:ilvl w:val="0"/>
          <w:numId w:val="15"/>
        </w:numPr>
        <w:suppressAutoHyphens/>
        <w:ind w:left="397" w:firstLine="357"/>
        <w:rPr>
          <w:b/>
          <w:bCs/>
        </w:rPr>
      </w:pPr>
      <w:r w:rsidRPr="00097824">
        <w:t xml:space="preserve">Обрабатывать полость рта </w:t>
      </w:r>
      <w:r w:rsidRPr="00097824">
        <w:rPr>
          <w:u w:val="single"/>
        </w:rPr>
        <w:t xml:space="preserve">по </w:t>
      </w:r>
      <w:r w:rsidR="00C15B99" w:rsidRPr="00097824">
        <w:rPr>
          <w:u w:val="single"/>
        </w:rPr>
        <w:t>назначению врача-онколога</w:t>
      </w:r>
      <w:r w:rsidR="004F024E" w:rsidRPr="00097824">
        <w:rPr>
          <w:u w:val="single"/>
        </w:rPr>
        <w:t>.</w:t>
      </w:r>
    </w:p>
    <w:p w14:paraId="4933EA79" w14:textId="77777777" w:rsidR="006C5E5E" w:rsidRPr="00097824" w:rsidRDefault="006C5E5E" w:rsidP="00AD4A9F">
      <w:pPr>
        <w:pStyle w:val="aff"/>
        <w:suppressAutoHyphens/>
        <w:ind w:left="397" w:firstLine="357"/>
        <w:rPr>
          <w:b/>
          <w:bCs/>
        </w:rPr>
      </w:pPr>
      <w:r w:rsidRPr="00097824">
        <w:rPr>
          <w:b/>
          <w:bCs/>
        </w:rPr>
        <w:t>При диарее</w:t>
      </w:r>
      <w:r w:rsidR="004F024E" w:rsidRPr="00097824">
        <w:rPr>
          <w:b/>
          <w:bCs/>
        </w:rPr>
        <w:t>:</w:t>
      </w:r>
    </w:p>
    <w:p w14:paraId="67B6F46E" w14:textId="77777777" w:rsidR="006C5E5E" w:rsidRPr="00097824" w:rsidRDefault="006C5E5E" w:rsidP="00CC2BE1">
      <w:pPr>
        <w:numPr>
          <w:ilvl w:val="0"/>
          <w:numId w:val="14"/>
        </w:numPr>
        <w:tabs>
          <w:tab w:val="num" w:pos="720"/>
        </w:tabs>
        <w:suppressAutoHyphens/>
        <w:ind w:left="397" w:firstLine="357"/>
      </w:pPr>
      <w:r w:rsidRPr="00097824">
        <w:t>Диета – исключить жирное, острое, копченое, сладкое, молочное, клетчатку. Можно нежирное мясо, мучное, кисломолочное, рисовый отвар. Обильное питье.</w:t>
      </w:r>
    </w:p>
    <w:p w14:paraId="70CBFCF2" w14:textId="77777777" w:rsidR="006C5E5E" w:rsidRPr="00097824" w:rsidRDefault="006C5E5E" w:rsidP="00CC2BE1">
      <w:pPr>
        <w:numPr>
          <w:ilvl w:val="0"/>
          <w:numId w:val="14"/>
        </w:numPr>
        <w:tabs>
          <w:tab w:val="num" w:pos="720"/>
        </w:tabs>
        <w:suppressAutoHyphens/>
        <w:ind w:left="397" w:firstLine="357"/>
      </w:pPr>
      <w:r w:rsidRPr="00097824">
        <w:t xml:space="preserve">Принимать </w:t>
      </w:r>
      <w:r w:rsidRPr="00097824">
        <w:rPr>
          <w:u w:val="single"/>
        </w:rPr>
        <w:t xml:space="preserve">препараты по </w:t>
      </w:r>
      <w:r w:rsidR="00C15B99" w:rsidRPr="00097824">
        <w:rPr>
          <w:u w:val="single"/>
        </w:rPr>
        <w:t>назначению врача-онколога</w:t>
      </w:r>
      <w:r w:rsidR="004F024E" w:rsidRPr="00097824">
        <w:rPr>
          <w:u w:val="single"/>
        </w:rPr>
        <w:t>.</w:t>
      </w:r>
    </w:p>
    <w:p w14:paraId="5CB3B9B6" w14:textId="77777777" w:rsidR="006C5E5E" w:rsidRPr="00097824" w:rsidRDefault="006C5E5E" w:rsidP="00AD4A9F">
      <w:pPr>
        <w:ind w:left="397" w:firstLine="357"/>
        <w:rPr>
          <w:b/>
          <w:bCs/>
        </w:rPr>
      </w:pPr>
      <w:r w:rsidRPr="00097824">
        <w:rPr>
          <w:b/>
          <w:bCs/>
        </w:rPr>
        <w:t>При тошноте</w:t>
      </w:r>
      <w:r w:rsidR="004F024E" w:rsidRPr="00097824">
        <w:rPr>
          <w:b/>
          <w:bCs/>
        </w:rPr>
        <w:t>:</w:t>
      </w:r>
    </w:p>
    <w:p w14:paraId="75E8673C" w14:textId="77777777" w:rsidR="006C5E5E" w:rsidRPr="00097824" w:rsidRDefault="006C5E5E" w:rsidP="00CC2BE1">
      <w:pPr>
        <w:numPr>
          <w:ilvl w:val="0"/>
          <w:numId w:val="14"/>
        </w:numPr>
        <w:tabs>
          <w:tab w:val="num" w:pos="720"/>
        </w:tabs>
        <w:suppressAutoHyphens/>
        <w:ind w:left="397" w:firstLine="357"/>
      </w:pPr>
      <w:r w:rsidRPr="00097824">
        <w:t xml:space="preserve">Принимать </w:t>
      </w:r>
      <w:r w:rsidRPr="00097824">
        <w:rPr>
          <w:u w:val="single"/>
        </w:rPr>
        <w:t xml:space="preserve">препараты по </w:t>
      </w:r>
      <w:r w:rsidR="00C15B99" w:rsidRPr="00097824">
        <w:rPr>
          <w:u w:val="single"/>
        </w:rPr>
        <w:t>назначению врача-онколога</w:t>
      </w:r>
      <w:r w:rsidR="004F024E" w:rsidRPr="00097824">
        <w:rPr>
          <w:u w:val="single"/>
        </w:rPr>
        <w:t>.</w:t>
      </w:r>
    </w:p>
    <w:p w14:paraId="6FCD6D1E" w14:textId="77777777" w:rsidR="00C15B99" w:rsidRPr="00097824" w:rsidRDefault="00C15B99" w:rsidP="00AD4A9F">
      <w:pPr>
        <w:ind w:left="397" w:firstLine="357"/>
        <w:jc w:val="left"/>
      </w:pPr>
      <w:r w:rsidRPr="00097824">
        <w:br w:type="page"/>
      </w:r>
    </w:p>
    <w:p w14:paraId="36E00FB6" w14:textId="10AC073E" w:rsidR="00C15B99" w:rsidRPr="00097824" w:rsidRDefault="00C15B99" w:rsidP="00AD4A9F">
      <w:pPr>
        <w:pStyle w:val="10"/>
        <w:spacing w:before="0"/>
        <w:ind w:left="397" w:firstLine="357"/>
        <w:rPr>
          <w:sz w:val="32"/>
          <w:szCs w:val="28"/>
        </w:rPr>
      </w:pPr>
      <w:bookmarkStart w:id="151" w:name="__RefHeading___doc_g"/>
      <w:bookmarkStart w:id="152" w:name="_Toc11747754"/>
      <w:bookmarkStart w:id="153" w:name="_Toc22030462"/>
      <w:bookmarkStart w:id="154" w:name="_Toc25925500"/>
      <w:bookmarkStart w:id="155" w:name="_Toc113198784"/>
      <w:bookmarkStart w:id="156" w:name="_Toc113205075"/>
      <w:r w:rsidRPr="00097824">
        <w:rPr>
          <w:sz w:val="32"/>
          <w:szCs w:val="28"/>
        </w:rPr>
        <w:lastRenderedPageBreak/>
        <w:t>Приложение</w:t>
      </w:r>
      <w:bookmarkEnd w:id="151"/>
      <w:r w:rsidRPr="00097824">
        <w:rPr>
          <w:sz w:val="32"/>
          <w:szCs w:val="28"/>
        </w:rPr>
        <w:t xml:space="preserve"> Г</w:t>
      </w:r>
      <w:r w:rsidR="005C7514" w:rsidRPr="00097824">
        <w:rPr>
          <w:sz w:val="32"/>
          <w:szCs w:val="28"/>
        </w:rPr>
        <w:t>1-Г</w:t>
      </w:r>
      <w:r w:rsidR="005C7514" w:rsidRPr="00097824">
        <w:rPr>
          <w:sz w:val="32"/>
          <w:szCs w:val="28"/>
          <w:lang w:val="en-US"/>
        </w:rPr>
        <w:t>N</w:t>
      </w:r>
      <w:r w:rsidRPr="00097824">
        <w:rPr>
          <w:sz w:val="32"/>
          <w:szCs w:val="28"/>
        </w:rPr>
        <w:t xml:space="preserve">. </w:t>
      </w:r>
      <w:bookmarkEnd w:id="152"/>
      <w:bookmarkEnd w:id="153"/>
      <w:bookmarkEnd w:id="154"/>
      <w:r w:rsidR="005C7514" w:rsidRPr="00097824">
        <w:rPr>
          <w:sz w:val="32"/>
          <w:szCs w:val="28"/>
        </w:rPr>
        <w:t xml:space="preserve">Приложение Г1 - ГN. Шкалы оценки, вопросники и другие оценочные инструменты состояния пациента, приведенные в клинических рекомендациях Приложение Г1. </w:t>
      </w:r>
      <w:r w:rsidRPr="00097824">
        <w:rPr>
          <w:iCs/>
        </w:rPr>
        <w:t>Шкала оценки тяжести состояния пациента по версии ВОЗ/</w:t>
      </w:r>
      <w:r w:rsidRPr="00097824">
        <w:rPr>
          <w:iCs/>
          <w:lang w:val="en-US"/>
        </w:rPr>
        <w:t>ECOG</w:t>
      </w:r>
      <w:bookmarkEnd w:id="155"/>
      <w:bookmarkEnd w:id="156"/>
    </w:p>
    <w:p w14:paraId="4CC77DAD" w14:textId="77777777" w:rsidR="00C15B99" w:rsidRPr="00097824" w:rsidRDefault="007F5427" w:rsidP="00AD4A9F">
      <w:pPr>
        <w:ind w:left="397" w:firstLine="357"/>
        <w:rPr>
          <w:szCs w:val="24"/>
        </w:rPr>
      </w:pPr>
      <w:r w:rsidRPr="00097824">
        <w:rPr>
          <w:b/>
          <w:bCs/>
          <w:szCs w:val="24"/>
          <w:lang w:eastAsia="ru-RU" w:bidi="ru-RU"/>
        </w:rPr>
        <w:t xml:space="preserve">Название на русском </w:t>
      </w:r>
      <w:proofErr w:type="spellStart"/>
      <w:proofErr w:type="gramStart"/>
      <w:r w:rsidRPr="00097824">
        <w:rPr>
          <w:b/>
          <w:bCs/>
          <w:szCs w:val="24"/>
          <w:lang w:eastAsia="ru-RU" w:bidi="ru-RU"/>
        </w:rPr>
        <w:t>языке:</w:t>
      </w:r>
      <w:r w:rsidR="00C15B99" w:rsidRPr="00097824">
        <w:rPr>
          <w:iCs/>
        </w:rPr>
        <w:t>Шкала</w:t>
      </w:r>
      <w:proofErr w:type="spellEnd"/>
      <w:proofErr w:type="gramEnd"/>
      <w:r w:rsidR="00C15B99" w:rsidRPr="00097824">
        <w:rPr>
          <w:iCs/>
        </w:rPr>
        <w:t xml:space="preserve"> оценки тяжести состояния пациента по версии ВОЗ/</w:t>
      </w:r>
      <w:r w:rsidR="00C15B99" w:rsidRPr="00097824">
        <w:rPr>
          <w:iCs/>
          <w:lang w:val="en-US"/>
        </w:rPr>
        <w:t>ECOG</w:t>
      </w:r>
    </w:p>
    <w:p w14:paraId="1C2D3768" w14:textId="77777777" w:rsidR="00C15B99" w:rsidRPr="00097824" w:rsidRDefault="007F5427" w:rsidP="00AD4A9F">
      <w:pPr>
        <w:pStyle w:val="af9"/>
        <w:spacing w:before="0" w:after="0"/>
        <w:ind w:left="397" w:firstLine="357"/>
        <w:rPr>
          <w:i/>
          <w:lang w:val="en-US" w:eastAsia="ru-RU" w:bidi="ru-RU"/>
        </w:rPr>
      </w:pPr>
      <w:proofErr w:type="spellStart"/>
      <w:r w:rsidRPr="00097824">
        <w:rPr>
          <w:b/>
          <w:bCs/>
          <w:lang w:eastAsia="ru-RU" w:bidi="ru-RU"/>
        </w:rPr>
        <w:t>Оригинальноеназвание</w:t>
      </w:r>
      <w:proofErr w:type="spellEnd"/>
      <w:r w:rsidRPr="00097824">
        <w:rPr>
          <w:b/>
          <w:bCs/>
          <w:lang w:val="en-US" w:eastAsia="ru-RU" w:bidi="ru-RU"/>
        </w:rPr>
        <w:t>:</w:t>
      </w:r>
      <w:r w:rsidRPr="00097824">
        <w:rPr>
          <w:lang w:val="en-US" w:eastAsia="ru-RU" w:bidi="ru-RU"/>
        </w:rPr>
        <w:t xml:space="preserve"> The Eastern Cooperative Oncology Group/World Health Organization Performance Status (ECOG/WHO PS)</w:t>
      </w:r>
    </w:p>
    <w:p w14:paraId="0DB3574B" w14:textId="77777777" w:rsidR="00C15B99" w:rsidRPr="00097824" w:rsidRDefault="007F5427" w:rsidP="00AD4A9F">
      <w:pPr>
        <w:pStyle w:val="af9"/>
        <w:spacing w:before="0" w:after="0"/>
        <w:ind w:left="397" w:firstLine="357"/>
        <w:rPr>
          <w:b/>
          <w:lang w:eastAsia="ru-RU" w:bidi="ru-RU"/>
        </w:rPr>
      </w:pPr>
      <w:r w:rsidRPr="00097824">
        <w:rPr>
          <w:b/>
          <w:bCs/>
          <w:lang w:eastAsia="ru-RU" w:bidi="ru-RU"/>
        </w:rPr>
        <w:t>Источник (официальный сайт разработчиков, публикация с валидацией):</w:t>
      </w:r>
      <w:hyperlink r:id="rId13" w:history="1">
        <w:r w:rsidRPr="00097824">
          <w:rPr>
            <w:rStyle w:val="afff"/>
            <w:b/>
            <w:color w:val="auto"/>
            <w:lang w:eastAsia="ru-RU" w:bidi="ru-RU"/>
          </w:rPr>
          <w:t>https://ecog-acrin.org/resources/ecog-performance-status</w:t>
        </w:r>
      </w:hyperlink>
    </w:p>
    <w:p w14:paraId="342888CD" w14:textId="77777777" w:rsidR="00C15B99" w:rsidRPr="00097824" w:rsidRDefault="00C15B99" w:rsidP="00AD4A9F">
      <w:pPr>
        <w:pStyle w:val="af9"/>
        <w:spacing w:before="0" w:after="0"/>
        <w:ind w:left="397" w:firstLine="357"/>
        <w:rPr>
          <w:i/>
          <w:lang w:eastAsia="ru-RU" w:bidi="ru-RU"/>
        </w:rPr>
      </w:pPr>
      <w:r w:rsidRPr="00097824">
        <w:rPr>
          <w:noProof/>
          <w:lang w:val="en-US"/>
        </w:rPr>
        <w:t xml:space="preserve">Oken MM, Creech RH, Tormey DC, Horton J, Davis TE, McFadden ET, Carbone PP: </w:t>
      </w:r>
      <w:r w:rsidRPr="00097824">
        <w:rPr>
          <w:b/>
          <w:noProof/>
          <w:lang w:val="en-US"/>
        </w:rPr>
        <w:t>Toxicity and response criteria of the Eastern Cooperative Oncology Group</w:t>
      </w:r>
      <w:r w:rsidRPr="00097824">
        <w:rPr>
          <w:noProof/>
          <w:lang w:val="en-US"/>
        </w:rPr>
        <w:t xml:space="preserve">. </w:t>
      </w:r>
      <w:r w:rsidRPr="00097824">
        <w:rPr>
          <w:noProof/>
        </w:rPr>
        <w:t xml:space="preserve">Am J Clin Oncol 1982, </w:t>
      </w:r>
      <w:r w:rsidRPr="00097824">
        <w:rPr>
          <w:b/>
          <w:noProof/>
        </w:rPr>
        <w:t>5</w:t>
      </w:r>
      <w:r w:rsidRPr="00097824">
        <w:rPr>
          <w:noProof/>
        </w:rPr>
        <w:t>(6):649-655</w:t>
      </w:r>
    </w:p>
    <w:p w14:paraId="1214EEED" w14:textId="77777777" w:rsidR="00C15B99" w:rsidRPr="00097824" w:rsidRDefault="007F5427" w:rsidP="00AD4A9F">
      <w:pPr>
        <w:pStyle w:val="af9"/>
        <w:spacing w:before="0" w:after="0"/>
        <w:ind w:left="397" w:firstLine="357"/>
        <w:rPr>
          <w:i/>
          <w:lang w:eastAsia="ru-RU" w:bidi="ru-RU"/>
        </w:rPr>
      </w:pPr>
      <w:r w:rsidRPr="00097824">
        <w:rPr>
          <w:b/>
          <w:bCs/>
          <w:lang w:eastAsia="ru-RU" w:bidi="ru-RU"/>
        </w:rPr>
        <w:t>Тип:</w:t>
      </w:r>
      <w:r w:rsidRPr="00097824">
        <w:rPr>
          <w:lang w:eastAsia="ru-RU" w:bidi="ru-RU"/>
        </w:rPr>
        <w:t xml:space="preserve"> шкала оценки</w:t>
      </w:r>
    </w:p>
    <w:p w14:paraId="481EB464" w14:textId="25BE87FA" w:rsidR="00C15B99" w:rsidRPr="00097824" w:rsidRDefault="007F5427" w:rsidP="00AD4A9F">
      <w:pPr>
        <w:pStyle w:val="af9"/>
        <w:spacing w:before="0" w:after="0"/>
        <w:ind w:left="397" w:firstLine="357"/>
        <w:rPr>
          <w:lang w:eastAsia="ru-RU" w:bidi="ru-RU"/>
        </w:rPr>
      </w:pPr>
      <w:r w:rsidRPr="00097824">
        <w:rPr>
          <w:b/>
          <w:bCs/>
          <w:lang w:eastAsia="ru-RU" w:bidi="ru-RU"/>
        </w:rPr>
        <w:t>Назначение:</w:t>
      </w:r>
      <w:r w:rsidR="00CD20DE" w:rsidRPr="00097824">
        <w:rPr>
          <w:b/>
          <w:bCs/>
          <w:lang w:eastAsia="ru-RU" w:bidi="ru-RU"/>
        </w:rPr>
        <w:t xml:space="preserve"> </w:t>
      </w:r>
      <w:r w:rsidRPr="00097824">
        <w:rPr>
          <w:spacing w:val="-6"/>
          <w:lang w:eastAsia="ru-RU" w:bidi="ru-RU"/>
        </w:rPr>
        <w:t>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5CFB464E" w14:textId="77777777" w:rsidR="00C15B99" w:rsidRPr="00097824" w:rsidRDefault="007F5427" w:rsidP="00AD4A9F">
      <w:pPr>
        <w:pStyle w:val="af9"/>
        <w:spacing w:before="0" w:after="0"/>
        <w:ind w:left="397" w:firstLine="357"/>
        <w:rPr>
          <w:b/>
          <w:bCs/>
          <w:i/>
          <w:lang w:eastAsia="ru-RU" w:bidi="ru-RU"/>
        </w:rPr>
      </w:pPr>
      <w:r w:rsidRPr="00097824">
        <w:rPr>
          <w:b/>
          <w:bCs/>
          <w:lang w:eastAsia="ru-RU" w:bidi="ru-RU"/>
        </w:rPr>
        <w:t>Содержание:</w:t>
      </w:r>
    </w:p>
    <w:tbl>
      <w:tblPr>
        <w:tblW w:w="9371" w:type="dxa"/>
        <w:tblInd w:w="15" w:type="dxa"/>
        <w:tblCellMar>
          <w:top w:w="15" w:type="dxa"/>
          <w:left w:w="15" w:type="dxa"/>
          <w:bottom w:w="15" w:type="dxa"/>
          <w:right w:w="15" w:type="dxa"/>
        </w:tblCellMar>
        <w:tblLook w:val="00A0" w:firstRow="1" w:lastRow="0" w:firstColumn="1" w:lastColumn="0" w:noHBand="0" w:noVBand="0"/>
      </w:tblPr>
      <w:tblGrid>
        <w:gridCol w:w="1400"/>
        <w:gridCol w:w="7971"/>
      </w:tblGrid>
      <w:tr w:rsidR="005A526D" w:rsidRPr="00097824" w14:paraId="7842B749" w14:textId="77777777" w:rsidTr="00F93B0B">
        <w:trPr>
          <w:trHeight w:val="20"/>
        </w:trPr>
        <w:tc>
          <w:tcPr>
            <w:tcW w:w="1400" w:type="dxa"/>
            <w:tcBorders>
              <w:top w:val="single" w:sz="2" w:space="0" w:color="7F7F7F"/>
              <w:left w:val="single" w:sz="2" w:space="0" w:color="7C7C7C"/>
              <w:bottom w:val="single" w:sz="2" w:space="0" w:color="7F7F7F"/>
              <w:right w:val="single" w:sz="2" w:space="0" w:color="7C7C7C"/>
            </w:tcBorders>
            <w:vAlign w:val="center"/>
          </w:tcPr>
          <w:p w14:paraId="2EC50058" w14:textId="77777777" w:rsidR="00C15B99" w:rsidRPr="00097824" w:rsidRDefault="00C15B99" w:rsidP="00AD4A9F">
            <w:pPr>
              <w:ind w:left="397" w:firstLine="357"/>
              <w:jc w:val="center"/>
              <w:rPr>
                <w:b/>
                <w:bCs/>
                <w:szCs w:val="24"/>
                <w:lang w:eastAsia="ru-RU"/>
              </w:rPr>
            </w:pPr>
            <w:r w:rsidRPr="00097824">
              <w:rPr>
                <w:b/>
                <w:bCs/>
                <w:szCs w:val="24"/>
                <w:lang w:eastAsia="ru-RU"/>
              </w:rPr>
              <w:t>Балл</w:t>
            </w:r>
          </w:p>
        </w:tc>
        <w:tc>
          <w:tcPr>
            <w:tcW w:w="7971" w:type="dxa"/>
            <w:tcBorders>
              <w:top w:val="single" w:sz="2" w:space="0" w:color="7F7F7F"/>
              <w:left w:val="single" w:sz="2" w:space="0" w:color="7C7C7C"/>
              <w:bottom w:val="single" w:sz="2" w:space="0" w:color="7F7F7F"/>
              <w:right w:val="single" w:sz="2" w:space="0" w:color="7C7C7C"/>
            </w:tcBorders>
            <w:vAlign w:val="center"/>
          </w:tcPr>
          <w:p w14:paraId="56AAF9EC" w14:textId="77777777" w:rsidR="00C15B99" w:rsidRPr="00097824" w:rsidRDefault="00C15B99" w:rsidP="00AD4A9F">
            <w:pPr>
              <w:ind w:left="397" w:firstLine="357"/>
              <w:jc w:val="center"/>
              <w:rPr>
                <w:b/>
                <w:bCs/>
                <w:szCs w:val="24"/>
              </w:rPr>
            </w:pPr>
            <w:r w:rsidRPr="00097824">
              <w:rPr>
                <w:b/>
                <w:bCs/>
                <w:szCs w:val="24"/>
              </w:rPr>
              <w:t>Описание</w:t>
            </w:r>
          </w:p>
        </w:tc>
      </w:tr>
      <w:tr w:rsidR="005A526D" w:rsidRPr="00097824" w14:paraId="3F1A1F56" w14:textId="77777777" w:rsidTr="00F93B0B">
        <w:trPr>
          <w:trHeight w:val="20"/>
        </w:trPr>
        <w:tc>
          <w:tcPr>
            <w:tcW w:w="1400" w:type="dxa"/>
            <w:tcBorders>
              <w:top w:val="single" w:sz="2" w:space="0" w:color="7F7F7F"/>
              <w:left w:val="single" w:sz="2" w:space="0" w:color="7C7C7C"/>
              <w:bottom w:val="single" w:sz="2" w:space="0" w:color="7F7F7F"/>
              <w:right w:val="single" w:sz="2" w:space="0" w:color="7C7C7C"/>
            </w:tcBorders>
            <w:vAlign w:val="center"/>
          </w:tcPr>
          <w:p w14:paraId="327E6295" w14:textId="77777777" w:rsidR="00C15B99" w:rsidRPr="00097824" w:rsidRDefault="00C15B99" w:rsidP="00AD4A9F">
            <w:pPr>
              <w:ind w:left="397" w:firstLine="357"/>
              <w:jc w:val="center"/>
              <w:rPr>
                <w:szCs w:val="24"/>
                <w:lang w:eastAsia="ru-RU"/>
              </w:rPr>
            </w:pPr>
            <w:r w:rsidRPr="00097824">
              <w:rPr>
                <w:szCs w:val="24"/>
                <w:lang w:eastAsia="ru-RU"/>
              </w:rPr>
              <w:t>0</w:t>
            </w:r>
          </w:p>
        </w:tc>
        <w:tc>
          <w:tcPr>
            <w:tcW w:w="7971" w:type="dxa"/>
            <w:tcBorders>
              <w:top w:val="single" w:sz="2" w:space="0" w:color="7F7F7F"/>
              <w:left w:val="single" w:sz="2" w:space="0" w:color="7C7C7C"/>
              <w:bottom w:val="single" w:sz="2" w:space="0" w:color="7F7F7F"/>
              <w:right w:val="single" w:sz="2" w:space="0" w:color="7C7C7C"/>
            </w:tcBorders>
            <w:vAlign w:val="center"/>
          </w:tcPr>
          <w:p w14:paraId="3598B9BC" w14:textId="40F58F48" w:rsidR="00C15B99" w:rsidRPr="00097824" w:rsidRDefault="00C15B99" w:rsidP="00AD4A9F">
            <w:pPr>
              <w:ind w:left="397" w:firstLine="357"/>
              <w:rPr>
                <w:szCs w:val="24"/>
              </w:rPr>
            </w:pPr>
            <w:r w:rsidRPr="00097824">
              <w:rPr>
                <w:szCs w:val="24"/>
              </w:rPr>
              <w:t>Пациент полностью активен, способен выполнять все, как и до заболевания (90</w:t>
            </w:r>
            <w:r w:rsidR="00F93B0B" w:rsidRPr="00097824">
              <w:rPr>
                <w:szCs w:val="24"/>
              </w:rPr>
              <w:t>–</w:t>
            </w:r>
            <w:r w:rsidRPr="00097824">
              <w:rPr>
                <w:szCs w:val="24"/>
              </w:rPr>
              <w:t xml:space="preserve">100% по шкале </w:t>
            </w:r>
            <w:proofErr w:type="spellStart"/>
            <w:r w:rsidRPr="00097824">
              <w:rPr>
                <w:szCs w:val="24"/>
              </w:rPr>
              <w:t>Карновского</w:t>
            </w:r>
            <w:proofErr w:type="spellEnd"/>
            <w:r w:rsidRPr="00097824">
              <w:rPr>
                <w:szCs w:val="24"/>
              </w:rPr>
              <w:t xml:space="preserve">) </w:t>
            </w:r>
          </w:p>
        </w:tc>
      </w:tr>
      <w:tr w:rsidR="005A526D" w:rsidRPr="00097824" w14:paraId="2A24800F" w14:textId="77777777" w:rsidTr="00F93B0B">
        <w:trPr>
          <w:trHeight w:val="20"/>
        </w:trPr>
        <w:tc>
          <w:tcPr>
            <w:tcW w:w="1400" w:type="dxa"/>
            <w:tcBorders>
              <w:top w:val="single" w:sz="2" w:space="0" w:color="7F7F7F"/>
              <w:left w:val="single" w:sz="2" w:space="0" w:color="7C7C7C"/>
              <w:bottom w:val="single" w:sz="2" w:space="0" w:color="7F7F7F"/>
              <w:right w:val="single" w:sz="2" w:space="0" w:color="7C7C7C"/>
            </w:tcBorders>
            <w:vAlign w:val="center"/>
          </w:tcPr>
          <w:p w14:paraId="68310F5D" w14:textId="77777777" w:rsidR="00C15B99" w:rsidRPr="00097824" w:rsidRDefault="00C15B99" w:rsidP="00AD4A9F">
            <w:pPr>
              <w:ind w:left="397" w:firstLine="357"/>
              <w:jc w:val="center"/>
              <w:rPr>
                <w:szCs w:val="24"/>
                <w:lang w:eastAsia="ru-RU"/>
              </w:rPr>
            </w:pPr>
            <w:r w:rsidRPr="00097824">
              <w:rPr>
                <w:szCs w:val="24"/>
                <w:lang w:eastAsia="ru-RU"/>
              </w:rPr>
              <w:t>1</w:t>
            </w:r>
          </w:p>
        </w:tc>
        <w:tc>
          <w:tcPr>
            <w:tcW w:w="7971" w:type="dxa"/>
            <w:tcBorders>
              <w:top w:val="single" w:sz="2" w:space="0" w:color="7F7F7F"/>
              <w:left w:val="single" w:sz="2" w:space="0" w:color="7C7C7C"/>
              <w:bottom w:val="single" w:sz="2" w:space="0" w:color="7F7F7F"/>
              <w:right w:val="single" w:sz="2" w:space="0" w:color="7C7C7C"/>
            </w:tcBorders>
            <w:vAlign w:val="center"/>
          </w:tcPr>
          <w:p w14:paraId="3D275CEB" w14:textId="2786A708" w:rsidR="00C15B99" w:rsidRPr="00097824" w:rsidRDefault="00C15B99" w:rsidP="00AD4A9F">
            <w:pPr>
              <w:ind w:left="397" w:firstLine="357"/>
              <w:rPr>
                <w:szCs w:val="24"/>
              </w:rPr>
            </w:pPr>
            <w:r w:rsidRPr="00097824">
              <w:rPr>
                <w:szCs w:val="24"/>
              </w:rPr>
              <w:t>Пациент неспособен выполнять тяжелую, но может выполнять легкую или сидячую работу (например, легкую домашнюю или канцелярскую работу, 70</w:t>
            </w:r>
            <w:r w:rsidR="00F93B0B" w:rsidRPr="00097824">
              <w:rPr>
                <w:szCs w:val="24"/>
              </w:rPr>
              <w:t>–</w:t>
            </w:r>
            <w:r w:rsidRPr="00097824">
              <w:rPr>
                <w:szCs w:val="24"/>
              </w:rPr>
              <w:t xml:space="preserve">80% по шкале </w:t>
            </w:r>
            <w:proofErr w:type="spellStart"/>
            <w:r w:rsidRPr="00097824">
              <w:rPr>
                <w:szCs w:val="24"/>
              </w:rPr>
              <w:t>Карновского</w:t>
            </w:r>
            <w:proofErr w:type="spellEnd"/>
            <w:r w:rsidRPr="00097824">
              <w:rPr>
                <w:szCs w:val="24"/>
              </w:rPr>
              <w:t xml:space="preserve">) </w:t>
            </w:r>
          </w:p>
        </w:tc>
      </w:tr>
      <w:tr w:rsidR="005A526D" w:rsidRPr="00097824" w14:paraId="638BC55C" w14:textId="77777777" w:rsidTr="00F93B0B">
        <w:trPr>
          <w:trHeight w:val="20"/>
        </w:trPr>
        <w:tc>
          <w:tcPr>
            <w:tcW w:w="1400" w:type="dxa"/>
            <w:tcBorders>
              <w:top w:val="single" w:sz="2" w:space="0" w:color="7F7F7F"/>
              <w:left w:val="single" w:sz="2" w:space="0" w:color="7C7C7C"/>
              <w:bottom w:val="single" w:sz="2" w:space="0" w:color="7F7F7F"/>
              <w:right w:val="single" w:sz="2" w:space="0" w:color="7C7C7C"/>
            </w:tcBorders>
            <w:vAlign w:val="center"/>
          </w:tcPr>
          <w:p w14:paraId="55518D60" w14:textId="77777777" w:rsidR="00C15B99" w:rsidRPr="00097824" w:rsidRDefault="00C15B99" w:rsidP="00AD4A9F">
            <w:pPr>
              <w:ind w:left="397" w:firstLine="357"/>
              <w:jc w:val="center"/>
              <w:rPr>
                <w:szCs w:val="24"/>
                <w:lang w:eastAsia="ru-RU"/>
              </w:rPr>
            </w:pPr>
            <w:r w:rsidRPr="00097824">
              <w:rPr>
                <w:szCs w:val="24"/>
                <w:lang w:eastAsia="ru-RU"/>
              </w:rPr>
              <w:t>2</w:t>
            </w:r>
          </w:p>
        </w:tc>
        <w:tc>
          <w:tcPr>
            <w:tcW w:w="7971" w:type="dxa"/>
            <w:tcBorders>
              <w:top w:val="single" w:sz="2" w:space="0" w:color="7F7F7F"/>
              <w:left w:val="single" w:sz="2" w:space="0" w:color="7C7C7C"/>
              <w:bottom w:val="single" w:sz="2" w:space="0" w:color="7F7F7F"/>
              <w:right w:val="single" w:sz="2" w:space="0" w:color="7C7C7C"/>
            </w:tcBorders>
            <w:vAlign w:val="center"/>
          </w:tcPr>
          <w:p w14:paraId="34A9721E" w14:textId="77777777" w:rsidR="00C15B99" w:rsidRPr="00097824" w:rsidRDefault="00C15B99" w:rsidP="00AD4A9F">
            <w:pPr>
              <w:ind w:left="397" w:firstLine="357"/>
              <w:rPr>
                <w:szCs w:val="24"/>
              </w:rPr>
            </w:pPr>
            <w:r w:rsidRPr="00097824">
              <w:rPr>
                <w:szCs w:val="24"/>
              </w:rPr>
              <w:t xml:space="preserve">Пациент лечится амбулаторно, способен к самообслуживанию, но не может выполнять работу. Более 50% времени бодрствования проводит активно – в вертикальном положении (50–60% по шкале </w:t>
            </w:r>
            <w:proofErr w:type="spellStart"/>
            <w:r w:rsidRPr="00097824">
              <w:rPr>
                <w:szCs w:val="24"/>
              </w:rPr>
              <w:t>Карновского</w:t>
            </w:r>
            <w:proofErr w:type="spellEnd"/>
            <w:r w:rsidRPr="00097824">
              <w:rPr>
                <w:szCs w:val="24"/>
              </w:rPr>
              <w:t xml:space="preserve">) </w:t>
            </w:r>
          </w:p>
        </w:tc>
      </w:tr>
      <w:tr w:rsidR="005A526D" w:rsidRPr="00097824" w14:paraId="4941A863" w14:textId="77777777" w:rsidTr="00F93B0B">
        <w:trPr>
          <w:trHeight w:val="20"/>
        </w:trPr>
        <w:tc>
          <w:tcPr>
            <w:tcW w:w="1400" w:type="dxa"/>
            <w:tcBorders>
              <w:top w:val="single" w:sz="2" w:space="0" w:color="7F7F7F"/>
              <w:left w:val="single" w:sz="2" w:space="0" w:color="7C7C7C"/>
              <w:bottom w:val="single" w:sz="2" w:space="0" w:color="7F7F7F"/>
              <w:right w:val="single" w:sz="2" w:space="0" w:color="7C7C7C"/>
            </w:tcBorders>
            <w:vAlign w:val="center"/>
          </w:tcPr>
          <w:p w14:paraId="041F39CF" w14:textId="77777777" w:rsidR="00C15B99" w:rsidRPr="00097824" w:rsidRDefault="00C15B99" w:rsidP="00AD4A9F">
            <w:pPr>
              <w:ind w:left="397" w:firstLine="357"/>
              <w:jc w:val="center"/>
              <w:rPr>
                <w:szCs w:val="24"/>
                <w:lang w:eastAsia="ru-RU"/>
              </w:rPr>
            </w:pPr>
            <w:r w:rsidRPr="00097824">
              <w:rPr>
                <w:szCs w:val="24"/>
                <w:lang w:eastAsia="ru-RU"/>
              </w:rPr>
              <w:t>3</w:t>
            </w:r>
          </w:p>
        </w:tc>
        <w:tc>
          <w:tcPr>
            <w:tcW w:w="7971" w:type="dxa"/>
            <w:tcBorders>
              <w:top w:val="single" w:sz="2" w:space="0" w:color="7F7F7F"/>
              <w:left w:val="single" w:sz="2" w:space="0" w:color="7C7C7C"/>
              <w:bottom w:val="single" w:sz="2" w:space="0" w:color="7F7F7F"/>
              <w:right w:val="single" w:sz="2" w:space="0" w:color="7C7C7C"/>
            </w:tcBorders>
            <w:vAlign w:val="center"/>
          </w:tcPr>
          <w:p w14:paraId="3CF97671" w14:textId="77777777" w:rsidR="00C15B99" w:rsidRPr="00097824" w:rsidRDefault="00C15B99" w:rsidP="00AD4A9F">
            <w:pPr>
              <w:ind w:left="397" w:firstLine="357"/>
              <w:rPr>
                <w:szCs w:val="24"/>
              </w:rPr>
            </w:pPr>
            <w:r w:rsidRPr="00097824">
              <w:rPr>
                <w:szCs w:val="24"/>
              </w:rPr>
              <w:t xml:space="preserve">Пациент способен лишь к ограниченному самообслуживанию, проводит в кресле или постели более 50% времени бодрствования (30–40% по шкале </w:t>
            </w:r>
            <w:proofErr w:type="spellStart"/>
            <w:r w:rsidRPr="00097824">
              <w:rPr>
                <w:szCs w:val="24"/>
              </w:rPr>
              <w:t>Карновского</w:t>
            </w:r>
            <w:proofErr w:type="spellEnd"/>
            <w:r w:rsidRPr="00097824">
              <w:rPr>
                <w:szCs w:val="24"/>
              </w:rPr>
              <w:t xml:space="preserve">) </w:t>
            </w:r>
          </w:p>
        </w:tc>
      </w:tr>
      <w:tr w:rsidR="005A526D" w:rsidRPr="00097824" w14:paraId="0EB9E230" w14:textId="77777777" w:rsidTr="00F93B0B">
        <w:trPr>
          <w:trHeight w:val="20"/>
        </w:trPr>
        <w:tc>
          <w:tcPr>
            <w:tcW w:w="1400" w:type="dxa"/>
            <w:tcBorders>
              <w:top w:val="single" w:sz="2" w:space="0" w:color="7F7F7F"/>
              <w:left w:val="single" w:sz="2" w:space="0" w:color="7C7C7C"/>
              <w:bottom w:val="single" w:sz="2" w:space="0" w:color="7F7F7F"/>
              <w:right w:val="single" w:sz="2" w:space="0" w:color="7C7C7C"/>
            </w:tcBorders>
            <w:vAlign w:val="center"/>
          </w:tcPr>
          <w:p w14:paraId="76E5C7E9" w14:textId="77777777" w:rsidR="00C15B99" w:rsidRPr="00097824" w:rsidRDefault="00C15B99" w:rsidP="00AD4A9F">
            <w:pPr>
              <w:ind w:left="397" w:firstLine="357"/>
              <w:jc w:val="center"/>
              <w:rPr>
                <w:szCs w:val="24"/>
                <w:lang w:eastAsia="ru-RU"/>
              </w:rPr>
            </w:pPr>
            <w:r w:rsidRPr="00097824">
              <w:rPr>
                <w:szCs w:val="24"/>
                <w:lang w:eastAsia="ru-RU"/>
              </w:rPr>
              <w:t>4</w:t>
            </w:r>
          </w:p>
        </w:tc>
        <w:tc>
          <w:tcPr>
            <w:tcW w:w="7971" w:type="dxa"/>
            <w:tcBorders>
              <w:top w:val="single" w:sz="2" w:space="0" w:color="7F7F7F"/>
              <w:left w:val="single" w:sz="2" w:space="0" w:color="7C7C7C"/>
              <w:bottom w:val="single" w:sz="2" w:space="0" w:color="7F7F7F"/>
              <w:right w:val="single" w:sz="2" w:space="0" w:color="7C7C7C"/>
            </w:tcBorders>
            <w:vAlign w:val="center"/>
          </w:tcPr>
          <w:p w14:paraId="68332FB3" w14:textId="77777777" w:rsidR="00C15B99" w:rsidRPr="00097824" w:rsidRDefault="00C15B99" w:rsidP="00AD4A9F">
            <w:pPr>
              <w:ind w:left="397" w:firstLine="357"/>
              <w:rPr>
                <w:szCs w:val="24"/>
              </w:rPr>
            </w:pPr>
            <w:r w:rsidRPr="00097824">
              <w:rPr>
                <w:szCs w:val="24"/>
              </w:rPr>
              <w:t xml:space="preserve">Инвалид, совершенно не способен к самообслуживанию, прикован к </w:t>
            </w:r>
            <w:r w:rsidRPr="00097824">
              <w:rPr>
                <w:szCs w:val="24"/>
              </w:rPr>
              <w:lastRenderedPageBreak/>
              <w:t xml:space="preserve">креслу или постели (10–20% по шкале </w:t>
            </w:r>
            <w:proofErr w:type="spellStart"/>
            <w:r w:rsidRPr="00097824">
              <w:rPr>
                <w:szCs w:val="24"/>
              </w:rPr>
              <w:t>Карновского</w:t>
            </w:r>
            <w:proofErr w:type="spellEnd"/>
            <w:r w:rsidRPr="00097824">
              <w:rPr>
                <w:szCs w:val="24"/>
              </w:rPr>
              <w:t xml:space="preserve">) </w:t>
            </w:r>
          </w:p>
        </w:tc>
      </w:tr>
      <w:tr w:rsidR="005A526D" w:rsidRPr="00097824" w14:paraId="3034E7CE" w14:textId="77777777" w:rsidTr="00F93B0B">
        <w:trPr>
          <w:trHeight w:val="20"/>
        </w:trPr>
        <w:tc>
          <w:tcPr>
            <w:tcW w:w="1400" w:type="dxa"/>
            <w:tcBorders>
              <w:top w:val="single" w:sz="2" w:space="0" w:color="7F7F7F"/>
              <w:left w:val="single" w:sz="2" w:space="0" w:color="7C7C7C"/>
              <w:bottom w:val="single" w:sz="2" w:space="0" w:color="7F7F7F"/>
              <w:right w:val="single" w:sz="2" w:space="0" w:color="7C7C7C"/>
            </w:tcBorders>
            <w:vAlign w:val="center"/>
          </w:tcPr>
          <w:p w14:paraId="0C26FE18" w14:textId="77777777" w:rsidR="00C15B99" w:rsidRPr="00097824" w:rsidRDefault="00C15B99" w:rsidP="00AD4A9F">
            <w:pPr>
              <w:ind w:left="397" w:firstLine="357"/>
              <w:jc w:val="center"/>
              <w:rPr>
                <w:szCs w:val="24"/>
                <w:lang w:eastAsia="ru-RU"/>
              </w:rPr>
            </w:pPr>
            <w:r w:rsidRPr="00097824">
              <w:rPr>
                <w:szCs w:val="24"/>
                <w:lang w:eastAsia="ru-RU"/>
              </w:rPr>
              <w:lastRenderedPageBreak/>
              <w:t>5</w:t>
            </w:r>
          </w:p>
        </w:tc>
        <w:tc>
          <w:tcPr>
            <w:tcW w:w="7971" w:type="dxa"/>
            <w:tcBorders>
              <w:top w:val="single" w:sz="2" w:space="0" w:color="7F7F7F"/>
              <w:left w:val="single" w:sz="2" w:space="0" w:color="7C7C7C"/>
              <w:bottom w:val="single" w:sz="2" w:space="0" w:color="7F7F7F"/>
              <w:right w:val="single" w:sz="2" w:space="0" w:color="7C7C7C"/>
            </w:tcBorders>
            <w:vAlign w:val="center"/>
          </w:tcPr>
          <w:p w14:paraId="4EEE8A1A" w14:textId="77777777" w:rsidR="00C15B99" w:rsidRPr="00097824" w:rsidRDefault="00C15B99" w:rsidP="00AD4A9F">
            <w:pPr>
              <w:ind w:left="397" w:firstLine="357"/>
              <w:rPr>
                <w:szCs w:val="24"/>
              </w:rPr>
            </w:pPr>
            <w:r w:rsidRPr="00097824">
              <w:rPr>
                <w:szCs w:val="24"/>
              </w:rPr>
              <w:t>Смерть</w:t>
            </w:r>
          </w:p>
        </w:tc>
      </w:tr>
    </w:tbl>
    <w:p w14:paraId="361150AE" w14:textId="73C2AAA1" w:rsidR="00D630AE" w:rsidRDefault="007F5427" w:rsidP="00AD4A9F">
      <w:pPr>
        <w:pStyle w:val="af9"/>
        <w:spacing w:before="0" w:after="0"/>
        <w:ind w:left="397" w:firstLine="357"/>
      </w:pPr>
      <w:r w:rsidRPr="00097824">
        <w:rPr>
          <w:b/>
          <w:bCs/>
          <w:lang w:eastAsia="ru-RU" w:bidi="ru-RU"/>
        </w:rPr>
        <w:t>Ключ (интерпретация):</w:t>
      </w:r>
      <w:r w:rsidRPr="00097824">
        <w:rPr>
          <w:lang w:eastAsia="ru-RU" w:bidi="ru-RU"/>
        </w:rPr>
        <w:t xml:space="preserve"> приведен в самой шкале.</w:t>
      </w:r>
    </w:p>
    <w:sectPr w:rsidR="00D630AE" w:rsidSect="00EE59C2">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3371" w14:textId="77777777" w:rsidR="00C9171F" w:rsidRDefault="00C9171F">
      <w:pPr>
        <w:spacing w:line="240" w:lineRule="auto"/>
      </w:pPr>
      <w:r>
        <w:separator/>
      </w:r>
    </w:p>
    <w:p w14:paraId="34515E80" w14:textId="77777777" w:rsidR="00C9171F" w:rsidRDefault="00C9171F"/>
  </w:endnote>
  <w:endnote w:type="continuationSeparator" w:id="0">
    <w:p w14:paraId="00664393" w14:textId="77777777" w:rsidR="00C9171F" w:rsidRDefault="00C9171F">
      <w:pPr>
        <w:spacing w:line="240" w:lineRule="auto"/>
      </w:pPr>
      <w:r>
        <w:continuationSeparator/>
      </w:r>
    </w:p>
    <w:p w14:paraId="6E3B0297" w14:textId="77777777" w:rsidR="00C9171F" w:rsidRDefault="00C9171F"/>
  </w:endnote>
  <w:endnote w:type="continuationNotice" w:id="1">
    <w:p w14:paraId="5A2B6039" w14:textId="77777777" w:rsidR="00C9171F" w:rsidRDefault="00C917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alsLight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56BF" w14:textId="4773B0ED" w:rsidR="005976C5" w:rsidRDefault="005976C5">
    <w:pPr>
      <w:pStyle w:val="afc"/>
      <w:jc w:val="center"/>
    </w:pPr>
    <w:r>
      <w:fldChar w:fldCharType="begin"/>
    </w:r>
    <w:r>
      <w:instrText>PAGE</w:instrText>
    </w:r>
    <w:r>
      <w:fldChar w:fldCharType="separate"/>
    </w:r>
    <w:r w:rsidR="0013387D">
      <w:rPr>
        <w:noProof/>
      </w:rPr>
      <w:t>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5D3B" w14:textId="77777777" w:rsidR="00C9171F" w:rsidRDefault="00C9171F">
      <w:pPr>
        <w:spacing w:line="240" w:lineRule="auto"/>
      </w:pPr>
      <w:r>
        <w:separator/>
      </w:r>
    </w:p>
    <w:p w14:paraId="1F7855EF" w14:textId="77777777" w:rsidR="00C9171F" w:rsidRDefault="00C9171F"/>
  </w:footnote>
  <w:footnote w:type="continuationSeparator" w:id="0">
    <w:p w14:paraId="2A859EDD" w14:textId="77777777" w:rsidR="00C9171F" w:rsidRDefault="00C9171F">
      <w:pPr>
        <w:spacing w:line="240" w:lineRule="auto"/>
      </w:pPr>
      <w:r>
        <w:continuationSeparator/>
      </w:r>
    </w:p>
    <w:p w14:paraId="632C5CA0" w14:textId="77777777" w:rsidR="00C9171F" w:rsidRDefault="00C9171F"/>
  </w:footnote>
  <w:footnote w:type="continuationNotice" w:id="1">
    <w:p w14:paraId="3187CE30" w14:textId="77777777" w:rsidR="00C9171F" w:rsidRDefault="00C917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428E" w14:textId="77777777" w:rsidR="005976C5" w:rsidRDefault="005976C5" w:rsidP="00186C35">
    <w:pPr>
      <w:pStyle w:val="afb"/>
      <w:ind w:firstLine="0"/>
      <w:rPr>
        <w:i/>
      </w:rPr>
    </w:pPr>
  </w:p>
  <w:p w14:paraId="0E4CEF5F" w14:textId="77777777" w:rsidR="005976C5" w:rsidRDefault="005976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F2BCB592"/>
    <w:lvl w:ilvl="0" w:tplc="041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41F6D960"/>
    <w:lvl w:ilvl="0" w:tplc="04190001">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D6800"/>
    <w:multiLevelType w:val="hybridMultilevel"/>
    <w:tmpl w:val="22243E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6E546B"/>
    <w:multiLevelType w:val="multilevel"/>
    <w:tmpl w:val="CA6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A3218"/>
    <w:multiLevelType w:val="multilevel"/>
    <w:tmpl w:val="DD84B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547BA9"/>
    <w:multiLevelType w:val="multilevel"/>
    <w:tmpl w:val="F258CD8C"/>
    <w:lvl w:ilvl="0">
      <w:start w:val="1"/>
      <w:numFmt w:val="decimal"/>
      <w:lvlText w:val="%1"/>
      <w:lvlJc w:val="left"/>
      <w:pPr>
        <w:ind w:left="360" w:hanging="360"/>
      </w:pPr>
      <w:rPr>
        <w:rFonts w:hint="default"/>
      </w:rPr>
    </w:lvl>
    <w:lvl w:ilvl="1">
      <w:start w:val="1"/>
      <w:numFmt w:val="decimal"/>
      <w:lvlText w:val="%2.1"/>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A01756C"/>
    <w:multiLevelType w:val="hybridMultilevel"/>
    <w:tmpl w:val="6A64E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3708B6"/>
    <w:multiLevelType w:val="hybridMultilevel"/>
    <w:tmpl w:val="C57EE46E"/>
    <w:lvl w:ilvl="0" w:tplc="C2E42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89259E"/>
    <w:multiLevelType w:val="hybridMultilevel"/>
    <w:tmpl w:val="1A628A16"/>
    <w:lvl w:ilvl="0" w:tplc="7D84D76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0CD749B2"/>
    <w:multiLevelType w:val="multilevel"/>
    <w:tmpl w:val="ECD8B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50A88"/>
    <w:multiLevelType w:val="multilevel"/>
    <w:tmpl w:val="3F063548"/>
    <w:lvl w:ilvl="0">
      <w:start w:val="1"/>
      <w:numFmt w:val="decimal"/>
      <w:lvlText w:val="%1."/>
      <w:lvlJc w:val="left"/>
      <w:pPr>
        <w:ind w:left="720" w:hanging="360"/>
      </w:pPr>
    </w:lvl>
    <w:lvl w:ilvl="1">
      <w:start w:val="2"/>
      <w:numFmt w:val="decimal"/>
      <w:isLgl/>
      <w:lvlText w:val="%1.%2."/>
      <w:lvlJc w:val="left"/>
      <w:pPr>
        <w:ind w:left="1072" w:hanging="540"/>
      </w:pPr>
      <w:rPr>
        <w:rFonts w:hint="default"/>
        <w:b/>
      </w:rPr>
    </w:lvl>
    <w:lvl w:ilvl="2">
      <w:start w:val="1"/>
      <w:numFmt w:val="decimal"/>
      <w:isLgl/>
      <w:lvlText w:val="%1.%2.%3."/>
      <w:lvlJc w:val="left"/>
      <w:pPr>
        <w:ind w:left="1424" w:hanging="720"/>
      </w:pPr>
      <w:rPr>
        <w:rFonts w:hint="default"/>
        <w:b/>
      </w:rPr>
    </w:lvl>
    <w:lvl w:ilvl="3">
      <w:start w:val="1"/>
      <w:numFmt w:val="decimal"/>
      <w:isLgl/>
      <w:lvlText w:val="%1.%2.%3.%4."/>
      <w:lvlJc w:val="left"/>
      <w:pPr>
        <w:ind w:left="1596" w:hanging="720"/>
      </w:pPr>
      <w:rPr>
        <w:rFonts w:hint="default"/>
        <w:b/>
      </w:rPr>
    </w:lvl>
    <w:lvl w:ilvl="4">
      <w:start w:val="1"/>
      <w:numFmt w:val="decimal"/>
      <w:isLgl/>
      <w:lvlText w:val="%1.%2.%3.%4.%5."/>
      <w:lvlJc w:val="left"/>
      <w:pPr>
        <w:ind w:left="2128" w:hanging="1080"/>
      </w:pPr>
      <w:rPr>
        <w:rFonts w:hint="default"/>
        <w:b/>
      </w:rPr>
    </w:lvl>
    <w:lvl w:ilvl="5">
      <w:start w:val="1"/>
      <w:numFmt w:val="decimal"/>
      <w:isLgl/>
      <w:lvlText w:val="%1.%2.%3.%4.%5.%6."/>
      <w:lvlJc w:val="left"/>
      <w:pPr>
        <w:ind w:left="2300" w:hanging="1080"/>
      </w:pPr>
      <w:rPr>
        <w:rFonts w:hint="default"/>
        <w:b/>
      </w:rPr>
    </w:lvl>
    <w:lvl w:ilvl="6">
      <w:start w:val="1"/>
      <w:numFmt w:val="decimal"/>
      <w:isLgl/>
      <w:lvlText w:val="%1.%2.%3.%4.%5.%6.%7."/>
      <w:lvlJc w:val="left"/>
      <w:pPr>
        <w:ind w:left="2832" w:hanging="1440"/>
      </w:pPr>
      <w:rPr>
        <w:rFonts w:hint="default"/>
        <w:b/>
      </w:rPr>
    </w:lvl>
    <w:lvl w:ilvl="7">
      <w:start w:val="1"/>
      <w:numFmt w:val="decimal"/>
      <w:isLgl/>
      <w:lvlText w:val="%1.%2.%3.%4.%5.%6.%7.%8."/>
      <w:lvlJc w:val="left"/>
      <w:pPr>
        <w:ind w:left="3004" w:hanging="1440"/>
      </w:pPr>
      <w:rPr>
        <w:rFonts w:hint="default"/>
        <w:b/>
      </w:rPr>
    </w:lvl>
    <w:lvl w:ilvl="8">
      <w:start w:val="1"/>
      <w:numFmt w:val="decimal"/>
      <w:isLgl/>
      <w:lvlText w:val="%1.%2.%3.%4.%5.%6.%7.%8.%9."/>
      <w:lvlJc w:val="left"/>
      <w:pPr>
        <w:ind w:left="3536" w:hanging="1800"/>
      </w:pPr>
      <w:rPr>
        <w:rFonts w:hint="default"/>
        <w:b/>
      </w:rPr>
    </w:lvl>
  </w:abstractNum>
  <w:abstractNum w:abstractNumId="11" w15:restartNumberingAfterBreak="0">
    <w:nsid w:val="13432EC5"/>
    <w:multiLevelType w:val="hybridMultilevel"/>
    <w:tmpl w:val="3F32E1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14C16E2D"/>
    <w:multiLevelType w:val="multilevel"/>
    <w:tmpl w:val="4D7039E0"/>
    <w:lvl w:ilvl="0">
      <w:start w:val="1"/>
      <w:numFmt w:val="decimal"/>
      <w:lvlText w:val="%1"/>
      <w:lvlJc w:val="left"/>
      <w:pPr>
        <w:ind w:left="360" w:hanging="360"/>
      </w:pPr>
      <w:rPr>
        <w:rFonts w:hint="default"/>
      </w:rPr>
    </w:lvl>
    <w:lvl w:ilvl="1">
      <w:start w:val="1"/>
      <w:numFmt w:val="decimal"/>
      <w:lvlText w:val="%2.5"/>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4EE1E00"/>
    <w:multiLevelType w:val="hybridMultilevel"/>
    <w:tmpl w:val="62C49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BB5577"/>
    <w:multiLevelType w:val="hybridMultilevel"/>
    <w:tmpl w:val="E208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9F6612"/>
    <w:multiLevelType w:val="multilevel"/>
    <w:tmpl w:val="2F38F31C"/>
    <w:lvl w:ilvl="0">
      <w:start w:val="1"/>
      <w:numFmt w:val="decimal"/>
      <w:lvlText w:val="%1"/>
      <w:lvlJc w:val="left"/>
      <w:pPr>
        <w:ind w:left="360" w:hanging="360"/>
      </w:pPr>
      <w:rPr>
        <w:rFonts w:hint="default"/>
      </w:rPr>
    </w:lvl>
    <w:lvl w:ilvl="1">
      <w:start w:val="1"/>
      <w:numFmt w:val="decimal"/>
      <w:lvlText w:val="%2.4"/>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C5239CA"/>
    <w:multiLevelType w:val="hybridMultilevel"/>
    <w:tmpl w:val="8E9ED09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1EB424AB"/>
    <w:multiLevelType w:val="multilevel"/>
    <w:tmpl w:val="E060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FC5663"/>
    <w:multiLevelType w:val="hybridMultilevel"/>
    <w:tmpl w:val="C7964C94"/>
    <w:lvl w:ilvl="0" w:tplc="25B62DF8">
      <w:start w:val="1"/>
      <w:numFmt w:val="decimal"/>
      <w:lvlText w:val="%1."/>
      <w:lvlJc w:val="left"/>
      <w:pPr>
        <w:ind w:left="1357" w:hanging="360"/>
      </w:pPr>
    </w:lvl>
    <w:lvl w:ilvl="1" w:tplc="F752BAB4">
      <w:start w:val="1"/>
      <w:numFmt w:val="lowerLetter"/>
      <w:lvlText w:val="%2."/>
      <w:lvlJc w:val="left"/>
      <w:pPr>
        <w:ind w:left="1222" w:hanging="360"/>
      </w:pPr>
    </w:lvl>
    <w:lvl w:ilvl="2" w:tplc="FADC62EC">
      <w:start w:val="1"/>
      <w:numFmt w:val="lowerRoman"/>
      <w:lvlText w:val="%3."/>
      <w:lvlJc w:val="right"/>
      <w:pPr>
        <w:ind w:left="1942" w:hanging="180"/>
      </w:pPr>
    </w:lvl>
    <w:lvl w:ilvl="3" w:tplc="86665CC8">
      <w:start w:val="1"/>
      <w:numFmt w:val="decimal"/>
      <w:lvlText w:val="%4."/>
      <w:lvlJc w:val="left"/>
      <w:pPr>
        <w:ind w:left="2662" w:hanging="360"/>
      </w:pPr>
    </w:lvl>
    <w:lvl w:ilvl="4" w:tplc="F3A21620">
      <w:start w:val="1"/>
      <w:numFmt w:val="lowerLetter"/>
      <w:lvlText w:val="%5."/>
      <w:lvlJc w:val="left"/>
      <w:pPr>
        <w:ind w:left="3382" w:hanging="360"/>
      </w:pPr>
    </w:lvl>
    <w:lvl w:ilvl="5" w:tplc="06C28E6E">
      <w:start w:val="1"/>
      <w:numFmt w:val="lowerRoman"/>
      <w:lvlText w:val="%6."/>
      <w:lvlJc w:val="right"/>
      <w:pPr>
        <w:ind w:left="4102" w:hanging="180"/>
      </w:pPr>
    </w:lvl>
    <w:lvl w:ilvl="6" w:tplc="7C44A0D0">
      <w:start w:val="1"/>
      <w:numFmt w:val="decimal"/>
      <w:lvlText w:val="%7."/>
      <w:lvlJc w:val="left"/>
      <w:pPr>
        <w:ind w:left="4822" w:hanging="360"/>
      </w:pPr>
    </w:lvl>
    <w:lvl w:ilvl="7" w:tplc="DFCC3D0A">
      <w:start w:val="1"/>
      <w:numFmt w:val="lowerLetter"/>
      <w:lvlText w:val="%8."/>
      <w:lvlJc w:val="left"/>
      <w:pPr>
        <w:ind w:left="5542" w:hanging="360"/>
      </w:pPr>
    </w:lvl>
    <w:lvl w:ilvl="8" w:tplc="2E1C2DA8">
      <w:start w:val="1"/>
      <w:numFmt w:val="lowerRoman"/>
      <w:lvlText w:val="%9."/>
      <w:lvlJc w:val="right"/>
      <w:pPr>
        <w:ind w:left="6262" w:hanging="180"/>
      </w:pPr>
    </w:lvl>
  </w:abstractNum>
  <w:abstractNum w:abstractNumId="19" w15:restartNumberingAfterBreak="0">
    <w:nsid w:val="243C37B7"/>
    <w:multiLevelType w:val="multilevel"/>
    <w:tmpl w:val="6D00F9BA"/>
    <w:lvl w:ilvl="0">
      <w:start w:val="2"/>
      <w:numFmt w:val="decimal"/>
      <w:lvlText w:val="%1."/>
      <w:lvlJc w:val="left"/>
      <w:pPr>
        <w:ind w:left="540" w:hanging="540"/>
      </w:pPr>
      <w:rPr>
        <w:rFonts w:hint="default"/>
      </w:rPr>
    </w:lvl>
    <w:lvl w:ilvl="1">
      <w:start w:val="3"/>
      <w:numFmt w:val="decimal"/>
      <w:lvlText w:val="%1.%2."/>
      <w:lvlJc w:val="left"/>
      <w:pPr>
        <w:ind w:left="892" w:hanging="54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0" w15:restartNumberingAfterBreak="0">
    <w:nsid w:val="253B7862"/>
    <w:multiLevelType w:val="hybridMultilevel"/>
    <w:tmpl w:val="99025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60E1F85"/>
    <w:multiLevelType w:val="multilevel"/>
    <w:tmpl w:val="F002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BC3F9E"/>
    <w:multiLevelType w:val="multilevel"/>
    <w:tmpl w:val="B650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3A28FC"/>
    <w:multiLevelType w:val="hybridMultilevel"/>
    <w:tmpl w:val="56CE8AA4"/>
    <w:lvl w:ilvl="0" w:tplc="51F0EBF8">
      <w:start w:val="3"/>
      <w:numFmt w:val="decimal"/>
      <w:lvlText w:val="%1.3"/>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C8760C6"/>
    <w:multiLevelType w:val="hybridMultilevel"/>
    <w:tmpl w:val="3DC4F71E"/>
    <w:lvl w:ilvl="0" w:tplc="8E141E86">
      <w:start w:val="3"/>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E412728"/>
    <w:multiLevelType w:val="hybridMultilevel"/>
    <w:tmpl w:val="AA10D1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3327130E"/>
    <w:multiLevelType w:val="hybridMultilevel"/>
    <w:tmpl w:val="438E094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38670C4B"/>
    <w:multiLevelType w:val="hybridMultilevel"/>
    <w:tmpl w:val="A21EC59C"/>
    <w:lvl w:ilvl="0" w:tplc="0419000F">
      <w:start w:val="1"/>
      <w:numFmt w:val="decimal"/>
      <w:lvlText w:val="%1."/>
      <w:lvlJc w:val="left"/>
      <w:pPr>
        <w:ind w:left="1357"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39DC6E6B"/>
    <w:multiLevelType w:val="multilevel"/>
    <w:tmpl w:val="B79C90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0D0682"/>
    <w:multiLevelType w:val="hybridMultilevel"/>
    <w:tmpl w:val="0F78E1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23818B3"/>
    <w:multiLevelType w:val="hybridMultilevel"/>
    <w:tmpl w:val="7714985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494764CA"/>
    <w:multiLevelType w:val="hybridMultilevel"/>
    <w:tmpl w:val="532AE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9D94C52"/>
    <w:multiLevelType w:val="multilevel"/>
    <w:tmpl w:val="517A1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70D9C"/>
    <w:multiLevelType w:val="hybridMultilevel"/>
    <w:tmpl w:val="B75CC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24F62B1"/>
    <w:multiLevelType w:val="hybridMultilevel"/>
    <w:tmpl w:val="BEC4FC6A"/>
    <w:lvl w:ilvl="0" w:tplc="0A1E668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9960E1"/>
    <w:multiLevelType w:val="hybridMultilevel"/>
    <w:tmpl w:val="AF50422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5A6B7993"/>
    <w:multiLevelType w:val="hybridMultilevel"/>
    <w:tmpl w:val="3B967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B47C63"/>
    <w:multiLevelType w:val="multilevel"/>
    <w:tmpl w:val="7F7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214FC2"/>
    <w:multiLevelType w:val="hybridMultilevel"/>
    <w:tmpl w:val="0B8EA5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0" w15:restartNumberingAfterBreak="0">
    <w:nsid w:val="63405B43"/>
    <w:multiLevelType w:val="multilevel"/>
    <w:tmpl w:val="B57841E8"/>
    <w:lvl w:ilvl="0">
      <w:start w:val="2"/>
      <w:numFmt w:val="decimal"/>
      <w:lvlText w:val="%1."/>
      <w:lvlJc w:val="left"/>
      <w:pPr>
        <w:ind w:left="540" w:hanging="540"/>
      </w:pPr>
      <w:rPr>
        <w:rFonts w:hint="default"/>
      </w:rPr>
    </w:lvl>
    <w:lvl w:ilvl="1">
      <w:start w:val="1"/>
      <w:numFmt w:val="decimal"/>
      <w:lvlText w:val="%1.%2."/>
      <w:lvlJc w:val="left"/>
      <w:pPr>
        <w:ind w:left="1247" w:hanging="54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41" w15:restartNumberingAfterBreak="0">
    <w:nsid w:val="635D400B"/>
    <w:multiLevelType w:val="hybridMultilevel"/>
    <w:tmpl w:val="188C00CC"/>
    <w:lvl w:ilvl="0" w:tplc="5664996A">
      <w:start w:val="3"/>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AA35FD"/>
    <w:multiLevelType w:val="multilevel"/>
    <w:tmpl w:val="79984E7E"/>
    <w:lvl w:ilvl="0">
      <w:start w:val="1"/>
      <w:numFmt w:val="bullet"/>
      <w:pStyle w:val="1"/>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E17F42"/>
    <w:multiLevelType w:val="hybridMultilevel"/>
    <w:tmpl w:val="A574CD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0D43F23"/>
    <w:multiLevelType w:val="hybridMultilevel"/>
    <w:tmpl w:val="8E247DB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15:restartNumberingAfterBreak="0">
    <w:nsid w:val="7147720A"/>
    <w:multiLevelType w:val="multilevel"/>
    <w:tmpl w:val="5980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E40F2C"/>
    <w:multiLevelType w:val="hybridMultilevel"/>
    <w:tmpl w:val="CE22680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47" w15:restartNumberingAfterBreak="0">
    <w:nsid w:val="7460492E"/>
    <w:multiLevelType w:val="multilevel"/>
    <w:tmpl w:val="BDD63AAA"/>
    <w:lvl w:ilvl="0">
      <w:start w:val="1"/>
      <w:numFmt w:val="decimal"/>
      <w:lvlText w:val="%1"/>
      <w:lvlJc w:val="left"/>
      <w:pPr>
        <w:ind w:left="360" w:hanging="360"/>
      </w:pPr>
      <w:rPr>
        <w:rFonts w:hint="default"/>
      </w:rPr>
    </w:lvl>
    <w:lvl w:ilvl="1">
      <w:start w:val="1"/>
      <w:numFmt w:val="decimal"/>
      <w:lvlText w:val="%2.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760F7789"/>
    <w:multiLevelType w:val="hybridMultilevel"/>
    <w:tmpl w:val="A976A3FA"/>
    <w:lvl w:ilvl="0" w:tplc="04190001">
      <w:start w:val="1"/>
      <w:numFmt w:val="bullet"/>
      <w:lvlText w:val="·"/>
      <w:lvlJc w:val="left"/>
      <w:pPr>
        <w:ind w:left="2344" w:hanging="360"/>
      </w:pPr>
      <w:rPr>
        <w:rFonts w:ascii="Symbol" w:hAnsi="Symbol" w:hint="default"/>
      </w:rPr>
    </w:lvl>
    <w:lvl w:ilvl="1" w:tplc="04190003">
      <w:start w:val="1"/>
      <w:numFmt w:val="bullet"/>
      <w:lvlText w:val="o"/>
      <w:lvlJc w:val="left"/>
      <w:pPr>
        <w:ind w:left="2640" w:hanging="360"/>
      </w:pPr>
      <w:rPr>
        <w:rFonts w:ascii="Courier New" w:hAnsi="Courier New" w:hint="default"/>
      </w:rPr>
    </w:lvl>
    <w:lvl w:ilvl="2" w:tplc="04190005">
      <w:start w:val="1"/>
      <w:numFmt w:val="bullet"/>
      <w:lvlText w:val="§"/>
      <w:lvlJc w:val="left"/>
      <w:pPr>
        <w:ind w:left="3360" w:hanging="360"/>
      </w:pPr>
      <w:rPr>
        <w:rFonts w:ascii="Wingdings" w:hAnsi="Wingdings" w:hint="default"/>
      </w:rPr>
    </w:lvl>
    <w:lvl w:ilvl="3" w:tplc="04190001">
      <w:start w:val="1"/>
      <w:numFmt w:val="bullet"/>
      <w:lvlText w:val="·"/>
      <w:lvlJc w:val="left"/>
      <w:pPr>
        <w:ind w:left="4080" w:hanging="360"/>
      </w:pPr>
      <w:rPr>
        <w:rFonts w:ascii="Symbol" w:hAnsi="Symbol" w:hint="default"/>
      </w:rPr>
    </w:lvl>
    <w:lvl w:ilvl="4" w:tplc="04190003">
      <w:start w:val="1"/>
      <w:numFmt w:val="bullet"/>
      <w:lvlText w:val="o"/>
      <w:lvlJc w:val="left"/>
      <w:pPr>
        <w:ind w:left="4800" w:hanging="360"/>
      </w:pPr>
      <w:rPr>
        <w:rFonts w:ascii="Courier New" w:hAnsi="Courier New" w:hint="default"/>
      </w:rPr>
    </w:lvl>
    <w:lvl w:ilvl="5" w:tplc="04190005">
      <w:start w:val="1"/>
      <w:numFmt w:val="bullet"/>
      <w:lvlText w:val="§"/>
      <w:lvlJc w:val="left"/>
      <w:pPr>
        <w:ind w:left="5520" w:hanging="360"/>
      </w:pPr>
      <w:rPr>
        <w:rFonts w:ascii="Wingdings" w:hAnsi="Wingdings" w:hint="default"/>
      </w:rPr>
    </w:lvl>
    <w:lvl w:ilvl="6" w:tplc="04190001">
      <w:start w:val="1"/>
      <w:numFmt w:val="bullet"/>
      <w:lvlText w:val="·"/>
      <w:lvlJc w:val="left"/>
      <w:pPr>
        <w:ind w:left="6240" w:hanging="360"/>
      </w:pPr>
      <w:rPr>
        <w:rFonts w:ascii="Symbol" w:hAnsi="Symbol" w:hint="default"/>
      </w:rPr>
    </w:lvl>
    <w:lvl w:ilvl="7" w:tplc="04190003">
      <w:start w:val="1"/>
      <w:numFmt w:val="bullet"/>
      <w:lvlText w:val="o"/>
      <w:lvlJc w:val="left"/>
      <w:pPr>
        <w:ind w:left="6960" w:hanging="360"/>
      </w:pPr>
      <w:rPr>
        <w:rFonts w:ascii="Courier New" w:hAnsi="Courier New" w:hint="default"/>
      </w:rPr>
    </w:lvl>
    <w:lvl w:ilvl="8" w:tplc="04190005">
      <w:start w:val="1"/>
      <w:numFmt w:val="bullet"/>
      <w:lvlText w:val="§"/>
      <w:lvlJc w:val="left"/>
      <w:pPr>
        <w:ind w:left="7680" w:hanging="360"/>
      </w:pPr>
      <w:rPr>
        <w:rFonts w:ascii="Wingdings" w:hAnsi="Wingdings" w:hint="default"/>
      </w:rPr>
    </w:lvl>
  </w:abstractNum>
  <w:abstractNum w:abstractNumId="49" w15:restartNumberingAfterBreak="0">
    <w:nsid w:val="7B360CD8"/>
    <w:multiLevelType w:val="multilevel"/>
    <w:tmpl w:val="91F84916"/>
    <w:lvl w:ilvl="0">
      <w:start w:val="1"/>
      <w:numFmt w:val="decimal"/>
      <w:lvlText w:val="%1"/>
      <w:lvlJc w:val="left"/>
      <w:pPr>
        <w:ind w:left="360" w:hanging="360"/>
      </w:pPr>
      <w:rPr>
        <w:rFonts w:hint="default"/>
      </w:rPr>
    </w:lvl>
    <w:lvl w:ilvl="1">
      <w:start w:val="1"/>
      <w:numFmt w:val="decimal"/>
      <w:lvlText w:val="%2.3"/>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B6C3730"/>
    <w:multiLevelType w:val="multilevel"/>
    <w:tmpl w:val="BAF01798"/>
    <w:lvl w:ilvl="0">
      <w:start w:val="2"/>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1" w15:restartNumberingAfterBreak="0">
    <w:nsid w:val="7BC466DD"/>
    <w:multiLevelType w:val="hybridMultilevel"/>
    <w:tmpl w:val="ECFE7E88"/>
    <w:lvl w:ilvl="0" w:tplc="23D89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C6A44FC"/>
    <w:multiLevelType w:val="multilevel"/>
    <w:tmpl w:val="753264F0"/>
    <w:lvl w:ilvl="0">
      <w:start w:val="2"/>
      <w:numFmt w:val="decimal"/>
      <w:lvlText w:val="%1."/>
      <w:lvlJc w:val="left"/>
      <w:pPr>
        <w:ind w:left="540" w:hanging="540"/>
      </w:pPr>
      <w:rPr>
        <w:rFonts w:eastAsia="MS Mincho" w:hint="default"/>
        <w:u w:val="none"/>
      </w:rPr>
    </w:lvl>
    <w:lvl w:ilvl="1">
      <w:start w:val="3"/>
      <w:numFmt w:val="decimal"/>
      <w:lvlText w:val="%1.%2."/>
      <w:lvlJc w:val="left"/>
      <w:pPr>
        <w:ind w:left="892" w:hanging="540"/>
      </w:pPr>
      <w:rPr>
        <w:rFonts w:eastAsia="MS Mincho" w:hint="default"/>
        <w:u w:val="none"/>
      </w:rPr>
    </w:lvl>
    <w:lvl w:ilvl="2">
      <w:start w:val="1"/>
      <w:numFmt w:val="decimal"/>
      <w:lvlText w:val="%1.%2.%3."/>
      <w:lvlJc w:val="left"/>
      <w:pPr>
        <w:ind w:left="1424" w:hanging="720"/>
      </w:pPr>
      <w:rPr>
        <w:rFonts w:eastAsia="MS Mincho" w:hint="default"/>
        <w:u w:val="none"/>
      </w:rPr>
    </w:lvl>
    <w:lvl w:ilvl="3">
      <w:start w:val="1"/>
      <w:numFmt w:val="decimal"/>
      <w:lvlText w:val="%1.%2.%3.%4."/>
      <w:lvlJc w:val="left"/>
      <w:pPr>
        <w:ind w:left="1776" w:hanging="720"/>
      </w:pPr>
      <w:rPr>
        <w:rFonts w:eastAsia="MS Mincho" w:hint="default"/>
        <w:u w:val="none"/>
      </w:rPr>
    </w:lvl>
    <w:lvl w:ilvl="4">
      <w:start w:val="1"/>
      <w:numFmt w:val="decimal"/>
      <w:lvlText w:val="%1.%2.%3.%4.%5."/>
      <w:lvlJc w:val="left"/>
      <w:pPr>
        <w:ind w:left="2488" w:hanging="1080"/>
      </w:pPr>
      <w:rPr>
        <w:rFonts w:eastAsia="MS Mincho" w:hint="default"/>
        <w:u w:val="none"/>
      </w:rPr>
    </w:lvl>
    <w:lvl w:ilvl="5">
      <w:start w:val="1"/>
      <w:numFmt w:val="decimal"/>
      <w:lvlText w:val="%1.%2.%3.%4.%5.%6."/>
      <w:lvlJc w:val="left"/>
      <w:pPr>
        <w:ind w:left="2840" w:hanging="1080"/>
      </w:pPr>
      <w:rPr>
        <w:rFonts w:eastAsia="MS Mincho" w:hint="default"/>
        <w:u w:val="none"/>
      </w:rPr>
    </w:lvl>
    <w:lvl w:ilvl="6">
      <w:start w:val="1"/>
      <w:numFmt w:val="decimal"/>
      <w:lvlText w:val="%1.%2.%3.%4.%5.%6.%7."/>
      <w:lvlJc w:val="left"/>
      <w:pPr>
        <w:ind w:left="3552" w:hanging="1440"/>
      </w:pPr>
      <w:rPr>
        <w:rFonts w:eastAsia="MS Mincho" w:hint="default"/>
        <w:u w:val="none"/>
      </w:rPr>
    </w:lvl>
    <w:lvl w:ilvl="7">
      <w:start w:val="1"/>
      <w:numFmt w:val="decimal"/>
      <w:lvlText w:val="%1.%2.%3.%4.%5.%6.%7.%8."/>
      <w:lvlJc w:val="left"/>
      <w:pPr>
        <w:ind w:left="3904" w:hanging="1440"/>
      </w:pPr>
      <w:rPr>
        <w:rFonts w:eastAsia="MS Mincho" w:hint="default"/>
        <w:u w:val="none"/>
      </w:rPr>
    </w:lvl>
    <w:lvl w:ilvl="8">
      <w:start w:val="1"/>
      <w:numFmt w:val="decimal"/>
      <w:lvlText w:val="%1.%2.%3.%4.%5.%6.%7.%8.%9."/>
      <w:lvlJc w:val="left"/>
      <w:pPr>
        <w:ind w:left="4616" w:hanging="1800"/>
      </w:pPr>
      <w:rPr>
        <w:rFonts w:eastAsia="MS Mincho" w:hint="default"/>
        <w:u w:val="none"/>
      </w:rPr>
    </w:lvl>
  </w:abstractNum>
  <w:abstractNum w:abstractNumId="53" w15:restartNumberingAfterBreak="0">
    <w:nsid w:val="7CD42E9C"/>
    <w:multiLevelType w:val="hybridMultilevel"/>
    <w:tmpl w:val="73DC3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FEE2D9D"/>
    <w:multiLevelType w:val="hybridMultilevel"/>
    <w:tmpl w:val="3C9EF636"/>
    <w:lvl w:ilvl="0" w:tplc="C2E42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10658429">
    <w:abstractNumId w:val="42"/>
  </w:num>
  <w:num w:numId="2" w16cid:durableId="1198129774">
    <w:abstractNumId w:val="48"/>
  </w:num>
  <w:num w:numId="3" w16cid:durableId="657198970">
    <w:abstractNumId w:val="36"/>
  </w:num>
  <w:num w:numId="4" w16cid:durableId="1174031589">
    <w:abstractNumId w:val="14"/>
  </w:num>
  <w:num w:numId="5" w16cid:durableId="84150085">
    <w:abstractNumId w:val="13"/>
  </w:num>
  <w:num w:numId="6" w16cid:durableId="1306085042">
    <w:abstractNumId w:val="20"/>
  </w:num>
  <w:num w:numId="7" w16cid:durableId="634599794">
    <w:abstractNumId w:val="53"/>
  </w:num>
  <w:num w:numId="8" w16cid:durableId="802230701">
    <w:abstractNumId w:val="24"/>
  </w:num>
  <w:num w:numId="9" w16cid:durableId="1517109800">
    <w:abstractNumId w:val="41"/>
  </w:num>
  <w:num w:numId="10" w16cid:durableId="736560393">
    <w:abstractNumId w:val="23"/>
  </w:num>
  <w:num w:numId="11" w16cid:durableId="1203177830">
    <w:abstractNumId w:val="2"/>
  </w:num>
  <w:num w:numId="12" w16cid:durableId="1821727047">
    <w:abstractNumId w:val="27"/>
  </w:num>
  <w:num w:numId="13" w16cid:durableId="204368227">
    <w:abstractNumId w:val="39"/>
  </w:num>
  <w:num w:numId="14" w16cid:durableId="1765763208">
    <w:abstractNumId w:val="0"/>
  </w:num>
  <w:num w:numId="15" w16cid:durableId="1270772640">
    <w:abstractNumId w:val="1"/>
  </w:num>
  <w:num w:numId="16" w16cid:durableId="342246904">
    <w:abstractNumId w:val="5"/>
  </w:num>
  <w:num w:numId="17" w16cid:durableId="1665863877">
    <w:abstractNumId w:val="47"/>
  </w:num>
  <w:num w:numId="18" w16cid:durableId="198589289">
    <w:abstractNumId w:val="49"/>
  </w:num>
  <w:num w:numId="19" w16cid:durableId="1055081361">
    <w:abstractNumId w:val="15"/>
  </w:num>
  <w:num w:numId="20" w16cid:durableId="1016226340">
    <w:abstractNumId w:val="12"/>
  </w:num>
  <w:num w:numId="21" w16cid:durableId="107091412">
    <w:abstractNumId w:val="8"/>
  </w:num>
  <w:num w:numId="22" w16cid:durableId="2121139280">
    <w:abstractNumId w:val="51"/>
  </w:num>
  <w:num w:numId="23" w16cid:durableId="921992519">
    <w:abstractNumId w:val="7"/>
  </w:num>
  <w:num w:numId="24" w16cid:durableId="607204834">
    <w:abstractNumId w:val="54"/>
  </w:num>
  <w:num w:numId="25" w16cid:durableId="1445225851">
    <w:abstractNumId w:val="34"/>
  </w:num>
  <w:num w:numId="26" w16cid:durableId="220141353">
    <w:abstractNumId w:val="28"/>
  </w:num>
  <w:num w:numId="27" w16cid:durableId="1658000720">
    <w:abstractNumId w:val="10"/>
  </w:num>
  <w:num w:numId="28" w16cid:durableId="544565139">
    <w:abstractNumId w:val="46"/>
  </w:num>
  <w:num w:numId="29" w16cid:durableId="365714987">
    <w:abstractNumId w:val="40"/>
  </w:num>
  <w:num w:numId="30" w16cid:durableId="1907915121">
    <w:abstractNumId w:val="50"/>
  </w:num>
  <w:num w:numId="31" w16cid:durableId="178008444">
    <w:abstractNumId w:val="11"/>
  </w:num>
  <w:num w:numId="32" w16cid:durableId="468136497">
    <w:abstractNumId w:val="33"/>
  </w:num>
  <w:num w:numId="33" w16cid:durableId="1030881520">
    <w:abstractNumId w:val="19"/>
  </w:num>
  <w:num w:numId="34" w16cid:durableId="1202131304">
    <w:abstractNumId w:val="52"/>
  </w:num>
  <w:num w:numId="35" w16cid:durableId="182473488">
    <w:abstractNumId w:val="29"/>
  </w:num>
  <w:num w:numId="36" w16cid:durableId="335421465">
    <w:abstractNumId w:val="37"/>
  </w:num>
  <w:num w:numId="37" w16cid:durableId="2052804809">
    <w:abstractNumId w:val="26"/>
  </w:num>
  <w:num w:numId="38" w16cid:durableId="439683626">
    <w:abstractNumId w:val="16"/>
  </w:num>
  <w:num w:numId="39" w16cid:durableId="170990261">
    <w:abstractNumId w:val="35"/>
  </w:num>
  <w:num w:numId="40" w16cid:durableId="1215582875">
    <w:abstractNumId w:val="6"/>
  </w:num>
  <w:num w:numId="41" w16cid:durableId="1064445961">
    <w:abstractNumId w:val="9"/>
  </w:num>
  <w:num w:numId="42" w16cid:durableId="668017662">
    <w:abstractNumId w:val="44"/>
  </w:num>
  <w:num w:numId="43" w16cid:durableId="525296074">
    <w:abstractNumId w:val="30"/>
  </w:num>
  <w:num w:numId="44" w16cid:durableId="1990474980">
    <w:abstractNumId w:val="38"/>
  </w:num>
  <w:num w:numId="45" w16cid:durableId="1214654571">
    <w:abstractNumId w:val="17"/>
  </w:num>
  <w:num w:numId="46" w16cid:durableId="744645582">
    <w:abstractNumId w:val="45"/>
  </w:num>
  <w:num w:numId="47" w16cid:durableId="1241598973">
    <w:abstractNumId w:val="43"/>
  </w:num>
  <w:num w:numId="48" w16cid:durableId="342173243">
    <w:abstractNumId w:val="25"/>
  </w:num>
  <w:num w:numId="49" w16cid:durableId="558512418">
    <w:abstractNumId w:val="21"/>
  </w:num>
  <w:num w:numId="50" w16cid:durableId="2095199325">
    <w:abstractNumId w:val="22"/>
  </w:num>
  <w:num w:numId="51" w16cid:durableId="64257018">
    <w:abstractNumId w:val="3"/>
  </w:num>
  <w:num w:numId="52" w16cid:durableId="927814062">
    <w:abstractNumId w:val="32"/>
  </w:num>
  <w:num w:numId="53" w16cid:durableId="1195921723">
    <w:abstractNumId w:val="31"/>
  </w:num>
  <w:num w:numId="54" w16cid:durableId="1834300533">
    <w:abstractNumId w:val="4"/>
  </w:num>
  <w:num w:numId="55" w16cid:durableId="163671106">
    <w:abstractNumId w:val="42"/>
  </w:num>
  <w:num w:numId="56" w16cid:durableId="1378898473">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A3"/>
    <w:rsid w:val="00001800"/>
    <w:rsid w:val="000022F1"/>
    <w:rsid w:val="000023CB"/>
    <w:rsid w:val="00002FF4"/>
    <w:rsid w:val="0000309F"/>
    <w:rsid w:val="000043E6"/>
    <w:rsid w:val="00004BE0"/>
    <w:rsid w:val="00005B53"/>
    <w:rsid w:val="00005CD6"/>
    <w:rsid w:val="000066F7"/>
    <w:rsid w:val="000104E5"/>
    <w:rsid w:val="00010A39"/>
    <w:rsid w:val="00011446"/>
    <w:rsid w:val="00012468"/>
    <w:rsid w:val="00013592"/>
    <w:rsid w:val="00014D41"/>
    <w:rsid w:val="00015EE5"/>
    <w:rsid w:val="0001644A"/>
    <w:rsid w:val="0001646E"/>
    <w:rsid w:val="000214F7"/>
    <w:rsid w:val="00021B8D"/>
    <w:rsid w:val="00021FEA"/>
    <w:rsid w:val="000255EF"/>
    <w:rsid w:val="00027ED5"/>
    <w:rsid w:val="000302A3"/>
    <w:rsid w:val="0003072E"/>
    <w:rsid w:val="00031D2C"/>
    <w:rsid w:val="00033D11"/>
    <w:rsid w:val="0003417D"/>
    <w:rsid w:val="00035DB5"/>
    <w:rsid w:val="000366BC"/>
    <w:rsid w:val="00037837"/>
    <w:rsid w:val="00040EFF"/>
    <w:rsid w:val="0004107C"/>
    <w:rsid w:val="000414F6"/>
    <w:rsid w:val="00042131"/>
    <w:rsid w:val="000433D3"/>
    <w:rsid w:val="000439FD"/>
    <w:rsid w:val="00043FFE"/>
    <w:rsid w:val="00044085"/>
    <w:rsid w:val="00045AE9"/>
    <w:rsid w:val="00045ED0"/>
    <w:rsid w:val="00046F6B"/>
    <w:rsid w:val="00051758"/>
    <w:rsid w:val="00051F38"/>
    <w:rsid w:val="0005294D"/>
    <w:rsid w:val="000536DE"/>
    <w:rsid w:val="0005506B"/>
    <w:rsid w:val="00055B11"/>
    <w:rsid w:val="00055C1B"/>
    <w:rsid w:val="00056D1E"/>
    <w:rsid w:val="00056FC6"/>
    <w:rsid w:val="00060104"/>
    <w:rsid w:val="00060170"/>
    <w:rsid w:val="0006108C"/>
    <w:rsid w:val="000620B7"/>
    <w:rsid w:val="00062B1F"/>
    <w:rsid w:val="00063706"/>
    <w:rsid w:val="0006388D"/>
    <w:rsid w:val="00064FEC"/>
    <w:rsid w:val="00065D0C"/>
    <w:rsid w:val="0006632F"/>
    <w:rsid w:val="0006726D"/>
    <w:rsid w:val="00071E26"/>
    <w:rsid w:val="0007250C"/>
    <w:rsid w:val="00072BBC"/>
    <w:rsid w:val="0007368C"/>
    <w:rsid w:val="00073890"/>
    <w:rsid w:val="000742D3"/>
    <w:rsid w:val="00074EA4"/>
    <w:rsid w:val="000752F4"/>
    <w:rsid w:val="000762B8"/>
    <w:rsid w:val="000766BD"/>
    <w:rsid w:val="00076E67"/>
    <w:rsid w:val="000770F3"/>
    <w:rsid w:val="0007790E"/>
    <w:rsid w:val="000807E9"/>
    <w:rsid w:val="00082EC6"/>
    <w:rsid w:val="00084227"/>
    <w:rsid w:val="00085098"/>
    <w:rsid w:val="00086127"/>
    <w:rsid w:val="00086F2F"/>
    <w:rsid w:val="00087940"/>
    <w:rsid w:val="00094283"/>
    <w:rsid w:val="0009439C"/>
    <w:rsid w:val="000945B3"/>
    <w:rsid w:val="0009495C"/>
    <w:rsid w:val="00094BAB"/>
    <w:rsid w:val="00094ED6"/>
    <w:rsid w:val="00095AD0"/>
    <w:rsid w:val="00096051"/>
    <w:rsid w:val="0009753F"/>
    <w:rsid w:val="000977BA"/>
    <w:rsid w:val="00097824"/>
    <w:rsid w:val="000979E0"/>
    <w:rsid w:val="000A0300"/>
    <w:rsid w:val="000A1144"/>
    <w:rsid w:val="000A277C"/>
    <w:rsid w:val="000A4C83"/>
    <w:rsid w:val="000A556D"/>
    <w:rsid w:val="000A6ADF"/>
    <w:rsid w:val="000B0DCD"/>
    <w:rsid w:val="000B2FCE"/>
    <w:rsid w:val="000B3A9B"/>
    <w:rsid w:val="000B3C1A"/>
    <w:rsid w:val="000B7A71"/>
    <w:rsid w:val="000C0AF5"/>
    <w:rsid w:val="000C116C"/>
    <w:rsid w:val="000C18B1"/>
    <w:rsid w:val="000C235A"/>
    <w:rsid w:val="000C2391"/>
    <w:rsid w:val="000C4432"/>
    <w:rsid w:val="000C49FE"/>
    <w:rsid w:val="000C5E77"/>
    <w:rsid w:val="000C701A"/>
    <w:rsid w:val="000C764A"/>
    <w:rsid w:val="000D3184"/>
    <w:rsid w:val="000D4A26"/>
    <w:rsid w:val="000D507E"/>
    <w:rsid w:val="000D6A74"/>
    <w:rsid w:val="000D6FAC"/>
    <w:rsid w:val="000D7779"/>
    <w:rsid w:val="000E06BF"/>
    <w:rsid w:val="000E14DB"/>
    <w:rsid w:val="000E27BA"/>
    <w:rsid w:val="000E3728"/>
    <w:rsid w:val="000E40DB"/>
    <w:rsid w:val="000E577A"/>
    <w:rsid w:val="000E5B89"/>
    <w:rsid w:val="000E7E0A"/>
    <w:rsid w:val="000F0165"/>
    <w:rsid w:val="000F1391"/>
    <w:rsid w:val="000F16CF"/>
    <w:rsid w:val="000F21E3"/>
    <w:rsid w:val="000F340F"/>
    <w:rsid w:val="000F54FC"/>
    <w:rsid w:val="000F5644"/>
    <w:rsid w:val="000F5A6E"/>
    <w:rsid w:val="000F6192"/>
    <w:rsid w:val="000F679C"/>
    <w:rsid w:val="001019A3"/>
    <w:rsid w:val="00101E2B"/>
    <w:rsid w:val="00103871"/>
    <w:rsid w:val="00104A8B"/>
    <w:rsid w:val="00104D88"/>
    <w:rsid w:val="00107102"/>
    <w:rsid w:val="00111A1C"/>
    <w:rsid w:val="00112421"/>
    <w:rsid w:val="00112569"/>
    <w:rsid w:val="001141EC"/>
    <w:rsid w:val="00114463"/>
    <w:rsid w:val="001153D4"/>
    <w:rsid w:val="00115DCF"/>
    <w:rsid w:val="001161F8"/>
    <w:rsid w:val="0011671D"/>
    <w:rsid w:val="00120F4A"/>
    <w:rsid w:val="00122110"/>
    <w:rsid w:val="00122FFF"/>
    <w:rsid w:val="00124554"/>
    <w:rsid w:val="00124ABB"/>
    <w:rsid w:val="00125099"/>
    <w:rsid w:val="00125D1E"/>
    <w:rsid w:val="0012760F"/>
    <w:rsid w:val="00127883"/>
    <w:rsid w:val="001278A4"/>
    <w:rsid w:val="001311CF"/>
    <w:rsid w:val="001326AA"/>
    <w:rsid w:val="001334A3"/>
    <w:rsid w:val="0013387D"/>
    <w:rsid w:val="0013531D"/>
    <w:rsid w:val="001354F1"/>
    <w:rsid w:val="00135DCC"/>
    <w:rsid w:val="001369ED"/>
    <w:rsid w:val="00137142"/>
    <w:rsid w:val="00137BBF"/>
    <w:rsid w:val="00140294"/>
    <w:rsid w:val="00143CD4"/>
    <w:rsid w:val="00144A4D"/>
    <w:rsid w:val="00144A9D"/>
    <w:rsid w:val="00144B75"/>
    <w:rsid w:val="00144C58"/>
    <w:rsid w:val="001453EB"/>
    <w:rsid w:val="00145A8C"/>
    <w:rsid w:val="00146FA3"/>
    <w:rsid w:val="001512E3"/>
    <w:rsid w:val="00151CBB"/>
    <w:rsid w:val="00151FF9"/>
    <w:rsid w:val="001530AD"/>
    <w:rsid w:val="001545DB"/>
    <w:rsid w:val="00154C40"/>
    <w:rsid w:val="00155F86"/>
    <w:rsid w:val="00156373"/>
    <w:rsid w:val="0015664C"/>
    <w:rsid w:val="001567D0"/>
    <w:rsid w:val="00160E23"/>
    <w:rsid w:val="00161A58"/>
    <w:rsid w:val="00162903"/>
    <w:rsid w:val="00164CBF"/>
    <w:rsid w:val="00167209"/>
    <w:rsid w:val="00170BDF"/>
    <w:rsid w:val="00171D80"/>
    <w:rsid w:val="00172112"/>
    <w:rsid w:val="0017344D"/>
    <w:rsid w:val="00174593"/>
    <w:rsid w:val="00174924"/>
    <w:rsid w:val="0017531C"/>
    <w:rsid w:val="00175346"/>
    <w:rsid w:val="00175C52"/>
    <w:rsid w:val="00176A2D"/>
    <w:rsid w:val="00177478"/>
    <w:rsid w:val="00181912"/>
    <w:rsid w:val="00181AF8"/>
    <w:rsid w:val="00181EC6"/>
    <w:rsid w:val="00182026"/>
    <w:rsid w:val="001831CF"/>
    <w:rsid w:val="00183622"/>
    <w:rsid w:val="00183A4E"/>
    <w:rsid w:val="0018531C"/>
    <w:rsid w:val="00186C35"/>
    <w:rsid w:val="00187BA3"/>
    <w:rsid w:val="001904E0"/>
    <w:rsid w:val="00190909"/>
    <w:rsid w:val="0019127A"/>
    <w:rsid w:val="00194B32"/>
    <w:rsid w:val="00194BEF"/>
    <w:rsid w:val="001954A9"/>
    <w:rsid w:val="0019675D"/>
    <w:rsid w:val="00196F3A"/>
    <w:rsid w:val="001A1954"/>
    <w:rsid w:val="001A1A56"/>
    <w:rsid w:val="001A519E"/>
    <w:rsid w:val="001A532F"/>
    <w:rsid w:val="001A7611"/>
    <w:rsid w:val="001A7D91"/>
    <w:rsid w:val="001B069F"/>
    <w:rsid w:val="001B0BC9"/>
    <w:rsid w:val="001B3455"/>
    <w:rsid w:val="001B44AA"/>
    <w:rsid w:val="001B5124"/>
    <w:rsid w:val="001B54C8"/>
    <w:rsid w:val="001B6686"/>
    <w:rsid w:val="001B6A96"/>
    <w:rsid w:val="001B796B"/>
    <w:rsid w:val="001C25CE"/>
    <w:rsid w:val="001C26D8"/>
    <w:rsid w:val="001C271C"/>
    <w:rsid w:val="001C28AB"/>
    <w:rsid w:val="001C3856"/>
    <w:rsid w:val="001C5953"/>
    <w:rsid w:val="001C5F54"/>
    <w:rsid w:val="001C6695"/>
    <w:rsid w:val="001C7B88"/>
    <w:rsid w:val="001D1361"/>
    <w:rsid w:val="001D1FE4"/>
    <w:rsid w:val="001D27EE"/>
    <w:rsid w:val="001D30AB"/>
    <w:rsid w:val="001D40F8"/>
    <w:rsid w:val="001D484A"/>
    <w:rsid w:val="001D4B31"/>
    <w:rsid w:val="001D5B0F"/>
    <w:rsid w:val="001D6506"/>
    <w:rsid w:val="001D707B"/>
    <w:rsid w:val="001D7531"/>
    <w:rsid w:val="001E03AE"/>
    <w:rsid w:val="001E068A"/>
    <w:rsid w:val="001E12BD"/>
    <w:rsid w:val="001E2121"/>
    <w:rsid w:val="001E2AFD"/>
    <w:rsid w:val="001E440A"/>
    <w:rsid w:val="001E4F8E"/>
    <w:rsid w:val="001E6A6F"/>
    <w:rsid w:val="001E6C0E"/>
    <w:rsid w:val="001E7196"/>
    <w:rsid w:val="001F05E6"/>
    <w:rsid w:val="001F1F9E"/>
    <w:rsid w:val="001F2195"/>
    <w:rsid w:val="001F26F0"/>
    <w:rsid w:val="001F2BBF"/>
    <w:rsid w:val="001F2C2A"/>
    <w:rsid w:val="001F2F1C"/>
    <w:rsid w:val="001F3C2C"/>
    <w:rsid w:val="001F493E"/>
    <w:rsid w:val="001F4A3C"/>
    <w:rsid w:val="001F4ECA"/>
    <w:rsid w:val="001F5615"/>
    <w:rsid w:val="001F668D"/>
    <w:rsid w:val="001F7BA2"/>
    <w:rsid w:val="00200FFD"/>
    <w:rsid w:val="00201A19"/>
    <w:rsid w:val="00202080"/>
    <w:rsid w:val="002025AD"/>
    <w:rsid w:val="00202D2B"/>
    <w:rsid w:val="002033E6"/>
    <w:rsid w:val="00203733"/>
    <w:rsid w:val="0020435A"/>
    <w:rsid w:val="002062DF"/>
    <w:rsid w:val="002064A3"/>
    <w:rsid w:val="00206C79"/>
    <w:rsid w:val="00207F85"/>
    <w:rsid w:val="0021146E"/>
    <w:rsid w:val="00211A7E"/>
    <w:rsid w:val="00211F6C"/>
    <w:rsid w:val="00212380"/>
    <w:rsid w:val="00212A6B"/>
    <w:rsid w:val="0021324D"/>
    <w:rsid w:val="0021374D"/>
    <w:rsid w:val="002145F1"/>
    <w:rsid w:val="002165EA"/>
    <w:rsid w:val="0021676E"/>
    <w:rsid w:val="00220E17"/>
    <w:rsid w:val="00220EC3"/>
    <w:rsid w:val="00220FA3"/>
    <w:rsid w:val="00221154"/>
    <w:rsid w:val="00221384"/>
    <w:rsid w:val="00221ABD"/>
    <w:rsid w:val="00221FD9"/>
    <w:rsid w:val="002228E7"/>
    <w:rsid w:val="00222AD6"/>
    <w:rsid w:val="00223FAD"/>
    <w:rsid w:val="00224050"/>
    <w:rsid w:val="00225257"/>
    <w:rsid w:val="0022720F"/>
    <w:rsid w:val="00227F13"/>
    <w:rsid w:val="0023087B"/>
    <w:rsid w:val="002316F4"/>
    <w:rsid w:val="00231E84"/>
    <w:rsid w:val="00231EDE"/>
    <w:rsid w:val="00233285"/>
    <w:rsid w:val="00234B30"/>
    <w:rsid w:val="00236F98"/>
    <w:rsid w:val="002410CF"/>
    <w:rsid w:val="002427BD"/>
    <w:rsid w:val="00242D02"/>
    <w:rsid w:val="00243CBF"/>
    <w:rsid w:val="0024405E"/>
    <w:rsid w:val="002447BA"/>
    <w:rsid w:val="00245F83"/>
    <w:rsid w:val="00246564"/>
    <w:rsid w:val="00251826"/>
    <w:rsid w:val="0025228A"/>
    <w:rsid w:val="00255363"/>
    <w:rsid w:val="00255B40"/>
    <w:rsid w:val="00257C6C"/>
    <w:rsid w:val="00262559"/>
    <w:rsid w:val="00264CDD"/>
    <w:rsid w:val="002651E9"/>
    <w:rsid w:val="00266B06"/>
    <w:rsid w:val="0027052B"/>
    <w:rsid w:val="002725B2"/>
    <w:rsid w:val="002732F0"/>
    <w:rsid w:val="00273FAE"/>
    <w:rsid w:val="002748BE"/>
    <w:rsid w:val="00275615"/>
    <w:rsid w:val="002758A4"/>
    <w:rsid w:val="002759B2"/>
    <w:rsid w:val="00275A41"/>
    <w:rsid w:val="00276F2B"/>
    <w:rsid w:val="00277151"/>
    <w:rsid w:val="002802E2"/>
    <w:rsid w:val="0028714A"/>
    <w:rsid w:val="002872F8"/>
    <w:rsid w:val="00287710"/>
    <w:rsid w:val="002922C5"/>
    <w:rsid w:val="002925D9"/>
    <w:rsid w:val="002929B1"/>
    <w:rsid w:val="00292F1B"/>
    <w:rsid w:val="00293353"/>
    <w:rsid w:val="00293DA4"/>
    <w:rsid w:val="00293EBE"/>
    <w:rsid w:val="0029486D"/>
    <w:rsid w:val="00297921"/>
    <w:rsid w:val="002A0114"/>
    <w:rsid w:val="002A01E7"/>
    <w:rsid w:val="002A0271"/>
    <w:rsid w:val="002A0C02"/>
    <w:rsid w:val="002A1129"/>
    <w:rsid w:val="002A116D"/>
    <w:rsid w:val="002A257A"/>
    <w:rsid w:val="002A4A8A"/>
    <w:rsid w:val="002A5278"/>
    <w:rsid w:val="002A57D3"/>
    <w:rsid w:val="002A70C0"/>
    <w:rsid w:val="002A7E8C"/>
    <w:rsid w:val="002A7F44"/>
    <w:rsid w:val="002A7FFE"/>
    <w:rsid w:val="002B1E7B"/>
    <w:rsid w:val="002B2EA8"/>
    <w:rsid w:val="002B4A91"/>
    <w:rsid w:val="002B4ACB"/>
    <w:rsid w:val="002B5474"/>
    <w:rsid w:val="002B5DFB"/>
    <w:rsid w:val="002B7667"/>
    <w:rsid w:val="002C0C7A"/>
    <w:rsid w:val="002C126A"/>
    <w:rsid w:val="002C165F"/>
    <w:rsid w:val="002C22E0"/>
    <w:rsid w:val="002C2B31"/>
    <w:rsid w:val="002C31D6"/>
    <w:rsid w:val="002C36F4"/>
    <w:rsid w:val="002C3D53"/>
    <w:rsid w:val="002C3FB3"/>
    <w:rsid w:val="002C47BC"/>
    <w:rsid w:val="002C49F4"/>
    <w:rsid w:val="002C5056"/>
    <w:rsid w:val="002C5D35"/>
    <w:rsid w:val="002C6EE1"/>
    <w:rsid w:val="002C709E"/>
    <w:rsid w:val="002C7347"/>
    <w:rsid w:val="002D0C6F"/>
    <w:rsid w:val="002D23D2"/>
    <w:rsid w:val="002D3733"/>
    <w:rsid w:val="002D4355"/>
    <w:rsid w:val="002D477A"/>
    <w:rsid w:val="002D5DFB"/>
    <w:rsid w:val="002D65D2"/>
    <w:rsid w:val="002E020B"/>
    <w:rsid w:val="002E228A"/>
    <w:rsid w:val="002E244F"/>
    <w:rsid w:val="002E3899"/>
    <w:rsid w:val="002E53C1"/>
    <w:rsid w:val="002E58BD"/>
    <w:rsid w:val="002E6371"/>
    <w:rsid w:val="002E6C4C"/>
    <w:rsid w:val="002E712A"/>
    <w:rsid w:val="002F0E49"/>
    <w:rsid w:val="002F1A57"/>
    <w:rsid w:val="002F38B6"/>
    <w:rsid w:val="002F4851"/>
    <w:rsid w:val="002F4C3E"/>
    <w:rsid w:val="002F586F"/>
    <w:rsid w:val="002F6891"/>
    <w:rsid w:val="002F7719"/>
    <w:rsid w:val="003013D9"/>
    <w:rsid w:val="00301C01"/>
    <w:rsid w:val="0030652A"/>
    <w:rsid w:val="00311219"/>
    <w:rsid w:val="00312458"/>
    <w:rsid w:val="0031471A"/>
    <w:rsid w:val="0031520D"/>
    <w:rsid w:val="00315A5D"/>
    <w:rsid w:val="003160B1"/>
    <w:rsid w:val="00316426"/>
    <w:rsid w:val="00317315"/>
    <w:rsid w:val="0032061E"/>
    <w:rsid w:val="00320ED0"/>
    <w:rsid w:val="003211B3"/>
    <w:rsid w:val="0032193D"/>
    <w:rsid w:val="0032279E"/>
    <w:rsid w:val="00323A11"/>
    <w:rsid w:val="00324328"/>
    <w:rsid w:val="00325140"/>
    <w:rsid w:val="0032514F"/>
    <w:rsid w:val="003255E5"/>
    <w:rsid w:val="00325665"/>
    <w:rsid w:val="00326B43"/>
    <w:rsid w:val="0033014C"/>
    <w:rsid w:val="003311A4"/>
    <w:rsid w:val="003317FA"/>
    <w:rsid w:val="00332422"/>
    <w:rsid w:val="003328B9"/>
    <w:rsid w:val="00333764"/>
    <w:rsid w:val="00333D8C"/>
    <w:rsid w:val="00334F6C"/>
    <w:rsid w:val="003352E7"/>
    <w:rsid w:val="0033606B"/>
    <w:rsid w:val="003360C1"/>
    <w:rsid w:val="00337A20"/>
    <w:rsid w:val="0034010A"/>
    <w:rsid w:val="00343770"/>
    <w:rsid w:val="0034450D"/>
    <w:rsid w:val="003446A6"/>
    <w:rsid w:val="003449F0"/>
    <w:rsid w:val="003519D1"/>
    <w:rsid w:val="00351EB3"/>
    <w:rsid w:val="003527A8"/>
    <w:rsid w:val="003529EC"/>
    <w:rsid w:val="00352DF5"/>
    <w:rsid w:val="00353091"/>
    <w:rsid w:val="00353880"/>
    <w:rsid w:val="00353A91"/>
    <w:rsid w:val="00354395"/>
    <w:rsid w:val="00354706"/>
    <w:rsid w:val="0035726C"/>
    <w:rsid w:val="00361438"/>
    <w:rsid w:val="00361E42"/>
    <w:rsid w:val="0036313A"/>
    <w:rsid w:val="00364741"/>
    <w:rsid w:val="00364BA6"/>
    <w:rsid w:val="0036727F"/>
    <w:rsid w:val="00370C5B"/>
    <w:rsid w:val="00371070"/>
    <w:rsid w:val="003719D2"/>
    <w:rsid w:val="00371B27"/>
    <w:rsid w:val="003721D6"/>
    <w:rsid w:val="003730C5"/>
    <w:rsid w:val="003735DE"/>
    <w:rsid w:val="00375754"/>
    <w:rsid w:val="0037752C"/>
    <w:rsid w:val="0038044E"/>
    <w:rsid w:val="00381476"/>
    <w:rsid w:val="0038147C"/>
    <w:rsid w:val="003819E2"/>
    <w:rsid w:val="0038299D"/>
    <w:rsid w:val="00384B6A"/>
    <w:rsid w:val="0038545E"/>
    <w:rsid w:val="00385DB1"/>
    <w:rsid w:val="00392676"/>
    <w:rsid w:val="00393563"/>
    <w:rsid w:val="00396927"/>
    <w:rsid w:val="0039713C"/>
    <w:rsid w:val="003A282F"/>
    <w:rsid w:val="003A4685"/>
    <w:rsid w:val="003A53A0"/>
    <w:rsid w:val="003A733F"/>
    <w:rsid w:val="003B0954"/>
    <w:rsid w:val="003B4BCE"/>
    <w:rsid w:val="003B53E4"/>
    <w:rsid w:val="003B550F"/>
    <w:rsid w:val="003B551D"/>
    <w:rsid w:val="003B5E6D"/>
    <w:rsid w:val="003B674E"/>
    <w:rsid w:val="003B7CEF"/>
    <w:rsid w:val="003C1BD8"/>
    <w:rsid w:val="003C202C"/>
    <w:rsid w:val="003D0E1C"/>
    <w:rsid w:val="003D1EF7"/>
    <w:rsid w:val="003D1FA0"/>
    <w:rsid w:val="003D5A68"/>
    <w:rsid w:val="003D67CD"/>
    <w:rsid w:val="003D791E"/>
    <w:rsid w:val="003E06A7"/>
    <w:rsid w:val="003E0830"/>
    <w:rsid w:val="003E0F2B"/>
    <w:rsid w:val="003E2719"/>
    <w:rsid w:val="003E29AE"/>
    <w:rsid w:val="003E3B65"/>
    <w:rsid w:val="003F0349"/>
    <w:rsid w:val="003F0A2F"/>
    <w:rsid w:val="003F2AD7"/>
    <w:rsid w:val="003F4EEB"/>
    <w:rsid w:val="003F6306"/>
    <w:rsid w:val="003F7CAE"/>
    <w:rsid w:val="004012EB"/>
    <w:rsid w:val="00401309"/>
    <w:rsid w:val="00401CD5"/>
    <w:rsid w:val="00405072"/>
    <w:rsid w:val="0040655D"/>
    <w:rsid w:val="004067E7"/>
    <w:rsid w:val="00407213"/>
    <w:rsid w:val="00410741"/>
    <w:rsid w:val="0041085A"/>
    <w:rsid w:val="004161DB"/>
    <w:rsid w:val="004162CF"/>
    <w:rsid w:val="00420625"/>
    <w:rsid w:val="00422381"/>
    <w:rsid w:val="00424F14"/>
    <w:rsid w:val="00425E3A"/>
    <w:rsid w:val="00426418"/>
    <w:rsid w:val="00427B0E"/>
    <w:rsid w:val="004300D3"/>
    <w:rsid w:val="00430A06"/>
    <w:rsid w:val="00432026"/>
    <w:rsid w:val="00432B43"/>
    <w:rsid w:val="00434E1A"/>
    <w:rsid w:val="004366E3"/>
    <w:rsid w:val="0043726A"/>
    <w:rsid w:val="00437525"/>
    <w:rsid w:val="00437E0A"/>
    <w:rsid w:val="004422E2"/>
    <w:rsid w:val="00443D75"/>
    <w:rsid w:val="00445121"/>
    <w:rsid w:val="004452E2"/>
    <w:rsid w:val="00445F84"/>
    <w:rsid w:val="00447CEC"/>
    <w:rsid w:val="00450BEF"/>
    <w:rsid w:val="00451510"/>
    <w:rsid w:val="004545E8"/>
    <w:rsid w:val="00464383"/>
    <w:rsid w:val="004656AF"/>
    <w:rsid w:val="00465E50"/>
    <w:rsid w:val="0046661F"/>
    <w:rsid w:val="00467102"/>
    <w:rsid w:val="00467FA0"/>
    <w:rsid w:val="00470B43"/>
    <w:rsid w:val="00470CFB"/>
    <w:rsid w:val="004710A0"/>
    <w:rsid w:val="00471883"/>
    <w:rsid w:val="0047356B"/>
    <w:rsid w:val="004745F8"/>
    <w:rsid w:val="00474B7C"/>
    <w:rsid w:val="00474D8C"/>
    <w:rsid w:val="0047783C"/>
    <w:rsid w:val="00477E96"/>
    <w:rsid w:val="0048615F"/>
    <w:rsid w:val="0048656D"/>
    <w:rsid w:val="004878A5"/>
    <w:rsid w:val="00490BC5"/>
    <w:rsid w:val="004922B0"/>
    <w:rsid w:val="00493D84"/>
    <w:rsid w:val="004952ED"/>
    <w:rsid w:val="0049584C"/>
    <w:rsid w:val="00495BF4"/>
    <w:rsid w:val="00496B41"/>
    <w:rsid w:val="004978B3"/>
    <w:rsid w:val="004A0BA3"/>
    <w:rsid w:val="004A1307"/>
    <w:rsid w:val="004A296A"/>
    <w:rsid w:val="004A3092"/>
    <w:rsid w:val="004A473C"/>
    <w:rsid w:val="004A608B"/>
    <w:rsid w:val="004B0504"/>
    <w:rsid w:val="004B057E"/>
    <w:rsid w:val="004B1958"/>
    <w:rsid w:val="004B2A0D"/>
    <w:rsid w:val="004B2FBA"/>
    <w:rsid w:val="004B35D9"/>
    <w:rsid w:val="004B4FE2"/>
    <w:rsid w:val="004B53A6"/>
    <w:rsid w:val="004B6D31"/>
    <w:rsid w:val="004C0425"/>
    <w:rsid w:val="004C0AF8"/>
    <w:rsid w:val="004C254B"/>
    <w:rsid w:val="004C3DED"/>
    <w:rsid w:val="004C4759"/>
    <w:rsid w:val="004C65E5"/>
    <w:rsid w:val="004C6794"/>
    <w:rsid w:val="004C6DE4"/>
    <w:rsid w:val="004C6E5A"/>
    <w:rsid w:val="004C7386"/>
    <w:rsid w:val="004C7A35"/>
    <w:rsid w:val="004D301D"/>
    <w:rsid w:val="004D6B87"/>
    <w:rsid w:val="004D7E98"/>
    <w:rsid w:val="004E0047"/>
    <w:rsid w:val="004E1288"/>
    <w:rsid w:val="004E381D"/>
    <w:rsid w:val="004E4844"/>
    <w:rsid w:val="004E536D"/>
    <w:rsid w:val="004E5E50"/>
    <w:rsid w:val="004E61A0"/>
    <w:rsid w:val="004E798A"/>
    <w:rsid w:val="004F024E"/>
    <w:rsid w:val="004F05A5"/>
    <w:rsid w:val="004F13D5"/>
    <w:rsid w:val="004F1F9C"/>
    <w:rsid w:val="004F21C8"/>
    <w:rsid w:val="004F413D"/>
    <w:rsid w:val="004F4F24"/>
    <w:rsid w:val="004F5FDE"/>
    <w:rsid w:val="004F6EC0"/>
    <w:rsid w:val="005001E1"/>
    <w:rsid w:val="0050052A"/>
    <w:rsid w:val="005008F9"/>
    <w:rsid w:val="0050165F"/>
    <w:rsid w:val="00502D6A"/>
    <w:rsid w:val="005032B2"/>
    <w:rsid w:val="00504CF1"/>
    <w:rsid w:val="00504EFF"/>
    <w:rsid w:val="00505078"/>
    <w:rsid w:val="005060CB"/>
    <w:rsid w:val="005101AF"/>
    <w:rsid w:val="00510867"/>
    <w:rsid w:val="00510A10"/>
    <w:rsid w:val="005134B1"/>
    <w:rsid w:val="00513999"/>
    <w:rsid w:val="00515F88"/>
    <w:rsid w:val="00516588"/>
    <w:rsid w:val="00516E7F"/>
    <w:rsid w:val="0052193F"/>
    <w:rsid w:val="005219AF"/>
    <w:rsid w:val="00523191"/>
    <w:rsid w:val="00523FDA"/>
    <w:rsid w:val="0052713B"/>
    <w:rsid w:val="00527DD2"/>
    <w:rsid w:val="00530FE3"/>
    <w:rsid w:val="0053247C"/>
    <w:rsid w:val="00532529"/>
    <w:rsid w:val="0053357B"/>
    <w:rsid w:val="00534828"/>
    <w:rsid w:val="00534ED3"/>
    <w:rsid w:val="00536F95"/>
    <w:rsid w:val="00537123"/>
    <w:rsid w:val="0053768D"/>
    <w:rsid w:val="00537B06"/>
    <w:rsid w:val="005409E4"/>
    <w:rsid w:val="005416B8"/>
    <w:rsid w:val="00542524"/>
    <w:rsid w:val="005434B1"/>
    <w:rsid w:val="00544207"/>
    <w:rsid w:val="00544C37"/>
    <w:rsid w:val="005457BD"/>
    <w:rsid w:val="005475B9"/>
    <w:rsid w:val="00550257"/>
    <w:rsid w:val="0055281D"/>
    <w:rsid w:val="00554009"/>
    <w:rsid w:val="00555C6D"/>
    <w:rsid w:val="0055759C"/>
    <w:rsid w:val="005576A8"/>
    <w:rsid w:val="00557BD8"/>
    <w:rsid w:val="00561799"/>
    <w:rsid w:val="005627B3"/>
    <w:rsid w:val="00562845"/>
    <w:rsid w:val="00562B59"/>
    <w:rsid w:val="0056331D"/>
    <w:rsid w:val="0056393A"/>
    <w:rsid w:val="00563F84"/>
    <w:rsid w:val="0056441F"/>
    <w:rsid w:val="00565DA1"/>
    <w:rsid w:val="00567235"/>
    <w:rsid w:val="00570193"/>
    <w:rsid w:val="0057141E"/>
    <w:rsid w:val="005714C8"/>
    <w:rsid w:val="00572343"/>
    <w:rsid w:val="00572398"/>
    <w:rsid w:val="00572B48"/>
    <w:rsid w:val="00573402"/>
    <w:rsid w:val="005737A3"/>
    <w:rsid w:val="0057497C"/>
    <w:rsid w:val="005750CC"/>
    <w:rsid w:val="0057543F"/>
    <w:rsid w:val="005800FD"/>
    <w:rsid w:val="00581232"/>
    <w:rsid w:val="005816E7"/>
    <w:rsid w:val="00581705"/>
    <w:rsid w:val="00583004"/>
    <w:rsid w:val="005831D8"/>
    <w:rsid w:val="005847CD"/>
    <w:rsid w:val="005871D6"/>
    <w:rsid w:val="005872C1"/>
    <w:rsid w:val="00587D76"/>
    <w:rsid w:val="00590809"/>
    <w:rsid w:val="00590E28"/>
    <w:rsid w:val="00593A4B"/>
    <w:rsid w:val="00594CE0"/>
    <w:rsid w:val="00594DF5"/>
    <w:rsid w:val="00594E46"/>
    <w:rsid w:val="005956EC"/>
    <w:rsid w:val="00595CAD"/>
    <w:rsid w:val="00597127"/>
    <w:rsid w:val="005976C5"/>
    <w:rsid w:val="005A1656"/>
    <w:rsid w:val="005A1C88"/>
    <w:rsid w:val="005A2776"/>
    <w:rsid w:val="005A492B"/>
    <w:rsid w:val="005A4E5B"/>
    <w:rsid w:val="005A526D"/>
    <w:rsid w:val="005A5FC5"/>
    <w:rsid w:val="005A691D"/>
    <w:rsid w:val="005B0A99"/>
    <w:rsid w:val="005B184E"/>
    <w:rsid w:val="005B294C"/>
    <w:rsid w:val="005B295D"/>
    <w:rsid w:val="005B3F58"/>
    <w:rsid w:val="005B4054"/>
    <w:rsid w:val="005B6334"/>
    <w:rsid w:val="005B6435"/>
    <w:rsid w:val="005B6600"/>
    <w:rsid w:val="005B6D15"/>
    <w:rsid w:val="005B6EE4"/>
    <w:rsid w:val="005B7062"/>
    <w:rsid w:val="005C097A"/>
    <w:rsid w:val="005C3B7A"/>
    <w:rsid w:val="005C4562"/>
    <w:rsid w:val="005C4D69"/>
    <w:rsid w:val="005C619F"/>
    <w:rsid w:val="005C623C"/>
    <w:rsid w:val="005C6F96"/>
    <w:rsid w:val="005C7514"/>
    <w:rsid w:val="005C7877"/>
    <w:rsid w:val="005C7F68"/>
    <w:rsid w:val="005D00F8"/>
    <w:rsid w:val="005D5F15"/>
    <w:rsid w:val="005D66C2"/>
    <w:rsid w:val="005D6B9B"/>
    <w:rsid w:val="005E0716"/>
    <w:rsid w:val="005E3270"/>
    <w:rsid w:val="005E3CE0"/>
    <w:rsid w:val="005E4204"/>
    <w:rsid w:val="005E4484"/>
    <w:rsid w:val="005F0139"/>
    <w:rsid w:val="005F0AFD"/>
    <w:rsid w:val="005F0F19"/>
    <w:rsid w:val="005F1784"/>
    <w:rsid w:val="005F3720"/>
    <w:rsid w:val="005F380C"/>
    <w:rsid w:val="005F38AE"/>
    <w:rsid w:val="005F56D8"/>
    <w:rsid w:val="005F668D"/>
    <w:rsid w:val="005F7411"/>
    <w:rsid w:val="006010D5"/>
    <w:rsid w:val="00601A5B"/>
    <w:rsid w:val="00601B05"/>
    <w:rsid w:val="006026EF"/>
    <w:rsid w:val="0060500F"/>
    <w:rsid w:val="00605B4A"/>
    <w:rsid w:val="00605F4F"/>
    <w:rsid w:val="00606D2E"/>
    <w:rsid w:val="006111EC"/>
    <w:rsid w:val="00611621"/>
    <w:rsid w:val="00611BE5"/>
    <w:rsid w:val="006120EA"/>
    <w:rsid w:val="0061211F"/>
    <w:rsid w:val="00614DD3"/>
    <w:rsid w:val="0062200F"/>
    <w:rsid w:val="00622C8F"/>
    <w:rsid w:val="00623DB6"/>
    <w:rsid w:val="00624531"/>
    <w:rsid w:val="00625928"/>
    <w:rsid w:val="00626071"/>
    <w:rsid w:val="006268E8"/>
    <w:rsid w:val="00626C9E"/>
    <w:rsid w:val="00627716"/>
    <w:rsid w:val="00632AD6"/>
    <w:rsid w:val="006331CD"/>
    <w:rsid w:val="00634A27"/>
    <w:rsid w:val="006358FD"/>
    <w:rsid w:val="006364D5"/>
    <w:rsid w:val="0063677B"/>
    <w:rsid w:val="00637615"/>
    <w:rsid w:val="00640705"/>
    <w:rsid w:val="00640A70"/>
    <w:rsid w:val="0064115C"/>
    <w:rsid w:val="006425FF"/>
    <w:rsid w:val="00642C87"/>
    <w:rsid w:val="00643A79"/>
    <w:rsid w:val="006442C4"/>
    <w:rsid w:val="00644431"/>
    <w:rsid w:val="006446FF"/>
    <w:rsid w:val="00645E7A"/>
    <w:rsid w:val="0064647D"/>
    <w:rsid w:val="00646718"/>
    <w:rsid w:val="00652B1C"/>
    <w:rsid w:val="00652FA1"/>
    <w:rsid w:val="006534F0"/>
    <w:rsid w:val="0065437B"/>
    <w:rsid w:val="00655AF6"/>
    <w:rsid w:val="00656821"/>
    <w:rsid w:val="00657097"/>
    <w:rsid w:val="00657570"/>
    <w:rsid w:val="006606B2"/>
    <w:rsid w:val="00660AE7"/>
    <w:rsid w:val="0066246A"/>
    <w:rsid w:val="006644CB"/>
    <w:rsid w:val="0066485C"/>
    <w:rsid w:val="00664F88"/>
    <w:rsid w:val="00665103"/>
    <w:rsid w:val="0066561D"/>
    <w:rsid w:val="00666C13"/>
    <w:rsid w:val="0066740A"/>
    <w:rsid w:val="00671A09"/>
    <w:rsid w:val="00671CA5"/>
    <w:rsid w:val="006722EF"/>
    <w:rsid w:val="0067492D"/>
    <w:rsid w:val="006752A2"/>
    <w:rsid w:val="006753B7"/>
    <w:rsid w:val="00677743"/>
    <w:rsid w:val="00680E90"/>
    <w:rsid w:val="00682012"/>
    <w:rsid w:val="006824C4"/>
    <w:rsid w:val="00683B54"/>
    <w:rsid w:val="00684003"/>
    <w:rsid w:val="00684561"/>
    <w:rsid w:val="006846F3"/>
    <w:rsid w:val="00686608"/>
    <w:rsid w:val="0068676A"/>
    <w:rsid w:val="00687896"/>
    <w:rsid w:val="006909F1"/>
    <w:rsid w:val="00692CD0"/>
    <w:rsid w:val="00693181"/>
    <w:rsid w:val="006931EC"/>
    <w:rsid w:val="006933CC"/>
    <w:rsid w:val="00694738"/>
    <w:rsid w:val="00695209"/>
    <w:rsid w:val="00695259"/>
    <w:rsid w:val="00697501"/>
    <w:rsid w:val="006A0ABB"/>
    <w:rsid w:val="006A0DA4"/>
    <w:rsid w:val="006A1429"/>
    <w:rsid w:val="006A15C7"/>
    <w:rsid w:val="006A1738"/>
    <w:rsid w:val="006A1D94"/>
    <w:rsid w:val="006A5E70"/>
    <w:rsid w:val="006A6504"/>
    <w:rsid w:val="006A694A"/>
    <w:rsid w:val="006A6C7A"/>
    <w:rsid w:val="006A7B73"/>
    <w:rsid w:val="006B12A3"/>
    <w:rsid w:val="006B16B1"/>
    <w:rsid w:val="006B17FB"/>
    <w:rsid w:val="006B2DFB"/>
    <w:rsid w:val="006B40A8"/>
    <w:rsid w:val="006B59C3"/>
    <w:rsid w:val="006B6D67"/>
    <w:rsid w:val="006C21DB"/>
    <w:rsid w:val="006C2AAD"/>
    <w:rsid w:val="006C333E"/>
    <w:rsid w:val="006C36CE"/>
    <w:rsid w:val="006C4894"/>
    <w:rsid w:val="006C4F7B"/>
    <w:rsid w:val="006C552F"/>
    <w:rsid w:val="006C58D1"/>
    <w:rsid w:val="006C59FD"/>
    <w:rsid w:val="006C5E5E"/>
    <w:rsid w:val="006C5EC5"/>
    <w:rsid w:val="006D108D"/>
    <w:rsid w:val="006D47A3"/>
    <w:rsid w:val="006E054A"/>
    <w:rsid w:val="006E1230"/>
    <w:rsid w:val="006E190F"/>
    <w:rsid w:val="006E31AA"/>
    <w:rsid w:val="006E354A"/>
    <w:rsid w:val="006E5DE0"/>
    <w:rsid w:val="006F062A"/>
    <w:rsid w:val="006F0A78"/>
    <w:rsid w:val="006F192D"/>
    <w:rsid w:val="006F4218"/>
    <w:rsid w:val="006F435E"/>
    <w:rsid w:val="006F4E88"/>
    <w:rsid w:val="006F5191"/>
    <w:rsid w:val="006F6B9F"/>
    <w:rsid w:val="006F7592"/>
    <w:rsid w:val="006F7A75"/>
    <w:rsid w:val="0070018F"/>
    <w:rsid w:val="00700A65"/>
    <w:rsid w:val="0070397E"/>
    <w:rsid w:val="00703A2D"/>
    <w:rsid w:val="00703E49"/>
    <w:rsid w:val="007045F4"/>
    <w:rsid w:val="007050E3"/>
    <w:rsid w:val="00706DD8"/>
    <w:rsid w:val="007078C0"/>
    <w:rsid w:val="00707E28"/>
    <w:rsid w:val="00710FC4"/>
    <w:rsid w:val="00712BDF"/>
    <w:rsid w:val="00712C1C"/>
    <w:rsid w:val="0071351C"/>
    <w:rsid w:val="00714BAA"/>
    <w:rsid w:val="00715E20"/>
    <w:rsid w:val="00715EAC"/>
    <w:rsid w:val="0071715D"/>
    <w:rsid w:val="0072079E"/>
    <w:rsid w:val="007223A4"/>
    <w:rsid w:val="007229C4"/>
    <w:rsid w:val="00722C0A"/>
    <w:rsid w:val="007233E2"/>
    <w:rsid w:val="00723D15"/>
    <w:rsid w:val="0072534B"/>
    <w:rsid w:val="00725858"/>
    <w:rsid w:val="0072615F"/>
    <w:rsid w:val="00730986"/>
    <w:rsid w:val="00731844"/>
    <w:rsid w:val="00731DD4"/>
    <w:rsid w:val="00733FAC"/>
    <w:rsid w:val="00735D89"/>
    <w:rsid w:val="00736292"/>
    <w:rsid w:val="00736646"/>
    <w:rsid w:val="00737BF6"/>
    <w:rsid w:val="00740E08"/>
    <w:rsid w:val="00742246"/>
    <w:rsid w:val="00742348"/>
    <w:rsid w:val="00743DBC"/>
    <w:rsid w:val="00744A21"/>
    <w:rsid w:val="00747756"/>
    <w:rsid w:val="007503CD"/>
    <w:rsid w:val="00751651"/>
    <w:rsid w:val="0075206A"/>
    <w:rsid w:val="007555BD"/>
    <w:rsid w:val="00756257"/>
    <w:rsid w:val="00756B2B"/>
    <w:rsid w:val="00757E73"/>
    <w:rsid w:val="007621B5"/>
    <w:rsid w:val="00762B70"/>
    <w:rsid w:val="00762D25"/>
    <w:rsid w:val="0076472E"/>
    <w:rsid w:val="007647B4"/>
    <w:rsid w:val="0077055B"/>
    <w:rsid w:val="00771078"/>
    <w:rsid w:val="00771A08"/>
    <w:rsid w:val="0077218C"/>
    <w:rsid w:val="00772F06"/>
    <w:rsid w:val="00772F2B"/>
    <w:rsid w:val="007731DA"/>
    <w:rsid w:val="00773B20"/>
    <w:rsid w:val="00775A8D"/>
    <w:rsid w:val="00776FB9"/>
    <w:rsid w:val="00781AD2"/>
    <w:rsid w:val="00781B49"/>
    <w:rsid w:val="007826D1"/>
    <w:rsid w:val="00783BE4"/>
    <w:rsid w:val="007842C8"/>
    <w:rsid w:val="00784873"/>
    <w:rsid w:val="00784B3E"/>
    <w:rsid w:val="00784E03"/>
    <w:rsid w:val="00786412"/>
    <w:rsid w:val="00790EC5"/>
    <w:rsid w:val="00791106"/>
    <w:rsid w:val="00793BA5"/>
    <w:rsid w:val="00793CC5"/>
    <w:rsid w:val="00795166"/>
    <w:rsid w:val="0079766D"/>
    <w:rsid w:val="007A0B80"/>
    <w:rsid w:val="007A137C"/>
    <w:rsid w:val="007A1390"/>
    <w:rsid w:val="007A232D"/>
    <w:rsid w:val="007A39D7"/>
    <w:rsid w:val="007A6276"/>
    <w:rsid w:val="007A7854"/>
    <w:rsid w:val="007A7D66"/>
    <w:rsid w:val="007B033B"/>
    <w:rsid w:val="007B1C8D"/>
    <w:rsid w:val="007B1FC6"/>
    <w:rsid w:val="007B2418"/>
    <w:rsid w:val="007B2948"/>
    <w:rsid w:val="007B32E7"/>
    <w:rsid w:val="007B5A22"/>
    <w:rsid w:val="007B6060"/>
    <w:rsid w:val="007B61E4"/>
    <w:rsid w:val="007B70A4"/>
    <w:rsid w:val="007B75AF"/>
    <w:rsid w:val="007C14EE"/>
    <w:rsid w:val="007C155C"/>
    <w:rsid w:val="007C61BE"/>
    <w:rsid w:val="007C6C1F"/>
    <w:rsid w:val="007D0019"/>
    <w:rsid w:val="007D0234"/>
    <w:rsid w:val="007D0479"/>
    <w:rsid w:val="007D1898"/>
    <w:rsid w:val="007D1C23"/>
    <w:rsid w:val="007D1FCA"/>
    <w:rsid w:val="007D3E00"/>
    <w:rsid w:val="007D42AC"/>
    <w:rsid w:val="007D4C5A"/>
    <w:rsid w:val="007E1018"/>
    <w:rsid w:val="007E1172"/>
    <w:rsid w:val="007E19DA"/>
    <w:rsid w:val="007E204A"/>
    <w:rsid w:val="007E26CF"/>
    <w:rsid w:val="007E2C65"/>
    <w:rsid w:val="007E429F"/>
    <w:rsid w:val="007E46BF"/>
    <w:rsid w:val="007E48CB"/>
    <w:rsid w:val="007E4E8E"/>
    <w:rsid w:val="007E50A8"/>
    <w:rsid w:val="007E7843"/>
    <w:rsid w:val="007E7B8D"/>
    <w:rsid w:val="007F3CE3"/>
    <w:rsid w:val="007F4A92"/>
    <w:rsid w:val="007F529C"/>
    <w:rsid w:val="007F5427"/>
    <w:rsid w:val="007F60F3"/>
    <w:rsid w:val="00801191"/>
    <w:rsid w:val="008035A6"/>
    <w:rsid w:val="0080472F"/>
    <w:rsid w:val="00804D86"/>
    <w:rsid w:val="008065B1"/>
    <w:rsid w:val="00806A2F"/>
    <w:rsid w:val="0081009A"/>
    <w:rsid w:val="0081031E"/>
    <w:rsid w:val="0081195E"/>
    <w:rsid w:val="008130D6"/>
    <w:rsid w:val="008141CB"/>
    <w:rsid w:val="00814D62"/>
    <w:rsid w:val="00815836"/>
    <w:rsid w:val="00815E26"/>
    <w:rsid w:val="00816A47"/>
    <w:rsid w:val="00816FA1"/>
    <w:rsid w:val="00817194"/>
    <w:rsid w:val="00820320"/>
    <w:rsid w:val="00820C0F"/>
    <w:rsid w:val="008211C5"/>
    <w:rsid w:val="00821D73"/>
    <w:rsid w:val="00822409"/>
    <w:rsid w:val="00822474"/>
    <w:rsid w:val="00822795"/>
    <w:rsid w:val="00823099"/>
    <w:rsid w:val="00823BE1"/>
    <w:rsid w:val="00823E59"/>
    <w:rsid w:val="008242E7"/>
    <w:rsid w:val="00825E7D"/>
    <w:rsid w:val="008275FE"/>
    <w:rsid w:val="00827E6F"/>
    <w:rsid w:val="00830090"/>
    <w:rsid w:val="00830439"/>
    <w:rsid w:val="00832027"/>
    <w:rsid w:val="0083339C"/>
    <w:rsid w:val="00834AEB"/>
    <w:rsid w:val="008354E3"/>
    <w:rsid w:val="008358AE"/>
    <w:rsid w:val="00836E3A"/>
    <w:rsid w:val="008371F9"/>
    <w:rsid w:val="008374DE"/>
    <w:rsid w:val="008407E9"/>
    <w:rsid w:val="0084166C"/>
    <w:rsid w:val="008422F8"/>
    <w:rsid w:val="00843B6A"/>
    <w:rsid w:val="00845D4E"/>
    <w:rsid w:val="00850782"/>
    <w:rsid w:val="008537A2"/>
    <w:rsid w:val="008573C8"/>
    <w:rsid w:val="0085791A"/>
    <w:rsid w:val="00857AA6"/>
    <w:rsid w:val="00857AB4"/>
    <w:rsid w:val="00857E72"/>
    <w:rsid w:val="008610DC"/>
    <w:rsid w:val="00863E4A"/>
    <w:rsid w:val="00864D54"/>
    <w:rsid w:val="008657EC"/>
    <w:rsid w:val="00866450"/>
    <w:rsid w:val="0087001B"/>
    <w:rsid w:val="008712E8"/>
    <w:rsid w:val="00873C79"/>
    <w:rsid w:val="00873EBC"/>
    <w:rsid w:val="00876A3C"/>
    <w:rsid w:val="00876F4E"/>
    <w:rsid w:val="008776E4"/>
    <w:rsid w:val="00877EF5"/>
    <w:rsid w:val="008804A1"/>
    <w:rsid w:val="00880A99"/>
    <w:rsid w:val="00883111"/>
    <w:rsid w:val="00884F7A"/>
    <w:rsid w:val="008870F6"/>
    <w:rsid w:val="00887562"/>
    <w:rsid w:val="00890B9B"/>
    <w:rsid w:val="00890C4B"/>
    <w:rsid w:val="008928A4"/>
    <w:rsid w:val="0089339E"/>
    <w:rsid w:val="00893FBE"/>
    <w:rsid w:val="00894833"/>
    <w:rsid w:val="00895771"/>
    <w:rsid w:val="00896AC1"/>
    <w:rsid w:val="00897A33"/>
    <w:rsid w:val="008A0293"/>
    <w:rsid w:val="008A0709"/>
    <w:rsid w:val="008A2478"/>
    <w:rsid w:val="008A24EB"/>
    <w:rsid w:val="008A2E1C"/>
    <w:rsid w:val="008A34C2"/>
    <w:rsid w:val="008A4DC7"/>
    <w:rsid w:val="008A4F2A"/>
    <w:rsid w:val="008A5BB2"/>
    <w:rsid w:val="008A5C0F"/>
    <w:rsid w:val="008A5F7B"/>
    <w:rsid w:val="008A7010"/>
    <w:rsid w:val="008A71EB"/>
    <w:rsid w:val="008B077A"/>
    <w:rsid w:val="008B10C1"/>
    <w:rsid w:val="008B1897"/>
    <w:rsid w:val="008B50D1"/>
    <w:rsid w:val="008B5193"/>
    <w:rsid w:val="008B5AC3"/>
    <w:rsid w:val="008B6DC6"/>
    <w:rsid w:val="008B7E60"/>
    <w:rsid w:val="008C0074"/>
    <w:rsid w:val="008C010F"/>
    <w:rsid w:val="008C45BF"/>
    <w:rsid w:val="008C60C5"/>
    <w:rsid w:val="008C703A"/>
    <w:rsid w:val="008C7F7F"/>
    <w:rsid w:val="008D0D60"/>
    <w:rsid w:val="008D281E"/>
    <w:rsid w:val="008D284A"/>
    <w:rsid w:val="008D3520"/>
    <w:rsid w:val="008D35D3"/>
    <w:rsid w:val="008D416C"/>
    <w:rsid w:val="008D67EC"/>
    <w:rsid w:val="008D6AF7"/>
    <w:rsid w:val="008D6B49"/>
    <w:rsid w:val="008D6F8C"/>
    <w:rsid w:val="008D7B6A"/>
    <w:rsid w:val="008E0CB8"/>
    <w:rsid w:val="008E1260"/>
    <w:rsid w:val="008E1B7D"/>
    <w:rsid w:val="008E1D77"/>
    <w:rsid w:val="008E3F67"/>
    <w:rsid w:val="008E66B3"/>
    <w:rsid w:val="008F0862"/>
    <w:rsid w:val="008F0A36"/>
    <w:rsid w:val="008F3BE7"/>
    <w:rsid w:val="008F4740"/>
    <w:rsid w:val="008F4CA7"/>
    <w:rsid w:val="008F73CB"/>
    <w:rsid w:val="008F7D6A"/>
    <w:rsid w:val="0090148A"/>
    <w:rsid w:val="009019CE"/>
    <w:rsid w:val="00901E93"/>
    <w:rsid w:val="00901F37"/>
    <w:rsid w:val="00903A46"/>
    <w:rsid w:val="00905B42"/>
    <w:rsid w:val="00906374"/>
    <w:rsid w:val="00906A40"/>
    <w:rsid w:val="00906C76"/>
    <w:rsid w:val="00910303"/>
    <w:rsid w:val="009103C4"/>
    <w:rsid w:val="00910475"/>
    <w:rsid w:val="00910C17"/>
    <w:rsid w:val="00911308"/>
    <w:rsid w:val="0091167A"/>
    <w:rsid w:val="0091390A"/>
    <w:rsid w:val="009140CC"/>
    <w:rsid w:val="0091604A"/>
    <w:rsid w:val="00920321"/>
    <w:rsid w:val="00920985"/>
    <w:rsid w:val="0092206F"/>
    <w:rsid w:val="009227E1"/>
    <w:rsid w:val="00924161"/>
    <w:rsid w:val="00924EB0"/>
    <w:rsid w:val="00925236"/>
    <w:rsid w:val="00927821"/>
    <w:rsid w:val="00931CB6"/>
    <w:rsid w:val="00932ED0"/>
    <w:rsid w:val="00933041"/>
    <w:rsid w:val="00933461"/>
    <w:rsid w:val="00935586"/>
    <w:rsid w:val="00937585"/>
    <w:rsid w:val="00937630"/>
    <w:rsid w:val="00940490"/>
    <w:rsid w:val="00940A02"/>
    <w:rsid w:val="00941B73"/>
    <w:rsid w:val="009423C8"/>
    <w:rsid w:val="00945C50"/>
    <w:rsid w:val="009470C1"/>
    <w:rsid w:val="00950C33"/>
    <w:rsid w:val="00950ED8"/>
    <w:rsid w:val="0095202E"/>
    <w:rsid w:val="00955B91"/>
    <w:rsid w:val="00955E77"/>
    <w:rsid w:val="00956002"/>
    <w:rsid w:val="009560BB"/>
    <w:rsid w:val="00956ED7"/>
    <w:rsid w:val="00957C5D"/>
    <w:rsid w:val="0096105F"/>
    <w:rsid w:val="0096111F"/>
    <w:rsid w:val="00961F85"/>
    <w:rsid w:val="0096386D"/>
    <w:rsid w:val="00964484"/>
    <w:rsid w:val="00965F72"/>
    <w:rsid w:val="00967D4E"/>
    <w:rsid w:val="00970400"/>
    <w:rsid w:val="00970553"/>
    <w:rsid w:val="00970D9C"/>
    <w:rsid w:val="00972338"/>
    <w:rsid w:val="0097287A"/>
    <w:rsid w:val="0097294B"/>
    <w:rsid w:val="00973F29"/>
    <w:rsid w:val="0097479E"/>
    <w:rsid w:val="0097569D"/>
    <w:rsid w:val="00975B8E"/>
    <w:rsid w:val="00977CC8"/>
    <w:rsid w:val="00977FCB"/>
    <w:rsid w:val="009809C8"/>
    <w:rsid w:val="00980E88"/>
    <w:rsid w:val="009817B9"/>
    <w:rsid w:val="00981D4F"/>
    <w:rsid w:val="00983D2F"/>
    <w:rsid w:val="00985FE3"/>
    <w:rsid w:val="009862CE"/>
    <w:rsid w:val="00990EFD"/>
    <w:rsid w:val="00991BF8"/>
    <w:rsid w:val="00992B08"/>
    <w:rsid w:val="00992DF3"/>
    <w:rsid w:val="00994657"/>
    <w:rsid w:val="00995A2D"/>
    <w:rsid w:val="00997347"/>
    <w:rsid w:val="009A0426"/>
    <w:rsid w:val="009A0E0E"/>
    <w:rsid w:val="009A13B1"/>
    <w:rsid w:val="009A18C0"/>
    <w:rsid w:val="009A21C4"/>
    <w:rsid w:val="009A374E"/>
    <w:rsid w:val="009A4569"/>
    <w:rsid w:val="009A6666"/>
    <w:rsid w:val="009B33D2"/>
    <w:rsid w:val="009B38F9"/>
    <w:rsid w:val="009B4039"/>
    <w:rsid w:val="009B43B9"/>
    <w:rsid w:val="009B570E"/>
    <w:rsid w:val="009B5C56"/>
    <w:rsid w:val="009B5DC0"/>
    <w:rsid w:val="009B73AB"/>
    <w:rsid w:val="009B7484"/>
    <w:rsid w:val="009B79B9"/>
    <w:rsid w:val="009C0364"/>
    <w:rsid w:val="009C26C8"/>
    <w:rsid w:val="009C28D9"/>
    <w:rsid w:val="009C2CE9"/>
    <w:rsid w:val="009C3F88"/>
    <w:rsid w:val="009C4D14"/>
    <w:rsid w:val="009C5D7D"/>
    <w:rsid w:val="009C6B5A"/>
    <w:rsid w:val="009C6BC9"/>
    <w:rsid w:val="009C6BCC"/>
    <w:rsid w:val="009C73AA"/>
    <w:rsid w:val="009C760B"/>
    <w:rsid w:val="009C7C8C"/>
    <w:rsid w:val="009D0029"/>
    <w:rsid w:val="009D0621"/>
    <w:rsid w:val="009D0C96"/>
    <w:rsid w:val="009D139A"/>
    <w:rsid w:val="009D3AB7"/>
    <w:rsid w:val="009D3E65"/>
    <w:rsid w:val="009D4061"/>
    <w:rsid w:val="009E1BC3"/>
    <w:rsid w:val="009E2C2B"/>
    <w:rsid w:val="009E2F3E"/>
    <w:rsid w:val="009E3223"/>
    <w:rsid w:val="009E685D"/>
    <w:rsid w:val="009E6A24"/>
    <w:rsid w:val="009E72C4"/>
    <w:rsid w:val="009E7793"/>
    <w:rsid w:val="009E7B0B"/>
    <w:rsid w:val="009F0551"/>
    <w:rsid w:val="009F08B0"/>
    <w:rsid w:val="009F0BC0"/>
    <w:rsid w:val="009F2091"/>
    <w:rsid w:val="009F2B87"/>
    <w:rsid w:val="009F38AD"/>
    <w:rsid w:val="009F4C8A"/>
    <w:rsid w:val="009F5979"/>
    <w:rsid w:val="009F7935"/>
    <w:rsid w:val="00A0031A"/>
    <w:rsid w:val="00A01931"/>
    <w:rsid w:val="00A01B98"/>
    <w:rsid w:val="00A02407"/>
    <w:rsid w:val="00A03C77"/>
    <w:rsid w:val="00A05223"/>
    <w:rsid w:val="00A054AC"/>
    <w:rsid w:val="00A05B2D"/>
    <w:rsid w:val="00A05E1E"/>
    <w:rsid w:val="00A06553"/>
    <w:rsid w:val="00A06CC2"/>
    <w:rsid w:val="00A06DC0"/>
    <w:rsid w:val="00A10DBF"/>
    <w:rsid w:val="00A1133D"/>
    <w:rsid w:val="00A12AB9"/>
    <w:rsid w:val="00A12DFB"/>
    <w:rsid w:val="00A14999"/>
    <w:rsid w:val="00A149E8"/>
    <w:rsid w:val="00A16870"/>
    <w:rsid w:val="00A176D9"/>
    <w:rsid w:val="00A21158"/>
    <w:rsid w:val="00A216F4"/>
    <w:rsid w:val="00A22A58"/>
    <w:rsid w:val="00A241CF"/>
    <w:rsid w:val="00A24210"/>
    <w:rsid w:val="00A24474"/>
    <w:rsid w:val="00A26E5A"/>
    <w:rsid w:val="00A30D04"/>
    <w:rsid w:val="00A311CB"/>
    <w:rsid w:val="00A31369"/>
    <w:rsid w:val="00A33B9B"/>
    <w:rsid w:val="00A33D1A"/>
    <w:rsid w:val="00A35405"/>
    <w:rsid w:val="00A36977"/>
    <w:rsid w:val="00A37046"/>
    <w:rsid w:val="00A4180F"/>
    <w:rsid w:val="00A43CE5"/>
    <w:rsid w:val="00A441D6"/>
    <w:rsid w:val="00A44A46"/>
    <w:rsid w:val="00A45839"/>
    <w:rsid w:val="00A4677A"/>
    <w:rsid w:val="00A47873"/>
    <w:rsid w:val="00A5355A"/>
    <w:rsid w:val="00A53CD4"/>
    <w:rsid w:val="00A54079"/>
    <w:rsid w:val="00A542A5"/>
    <w:rsid w:val="00A547A5"/>
    <w:rsid w:val="00A552E0"/>
    <w:rsid w:val="00A560A4"/>
    <w:rsid w:val="00A571EA"/>
    <w:rsid w:val="00A579FC"/>
    <w:rsid w:val="00A617B5"/>
    <w:rsid w:val="00A61EBF"/>
    <w:rsid w:val="00A62579"/>
    <w:rsid w:val="00A63261"/>
    <w:rsid w:val="00A63692"/>
    <w:rsid w:val="00A63C83"/>
    <w:rsid w:val="00A64CA8"/>
    <w:rsid w:val="00A64D03"/>
    <w:rsid w:val="00A6529B"/>
    <w:rsid w:val="00A6587D"/>
    <w:rsid w:val="00A6589B"/>
    <w:rsid w:val="00A65A1E"/>
    <w:rsid w:val="00A65A98"/>
    <w:rsid w:val="00A672BE"/>
    <w:rsid w:val="00A71A17"/>
    <w:rsid w:val="00A720BF"/>
    <w:rsid w:val="00A72C41"/>
    <w:rsid w:val="00A73E6B"/>
    <w:rsid w:val="00A74A84"/>
    <w:rsid w:val="00A74AE6"/>
    <w:rsid w:val="00A755E5"/>
    <w:rsid w:val="00A7627D"/>
    <w:rsid w:val="00A77A43"/>
    <w:rsid w:val="00A80D59"/>
    <w:rsid w:val="00A82479"/>
    <w:rsid w:val="00A845FB"/>
    <w:rsid w:val="00A84901"/>
    <w:rsid w:val="00A8531D"/>
    <w:rsid w:val="00A859D3"/>
    <w:rsid w:val="00A85D0D"/>
    <w:rsid w:val="00A8639F"/>
    <w:rsid w:val="00A86E5F"/>
    <w:rsid w:val="00A904D1"/>
    <w:rsid w:val="00A90E6E"/>
    <w:rsid w:val="00A91645"/>
    <w:rsid w:val="00A93717"/>
    <w:rsid w:val="00A93810"/>
    <w:rsid w:val="00A948EE"/>
    <w:rsid w:val="00A94EC3"/>
    <w:rsid w:val="00A96211"/>
    <w:rsid w:val="00A96ACE"/>
    <w:rsid w:val="00AA0194"/>
    <w:rsid w:val="00AA1C78"/>
    <w:rsid w:val="00AA3393"/>
    <w:rsid w:val="00AA34C5"/>
    <w:rsid w:val="00AA35F7"/>
    <w:rsid w:val="00AA49EC"/>
    <w:rsid w:val="00AA52DF"/>
    <w:rsid w:val="00AA7021"/>
    <w:rsid w:val="00AA7676"/>
    <w:rsid w:val="00AA7EAD"/>
    <w:rsid w:val="00AB1A3C"/>
    <w:rsid w:val="00AB2AB9"/>
    <w:rsid w:val="00AB384B"/>
    <w:rsid w:val="00AB3AEE"/>
    <w:rsid w:val="00AB3FFA"/>
    <w:rsid w:val="00AB536B"/>
    <w:rsid w:val="00AB5AAE"/>
    <w:rsid w:val="00AB5D73"/>
    <w:rsid w:val="00AB72FF"/>
    <w:rsid w:val="00AC05DA"/>
    <w:rsid w:val="00AC135C"/>
    <w:rsid w:val="00AC13BF"/>
    <w:rsid w:val="00AC3207"/>
    <w:rsid w:val="00AC6D59"/>
    <w:rsid w:val="00AD01C9"/>
    <w:rsid w:val="00AD01FC"/>
    <w:rsid w:val="00AD0205"/>
    <w:rsid w:val="00AD05FA"/>
    <w:rsid w:val="00AD1942"/>
    <w:rsid w:val="00AD2A9B"/>
    <w:rsid w:val="00AD3075"/>
    <w:rsid w:val="00AD319E"/>
    <w:rsid w:val="00AD3576"/>
    <w:rsid w:val="00AD3BBA"/>
    <w:rsid w:val="00AD4A9F"/>
    <w:rsid w:val="00AD629E"/>
    <w:rsid w:val="00AD64A3"/>
    <w:rsid w:val="00AD680A"/>
    <w:rsid w:val="00AD7008"/>
    <w:rsid w:val="00AE1134"/>
    <w:rsid w:val="00AE1329"/>
    <w:rsid w:val="00AE2570"/>
    <w:rsid w:val="00AE3406"/>
    <w:rsid w:val="00AE35EB"/>
    <w:rsid w:val="00AE44B2"/>
    <w:rsid w:val="00AF04F8"/>
    <w:rsid w:val="00AF1576"/>
    <w:rsid w:val="00AF1BE7"/>
    <w:rsid w:val="00AF3168"/>
    <w:rsid w:val="00AF4725"/>
    <w:rsid w:val="00AF6B1D"/>
    <w:rsid w:val="00B00E88"/>
    <w:rsid w:val="00B00F11"/>
    <w:rsid w:val="00B0236F"/>
    <w:rsid w:val="00B02AFB"/>
    <w:rsid w:val="00B03595"/>
    <w:rsid w:val="00B04496"/>
    <w:rsid w:val="00B0468F"/>
    <w:rsid w:val="00B0565A"/>
    <w:rsid w:val="00B06BF5"/>
    <w:rsid w:val="00B07CBB"/>
    <w:rsid w:val="00B07E4C"/>
    <w:rsid w:val="00B104EF"/>
    <w:rsid w:val="00B11A42"/>
    <w:rsid w:val="00B14719"/>
    <w:rsid w:val="00B15720"/>
    <w:rsid w:val="00B17DA9"/>
    <w:rsid w:val="00B20754"/>
    <w:rsid w:val="00B20964"/>
    <w:rsid w:val="00B21742"/>
    <w:rsid w:val="00B21A86"/>
    <w:rsid w:val="00B22A9C"/>
    <w:rsid w:val="00B23363"/>
    <w:rsid w:val="00B23FA2"/>
    <w:rsid w:val="00B2400E"/>
    <w:rsid w:val="00B24041"/>
    <w:rsid w:val="00B2411F"/>
    <w:rsid w:val="00B2412B"/>
    <w:rsid w:val="00B24703"/>
    <w:rsid w:val="00B2559D"/>
    <w:rsid w:val="00B2623B"/>
    <w:rsid w:val="00B26930"/>
    <w:rsid w:val="00B270B9"/>
    <w:rsid w:val="00B27B3C"/>
    <w:rsid w:val="00B27F9E"/>
    <w:rsid w:val="00B3245E"/>
    <w:rsid w:val="00B3280D"/>
    <w:rsid w:val="00B33663"/>
    <w:rsid w:val="00B345AF"/>
    <w:rsid w:val="00B34B32"/>
    <w:rsid w:val="00B35573"/>
    <w:rsid w:val="00B3643B"/>
    <w:rsid w:val="00B3791C"/>
    <w:rsid w:val="00B412C9"/>
    <w:rsid w:val="00B41440"/>
    <w:rsid w:val="00B4184A"/>
    <w:rsid w:val="00B41C01"/>
    <w:rsid w:val="00B424BA"/>
    <w:rsid w:val="00B42F87"/>
    <w:rsid w:val="00B43235"/>
    <w:rsid w:val="00B43B4D"/>
    <w:rsid w:val="00B4400E"/>
    <w:rsid w:val="00B4406D"/>
    <w:rsid w:val="00B46390"/>
    <w:rsid w:val="00B50974"/>
    <w:rsid w:val="00B51369"/>
    <w:rsid w:val="00B52217"/>
    <w:rsid w:val="00B54A87"/>
    <w:rsid w:val="00B570C6"/>
    <w:rsid w:val="00B571A5"/>
    <w:rsid w:val="00B60607"/>
    <w:rsid w:val="00B61375"/>
    <w:rsid w:val="00B61962"/>
    <w:rsid w:val="00B619A9"/>
    <w:rsid w:val="00B62BA4"/>
    <w:rsid w:val="00B631B9"/>
    <w:rsid w:val="00B635F0"/>
    <w:rsid w:val="00B6445C"/>
    <w:rsid w:val="00B6485A"/>
    <w:rsid w:val="00B657BB"/>
    <w:rsid w:val="00B65816"/>
    <w:rsid w:val="00B6710B"/>
    <w:rsid w:val="00B678D7"/>
    <w:rsid w:val="00B72144"/>
    <w:rsid w:val="00B732A7"/>
    <w:rsid w:val="00B7355E"/>
    <w:rsid w:val="00B746AA"/>
    <w:rsid w:val="00B7479D"/>
    <w:rsid w:val="00B74A09"/>
    <w:rsid w:val="00B7558C"/>
    <w:rsid w:val="00B76146"/>
    <w:rsid w:val="00B7622A"/>
    <w:rsid w:val="00B766A8"/>
    <w:rsid w:val="00B76F8D"/>
    <w:rsid w:val="00B77299"/>
    <w:rsid w:val="00B7750A"/>
    <w:rsid w:val="00B8009E"/>
    <w:rsid w:val="00B80521"/>
    <w:rsid w:val="00B818AB"/>
    <w:rsid w:val="00B8195D"/>
    <w:rsid w:val="00B8229E"/>
    <w:rsid w:val="00B82437"/>
    <w:rsid w:val="00B82AFB"/>
    <w:rsid w:val="00B8401B"/>
    <w:rsid w:val="00B8410B"/>
    <w:rsid w:val="00B84A41"/>
    <w:rsid w:val="00B8507B"/>
    <w:rsid w:val="00B85661"/>
    <w:rsid w:val="00B85EFA"/>
    <w:rsid w:val="00B85FBB"/>
    <w:rsid w:val="00B87925"/>
    <w:rsid w:val="00B87AC0"/>
    <w:rsid w:val="00B91556"/>
    <w:rsid w:val="00B91F55"/>
    <w:rsid w:val="00B9213B"/>
    <w:rsid w:val="00B94377"/>
    <w:rsid w:val="00B94E7A"/>
    <w:rsid w:val="00B95942"/>
    <w:rsid w:val="00B96044"/>
    <w:rsid w:val="00B96491"/>
    <w:rsid w:val="00B97F10"/>
    <w:rsid w:val="00BA05B7"/>
    <w:rsid w:val="00BA0D24"/>
    <w:rsid w:val="00BA161A"/>
    <w:rsid w:val="00BA24E5"/>
    <w:rsid w:val="00BA26D2"/>
    <w:rsid w:val="00BA366D"/>
    <w:rsid w:val="00BA46B4"/>
    <w:rsid w:val="00BA6F33"/>
    <w:rsid w:val="00BA7A06"/>
    <w:rsid w:val="00BA7C98"/>
    <w:rsid w:val="00BB0486"/>
    <w:rsid w:val="00BB1D35"/>
    <w:rsid w:val="00BB2A94"/>
    <w:rsid w:val="00BB2C79"/>
    <w:rsid w:val="00BB3435"/>
    <w:rsid w:val="00BB36A3"/>
    <w:rsid w:val="00BB3FFE"/>
    <w:rsid w:val="00BB46BD"/>
    <w:rsid w:val="00BB5432"/>
    <w:rsid w:val="00BB6ED8"/>
    <w:rsid w:val="00BB7029"/>
    <w:rsid w:val="00BB73DD"/>
    <w:rsid w:val="00BB7F21"/>
    <w:rsid w:val="00BC10D0"/>
    <w:rsid w:val="00BC1635"/>
    <w:rsid w:val="00BC24E0"/>
    <w:rsid w:val="00BC453C"/>
    <w:rsid w:val="00BC458B"/>
    <w:rsid w:val="00BC4B9B"/>
    <w:rsid w:val="00BC4F45"/>
    <w:rsid w:val="00BC5CB9"/>
    <w:rsid w:val="00BD0720"/>
    <w:rsid w:val="00BD2240"/>
    <w:rsid w:val="00BD2EC7"/>
    <w:rsid w:val="00BD46E0"/>
    <w:rsid w:val="00BD46F0"/>
    <w:rsid w:val="00BD4939"/>
    <w:rsid w:val="00BD6F57"/>
    <w:rsid w:val="00BD7C26"/>
    <w:rsid w:val="00BD7C76"/>
    <w:rsid w:val="00BE0633"/>
    <w:rsid w:val="00BE0838"/>
    <w:rsid w:val="00BE09E6"/>
    <w:rsid w:val="00BE111F"/>
    <w:rsid w:val="00BE276B"/>
    <w:rsid w:val="00BE2816"/>
    <w:rsid w:val="00BE499A"/>
    <w:rsid w:val="00BE50FE"/>
    <w:rsid w:val="00BE5B70"/>
    <w:rsid w:val="00BE73D3"/>
    <w:rsid w:val="00BF0BC5"/>
    <w:rsid w:val="00BF0ECE"/>
    <w:rsid w:val="00BF14B3"/>
    <w:rsid w:val="00BF1B99"/>
    <w:rsid w:val="00BF28AB"/>
    <w:rsid w:val="00BF3A59"/>
    <w:rsid w:val="00BF45F4"/>
    <w:rsid w:val="00BF4B88"/>
    <w:rsid w:val="00BF532A"/>
    <w:rsid w:val="00BF55BE"/>
    <w:rsid w:val="00BF7851"/>
    <w:rsid w:val="00BF7F8D"/>
    <w:rsid w:val="00C0042A"/>
    <w:rsid w:val="00C01AB4"/>
    <w:rsid w:val="00C01DF2"/>
    <w:rsid w:val="00C021D0"/>
    <w:rsid w:val="00C02611"/>
    <w:rsid w:val="00C0305D"/>
    <w:rsid w:val="00C04284"/>
    <w:rsid w:val="00C07728"/>
    <w:rsid w:val="00C07ECD"/>
    <w:rsid w:val="00C12D20"/>
    <w:rsid w:val="00C1350B"/>
    <w:rsid w:val="00C13B05"/>
    <w:rsid w:val="00C14031"/>
    <w:rsid w:val="00C15B99"/>
    <w:rsid w:val="00C2003B"/>
    <w:rsid w:val="00C20DD2"/>
    <w:rsid w:val="00C20E82"/>
    <w:rsid w:val="00C21360"/>
    <w:rsid w:val="00C2341C"/>
    <w:rsid w:val="00C24D43"/>
    <w:rsid w:val="00C24FBD"/>
    <w:rsid w:val="00C24FEB"/>
    <w:rsid w:val="00C254FF"/>
    <w:rsid w:val="00C25B40"/>
    <w:rsid w:val="00C273E5"/>
    <w:rsid w:val="00C27583"/>
    <w:rsid w:val="00C3232A"/>
    <w:rsid w:val="00C330E2"/>
    <w:rsid w:val="00C33492"/>
    <w:rsid w:val="00C33FB8"/>
    <w:rsid w:val="00C340E0"/>
    <w:rsid w:val="00C34847"/>
    <w:rsid w:val="00C34DA8"/>
    <w:rsid w:val="00C350DB"/>
    <w:rsid w:val="00C37538"/>
    <w:rsid w:val="00C378A5"/>
    <w:rsid w:val="00C37957"/>
    <w:rsid w:val="00C37F31"/>
    <w:rsid w:val="00C40CC2"/>
    <w:rsid w:val="00C40FBB"/>
    <w:rsid w:val="00C416FD"/>
    <w:rsid w:val="00C41C25"/>
    <w:rsid w:val="00C428AD"/>
    <w:rsid w:val="00C428DC"/>
    <w:rsid w:val="00C430E8"/>
    <w:rsid w:val="00C43355"/>
    <w:rsid w:val="00C43ACE"/>
    <w:rsid w:val="00C44025"/>
    <w:rsid w:val="00C4630C"/>
    <w:rsid w:val="00C46819"/>
    <w:rsid w:val="00C471DE"/>
    <w:rsid w:val="00C47491"/>
    <w:rsid w:val="00C503E7"/>
    <w:rsid w:val="00C50BE2"/>
    <w:rsid w:val="00C51328"/>
    <w:rsid w:val="00C51B8B"/>
    <w:rsid w:val="00C52E66"/>
    <w:rsid w:val="00C53911"/>
    <w:rsid w:val="00C54283"/>
    <w:rsid w:val="00C548C3"/>
    <w:rsid w:val="00C55C53"/>
    <w:rsid w:val="00C60E57"/>
    <w:rsid w:val="00C623DC"/>
    <w:rsid w:val="00C6246D"/>
    <w:rsid w:val="00C62FCE"/>
    <w:rsid w:val="00C63200"/>
    <w:rsid w:val="00C634B3"/>
    <w:rsid w:val="00C64642"/>
    <w:rsid w:val="00C64BDF"/>
    <w:rsid w:val="00C64E06"/>
    <w:rsid w:val="00C65463"/>
    <w:rsid w:val="00C65D85"/>
    <w:rsid w:val="00C66C07"/>
    <w:rsid w:val="00C725C0"/>
    <w:rsid w:val="00C72A99"/>
    <w:rsid w:val="00C72B69"/>
    <w:rsid w:val="00C72DE3"/>
    <w:rsid w:val="00C73817"/>
    <w:rsid w:val="00C73E0A"/>
    <w:rsid w:val="00C7452E"/>
    <w:rsid w:val="00C75114"/>
    <w:rsid w:val="00C76650"/>
    <w:rsid w:val="00C768EC"/>
    <w:rsid w:val="00C80F06"/>
    <w:rsid w:val="00C82DAA"/>
    <w:rsid w:val="00C84911"/>
    <w:rsid w:val="00C85A73"/>
    <w:rsid w:val="00C86038"/>
    <w:rsid w:val="00C8678F"/>
    <w:rsid w:val="00C86C6F"/>
    <w:rsid w:val="00C90341"/>
    <w:rsid w:val="00C904C9"/>
    <w:rsid w:val="00C9171F"/>
    <w:rsid w:val="00C92761"/>
    <w:rsid w:val="00C93086"/>
    <w:rsid w:val="00C95C67"/>
    <w:rsid w:val="00C96808"/>
    <w:rsid w:val="00CA1632"/>
    <w:rsid w:val="00CA3A27"/>
    <w:rsid w:val="00CA43F6"/>
    <w:rsid w:val="00CA484E"/>
    <w:rsid w:val="00CA4E20"/>
    <w:rsid w:val="00CA501D"/>
    <w:rsid w:val="00CA5022"/>
    <w:rsid w:val="00CA53E4"/>
    <w:rsid w:val="00CA77CA"/>
    <w:rsid w:val="00CA7D91"/>
    <w:rsid w:val="00CB22B9"/>
    <w:rsid w:val="00CB29F4"/>
    <w:rsid w:val="00CB36CF"/>
    <w:rsid w:val="00CB39BF"/>
    <w:rsid w:val="00CB4B45"/>
    <w:rsid w:val="00CB4FE2"/>
    <w:rsid w:val="00CB562F"/>
    <w:rsid w:val="00CB6FFD"/>
    <w:rsid w:val="00CB71DA"/>
    <w:rsid w:val="00CC2BE1"/>
    <w:rsid w:val="00CC4AFF"/>
    <w:rsid w:val="00CC5156"/>
    <w:rsid w:val="00CC5BAC"/>
    <w:rsid w:val="00CC5D85"/>
    <w:rsid w:val="00CC76C3"/>
    <w:rsid w:val="00CC7701"/>
    <w:rsid w:val="00CD06F5"/>
    <w:rsid w:val="00CD17D7"/>
    <w:rsid w:val="00CD1C4E"/>
    <w:rsid w:val="00CD20DE"/>
    <w:rsid w:val="00CD2797"/>
    <w:rsid w:val="00CD5777"/>
    <w:rsid w:val="00CD59DC"/>
    <w:rsid w:val="00CD77AA"/>
    <w:rsid w:val="00CD78F3"/>
    <w:rsid w:val="00CE026E"/>
    <w:rsid w:val="00CE046A"/>
    <w:rsid w:val="00CE0558"/>
    <w:rsid w:val="00CE0654"/>
    <w:rsid w:val="00CE387F"/>
    <w:rsid w:val="00CE5598"/>
    <w:rsid w:val="00CF2207"/>
    <w:rsid w:val="00CF3351"/>
    <w:rsid w:val="00CF3A6C"/>
    <w:rsid w:val="00CF4499"/>
    <w:rsid w:val="00CF45E8"/>
    <w:rsid w:val="00CF7254"/>
    <w:rsid w:val="00CF73CB"/>
    <w:rsid w:val="00CF7F39"/>
    <w:rsid w:val="00CF7FF3"/>
    <w:rsid w:val="00D02068"/>
    <w:rsid w:val="00D0334A"/>
    <w:rsid w:val="00D038A7"/>
    <w:rsid w:val="00D03EAD"/>
    <w:rsid w:val="00D04951"/>
    <w:rsid w:val="00D05B51"/>
    <w:rsid w:val="00D05E3F"/>
    <w:rsid w:val="00D06C70"/>
    <w:rsid w:val="00D06DDF"/>
    <w:rsid w:val="00D07792"/>
    <w:rsid w:val="00D07C36"/>
    <w:rsid w:val="00D111B0"/>
    <w:rsid w:val="00D12E68"/>
    <w:rsid w:val="00D15EE2"/>
    <w:rsid w:val="00D20481"/>
    <w:rsid w:val="00D2153B"/>
    <w:rsid w:val="00D2226B"/>
    <w:rsid w:val="00D2241D"/>
    <w:rsid w:val="00D22A39"/>
    <w:rsid w:val="00D24C43"/>
    <w:rsid w:val="00D24DD8"/>
    <w:rsid w:val="00D263BE"/>
    <w:rsid w:val="00D26F64"/>
    <w:rsid w:val="00D310AE"/>
    <w:rsid w:val="00D3237C"/>
    <w:rsid w:val="00D326E7"/>
    <w:rsid w:val="00D33F37"/>
    <w:rsid w:val="00D34EB7"/>
    <w:rsid w:val="00D35618"/>
    <w:rsid w:val="00D36861"/>
    <w:rsid w:val="00D37B61"/>
    <w:rsid w:val="00D40361"/>
    <w:rsid w:val="00D414BC"/>
    <w:rsid w:val="00D4279F"/>
    <w:rsid w:val="00D42D39"/>
    <w:rsid w:val="00D42E93"/>
    <w:rsid w:val="00D437E2"/>
    <w:rsid w:val="00D44357"/>
    <w:rsid w:val="00D44C34"/>
    <w:rsid w:val="00D462C9"/>
    <w:rsid w:val="00D471E0"/>
    <w:rsid w:val="00D47285"/>
    <w:rsid w:val="00D500DB"/>
    <w:rsid w:val="00D516C0"/>
    <w:rsid w:val="00D529A9"/>
    <w:rsid w:val="00D53493"/>
    <w:rsid w:val="00D54356"/>
    <w:rsid w:val="00D54AC7"/>
    <w:rsid w:val="00D5586A"/>
    <w:rsid w:val="00D56483"/>
    <w:rsid w:val="00D56C44"/>
    <w:rsid w:val="00D5737E"/>
    <w:rsid w:val="00D57BB0"/>
    <w:rsid w:val="00D6053E"/>
    <w:rsid w:val="00D60B4F"/>
    <w:rsid w:val="00D6156F"/>
    <w:rsid w:val="00D630AE"/>
    <w:rsid w:val="00D6373A"/>
    <w:rsid w:val="00D63AB0"/>
    <w:rsid w:val="00D65382"/>
    <w:rsid w:val="00D66771"/>
    <w:rsid w:val="00D679CC"/>
    <w:rsid w:val="00D70FF9"/>
    <w:rsid w:val="00D7352D"/>
    <w:rsid w:val="00D74813"/>
    <w:rsid w:val="00D758EC"/>
    <w:rsid w:val="00D76BA8"/>
    <w:rsid w:val="00D76CD1"/>
    <w:rsid w:val="00D77171"/>
    <w:rsid w:val="00D773E2"/>
    <w:rsid w:val="00D77862"/>
    <w:rsid w:val="00D80FCC"/>
    <w:rsid w:val="00D820B6"/>
    <w:rsid w:val="00D825D9"/>
    <w:rsid w:val="00D8406F"/>
    <w:rsid w:val="00D843A3"/>
    <w:rsid w:val="00D850C9"/>
    <w:rsid w:val="00D85967"/>
    <w:rsid w:val="00D86DF2"/>
    <w:rsid w:val="00D87944"/>
    <w:rsid w:val="00D90503"/>
    <w:rsid w:val="00D90F76"/>
    <w:rsid w:val="00D926ED"/>
    <w:rsid w:val="00D95581"/>
    <w:rsid w:val="00D95615"/>
    <w:rsid w:val="00DA017F"/>
    <w:rsid w:val="00DA0F8D"/>
    <w:rsid w:val="00DA2D39"/>
    <w:rsid w:val="00DA2FEE"/>
    <w:rsid w:val="00DA36FF"/>
    <w:rsid w:val="00DA3CB3"/>
    <w:rsid w:val="00DA4675"/>
    <w:rsid w:val="00DA62B6"/>
    <w:rsid w:val="00DA7391"/>
    <w:rsid w:val="00DB03C0"/>
    <w:rsid w:val="00DB04B3"/>
    <w:rsid w:val="00DB05ED"/>
    <w:rsid w:val="00DB06E4"/>
    <w:rsid w:val="00DB1720"/>
    <w:rsid w:val="00DB2B07"/>
    <w:rsid w:val="00DB3A17"/>
    <w:rsid w:val="00DB4275"/>
    <w:rsid w:val="00DB438B"/>
    <w:rsid w:val="00DB551C"/>
    <w:rsid w:val="00DB5C1E"/>
    <w:rsid w:val="00DB5DEC"/>
    <w:rsid w:val="00DB71A6"/>
    <w:rsid w:val="00DB7EB8"/>
    <w:rsid w:val="00DC04E2"/>
    <w:rsid w:val="00DC1B92"/>
    <w:rsid w:val="00DC1E03"/>
    <w:rsid w:val="00DC1F88"/>
    <w:rsid w:val="00DC3199"/>
    <w:rsid w:val="00DC374A"/>
    <w:rsid w:val="00DC58B8"/>
    <w:rsid w:val="00DC5C3F"/>
    <w:rsid w:val="00DC6207"/>
    <w:rsid w:val="00DC6DF6"/>
    <w:rsid w:val="00DC72DD"/>
    <w:rsid w:val="00DC7E37"/>
    <w:rsid w:val="00DD02DC"/>
    <w:rsid w:val="00DD365C"/>
    <w:rsid w:val="00DD6A84"/>
    <w:rsid w:val="00DD707B"/>
    <w:rsid w:val="00DE0996"/>
    <w:rsid w:val="00DE0A01"/>
    <w:rsid w:val="00DE1D22"/>
    <w:rsid w:val="00DE1FF9"/>
    <w:rsid w:val="00DE626C"/>
    <w:rsid w:val="00DE6440"/>
    <w:rsid w:val="00DF1929"/>
    <w:rsid w:val="00DF3752"/>
    <w:rsid w:val="00DF43FB"/>
    <w:rsid w:val="00DF6626"/>
    <w:rsid w:val="00DF74F0"/>
    <w:rsid w:val="00E0145A"/>
    <w:rsid w:val="00E0185C"/>
    <w:rsid w:val="00E0240E"/>
    <w:rsid w:val="00E02C08"/>
    <w:rsid w:val="00E03A73"/>
    <w:rsid w:val="00E0532B"/>
    <w:rsid w:val="00E06138"/>
    <w:rsid w:val="00E06867"/>
    <w:rsid w:val="00E076CB"/>
    <w:rsid w:val="00E10DBD"/>
    <w:rsid w:val="00E124C4"/>
    <w:rsid w:val="00E12E4F"/>
    <w:rsid w:val="00E13BB2"/>
    <w:rsid w:val="00E13F2E"/>
    <w:rsid w:val="00E15205"/>
    <w:rsid w:val="00E15783"/>
    <w:rsid w:val="00E15937"/>
    <w:rsid w:val="00E227C5"/>
    <w:rsid w:val="00E23132"/>
    <w:rsid w:val="00E233A8"/>
    <w:rsid w:val="00E25A30"/>
    <w:rsid w:val="00E26B66"/>
    <w:rsid w:val="00E26E4C"/>
    <w:rsid w:val="00E30D49"/>
    <w:rsid w:val="00E32DCA"/>
    <w:rsid w:val="00E33506"/>
    <w:rsid w:val="00E350FA"/>
    <w:rsid w:val="00E353E7"/>
    <w:rsid w:val="00E35519"/>
    <w:rsid w:val="00E36137"/>
    <w:rsid w:val="00E40058"/>
    <w:rsid w:val="00E4137C"/>
    <w:rsid w:val="00E418E4"/>
    <w:rsid w:val="00E438A7"/>
    <w:rsid w:val="00E43CEB"/>
    <w:rsid w:val="00E4500B"/>
    <w:rsid w:val="00E451BA"/>
    <w:rsid w:val="00E452C0"/>
    <w:rsid w:val="00E452F2"/>
    <w:rsid w:val="00E47AD9"/>
    <w:rsid w:val="00E51DCB"/>
    <w:rsid w:val="00E522E2"/>
    <w:rsid w:val="00E535E4"/>
    <w:rsid w:val="00E536EC"/>
    <w:rsid w:val="00E54A74"/>
    <w:rsid w:val="00E54F0C"/>
    <w:rsid w:val="00E5576A"/>
    <w:rsid w:val="00E55C77"/>
    <w:rsid w:val="00E56635"/>
    <w:rsid w:val="00E5745B"/>
    <w:rsid w:val="00E576B1"/>
    <w:rsid w:val="00E606F0"/>
    <w:rsid w:val="00E61071"/>
    <w:rsid w:val="00E62C81"/>
    <w:rsid w:val="00E65559"/>
    <w:rsid w:val="00E65564"/>
    <w:rsid w:val="00E6604A"/>
    <w:rsid w:val="00E67517"/>
    <w:rsid w:val="00E678C4"/>
    <w:rsid w:val="00E7175B"/>
    <w:rsid w:val="00E7389F"/>
    <w:rsid w:val="00E73949"/>
    <w:rsid w:val="00E739C2"/>
    <w:rsid w:val="00E73BB1"/>
    <w:rsid w:val="00E7566C"/>
    <w:rsid w:val="00E75FC6"/>
    <w:rsid w:val="00E76907"/>
    <w:rsid w:val="00E8020B"/>
    <w:rsid w:val="00E80218"/>
    <w:rsid w:val="00E80CE9"/>
    <w:rsid w:val="00E83D7A"/>
    <w:rsid w:val="00E84ED8"/>
    <w:rsid w:val="00E86E24"/>
    <w:rsid w:val="00E8776B"/>
    <w:rsid w:val="00E90511"/>
    <w:rsid w:val="00E915DE"/>
    <w:rsid w:val="00E915FF"/>
    <w:rsid w:val="00E917C5"/>
    <w:rsid w:val="00E95200"/>
    <w:rsid w:val="00E958FB"/>
    <w:rsid w:val="00E95A8A"/>
    <w:rsid w:val="00E96213"/>
    <w:rsid w:val="00E967A1"/>
    <w:rsid w:val="00EA1790"/>
    <w:rsid w:val="00EA1A52"/>
    <w:rsid w:val="00EA3CA0"/>
    <w:rsid w:val="00EA4A19"/>
    <w:rsid w:val="00EA5B2E"/>
    <w:rsid w:val="00EA6B4B"/>
    <w:rsid w:val="00EA74DA"/>
    <w:rsid w:val="00EA77AF"/>
    <w:rsid w:val="00EB0FAF"/>
    <w:rsid w:val="00EB4F2E"/>
    <w:rsid w:val="00EB5535"/>
    <w:rsid w:val="00EB5BB2"/>
    <w:rsid w:val="00EB78B2"/>
    <w:rsid w:val="00EC05DC"/>
    <w:rsid w:val="00EC0C47"/>
    <w:rsid w:val="00EC13B9"/>
    <w:rsid w:val="00ED1D0A"/>
    <w:rsid w:val="00ED2D96"/>
    <w:rsid w:val="00ED3047"/>
    <w:rsid w:val="00ED3240"/>
    <w:rsid w:val="00ED4919"/>
    <w:rsid w:val="00ED4D97"/>
    <w:rsid w:val="00ED5598"/>
    <w:rsid w:val="00ED5D86"/>
    <w:rsid w:val="00ED6739"/>
    <w:rsid w:val="00EE038D"/>
    <w:rsid w:val="00EE0808"/>
    <w:rsid w:val="00EE17B7"/>
    <w:rsid w:val="00EE1E8C"/>
    <w:rsid w:val="00EE3DA3"/>
    <w:rsid w:val="00EE59C2"/>
    <w:rsid w:val="00EE785C"/>
    <w:rsid w:val="00EE7E11"/>
    <w:rsid w:val="00EF292F"/>
    <w:rsid w:val="00EF33E5"/>
    <w:rsid w:val="00EF340C"/>
    <w:rsid w:val="00EF3859"/>
    <w:rsid w:val="00EF3994"/>
    <w:rsid w:val="00EF4A5A"/>
    <w:rsid w:val="00EF4B5B"/>
    <w:rsid w:val="00EF6ADA"/>
    <w:rsid w:val="00EF7802"/>
    <w:rsid w:val="00F0183E"/>
    <w:rsid w:val="00F06333"/>
    <w:rsid w:val="00F07915"/>
    <w:rsid w:val="00F10421"/>
    <w:rsid w:val="00F10907"/>
    <w:rsid w:val="00F11A36"/>
    <w:rsid w:val="00F11F23"/>
    <w:rsid w:val="00F15449"/>
    <w:rsid w:val="00F2018F"/>
    <w:rsid w:val="00F207B4"/>
    <w:rsid w:val="00F20CC8"/>
    <w:rsid w:val="00F216BA"/>
    <w:rsid w:val="00F21A50"/>
    <w:rsid w:val="00F21F37"/>
    <w:rsid w:val="00F22BD5"/>
    <w:rsid w:val="00F233C6"/>
    <w:rsid w:val="00F2598E"/>
    <w:rsid w:val="00F2699F"/>
    <w:rsid w:val="00F27FEC"/>
    <w:rsid w:val="00F30969"/>
    <w:rsid w:val="00F30B5A"/>
    <w:rsid w:val="00F3117E"/>
    <w:rsid w:val="00F3183E"/>
    <w:rsid w:val="00F318DC"/>
    <w:rsid w:val="00F32959"/>
    <w:rsid w:val="00F3341F"/>
    <w:rsid w:val="00F3377F"/>
    <w:rsid w:val="00F33F91"/>
    <w:rsid w:val="00F35209"/>
    <w:rsid w:val="00F35217"/>
    <w:rsid w:val="00F370D3"/>
    <w:rsid w:val="00F37F6A"/>
    <w:rsid w:val="00F40675"/>
    <w:rsid w:val="00F4091F"/>
    <w:rsid w:val="00F409F3"/>
    <w:rsid w:val="00F41056"/>
    <w:rsid w:val="00F41427"/>
    <w:rsid w:val="00F42C3F"/>
    <w:rsid w:val="00F42D17"/>
    <w:rsid w:val="00F42FD8"/>
    <w:rsid w:val="00F44BD9"/>
    <w:rsid w:val="00F44DE9"/>
    <w:rsid w:val="00F44EA5"/>
    <w:rsid w:val="00F461E4"/>
    <w:rsid w:val="00F46664"/>
    <w:rsid w:val="00F47589"/>
    <w:rsid w:val="00F507B6"/>
    <w:rsid w:val="00F51BC9"/>
    <w:rsid w:val="00F53408"/>
    <w:rsid w:val="00F5548D"/>
    <w:rsid w:val="00F56288"/>
    <w:rsid w:val="00F56C2C"/>
    <w:rsid w:val="00F605AD"/>
    <w:rsid w:val="00F61557"/>
    <w:rsid w:val="00F6443B"/>
    <w:rsid w:val="00F64F1F"/>
    <w:rsid w:val="00F6654A"/>
    <w:rsid w:val="00F72E3B"/>
    <w:rsid w:val="00F74135"/>
    <w:rsid w:val="00F756F0"/>
    <w:rsid w:val="00F75E46"/>
    <w:rsid w:val="00F76439"/>
    <w:rsid w:val="00F80DBE"/>
    <w:rsid w:val="00F8226D"/>
    <w:rsid w:val="00F82715"/>
    <w:rsid w:val="00F82AA6"/>
    <w:rsid w:val="00F83821"/>
    <w:rsid w:val="00F850F4"/>
    <w:rsid w:val="00F8529A"/>
    <w:rsid w:val="00F85923"/>
    <w:rsid w:val="00F865D3"/>
    <w:rsid w:val="00F9041C"/>
    <w:rsid w:val="00F9131A"/>
    <w:rsid w:val="00F91504"/>
    <w:rsid w:val="00F93B0B"/>
    <w:rsid w:val="00F94669"/>
    <w:rsid w:val="00F952AD"/>
    <w:rsid w:val="00F968D4"/>
    <w:rsid w:val="00F979A9"/>
    <w:rsid w:val="00FA0FFB"/>
    <w:rsid w:val="00FA1466"/>
    <w:rsid w:val="00FA1EF8"/>
    <w:rsid w:val="00FA29C8"/>
    <w:rsid w:val="00FA549E"/>
    <w:rsid w:val="00FA6711"/>
    <w:rsid w:val="00FA7335"/>
    <w:rsid w:val="00FA7634"/>
    <w:rsid w:val="00FA7773"/>
    <w:rsid w:val="00FA7A15"/>
    <w:rsid w:val="00FB4230"/>
    <w:rsid w:val="00FB4A70"/>
    <w:rsid w:val="00FB6372"/>
    <w:rsid w:val="00FC025A"/>
    <w:rsid w:val="00FC2B53"/>
    <w:rsid w:val="00FC31C8"/>
    <w:rsid w:val="00FC417F"/>
    <w:rsid w:val="00FC41F4"/>
    <w:rsid w:val="00FC4850"/>
    <w:rsid w:val="00FC49E2"/>
    <w:rsid w:val="00FC6B9E"/>
    <w:rsid w:val="00FD125C"/>
    <w:rsid w:val="00FD44AB"/>
    <w:rsid w:val="00FD7455"/>
    <w:rsid w:val="00FD7E73"/>
    <w:rsid w:val="00FE08A1"/>
    <w:rsid w:val="00FE1DF4"/>
    <w:rsid w:val="00FE1F01"/>
    <w:rsid w:val="00FE1F72"/>
    <w:rsid w:val="00FE1FB4"/>
    <w:rsid w:val="00FE473B"/>
    <w:rsid w:val="00FE50F8"/>
    <w:rsid w:val="00FE6DE2"/>
    <w:rsid w:val="00FF066F"/>
    <w:rsid w:val="00FF0721"/>
    <w:rsid w:val="00FF2822"/>
    <w:rsid w:val="00FF29B1"/>
    <w:rsid w:val="00FF29EC"/>
    <w:rsid w:val="00FF3287"/>
    <w:rsid w:val="00FF4C91"/>
    <w:rsid w:val="00FF5380"/>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5F128"/>
  <w15:docId w15:val="{DB839366-E243-4AF0-B491-1606AF05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Термины"/>
    <w:qFormat/>
    <w:rsid w:val="00323A11"/>
    <w:pPr>
      <w:spacing w:line="360" w:lineRule="auto"/>
      <w:ind w:firstLine="709"/>
      <w:jc w:val="both"/>
    </w:pPr>
    <w:rPr>
      <w:rFonts w:ascii="Times New Roman" w:hAnsi="Times New Roman"/>
      <w:sz w:val="24"/>
      <w:lang w:eastAsia="en-US"/>
    </w:rPr>
  </w:style>
  <w:style w:type="paragraph" w:styleId="10">
    <w:name w:val="heading 1"/>
    <w:basedOn w:val="a1"/>
    <w:link w:val="11"/>
    <w:uiPriority w:val="99"/>
    <w:qFormat/>
    <w:rsid w:val="00C01DF2"/>
  </w:style>
  <w:style w:type="paragraph" w:styleId="2">
    <w:name w:val="heading 2"/>
    <w:aliases w:val="Наим. подраздела"/>
    <w:basedOn w:val="a2"/>
    <w:link w:val="20"/>
    <w:uiPriority w:val="99"/>
    <w:qFormat/>
    <w:rsid w:val="002F7719"/>
    <w:pPr>
      <w:outlineLvl w:val="1"/>
    </w:pPr>
  </w:style>
  <w:style w:type="paragraph" w:styleId="3">
    <w:name w:val="heading 3"/>
    <w:basedOn w:val="a0"/>
    <w:next w:val="a0"/>
    <w:link w:val="30"/>
    <w:unhideWhenUsed/>
    <w:qFormat/>
    <w:locked/>
    <w:rsid w:val="00AD2A9B"/>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0"/>
    <w:next w:val="a0"/>
    <w:link w:val="40"/>
    <w:unhideWhenUsed/>
    <w:qFormat/>
    <w:locked/>
    <w:rsid w:val="00F852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locked/>
    <w:rsid w:val="00C01DF2"/>
    <w:rPr>
      <w:rFonts w:ascii="Times New Roman" w:hAnsi="Times New Roman"/>
      <w:b/>
      <w:sz w:val="28"/>
      <w:lang w:eastAsia="en-US"/>
    </w:rPr>
  </w:style>
  <w:style w:type="character" w:customStyle="1" w:styleId="20">
    <w:name w:val="Заголовок 2 Знак"/>
    <w:aliases w:val="Наим. подраздела Знак"/>
    <w:basedOn w:val="a3"/>
    <w:link w:val="2"/>
    <w:uiPriority w:val="99"/>
    <w:locked/>
    <w:rsid w:val="002F7719"/>
    <w:rPr>
      <w:rFonts w:ascii="Times New Roman" w:hAnsi="Times New Roman" w:cs="Times New Roman"/>
      <w:b/>
      <w:sz w:val="24"/>
      <w:szCs w:val="24"/>
      <w:u w:val="single"/>
    </w:rPr>
  </w:style>
  <w:style w:type="character" w:customStyle="1" w:styleId="a6">
    <w:name w:val="Верхний колонтитул Знак"/>
    <w:basedOn w:val="a3"/>
    <w:uiPriority w:val="99"/>
    <w:rsid w:val="0090148A"/>
    <w:rPr>
      <w:rFonts w:cs="Times New Roman"/>
    </w:rPr>
  </w:style>
  <w:style w:type="character" w:customStyle="1" w:styleId="a7">
    <w:name w:val="Нижний колонтитул Знак"/>
    <w:basedOn w:val="a3"/>
    <w:uiPriority w:val="99"/>
    <w:rsid w:val="0090148A"/>
    <w:rPr>
      <w:rFonts w:cs="Times New Roman"/>
    </w:rPr>
  </w:style>
  <w:style w:type="character" w:customStyle="1" w:styleId="apple-converted-space">
    <w:name w:val="apple-converted-space"/>
    <w:basedOn w:val="a3"/>
    <w:rsid w:val="0090148A"/>
    <w:rPr>
      <w:rFonts w:cs="Times New Roman"/>
    </w:rPr>
  </w:style>
  <w:style w:type="character" w:customStyle="1" w:styleId="-">
    <w:name w:val="Интернет-ссылка"/>
    <w:basedOn w:val="a3"/>
    <w:uiPriority w:val="99"/>
    <w:rsid w:val="0090148A"/>
    <w:rPr>
      <w:rFonts w:cs="Times New Roman"/>
      <w:color w:val="0000FF"/>
      <w:u w:val="single"/>
    </w:rPr>
  </w:style>
  <w:style w:type="character" w:customStyle="1" w:styleId="a8">
    <w:name w:val="Текст выноски Знак"/>
    <w:basedOn w:val="a3"/>
    <w:uiPriority w:val="99"/>
    <w:semiHidden/>
    <w:rsid w:val="0090148A"/>
    <w:rPr>
      <w:rFonts w:ascii="Tahoma" w:hAnsi="Tahoma" w:cs="Tahoma"/>
      <w:sz w:val="16"/>
      <w:szCs w:val="16"/>
    </w:rPr>
  </w:style>
  <w:style w:type="character" w:customStyle="1" w:styleId="a9">
    <w:name w:val="Подзаголовок Знак"/>
    <w:basedOn w:val="a3"/>
    <w:uiPriority w:val="11"/>
    <w:rsid w:val="0090148A"/>
    <w:rPr>
      <w:rFonts w:ascii="Times New Roman" w:hAnsi="Times New Roman" w:cs="Times New Roman"/>
      <w:b/>
      <w:sz w:val="24"/>
      <w:szCs w:val="24"/>
      <w:u w:val="single"/>
    </w:rPr>
  </w:style>
  <w:style w:type="character" w:styleId="aa">
    <w:name w:val="Subtle Reference"/>
    <w:basedOn w:val="a3"/>
    <w:uiPriority w:val="99"/>
    <w:qFormat/>
    <w:rsid w:val="0090148A"/>
    <w:rPr>
      <w:rFonts w:ascii="Times New Roman" w:hAnsi="Times New Roman" w:cs="Times New Roman"/>
      <w:b/>
      <w:sz w:val="24"/>
    </w:rPr>
  </w:style>
  <w:style w:type="character" w:customStyle="1" w:styleId="ab">
    <w:name w:val="Абзац списка Знак"/>
    <w:basedOn w:val="a3"/>
    <w:uiPriority w:val="99"/>
    <w:rsid w:val="0090148A"/>
    <w:rPr>
      <w:rFonts w:cs="Times New Roman"/>
    </w:rPr>
  </w:style>
  <w:style w:type="character" w:customStyle="1" w:styleId="ac">
    <w:name w:val="Без интервала Знак"/>
    <w:basedOn w:val="ab"/>
    <w:uiPriority w:val="99"/>
    <w:rsid w:val="0090148A"/>
    <w:rPr>
      <w:rFonts w:ascii="Times New Roman" w:hAnsi="Times New Roman" w:cs="Times New Roman"/>
      <w:sz w:val="24"/>
      <w:szCs w:val="24"/>
    </w:rPr>
  </w:style>
  <w:style w:type="character" w:customStyle="1" w:styleId="ad">
    <w:name w:val="УД Знак"/>
    <w:basedOn w:val="ac"/>
    <w:uiPriority w:val="99"/>
    <w:rsid w:val="0090148A"/>
    <w:rPr>
      <w:rFonts w:ascii="Times New Roman" w:hAnsi="Times New Roman" w:cs="Times New Roman"/>
      <w:b/>
      <w:sz w:val="24"/>
      <w:szCs w:val="24"/>
    </w:rPr>
  </w:style>
  <w:style w:type="character" w:customStyle="1" w:styleId="ae">
    <w:name w:val="Ком Знак"/>
    <w:basedOn w:val="ab"/>
    <w:uiPriority w:val="99"/>
    <w:rsid w:val="0090148A"/>
    <w:rPr>
      <w:rFonts w:ascii="Times New Roman" w:hAnsi="Times New Roman" w:cs="Times New Roman"/>
      <w:i/>
      <w:sz w:val="24"/>
      <w:szCs w:val="24"/>
    </w:rPr>
  </w:style>
  <w:style w:type="character" w:styleId="af">
    <w:name w:val="annotation reference"/>
    <w:basedOn w:val="a3"/>
    <w:uiPriority w:val="99"/>
    <w:semiHidden/>
    <w:rsid w:val="0090148A"/>
    <w:rPr>
      <w:rFonts w:cs="Times New Roman"/>
      <w:sz w:val="16"/>
      <w:szCs w:val="16"/>
    </w:rPr>
  </w:style>
  <w:style w:type="character" w:customStyle="1" w:styleId="af0">
    <w:name w:val="Текст примечания Знак"/>
    <w:basedOn w:val="a3"/>
    <w:uiPriority w:val="99"/>
    <w:rsid w:val="0090148A"/>
    <w:rPr>
      <w:rFonts w:ascii="Times New Roman" w:hAnsi="Times New Roman" w:cs="Times New Roman"/>
      <w:sz w:val="20"/>
      <w:szCs w:val="20"/>
    </w:rPr>
  </w:style>
  <w:style w:type="character" w:customStyle="1" w:styleId="af1">
    <w:name w:val="Тема примечания Знак"/>
    <w:basedOn w:val="af0"/>
    <w:uiPriority w:val="99"/>
    <w:semiHidden/>
    <w:rsid w:val="0090148A"/>
    <w:rPr>
      <w:rFonts w:ascii="Times New Roman" w:hAnsi="Times New Roman" w:cs="Times New Roman"/>
      <w:b/>
      <w:bCs/>
      <w:sz w:val="20"/>
      <w:szCs w:val="20"/>
    </w:rPr>
  </w:style>
  <w:style w:type="character" w:customStyle="1" w:styleId="af2">
    <w:name w:val="Название Знак"/>
    <w:basedOn w:val="a3"/>
    <w:uiPriority w:val="99"/>
    <w:rsid w:val="0090148A"/>
    <w:rPr>
      <w:rFonts w:ascii="Times New Roman" w:hAnsi="Times New Roman" w:cs="Times New Roman"/>
      <w:spacing w:val="-10"/>
      <w:sz w:val="56"/>
      <w:szCs w:val="56"/>
      <w:u w:val="single"/>
    </w:rPr>
  </w:style>
  <w:style w:type="character" w:customStyle="1" w:styleId="pop-slug-vol">
    <w:name w:val="pop-slug-vol"/>
    <w:uiPriority w:val="99"/>
    <w:rsid w:val="0090148A"/>
  </w:style>
  <w:style w:type="character" w:customStyle="1" w:styleId="af3">
    <w:name w:val="Текст сноски Знак"/>
    <w:basedOn w:val="a3"/>
    <w:uiPriority w:val="99"/>
    <w:rsid w:val="0090148A"/>
    <w:rPr>
      <w:rFonts w:ascii="Calibri" w:hAnsi="Calibri" w:cs="Times New Roman"/>
      <w:sz w:val="20"/>
      <w:szCs w:val="20"/>
    </w:rPr>
  </w:style>
  <w:style w:type="character" w:styleId="af4">
    <w:name w:val="footnote reference"/>
    <w:basedOn w:val="a3"/>
    <w:uiPriority w:val="99"/>
    <w:semiHidden/>
    <w:rsid w:val="0090148A"/>
    <w:rPr>
      <w:rFonts w:cs="Times New Roman"/>
      <w:vertAlign w:val="superscript"/>
    </w:rPr>
  </w:style>
  <w:style w:type="character" w:customStyle="1" w:styleId="Normal1">
    <w:name w:val="Normal1 Знак"/>
    <w:basedOn w:val="a3"/>
    <w:uiPriority w:val="99"/>
    <w:locked/>
    <w:rsid w:val="0090148A"/>
    <w:rPr>
      <w:rFonts w:ascii="Times New Roman" w:hAnsi="Times New Roman" w:cs="Times New Roman"/>
      <w:sz w:val="20"/>
      <w:szCs w:val="20"/>
      <w:lang w:eastAsia="ru-RU"/>
    </w:rPr>
  </w:style>
  <w:style w:type="character" w:customStyle="1" w:styleId="12">
    <w:name w:val="Стиль1 Знак"/>
    <w:basedOn w:val="Normal1"/>
    <w:rsid w:val="0090148A"/>
    <w:rPr>
      <w:rFonts w:ascii="Times New Roman" w:hAnsi="Times New Roman" w:cs="Times New Roman"/>
      <w:sz w:val="24"/>
      <w:szCs w:val="24"/>
      <w:lang w:eastAsia="ru-RU"/>
    </w:rPr>
  </w:style>
  <w:style w:type="character" w:customStyle="1" w:styleId="ListLabel1">
    <w:name w:val="ListLabel 1"/>
    <w:uiPriority w:val="99"/>
    <w:rsid w:val="00275A41"/>
  </w:style>
  <w:style w:type="character" w:customStyle="1" w:styleId="ListLabel2">
    <w:name w:val="ListLabel 2"/>
    <w:uiPriority w:val="99"/>
    <w:rsid w:val="00275A41"/>
  </w:style>
  <w:style w:type="character" w:customStyle="1" w:styleId="ListLabel3">
    <w:name w:val="ListLabel 3"/>
    <w:uiPriority w:val="99"/>
    <w:rsid w:val="00275A41"/>
  </w:style>
  <w:style w:type="character" w:customStyle="1" w:styleId="ListLabel4">
    <w:name w:val="ListLabel 4"/>
    <w:uiPriority w:val="99"/>
    <w:rsid w:val="00275A41"/>
  </w:style>
  <w:style w:type="character" w:customStyle="1" w:styleId="ListLabel5">
    <w:name w:val="ListLabel 5"/>
    <w:uiPriority w:val="99"/>
    <w:rsid w:val="00275A41"/>
  </w:style>
  <w:style w:type="character" w:customStyle="1" w:styleId="ListLabel6">
    <w:name w:val="ListLabel 6"/>
    <w:uiPriority w:val="99"/>
    <w:rsid w:val="00275A41"/>
  </w:style>
  <w:style w:type="character" w:customStyle="1" w:styleId="ListLabel7">
    <w:name w:val="ListLabel 7"/>
    <w:uiPriority w:val="99"/>
    <w:rsid w:val="00275A41"/>
  </w:style>
  <w:style w:type="character" w:customStyle="1" w:styleId="ListLabel8">
    <w:name w:val="ListLabel 8"/>
    <w:uiPriority w:val="99"/>
    <w:rsid w:val="00275A41"/>
  </w:style>
  <w:style w:type="character" w:customStyle="1" w:styleId="ListLabel9">
    <w:name w:val="ListLabel 9"/>
    <w:uiPriority w:val="99"/>
    <w:rsid w:val="00275A41"/>
  </w:style>
  <w:style w:type="character" w:customStyle="1" w:styleId="ListLabel10">
    <w:name w:val="ListLabel 10"/>
    <w:uiPriority w:val="99"/>
    <w:rsid w:val="00275A41"/>
    <w:rPr>
      <w:sz w:val="24"/>
    </w:rPr>
  </w:style>
  <w:style w:type="character" w:customStyle="1" w:styleId="ListLabel11">
    <w:name w:val="ListLabel 11"/>
    <w:uiPriority w:val="99"/>
    <w:rsid w:val="00275A41"/>
  </w:style>
  <w:style w:type="character" w:customStyle="1" w:styleId="ListLabel12">
    <w:name w:val="ListLabel 12"/>
    <w:uiPriority w:val="99"/>
    <w:rsid w:val="00275A41"/>
  </w:style>
  <w:style w:type="character" w:customStyle="1" w:styleId="ListLabel13">
    <w:name w:val="ListLabel 13"/>
    <w:uiPriority w:val="99"/>
    <w:rsid w:val="00275A41"/>
  </w:style>
  <w:style w:type="character" w:customStyle="1" w:styleId="ListLabel14">
    <w:name w:val="ListLabel 14"/>
    <w:uiPriority w:val="99"/>
    <w:rsid w:val="00275A41"/>
  </w:style>
  <w:style w:type="character" w:customStyle="1" w:styleId="ListLabel15">
    <w:name w:val="ListLabel 15"/>
    <w:uiPriority w:val="99"/>
    <w:rsid w:val="00275A41"/>
  </w:style>
  <w:style w:type="character" w:customStyle="1" w:styleId="ListLabel16">
    <w:name w:val="ListLabel 16"/>
    <w:uiPriority w:val="99"/>
    <w:rsid w:val="00275A41"/>
  </w:style>
  <w:style w:type="character" w:customStyle="1" w:styleId="ListLabel17">
    <w:name w:val="ListLabel 17"/>
    <w:uiPriority w:val="99"/>
    <w:rsid w:val="00275A41"/>
  </w:style>
  <w:style w:type="character" w:customStyle="1" w:styleId="ListLabel18">
    <w:name w:val="ListLabel 18"/>
    <w:uiPriority w:val="99"/>
    <w:rsid w:val="00275A41"/>
  </w:style>
  <w:style w:type="character" w:customStyle="1" w:styleId="ListLabel19">
    <w:name w:val="ListLabel 19"/>
    <w:uiPriority w:val="99"/>
    <w:rsid w:val="00275A41"/>
  </w:style>
  <w:style w:type="character" w:customStyle="1" w:styleId="ListLabel20">
    <w:name w:val="ListLabel 20"/>
    <w:uiPriority w:val="99"/>
    <w:rsid w:val="00275A41"/>
  </w:style>
  <w:style w:type="character" w:customStyle="1" w:styleId="ListLabel21">
    <w:name w:val="ListLabel 21"/>
    <w:uiPriority w:val="99"/>
    <w:rsid w:val="00275A41"/>
  </w:style>
  <w:style w:type="character" w:customStyle="1" w:styleId="ListLabel22">
    <w:name w:val="ListLabel 22"/>
    <w:uiPriority w:val="99"/>
    <w:rsid w:val="00275A41"/>
  </w:style>
  <w:style w:type="character" w:customStyle="1" w:styleId="ListLabel23">
    <w:name w:val="ListLabel 23"/>
    <w:uiPriority w:val="99"/>
    <w:rsid w:val="00275A41"/>
  </w:style>
  <w:style w:type="character" w:customStyle="1" w:styleId="ListLabel24">
    <w:name w:val="ListLabel 24"/>
    <w:uiPriority w:val="99"/>
    <w:rsid w:val="00275A41"/>
  </w:style>
  <w:style w:type="character" w:customStyle="1" w:styleId="ListLabel25">
    <w:name w:val="ListLabel 25"/>
    <w:uiPriority w:val="99"/>
    <w:rsid w:val="00275A41"/>
  </w:style>
  <w:style w:type="character" w:customStyle="1" w:styleId="ListLabel26">
    <w:name w:val="ListLabel 26"/>
    <w:uiPriority w:val="99"/>
    <w:rsid w:val="00275A41"/>
  </w:style>
  <w:style w:type="character" w:customStyle="1" w:styleId="ListLabel27">
    <w:name w:val="ListLabel 27"/>
    <w:uiPriority w:val="99"/>
    <w:rsid w:val="00275A41"/>
  </w:style>
  <w:style w:type="character" w:customStyle="1" w:styleId="ListLabel28">
    <w:name w:val="ListLabel 28"/>
    <w:uiPriority w:val="99"/>
    <w:rsid w:val="00275A41"/>
  </w:style>
  <w:style w:type="character" w:customStyle="1" w:styleId="ListLabel29">
    <w:name w:val="ListLabel 29"/>
    <w:uiPriority w:val="99"/>
    <w:rsid w:val="00275A41"/>
  </w:style>
  <w:style w:type="character" w:customStyle="1" w:styleId="ListLabel30">
    <w:name w:val="ListLabel 30"/>
    <w:uiPriority w:val="99"/>
    <w:rsid w:val="00275A41"/>
  </w:style>
  <w:style w:type="character" w:customStyle="1" w:styleId="ListLabel31">
    <w:name w:val="ListLabel 31"/>
    <w:uiPriority w:val="99"/>
    <w:rsid w:val="00275A41"/>
  </w:style>
  <w:style w:type="character" w:customStyle="1" w:styleId="ListLabel32">
    <w:name w:val="ListLabel 32"/>
    <w:uiPriority w:val="99"/>
    <w:rsid w:val="00275A41"/>
  </w:style>
  <w:style w:type="character" w:customStyle="1" w:styleId="ListLabel33">
    <w:name w:val="ListLabel 33"/>
    <w:uiPriority w:val="99"/>
    <w:rsid w:val="00275A41"/>
  </w:style>
  <w:style w:type="character" w:customStyle="1" w:styleId="ListLabel34">
    <w:name w:val="ListLabel 34"/>
    <w:uiPriority w:val="99"/>
    <w:rsid w:val="00275A41"/>
  </w:style>
  <w:style w:type="character" w:customStyle="1" w:styleId="ListLabel35">
    <w:name w:val="ListLabel 35"/>
    <w:uiPriority w:val="99"/>
    <w:rsid w:val="00275A41"/>
  </w:style>
  <w:style w:type="character" w:customStyle="1" w:styleId="ListLabel36">
    <w:name w:val="ListLabel 36"/>
    <w:uiPriority w:val="99"/>
    <w:rsid w:val="00275A41"/>
    <w:rPr>
      <w:b/>
      <w:sz w:val="24"/>
    </w:rPr>
  </w:style>
  <w:style w:type="character" w:customStyle="1" w:styleId="ListLabel37">
    <w:name w:val="ListLabel 37"/>
    <w:uiPriority w:val="99"/>
    <w:rsid w:val="00275A41"/>
  </w:style>
  <w:style w:type="character" w:customStyle="1" w:styleId="ListLabel38">
    <w:name w:val="ListLabel 38"/>
    <w:uiPriority w:val="99"/>
    <w:rsid w:val="00275A41"/>
  </w:style>
  <w:style w:type="character" w:customStyle="1" w:styleId="ListLabel39">
    <w:name w:val="ListLabel 39"/>
    <w:uiPriority w:val="99"/>
    <w:rsid w:val="00275A41"/>
  </w:style>
  <w:style w:type="character" w:customStyle="1" w:styleId="af5">
    <w:name w:val="Ссылка указателя"/>
    <w:uiPriority w:val="99"/>
    <w:rsid w:val="00275A41"/>
  </w:style>
  <w:style w:type="paragraph" w:customStyle="1" w:styleId="13">
    <w:name w:val="Заголовок1"/>
    <w:basedOn w:val="a0"/>
    <w:next w:val="af6"/>
    <w:uiPriority w:val="99"/>
    <w:rsid w:val="00275A41"/>
    <w:pPr>
      <w:keepNext/>
      <w:spacing w:before="240" w:after="120"/>
    </w:pPr>
    <w:rPr>
      <w:rFonts w:ascii="Liberation Sans" w:eastAsia="Microsoft YaHei" w:hAnsi="Liberation Sans" w:cs="Mangal"/>
      <w:sz w:val="28"/>
      <w:szCs w:val="28"/>
    </w:rPr>
  </w:style>
  <w:style w:type="paragraph" w:styleId="af6">
    <w:name w:val="Body Text"/>
    <w:basedOn w:val="a0"/>
    <w:link w:val="af7"/>
    <w:uiPriority w:val="99"/>
    <w:rsid w:val="00275A41"/>
    <w:pPr>
      <w:spacing w:after="140" w:line="288" w:lineRule="auto"/>
    </w:pPr>
  </w:style>
  <w:style w:type="character" w:customStyle="1" w:styleId="af7">
    <w:name w:val="Основной текст Знак"/>
    <w:basedOn w:val="a3"/>
    <w:link w:val="af6"/>
    <w:uiPriority w:val="99"/>
    <w:semiHidden/>
    <w:locked/>
    <w:rsid w:val="002062DF"/>
    <w:rPr>
      <w:rFonts w:ascii="Times New Roman" w:hAnsi="Times New Roman" w:cs="Times New Roman"/>
      <w:sz w:val="24"/>
      <w:lang w:eastAsia="en-US"/>
    </w:rPr>
  </w:style>
  <w:style w:type="paragraph" w:styleId="af8">
    <w:name w:val="List"/>
    <w:basedOn w:val="af6"/>
    <w:uiPriority w:val="99"/>
    <w:rsid w:val="00275A41"/>
    <w:rPr>
      <w:rFonts w:cs="Mangal"/>
    </w:rPr>
  </w:style>
  <w:style w:type="paragraph" w:styleId="af9">
    <w:name w:val="caption"/>
    <w:basedOn w:val="a0"/>
    <w:qFormat/>
    <w:rsid w:val="006120EA"/>
    <w:pPr>
      <w:suppressLineNumbers/>
      <w:spacing w:before="120" w:after="120"/>
    </w:pPr>
    <w:rPr>
      <w:rFonts w:cs="Mangal"/>
      <w:iCs/>
      <w:szCs w:val="24"/>
    </w:rPr>
  </w:style>
  <w:style w:type="paragraph" w:styleId="14">
    <w:name w:val="index 1"/>
    <w:basedOn w:val="a0"/>
    <w:next w:val="a0"/>
    <w:autoRedefine/>
    <w:uiPriority w:val="99"/>
    <w:semiHidden/>
    <w:rsid w:val="0090148A"/>
    <w:pPr>
      <w:ind w:left="240" w:hanging="240"/>
    </w:pPr>
  </w:style>
  <w:style w:type="paragraph" w:styleId="afa">
    <w:name w:val="index heading"/>
    <w:basedOn w:val="a0"/>
    <w:uiPriority w:val="99"/>
    <w:semiHidden/>
    <w:rsid w:val="00275A41"/>
    <w:pPr>
      <w:suppressLineNumbers/>
    </w:pPr>
    <w:rPr>
      <w:rFonts w:cs="Mangal"/>
    </w:rPr>
  </w:style>
  <w:style w:type="paragraph" w:styleId="afb">
    <w:name w:val="header"/>
    <w:basedOn w:val="a0"/>
    <w:link w:val="15"/>
    <w:uiPriority w:val="99"/>
    <w:rsid w:val="0090148A"/>
    <w:pPr>
      <w:tabs>
        <w:tab w:val="center" w:pos="4677"/>
        <w:tab w:val="right" w:pos="9355"/>
      </w:tabs>
      <w:spacing w:line="240" w:lineRule="auto"/>
    </w:pPr>
  </w:style>
  <w:style w:type="character" w:customStyle="1" w:styleId="15">
    <w:name w:val="Верхний колонтитул Знак1"/>
    <w:basedOn w:val="a3"/>
    <w:link w:val="afb"/>
    <w:uiPriority w:val="99"/>
    <w:semiHidden/>
    <w:locked/>
    <w:rsid w:val="002062DF"/>
    <w:rPr>
      <w:rFonts w:ascii="Times New Roman" w:hAnsi="Times New Roman" w:cs="Times New Roman"/>
      <w:sz w:val="24"/>
      <w:lang w:eastAsia="en-US"/>
    </w:rPr>
  </w:style>
  <w:style w:type="paragraph" w:styleId="afc">
    <w:name w:val="footer"/>
    <w:basedOn w:val="a0"/>
    <w:link w:val="16"/>
    <w:uiPriority w:val="99"/>
    <w:rsid w:val="0090148A"/>
    <w:pPr>
      <w:tabs>
        <w:tab w:val="center" w:pos="4677"/>
        <w:tab w:val="right" w:pos="9355"/>
      </w:tabs>
      <w:spacing w:line="240" w:lineRule="auto"/>
    </w:pPr>
  </w:style>
  <w:style w:type="character" w:customStyle="1" w:styleId="16">
    <w:name w:val="Нижний колонтитул Знак1"/>
    <w:basedOn w:val="a3"/>
    <w:link w:val="afc"/>
    <w:uiPriority w:val="99"/>
    <w:semiHidden/>
    <w:locked/>
    <w:rsid w:val="002062DF"/>
    <w:rPr>
      <w:rFonts w:ascii="Times New Roman" w:hAnsi="Times New Roman" w:cs="Times New Roman"/>
      <w:sz w:val="24"/>
      <w:lang w:eastAsia="en-US"/>
    </w:rPr>
  </w:style>
  <w:style w:type="paragraph" w:styleId="afd">
    <w:name w:val="Normal (Web)"/>
    <w:basedOn w:val="a0"/>
    <w:link w:val="afe"/>
    <w:uiPriority w:val="99"/>
    <w:rsid w:val="0090148A"/>
    <w:pPr>
      <w:spacing w:beforeAutospacing="1" w:afterAutospacing="1" w:line="288" w:lineRule="auto"/>
    </w:pPr>
    <w:rPr>
      <w:rFonts w:eastAsia="Times New Roman"/>
      <w:szCs w:val="24"/>
      <w:lang w:eastAsia="ru-RU"/>
    </w:rPr>
  </w:style>
  <w:style w:type="paragraph" w:styleId="aff">
    <w:name w:val="List Paragraph"/>
    <w:basedOn w:val="a0"/>
    <w:link w:val="17"/>
    <w:uiPriority w:val="34"/>
    <w:qFormat/>
    <w:rsid w:val="0090148A"/>
    <w:pPr>
      <w:ind w:left="720"/>
    </w:pPr>
  </w:style>
  <w:style w:type="paragraph" w:customStyle="1" w:styleId="desc">
    <w:name w:val="desc"/>
    <w:basedOn w:val="a0"/>
    <w:rsid w:val="0090148A"/>
    <w:pPr>
      <w:spacing w:beforeAutospacing="1" w:afterAutospacing="1" w:line="240" w:lineRule="auto"/>
    </w:pPr>
    <w:rPr>
      <w:rFonts w:eastAsia="Times New Roman"/>
      <w:szCs w:val="24"/>
      <w:lang w:eastAsia="ru-RU"/>
    </w:rPr>
  </w:style>
  <w:style w:type="paragraph" w:styleId="aff0">
    <w:name w:val="TOC Heading"/>
    <w:basedOn w:val="10"/>
    <w:uiPriority w:val="39"/>
    <w:qFormat/>
    <w:rsid w:val="0090148A"/>
    <w:pPr>
      <w:spacing w:line="276" w:lineRule="auto"/>
    </w:pPr>
  </w:style>
  <w:style w:type="paragraph" w:styleId="aff1">
    <w:name w:val="Balloon Text"/>
    <w:basedOn w:val="a0"/>
    <w:link w:val="18"/>
    <w:uiPriority w:val="99"/>
    <w:semiHidden/>
    <w:rsid w:val="0090148A"/>
    <w:pPr>
      <w:spacing w:line="240" w:lineRule="auto"/>
    </w:pPr>
    <w:rPr>
      <w:rFonts w:ascii="Tahoma" w:hAnsi="Tahoma" w:cs="Tahoma"/>
      <w:sz w:val="16"/>
      <w:szCs w:val="16"/>
    </w:rPr>
  </w:style>
  <w:style w:type="character" w:customStyle="1" w:styleId="18">
    <w:name w:val="Текст выноски Знак1"/>
    <w:basedOn w:val="a3"/>
    <w:link w:val="aff1"/>
    <w:uiPriority w:val="99"/>
    <w:semiHidden/>
    <w:locked/>
    <w:rsid w:val="002062DF"/>
    <w:rPr>
      <w:rFonts w:ascii="Times New Roman" w:hAnsi="Times New Roman" w:cs="Times New Roman"/>
      <w:sz w:val="2"/>
      <w:lang w:eastAsia="en-US"/>
    </w:rPr>
  </w:style>
  <w:style w:type="paragraph" w:styleId="19">
    <w:name w:val="toc 1"/>
    <w:basedOn w:val="a0"/>
    <w:autoRedefine/>
    <w:uiPriority w:val="39"/>
    <w:rsid w:val="00781AD2"/>
    <w:pPr>
      <w:tabs>
        <w:tab w:val="right" w:leader="dot" w:pos="9345"/>
      </w:tabs>
      <w:spacing w:after="100"/>
      <w:ind w:firstLine="0"/>
    </w:pPr>
  </w:style>
  <w:style w:type="paragraph" w:styleId="a2">
    <w:name w:val="Subtitle"/>
    <w:basedOn w:val="a0"/>
    <w:link w:val="1a"/>
    <w:uiPriority w:val="11"/>
    <w:qFormat/>
    <w:rsid w:val="0090148A"/>
    <w:pPr>
      <w:suppressAutoHyphens/>
      <w:spacing w:before="240"/>
    </w:pPr>
    <w:rPr>
      <w:b/>
      <w:szCs w:val="24"/>
      <w:u w:val="single"/>
    </w:rPr>
  </w:style>
  <w:style w:type="character" w:customStyle="1" w:styleId="1a">
    <w:name w:val="Подзаголовок Знак1"/>
    <w:basedOn w:val="a3"/>
    <w:link w:val="a2"/>
    <w:uiPriority w:val="99"/>
    <w:locked/>
    <w:rsid w:val="002062DF"/>
    <w:rPr>
      <w:rFonts w:ascii="Cambria" w:hAnsi="Cambria" w:cs="Times New Roman"/>
      <w:sz w:val="24"/>
      <w:szCs w:val="24"/>
      <w:lang w:eastAsia="en-US"/>
    </w:rPr>
  </w:style>
  <w:style w:type="paragraph" w:styleId="aff2">
    <w:name w:val="No Spacing"/>
    <w:basedOn w:val="aff"/>
    <w:uiPriority w:val="99"/>
    <w:qFormat/>
    <w:rsid w:val="0090148A"/>
    <w:pPr>
      <w:spacing w:before="240"/>
      <w:ind w:left="851" w:hanging="425"/>
    </w:pPr>
    <w:rPr>
      <w:szCs w:val="24"/>
    </w:rPr>
  </w:style>
  <w:style w:type="paragraph" w:customStyle="1" w:styleId="aff3">
    <w:name w:val="УДД"/>
    <w:aliases w:val="УУР"/>
    <w:basedOn w:val="aff2"/>
    <w:uiPriority w:val="99"/>
    <w:rsid w:val="00B104EF"/>
    <w:pPr>
      <w:spacing w:before="0"/>
      <w:ind w:left="709" w:firstLine="0"/>
    </w:pPr>
    <w:rPr>
      <w:b/>
    </w:rPr>
  </w:style>
  <w:style w:type="paragraph" w:customStyle="1" w:styleId="aff4">
    <w:name w:val="Ком"/>
    <w:basedOn w:val="aff3"/>
    <w:uiPriority w:val="99"/>
    <w:rsid w:val="00334F6C"/>
    <w:rPr>
      <w:b w:val="0"/>
    </w:rPr>
  </w:style>
  <w:style w:type="paragraph" w:styleId="aff5">
    <w:name w:val="annotation text"/>
    <w:basedOn w:val="a0"/>
    <w:link w:val="1b"/>
    <w:uiPriority w:val="99"/>
    <w:semiHidden/>
    <w:rsid w:val="0090148A"/>
    <w:pPr>
      <w:spacing w:line="240" w:lineRule="auto"/>
    </w:pPr>
    <w:rPr>
      <w:sz w:val="20"/>
      <w:szCs w:val="20"/>
    </w:rPr>
  </w:style>
  <w:style w:type="character" w:customStyle="1" w:styleId="1b">
    <w:name w:val="Текст примечания Знак1"/>
    <w:basedOn w:val="a3"/>
    <w:link w:val="aff5"/>
    <w:uiPriority w:val="99"/>
    <w:semiHidden/>
    <w:locked/>
    <w:rsid w:val="002062DF"/>
    <w:rPr>
      <w:rFonts w:ascii="Times New Roman" w:hAnsi="Times New Roman" w:cs="Times New Roman"/>
      <w:sz w:val="20"/>
      <w:szCs w:val="20"/>
      <w:lang w:eastAsia="en-US"/>
    </w:rPr>
  </w:style>
  <w:style w:type="paragraph" w:styleId="aff6">
    <w:name w:val="annotation subject"/>
    <w:basedOn w:val="aff5"/>
    <w:link w:val="1c"/>
    <w:uiPriority w:val="99"/>
    <w:semiHidden/>
    <w:rsid w:val="0090148A"/>
    <w:rPr>
      <w:b/>
      <w:bCs/>
    </w:rPr>
  </w:style>
  <w:style w:type="character" w:customStyle="1" w:styleId="1c">
    <w:name w:val="Тема примечания Знак1"/>
    <w:basedOn w:val="1b"/>
    <w:link w:val="aff6"/>
    <w:uiPriority w:val="99"/>
    <w:semiHidden/>
    <w:locked/>
    <w:rsid w:val="002062DF"/>
    <w:rPr>
      <w:rFonts w:ascii="Times New Roman" w:hAnsi="Times New Roman" w:cs="Times New Roman"/>
      <w:b/>
      <w:bCs/>
      <w:sz w:val="20"/>
      <w:szCs w:val="20"/>
      <w:lang w:eastAsia="en-US"/>
    </w:rPr>
  </w:style>
  <w:style w:type="paragraph" w:styleId="aff7">
    <w:name w:val="Title"/>
    <w:basedOn w:val="a0"/>
    <w:link w:val="aff8"/>
    <w:uiPriority w:val="99"/>
    <w:qFormat/>
    <w:rsid w:val="0090148A"/>
    <w:pPr>
      <w:jc w:val="center"/>
    </w:pPr>
    <w:rPr>
      <w:rFonts w:eastAsia="Times New Roman"/>
      <w:spacing w:val="-10"/>
      <w:sz w:val="28"/>
      <w:szCs w:val="56"/>
      <w:u w:val="single"/>
    </w:rPr>
  </w:style>
  <w:style w:type="character" w:customStyle="1" w:styleId="aff8">
    <w:name w:val="Заголовок Знак"/>
    <w:basedOn w:val="a3"/>
    <w:link w:val="aff7"/>
    <w:uiPriority w:val="99"/>
    <w:locked/>
    <w:rsid w:val="002062DF"/>
    <w:rPr>
      <w:rFonts w:ascii="Cambria" w:hAnsi="Cambria" w:cs="Times New Roman"/>
      <w:b/>
      <w:bCs/>
      <w:kern w:val="28"/>
      <w:sz w:val="32"/>
      <w:szCs w:val="32"/>
      <w:lang w:eastAsia="en-US"/>
    </w:rPr>
  </w:style>
  <w:style w:type="paragraph" w:styleId="21">
    <w:name w:val="toc 2"/>
    <w:basedOn w:val="a0"/>
    <w:autoRedefine/>
    <w:uiPriority w:val="39"/>
    <w:rsid w:val="00EE17B7"/>
    <w:pPr>
      <w:tabs>
        <w:tab w:val="left" w:pos="880"/>
        <w:tab w:val="right" w:leader="dot" w:pos="9345"/>
      </w:tabs>
      <w:ind w:left="397" w:firstLine="357"/>
      <w:jc w:val="left"/>
    </w:pPr>
    <w:rPr>
      <w:rFonts w:ascii="Calibri" w:hAnsi="Calibri"/>
      <w:sz w:val="22"/>
    </w:rPr>
  </w:style>
  <w:style w:type="paragraph" w:customStyle="1" w:styleId="Normal10">
    <w:name w:val="Normal1"/>
    <w:uiPriority w:val="99"/>
    <w:rsid w:val="0090148A"/>
    <w:pPr>
      <w:widowControl w:val="0"/>
      <w:jc w:val="both"/>
    </w:pPr>
    <w:rPr>
      <w:rFonts w:ascii="Times New Roman" w:eastAsia="Times New Roman" w:hAnsi="Times New Roman"/>
      <w:sz w:val="20"/>
      <w:szCs w:val="20"/>
    </w:rPr>
  </w:style>
  <w:style w:type="paragraph" w:styleId="aff9">
    <w:name w:val="footnote text"/>
    <w:basedOn w:val="a0"/>
    <w:link w:val="1d"/>
    <w:uiPriority w:val="99"/>
    <w:semiHidden/>
    <w:rsid w:val="0090148A"/>
    <w:pPr>
      <w:spacing w:after="200" w:line="276" w:lineRule="auto"/>
    </w:pPr>
    <w:rPr>
      <w:rFonts w:ascii="Calibri" w:hAnsi="Calibri"/>
      <w:sz w:val="20"/>
      <w:szCs w:val="20"/>
    </w:rPr>
  </w:style>
  <w:style w:type="character" w:customStyle="1" w:styleId="1d">
    <w:name w:val="Текст сноски Знак1"/>
    <w:basedOn w:val="a3"/>
    <w:link w:val="aff9"/>
    <w:uiPriority w:val="99"/>
    <w:semiHidden/>
    <w:locked/>
    <w:rsid w:val="002062DF"/>
    <w:rPr>
      <w:rFonts w:ascii="Times New Roman" w:hAnsi="Times New Roman" w:cs="Times New Roman"/>
      <w:sz w:val="20"/>
      <w:szCs w:val="20"/>
      <w:lang w:eastAsia="en-US"/>
    </w:rPr>
  </w:style>
  <w:style w:type="paragraph" w:customStyle="1" w:styleId="1e">
    <w:name w:val="Оглавление 1 Знак"/>
    <w:basedOn w:val="Normal10"/>
    <w:uiPriority w:val="99"/>
    <w:rsid w:val="0090148A"/>
    <w:pPr>
      <w:spacing w:line="360" w:lineRule="auto"/>
      <w:ind w:left="709" w:hanging="283"/>
    </w:pPr>
    <w:rPr>
      <w:sz w:val="24"/>
      <w:szCs w:val="24"/>
    </w:rPr>
  </w:style>
  <w:style w:type="paragraph" w:customStyle="1" w:styleId="affa">
    <w:name w:val="Содержимое врезки"/>
    <w:basedOn w:val="a0"/>
    <w:uiPriority w:val="99"/>
    <w:rsid w:val="00275A41"/>
  </w:style>
  <w:style w:type="table" w:styleId="affb">
    <w:name w:val="Table Grid"/>
    <w:basedOn w:val="a4"/>
    <w:uiPriority w:val="59"/>
    <w:rsid w:val="009014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Стиль"/>
    <w:uiPriority w:val="99"/>
    <w:rsid w:val="00275A41"/>
    <w:pPr>
      <w:keepNext/>
      <w:keepLines/>
      <w:spacing w:line="276" w:lineRule="auto"/>
      <w:outlineLvl w:val="0"/>
    </w:pPr>
    <w:rPr>
      <w:rFonts w:ascii="Times New Roman" w:hAnsi="Times New Roman"/>
      <w:sz w:val="24"/>
      <w:lang w:eastAsia="en-US"/>
    </w:rPr>
  </w:style>
  <w:style w:type="paragraph" w:customStyle="1" w:styleId="CustomContentNormal">
    <w:name w:val="Custom Content Normal"/>
    <w:link w:val="CustomContentNormal0"/>
    <w:uiPriority w:val="99"/>
    <w:rsid w:val="00B104EF"/>
    <w:pPr>
      <w:keepNext/>
      <w:keepLines/>
      <w:spacing w:before="240" w:line="360" w:lineRule="auto"/>
      <w:jc w:val="center"/>
      <w:outlineLvl w:val="0"/>
    </w:pPr>
    <w:rPr>
      <w:rFonts w:ascii="Times New Roman" w:hAnsi="Times New Roman"/>
      <w:b/>
      <w:sz w:val="28"/>
      <w:lang w:eastAsia="en-US"/>
    </w:rPr>
  </w:style>
  <w:style w:type="character" w:styleId="affd">
    <w:name w:val="Strong"/>
    <w:basedOn w:val="a3"/>
    <w:uiPriority w:val="22"/>
    <w:qFormat/>
    <w:rsid w:val="009E685D"/>
    <w:rPr>
      <w:rFonts w:cs="Times New Roman"/>
      <w:b/>
      <w:bCs/>
    </w:rPr>
  </w:style>
  <w:style w:type="character" w:styleId="affe">
    <w:name w:val="Emphasis"/>
    <w:basedOn w:val="a3"/>
    <w:uiPriority w:val="99"/>
    <w:qFormat/>
    <w:rsid w:val="002F7719"/>
    <w:rPr>
      <w:rFonts w:cs="Times New Roman"/>
      <w:i/>
      <w:iCs/>
    </w:rPr>
  </w:style>
  <w:style w:type="character" w:styleId="afff">
    <w:name w:val="Hyperlink"/>
    <w:basedOn w:val="a3"/>
    <w:uiPriority w:val="99"/>
    <w:rsid w:val="00275A41"/>
    <w:rPr>
      <w:rFonts w:cs="Times New Roman"/>
      <w:color w:val="0000FF"/>
      <w:u w:val="single"/>
    </w:rPr>
  </w:style>
  <w:style w:type="paragraph" w:customStyle="1" w:styleId="1">
    <w:name w:val="Стиль1"/>
    <w:basedOn w:val="a0"/>
    <w:link w:val="110"/>
    <w:qFormat/>
    <w:rsid w:val="00EE59C2"/>
    <w:pPr>
      <w:numPr>
        <w:numId w:val="1"/>
      </w:numPr>
      <w:tabs>
        <w:tab w:val="clear" w:pos="360"/>
        <w:tab w:val="num" w:pos="786"/>
      </w:tabs>
      <w:spacing w:before="240"/>
      <w:ind w:left="786"/>
    </w:pPr>
    <w:rPr>
      <w:rFonts w:eastAsia="Times New Roman"/>
    </w:rPr>
  </w:style>
  <w:style w:type="character" w:customStyle="1" w:styleId="110">
    <w:name w:val="Стиль1 Знак1"/>
    <w:basedOn w:val="a3"/>
    <w:link w:val="1"/>
    <w:locked/>
    <w:rsid w:val="00EE59C2"/>
    <w:rPr>
      <w:rFonts w:ascii="Times New Roman" w:eastAsia="Times New Roman" w:hAnsi="Times New Roman"/>
      <w:sz w:val="24"/>
      <w:lang w:eastAsia="en-US"/>
    </w:rPr>
  </w:style>
  <w:style w:type="character" w:customStyle="1" w:styleId="apple-style-span">
    <w:name w:val="apple-style-span"/>
    <w:uiPriority w:val="99"/>
    <w:rsid w:val="00021FEA"/>
  </w:style>
  <w:style w:type="paragraph" w:styleId="afff0">
    <w:name w:val="Revision"/>
    <w:hidden/>
    <w:uiPriority w:val="99"/>
    <w:semiHidden/>
    <w:rsid w:val="00AE3406"/>
    <w:rPr>
      <w:rFonts w:ascii="Times New Roman" w:hAnsi="Times New Roman"/>
      <w:sz w:val="24"/>
      <w:lang w:eastAsia="en-US"/>
    </w:rPr>
  </w:style>
  <w:style w:type="paragraph" w:customStyle="1" w:styleId="a">
    <w:name w:val="Список ключевых слов"/>
    <w:basedOn w:val="aff"/>
    <w:link w:val="afff1"/>
    <w:uiPriority w:val="99"/>
    <w:rsid w:val="0021676E"/>
    <w:pPr>
      <w:numPr>
        <w:numId w:val="3"/>
      </w:numPr>
      <w:ind w:left="0" w:firstLine="709"/>
    </w:pPr>
    <w:rPr>
      <w:szCs w:val="28"/>
    </w:rPr>
  </w:style>
  <w:style w:type="paragraph" w:customStyle="1" w:styleId="afff2">
    <w:name w:val="Сокращения"/>
    <w:basedOn w:val="a0"/>
    <w:link w:val="afff3"/>
    <w:uiPriority w:val="99"/>
    <w:rsid w:val="0021676E"/>
  </w:style>
  <w:style w:type="character" w:customStyle="1" w:styleId="17">
    <w:name w:val="Абзац списка Знак1"/>
    <w:basedOn w:val="a3"/>
    <w:link w:val="aff"/>
    <w:uiPriority w:val="99"/>
    <w:locked/>
    <w:rsid w:val="0021676E"/>
    <w:rPr>
      <w:rFonts w:ascii="Times New Roman" w:hAnsi="Times New Roman" w:cs="Times New Roman"/>
      <w:sz w:val="24"/>
    </w:rPr>
  </w:style>
  <w:style w:type="character" w:customStyle="1" w:styleId="afff1">
    <w:name w:val="Список ключевых слов Знак"/>
    <w:basedOn w:val="17"/>
    <w:link w:val="a"/>
    <w:uiPriority w:val="99"/>
    <w:locked/>
    <w:rsid w:val="0021676E"/>
    <w:rPr>
      <w:rFonts w:ascii="Times New Roman" w:hAnsi="Times New Roman" w:cs="Times New Roman"/>
      <w:sz w:val="24"/>
      <w:szCs w:val="28"/>
      <w:lang w:eastAsia="en-US"/>
    </w:rPr>
  </w:style>
  <w:style w:type="paragraph" w:customStyle="1" w:styleId="a1">
    <w:name w:val="Наим. раздела"/>
    <w:basedOn w:val="CustomContentNormal"/>
    <w:link w:val="afff4"/>
    <w:uiPriority w:val="99"/>
    <w:rsid w:val="00C4630C"/>
  </w:style>
  <w:style w:type="character" w:customStyle="1" w:styleId="afff3">
    <w:name w:val="Сокращения Знак"/>
    <w:basedOn w:val="a3"/>
    <w:link w:val="afff2"/>
    <w:uiPriority w:val="99"/>
    <w:locked/>
    <w:rsid w:val="0021676E"/>
    <w:rPr>
      <w:rFonts w:ascii="Times New Roman" w:hAnsi="Times New Roman" w:cs="Times New Roman"/>
      <w:sz w:val="24"/>
    </w:rPr>
  </w:style>
  <w:style w:type="paragraph" w:customStyle="1" w:styleId="1f">
    <w:name w:val="Текст в 1 разделе"/>
    <w:basedOn w:val="a0"/>
    <w:link w:val="1f0"/>
    <w:uiPriority w:val="99"/>
    <w:rsid w:val="0021676E"/>
    <w:rPr>
      <w:rFonts w:eastAsia="Times New Roman"/>
      <w:szCs w:val="24"/>
    </w:rPr>
  </w:style>
  <w:style w:type="character" w:customStyle="1" w:styleId="CustomContentNormal0">
    <w:name w:val="Custom Content Normal Знак"/>
    <w:basedOn w:val="a3"/>
    <w:link w:val="CustomContentNormal"/>
    <w:uiPriority w:val="99"/>
    <w:locked/>
    <w:rsid w:val="0021676E"/>
    <w:rPr>
      <w:rFonts w:ascii="Times New Roman" w:hAnsi="Times New Roman" w:cs="Times New Roman"/>
      <w:b/>
      <w:sz w:val="22"/>
      <w:szCs w:val="22"/>
      <w:lang w:val="ru-RU" w:eastAsia="en-US" w:bidi="ar-SA"/>
    </w:rPr>
  </w:style>
  <w:style w:type="character" w:customStyle="1" w:styleId="afff4">
    <w:name w:val="Наим. раздела Знак"/>
    <w:basedOn w:val="CustomContentNormal0"/>
    <w:link w:val="a1"/>
    <w:uiPriority w:val="99"/>
    <w:locked/>
    <w:rsid w:val="00C4630C"/>
    <w:rPr>
      <w:rFonts w:ascii="Times New Roman" w:hAnsi="Times New Roman" w:cs="Times New Roman"/>
      <w:b/>
      <w:sz w:val="22"/>
      <w:szCs w:val="22"/>
      <w:lang w:val="ru-RU" w:eastAsia="en-US" w:bidi="ar-SA"/>
    </w:rPr>
  </w:style>
  <w:style w:type="paragraph" w:customStyle="1" w:styleId="afff5">
    <w:name w:val="Таблицы"/>
    <w:basedOn w:val="afd"/>
    <w:link w:val="afff6"/>
    <w:uiPriority w:val="99"/>
    <w:rsid w:val="0021676E"/>
    <w:pPr>
      <w:spacing w:line="240" w:lineRule="auto"/>
      <w:ind w:firstLine="0"/>
    </w:pPr>
  </w:style>
  <w:style w:type="character" w:customStyle="1" w:styleId="1f0">
    <w:name w:val="Текст в 1 разделе Знак"/>
    <w:basedOn w:val="a3"/>
    <w:link w:val="1f"/>
    <w:uiPriority w:val="99"/>
    <w:locked/>
    <w:rsid w:val="0021676E"/>
    <w:rPr>
      <w:rFonts w:ascii="Times New Roman" w:hAnsi="Times New Roman" w:cs="Times New Roman"/>
      <w:sz w:val="24"/>
      <w:szCs w:val="24"/>
    </w:rPr>
  </w:style>
  <w:style w:type="paragraph" w:customStyle="1" w:styleId="afff7">
    <w:name w:val="Наим. табл"/>
    <w:basedOn w:val="a0"/>
    <w:link w:val="afff8"/>
    <w:uiPriority w:val="99"/>
    <w:rsid w:val="0021676E"/>
  </w:style>
  <w:style w:type="character" w:customStyle="1" w:styleId="afe">
    <w:name w:val="Обычный (Интернет) Знак"/>
    <w:basedOn w:val="a3"/>
    <w:link w:val="afd"/>
    <w:uiPriority w:val="99"/>
    <w:locked/>
    <w:rsid w:val="0021676E"/>
    <w:rPr>
      <w:rFonts w:ascii="Times New Roman" w:hAnsi="Times New Roman" w:cs="Times New Roman"/>
      <w:sz w:val="24"/>
      <w:szCs w:val="24"/>
      <w:lang w:eastAsia="ru-RU"/>
    </w:rPr>
  </w:style>
  <w:style w:type="character" w:customStyle="1" w:styleId="afff6">
    <w:name w:val="Таблицы Знак"/>
    <w:basedOn w:val="afe"/>
    <w:link w:val="afff5"/>
    <w:uiPriority w:val="99"/>
    <w:locked/>
    <w:rsid w:val="0021676E"/>
    <w:rPr>
      <w:rFonts w:ascii="Times New Roman" w:hAnsi="Times New Roman" w:cs="Times New Roman"/>
      <w:sz w:val="24"/>
      <w:szCs w:val="24"/>
      <w:lang w:eastAsia="ru-RU"/>
    </w:rPr>
  </w:style>
  <w:style w:type="paragraph" w:customStyle="1" w:styleId="2-6">
    <w:name w:val="Вводный текст 2-6 разделы"/>
    <w:basedOn w:val="a0"/>
    <w:link w:val="2-60"/>
    <w:uiPriority w:val="99"/>
    <w:rsid w:val="00334F6C"/>
    <w:rPr>
      <w:szCs w:val="24"/>
    </w:rPr>
  </w:style>
  <w:style w:type="character" w:customStyle="1" w:styleId="afff8">
    <w:name w:val="Наим. табл Знак"/>
    <w:basedOn w:val="a3"/>
    <w:link w:val="afff7"/>
    <w:uiPriority w:val="99"/>
    <w:locked/>
    <w:rsid w:val="0021676E"/>
    <w:rPr>
      <w:rFonts w:ascii="Times New Roman" w:hAnsi="Times New Roman" w:cs="Times New Roman"/>
      <w:sz w:val="24"/>
    </w:rPr>
  </w:style>
  <w:style w:type="paragraph" w:customStyle="1" w:styleId="afff9">
    <w:name w:val="Рекомендация"/>
    <w:basedOn w:val="1"/>
    <w:link w:val="afffa"/>
    <w:uiPriority w:val="99"/>
    <w:rsid w:val="0021676E"/>
  </w:style>
  <w:style w:type="character" w:customStyle="1" w:styleId="2-60">
    <w:name w:val="Вводный текст 2-6 разделы Знак"/>
    <w:basedOn w:val="a3"/>
    <w:link w:val="2-6"/>
    <w:uiPriority w:val="99"/>
    <w:locked/>
    <w:rsid w:val="00334F6C"/>
    <w:rPr>
      <w:rFonts w:ascii="Times New Roman" w:hAnsi="Times New Roman" w:cs="Times New Roman"/>
      <w:sz w:val="24"/>
      <w:szCs w:val="24"/>
    </w:rPr>
  </w:style>
  <w:style w:type="paragraph" w:customStyle="1" w:styleId="1f1">
    <w:name w:val="УДД1"/>
    <w:aliases w:val="УУР1"/>
    <w:basedOn w:val="aff3"/>
    <w:uiPriority w:val="99"/>
    <w:rsid w:val="0021676E"/>
  </w:style>
  <w:style w:type="character" w:customStyle="1" w:styleId="afffa">
    <w:name w:val="Рекомендация Знак"/>
    <w:basedOn w:val="110"/>
    <w:link w:val="afff9"/>
    <w:uiPriority w:val="99"/>
    <w:locked/>
    <w:rsid w:val="0021676E"/>
    <w:rPr>
      <w:rFonts w:ascii="Times New Roman" w:eastAsia="Times New Roman" w:hAnsi="Times New Roman"/>
      <w:sz w:val="24"/>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b">
    <w:name w:val="Памятки"/>
    <w:basedOn w:val="1f"/>
    <w:link w:val="afffc"/>
    <w:uiPriority w:val="99"/>
    <w:rsid w:val="00094ED6"/>
    <w:rPr>
      <w:i/>
      <w:color w:val="FF0000"/>
      <w:sz w:val="18"/>
    </w:rPr>
  </w:style>
  <w:style w:type="character" w:customStyle="1" w:styleId="afffc">
    <w:name w:val="Памятки Знак"/>
    <w:basedOn w:val="1f0"/>
    <w:link w:val="afffb"/>
    <w:uiPriority w:val="99"/>
    <w:locked/>
    <w:rsid w:val="00094ED6"/>
    <w:rPr>
      <w:rFonts w:ascii="Times New Roman" w:hAnsi="Times New Roman" w:cs="Times New Roman"/>
      <w:i/>
      <w:color w:val="FF0000"/>
      <w:sz w:val="24"/>
      <w:szCs w:val="24"/>
    </w:rPr>
  </w:style>
  <w:style w:type="table" w:customStyle="1" w:styleId="7">
    <w:name w:val="Сетка таблицы7"/>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1"/>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ссылка"/>
    <w:basedOn w:val="a0"/>
    <w:link w:val="afffe"/>
    <w:uiPriority w:val="99"/>
    <w:rsid w:val="00A91645"/>
    <w:rPr>
      <w:rFonts w:eastAsia="Times New Roman"/>
      <w:i/>
      <w:color w:val="0070C0"/>
      <w:szCs w:val="24"/>
      <w:u w:val="single"/>
    </w:rPr>
  </w:style>
  <w:style w:type="character" w:customStyle="1" w:styleId="afffe">
    <w:name w:val="ссылка Знак"/>
    <w:basedOn w:val="a3"/>
    <w:link w:val="afffd"/>
    <w:uiPriority w:val="99"/>
    <w:locked/>
    <w:rsid w:val="00A91645"/>
    <w:rPr>
      <w:rFonts w:ascii="Times New Roman" w:hAnsi="Times New Roman" w:cs="Times New Roman"/>
      <w:i/>
      <w:color w:val="0070C0"/>
      <w:sz w:val="24"/>
      <w:szCs w:val="24"/>
      <w:u w:val="single"/>
    </w:rPr>
  </w:style>
  <w:style w:type="character" w:customStyle="1" w:styleId="affff">
    <w:name w:val="Основной текст_"/>
    <w:basedOn w:val="a3"/>
    <w:link w:val="1f3"/>
    <w:uiPriority w:val="99"/>
    <w:locked/>
    <w:rsid w:val="00C4630C"/>
    <w:rPr>
      <w:rFonts w:ascii="Times New Roman" w:hAnsi="Times New Roman" w:cs="Times New Roman"/>
      <w:sz w:val="28"/>
      <w:szCs w:val="28"/>
      <w:shd w:val="clear" w:color="auto" w:fill="FFFFFF"/>
    </w:rPr>
  </w:style>
  <w:style w:type="character" w:customStyle="1" w:styleId="22">
    <w:name w:val="Заголовок №2_"/>
    <w:basedOn w:val="a3"/>
    <w:link w:val="23"/>
    <w:uiPriority w:val="99"/>
    <w:locked/>
    <w:rsid w:val="00C4630C"/>
    <w:rPr>
      <w:rFonts w:ascii="Times New Roman" w:hAnsi="Times New Roman" w:cs="Times New Roman"/>
      <w:b/>
      <w:bCs/>
      <w:sz w:val="28"/>
      <w:szCs w:val="28"/>
      <w:shd w:val="clear" w:color="auto" w:fill="FFFFFF"/>
    </w:rPr>
  </w:style>
  <w:style w:type="paragraph" w:customStyle="1" w:styleId="1f3">
    <w:name w:val="Основной текст1"/>
    <w:basedOn w:val="a0"/>
    <w:link w:val="affff"/>
    <w:uiPriority w:val="99"/>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uiPriority w:val="99"/>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32">
    <w:name w:val="Стиль3"/>
    <w:basedOn w:val="a0"/>
    <w:link w:val="33"/>
    <w:qFormat/>
    <w:rsid w:val="000A4C83"/>
    <w:pPr>
      <w:contextualSpacing/>
    </w:pPr>
    <w:rPr>
      <w:rFonts w:eastAsia="MS Mincho"/>
      <w:b/>
      <w:color w:val="303030"/>
      <w:szCs w:val="24"/>
      <w:shd w:val="clear" w:color="auto" w:fill="FFFFFF"/>
    </w:rPr>
  </w:style>
  <w:style w:type="character" w:customStyle="1" w:styleId="33">
    <w:name w:val="Стиль3 Знак"/>
    <w:link w:val="32"/>
    <w:rsid w:val="000A4C83"/>
    <w:rPr>
      <w:rFonts w:ascii="Times New Roman" w:eastAsia="MS Mincho" w:hAnsi="Times New Roman"/>
      <w:b/>
      <w:color w:val="303030"/>
      <w:sz w:val="24"/>
      <w:szCs w:val="24"/>
      <w:lang w:eastAsia="en-US"/>
    </w:rPr>
  </w:style>
  <w:style w:type="paragraph" w:customStyle="1" w:styleId="-11">
    <w:name w:val="Цветной список - Акцент 11"/>
    <w:basedOn w:val="a0"/>
    <w:link w:val="-1"/>
    <w:uiPriority w:val="34"/>
    <w:qFormat/>
    <w:rsid w:val="00275615"/>
    <w:pPr>
      <w:ind w:left="720"/>
      <w:contextualSpacing/>
    </w:pPr>
    <w:rPr>
      <w:rFonts w:eastAsia="Times New Roman"/>
      <w:szCs w:val="24"/>
      <w:lang w:eastAsia="ru-RU"/>
    </w:rPr>
  </w:style>
  <w:style w:type="paragraph" w:customStyle="1" w:styleId="-12">
    <w:name w:val="Цветной список - Акцент 12"/>
    <w:basedOn w:val="a0"/>
    <w:uiPriority w:val="72"/>
    <w:qFormat/>
    <w:rsid w:val="00275615"/>
    <w:pPr>
      <w:ind w:left="720"/>
      <w:contextualSpacing/>
    </w:pPr>
    <w:rPr>
      <w:rFonts w:eastAsia="Times New Roman"/>
      <w:szCs w:val="24"/>
      <w:lang w:eastAsia="ru-RU"/>
    </w:rPr>
  </w:style>
  <w:style w:type="character" w:customStyle="1" w:styleId="-1">
    <w:name w:val="Цветной список - Акцент 1 Знак"/>
    <w:link w:val="-11"/>
    <w:uiPriority w:val="34"/>
    <w:rsid w:val="00275615"/>
    <w:rPr>
      <w:rFonts w:ascii="Times New Roman" w:eastAsia="Times New Roman" w:hAnsi="Times New Roman"/>
      <w:sz w:val="24"/>
      <w:szCs w:val="24"/>
    </w:rPr>
  </w:style>
  <w:style w:type="paragraph" w:customStyle="1" w:styleId="affff0">
    <w:name w:val="уд"/>
    <w:basedOn w:val="1"/>
    <w:link w:val="affff1"/>
    <w:qFormat/>
    <w:rsid w:val="00AD2A9B"/>
    <w:pPr>
      <w:numPr>
        <w:numId w:val="0"/>
      </w:numPr>
      <w:spacing w:before="0"/>
      <w:ind w:left="709"/>
      <w:contextualSpacing/>
    </w:pPr>
    <w:rPr>
      <w:rFonts w:eastAsia="MS Mincho"/>
      <w:b/>
      <w:color w:val="303030"/>
      <w:szCs w:val="24"/>
      <w:shd w:val="clear" w:color="auto" w:fill="FFFFFF"/>
    </w:rPr>
  </w:style>
  <w:style w:type="character" w:customStyle="1" w:styleId="affff1">
    <w:name w:val="уд Знак"/>
    <w:basedOn w:val="12"/>
    <w:link w:val="affff0"/>
    <w:rsid w:val="00AD2A9B"/>
    <w:rPr>
      <w:rFonts w:ascii="Times New Roman" w:eastAsia="MS Mincho" w:hAnsi="Times New Roman" w:cs="Times New Roman"/>
      <w:b/>
      <w:color w:val="303030"/>
      <w:sz w:val="24"/>
      <w:szCs w:val="24"/>
      <w:lang w:eastAsia="en-US"/>
    </w:rPr>
  </w:style>
  <w:style w:type="character" w:customStyle="1" w:styleId="notranslate">
    <w:name w:val="notranslate"/>
    <w:basedOn w:val="a3"/>
    <w:rsid w:val="0096111F"/>
  </w:style>
  <w:style w:type="character" w:customStyle="1" w:styleId="40">
    <w:name w:val="Заголовок 4 Знак"/>
    <w:basedOn w:val="a3"/>
    <w:link w:val="4"/>
    <w:rsid w:val="00F8529A"/>
    <w:rPr>
      <w:rFonts w:asciiTheme="majorHAnsi" w:eastAsiaTheme="majorEastAsia" w:hAnsiTheme="majorHAnsi" w:cstheme="majorBidi"/>
      <w:b/>
      <w:bCs/>
      <w:i/>
      <w:iCs/>
      <w:color w:val="4F81BD" w:themeColor="accent1"/>
      <w:sz w:val="24"/>
      <w:lang w:eastAsia="en-US"/>
    </w:rPr>
  </w:style>
  <w:style w:type="character" w:styleId="affff2">
    <w:name w:val="FollowedHyperlink"/>
    <w:basedOn w:val="a3"/>
    <w:uiPriority w:val="99"/>
    <w:semiHidden/>
    <w:unhideWhenUsed/>
    <w:rsid w:val="00DC7E37"/>
    <w:rPr>
      <w:color w:val="800080" w:themeColor="followedHyperlink"/>
      <w:u w:val="single"/>
    </w:rPr>
  </w:style>
  <w:style w:type="character" w:customStyle="1" w:styleId="30">
    <w:name w:val="Заголовок 3 Знак"/>
    <w:basedOn w:val="a3"/>
    <w:link w:val="3"/>
    <w:rsid w:val="00AD2A9B"/>
    <w:rPr>
      <w:rFonts w:asciiTheme="majorHAnsi" w:eastAsiaTheme="majorEastAsia" w:hAnsiTheme="majorHAnsi" w:cstheme="majorBidi"/>
      <w:color w:val="243F60" w:themeColor="accent1" w:themeShade="7F"/>
      <w:sz w:val="24"/>
      <w:szCs w:val="24"/>
      <w:lang w:eastAsia="en-US"/>
    </w:rPr>
  </w:style>
  <w:style w:type="paragraph" w:styleId="affff3">
    <w:name w:val="Bibliography"/>
    <w:basedOn w:val="a0"/>
    <w:next w:val="a0"/>
    <w:uiPriority w:val="37"/>
    <w:unhideWhenUsed/>
    <w:rsid w:val="00F44EA5"/>
    <w:pPr>
      <w:tabs>
        <w:tab w:val="left" w:pos="384"/>
      </w:tabs>
      <w:spacing w:line="240" w:lineRule="auto"/>
      <w:ind w:left="384" w:hanging="384"/>
    </w:pPr>
  </w:style>
  <w:style w:type="paragraph" w:customStyle="1" w:styleId="SDText">
    <w:name w:val="SD_Text"/>
    <w:basedOn w:val="a0"/>
    <w:link w:val="SDText0"/>
    <w:qFormat/>
    <w:rsid w:val="00F6654A"/>
    <w:pPr>
      <w:spacing w:after="160" w:line="276" w:lineRule="auto"/>
      <w:ind w:firstLine="0"/>
    </w:pPr>
    <w:rPr>
      <w:rFonts w:eastAsiaTheme="minorHAnsi" w:cstheme="minorBidi"/>
    </w:rPr>
  </w:style>
  <w:style w:type="character" w:customStyle="1" w:styleId="SDText0">
    <w:name w:val="SD_Text Знак"/>
    <w:basedOn w:val="11"/>
    <w:link w:val="SDText"/>
    <w:rsid w:val="00F6654A"/>
    <w:rPr>
      <w:rFonts w:ascii="Times New Roman" w:eastAsiaTheme="minorHAnsi" w:hAnsi="Times New Roman" w:cstheme="minorBidi"/>
      <w:b w:val="0"/>
      <w:sz w:val="24"/>
      <w:lang w:eastAsia="en-US"/>
    </w:rPr>
  </w:style>
  <w:style w:type="paragraph" w:customStyle="1" w:styleId="SDTable">
    <w:name w:val="SD_Table"/>
    <w:basedOn w:val="af9"/>
    <w:qFormat/>
    <w:rsid w:val="00F6654A"/>
    <w:pPr>
      <w:keepNext/>
      <w:keepLines/>
      <w:suppressLineNumbers w:val="0"/>
      <w:suppressAutoHyphens/>
      <w:spacing w:after="200"/>
      <w:ind w:firstLine="0"/>
      <w:jc w:val="right"/>
    </w:pPr>
    <w:rPr>
      <w:rFonts w:eastAsiaTheme="minorHAnsi" w:cstheme="minorBidi"/>
      <w:b/>
      <w:sz w:val="20"/>
      <w:szCs w:val="18"/>
    </w:rPr>
  </w:style>
  <w:style w:type="character" w:customStyle="1" w:styleId="1f4">
    <w:name w:val="Неразрешенное упоминание1"/>
    <w:basedOn w:val="a3"/>
    <w:uiPriority w:val="99"/>
    <w:semiHidden/>
    <w:unhideWhenUsed/>
    <w:rsid w:val="005409E4"/>
    <w:rPr>
      <w:color w:val="605E5C"/>
      <w:shd w:val="clear" w:color="auto" w:fill="E1DFDD"/>
    </w:rPr>
  </w:style>
  <w:style w:type="character" w:customStyle="1" w:styleId="refseries">
    <w:name w:val="ref__series"/>
    <w:basedOn w:val="a3"/>
    <w:rsid w:val="00D850C9"/>
  </w:style>
  <w:style w:type="character" w:customStyle="1" w:styleId="refseriesdate">
    <w:name w:val="ref__seriesdate"/>
    <w:basedOn w:val="a3"/>
    <w:rsid w:val="00D850C9"/>
  </w:style>
  <w:style w:type="character" w:customStyle="1" w:styleId="refseriesvolume">
    <w:name w:val="ref__seriesvolume"/>
    <w:basedOn w:val="a3"/>
    <w:rsid w:val="00D850C9"/>
  </w:style>
  <w:style w:type="character" w:customStyle="1" w:styleId="refseriespages">
    <w:name w:val="ref__seriespages"/>
    <w:basedOn w:val="a3"/>
    <w:rsid w:val="00D850C9"/>
  </w:style>
  <w:style w:type="character" w:customStyle="1" w:styleId="ref-title">
    <w:name w:val="ref-title"/>
    <w:basedOn w:val="a3"/>
    <w:rsid w:val="00D70FF9"/>
  </w:style>
  <w:style w:type="character" w:customStyle="1" w:styleId="ref-journal">
    <w:name w:val="ref-journal"/>
    <w:basedOn w:val="a3"/>
    <w:rsid w:val="00D70FF9"/>
  </w:style>
  <w:style w:type="character" w:customStyle="1" w:styleId="ref-vol">
    <w:name w:val="ref-vol"/>
    <w:basedOn w:val="a3"/>
    <w:rsid w:val="00D70FF9"/>
  </w:style>
  <w:style w:type="character" w:customStyle="1" w:styleId="mixed-citation">
    <w:name w:val="mixed-citation"/>
    <w:basedOn w:val="a3"/>
    <w:rsid w:val="00005B53"/>
  </w:style>
  <w:style w:type="character" w:customStyle="1" w:styleId="24">
    <w:name w:val="Неразрешенное упоминание2"/>
    <w:basedOn w:val="a3"/>
    <w:uiPriority w:val="99"/>
    <w:semiHidden/>
    <w:unhideWhenUsed/>
    <w:rsid w:val="00FE1DF4"/>
    <w:rPr>
      <w:color w:val="605E5C"/>
      <w:shd w:val="clear" w:color="auto" w:fill="E1DFDD"/>
    </w:rPr>
  </w:style>
  <w:style w:type="paragraph" w:customStyle="1" w:styleId="loaitem">
    <w:name w:val="loa__item"/>
    <w:basedOn w:val="a0"/>
    <w:rsid w:val="00FE1DF4"/>
    <w:pPr>
      <w:spacing w:before="100" w:beforeAutospacing="1" w:after="100" w:afterAutospacing="1" w:line="240" w:lineRule="auto"/>
      <w:ind w:firstLine="0"/>
      <w:jc w:val="left"/>
    </w:pPr>
    <w:rPr>
      <w:rFonts w:eastAsia="Times New Roman"/>
      <w:szCs w:val="24"/>
      <w:lang w:eastAsia="ru-RU"/>
    </w:rPr>
  </w:style>
  <w:style w:type="character" w:customStyle="1" w:styleId="doi">
    <w:name w:val="doi"/>
    <w:basedOn w:val="a3"/>
    <w:rsid w:val="00FE1DF4"/>
  </w:style>
  <w:style w:type="character" w:customStyle="1" w:styleId="article-headerpublish-datelabel">
    <w:name w:val="article-header__publish-date__label"/>
    <w:basedOn w:val="a3"/>
    <w:rsid w:val="00FE1DF4"/>
  </w:style>
  <w:style w:type="character" w:customStyle="1" w:styleId="article-headerpublish-datevalue">
    <w:name w:val="article-header__publish-date__value"/>
    <w:basedOn w:val="a3"/>
    <w:rsid w:val="00FE1DF4"/>
  </w:style>
  <w:style w:type="character" w:customStyle="1" w:styleId="article-headerdoi">
    <w:name w:val="article-header__doi"/>
    <w:basedOn w:val="a3"/>
    <w:rsid w:val="00FE1DF4"/>
  </w:style>
  <w:style w:type="character" w:customStyle="1" w:styleId="article-headerdoilabel">
    <w:name w:val="article-header__doi__label"/>
    <w:basedOn w:val="a3"/>
    <w:rsid w:val="00FE1DF4"/>
  </w:style>
  <w:style w:type="character" w:customStyle="1" w:styleId="prefix-text-collaborationgroup">
    <w:name w:val="prefix-text-collaborationgroup"/>
    <w:basedOn w:val="a3"/>
    <w:rsid w:val="00FE1DF4"/>
  </w:style>
  <w:style w:type="character" w:customStyle="1" w:styleId="article-headerpages">
    <w:name w:val="article-header__pages"/>
    <w:basedOn w:val="a3"/>
    <w:rsid w:val="00FE1DF4"/>
  </w:style>
  <w:style w:type="character" w:customStyle="1" w:styleId="article-headerdate">
    <w:name w:val="article-header__date"/>
    <w:basedOn w:val="a3"/>
    <w:rsid w:val="00FE1DF4"/>
  </w:style>
  <w:style w:type="character" w:customStyle="1" w:styleId="hlfld-contribauthor">
    <w:name w:val="hlfld-contribauthor"/>
    <w:basedOn w:val="a3"/>
    <w:rsid w:val="00FC6B9E"/>
  </w:style>
  <w:style w:type="paragraph" w:styleId="z-">
    <w:name w:val="HTML Top of Form"/>
    <w:basedOn w:val="a0"/>
    <w:next w:val="a0"/>
    <w:link w:val="z-0"/>
    <w:hidden/>
    <w:uiPriority w:val="99"/>
    <w:semiHidden/>
    <w:unhideWhenUsed/>
    <w:rsid w:val="002C0C7A"/>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2C0C7A"/>
    <w:rPr>
      <w:rFonts w:ascii="Arial" w:eastAsia="Times New Roman" w:hAnsi="Arial" w:cs="Arial"/>
      <w:vanish/>
      <w:sz w:val="16"/>
      <w:szCs w:val="16"/>
    </w:rPr>
  </w:style>
  <w:style w:type="character" w:customStyle="1" w:styleId="download-title">
    <w:name w:val="download-title"/>
    <w:basedOn w:val="a3"/>
    <w:rsid w:val="002C0C7A"/>
  </w:style>
  <w:style w:type="paragraph" w:styleId="z-1">
    <w:name w:val="HTML Bottom of Form"/>
    <w:basedOn w:val="a0"/>
    <w:next w:val="a0"/>
    <w:link w:val="z-2"/>
    <w:hidden/>
    <w:uiPriority w:val="99"/>
    <w:semiHidden/>
    <w:unhideWhenUsed/>
    <w:rsid w:val="002C0C7A"/>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2C0C7A"/>
    <w:rPr>
      <w:rFonts w:ascii="Arial" w:eastAsia="Times New Roman" w:hAnsi="Arial" w:cs="Arial"/>
      <w:vanish/>
      <w:sz w:val="16"/>
      <w:szCs w:val="16"/>
    </w:rPr>
  </w:style>
  <w:style w:type="character" w:customStyle="1" w:styleId="34">
    <w:name w:val="Неразрешенное упоминание3"/>
    <w:basedOn w:val="a3"/>
    <w:uiPriority w:val="99"/>
    <w:semiHidden/>
    <w:unhideWhenUsed/>
    <w:rsid w:val="00E917C5"/>
    <w:rPr>
      <w:color w:val="605E5C"/>
      <w:shd w:val="clear" w:color="auto" w:fill="E1DFDD"/>
    </w:rPr>
  </w:style>
  <w:style w:type="character" w:customStyle="1" w:styleId="42">
    <w:name w:val="Неразрешенное упоминание4"/>
    <w:basedOn w:val="a3"/>
    <w:uiPriority w:val="99"/>
    <w:semiHidden/>
    <w:unhideWhenUsed/>
    <w:rsid w:val="00B62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850">
      <w:bodyDiv w:val="1"/>
      <w:marLeft w:val="0"/>
      <w:marRight w:val="0"/>
      <w:marTop w:val="0"/>
      <w:marBottom w:val="0"/>
      <w:divBdr>
        <w:top w:val="none" w:sz="0" w:space="0" w:color="auto"/>
        <w:left w:val="none" w:sz="0" w:space="0" w:color="auto"/>
        <w:bottom w:val="none" w:sz="0" w:space="0" w:color="auto"/>
        <w:right w:val="none" w:sz="0" w:space="0" w:color="auto"/>
      </w:divBdr>
      <w:divsChild>
        <w:div w:id="62677336">
          <w:marLeft w:val="0"/>
          <w:marRight w:val="0"/>
          <w:marTop w:val="0"/>
          <w:marBottom w:val="0"/>
          <w:divBdr>
            <w:top w:val="none" w:sz="0" w:space="0" w:color="auto"/>
            <w:left w:val="none" w:sz="0" w:space="0" w:color="auto"/>
            <w:bottom w:val="none" w:sz="0" w:space="0" w:color="auto"/>
            <w:right w:val="none" w:sz="0" w:space="0" w:color="auto"/>
          </w:divBdr>
          <w:divsChild>
            <w:div w:id="2044667183">
              <w:marLeft w:val="0"/>
              <w:marRight w:val="0"/>
              <w:marTop w:val="0"/>
              <w:marBottom w:val="0"/>
              <w:divBdr>
                <w:top w:val="none" w:sz="0" w:space="0" w:color="auto"/>
                <w:left w:val="none" w:sz="0" w:space="0" w:color="auto"/>
                <w:bottom w:val="none" w:sz="0" w:space="0" w:color="auto"/>
                <w:right w:val="none" w:sz="0" w:space="0" w:color="auto"/>
              </w:divBdr>
              <w:divsChild>
                <w:div w:id="15033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297">
      <w:bodyDiv w:val="1"/>
      <w:marLeft w:val="0"/>
      <w:marRight w:val="0"/>
      <w:marTop w:val="0"/>
      <w:marBottom w:val="0"/>
      <w:divBdr>
        <w:top w:val="none" w:sz="0" w:space="0" w:color="auto"/>
        <w:left w:val="none" w:sz="0" w:space="0" w:color="auto"/>
        <w:bottom w:val="none" w:sz="0" w:space="0" w:color="auto"/>
        <w:right w:val="none" w:sz="0" w:space="0" w:color="auto"/>
      </w:divBdr>
    </w:div>
    <w:div w:id="37584167">
      <w:bodyDiv w:val="1"/>
      <w:marLeft w:val="0"/>
      <w:marRight w:val="0"/>
      <w:marTop w:val="0"/>
      <w:marBottom w:val="0"/>
      <w:divBdr>
        <w:top w:val="none" w:sz="0" w:space="0" w:color="auto"/>
        <w:left w:val="none" w:sz="0" w:space="0" w:color="auto"/>
        <w:bottom w:val="none" w:sz="0" w:space="0" w:color="auto"/>
        <w:right w:val="none" w:sz="0" w:space="0" w:color="auto"/>
      </w:divBdr>
    </w:div>
    <w:div w:id="80764500">
      <w:bodyDiv w:val="1"/>
      <w:marLeft w:val="0"/>
      <w:marRight w:val="0"/>
      <w:marTop w:val="0"/>
      <w:marBottom w:val="0"/>
      <w:divBdr>
        <w:top w:val="none" w:sz="0" w:space="0" w:color="auto"/>
        <w:left w:val="none" w:sz="0" w:space="0" w:color="auto"/>
        <w:bottom w:val="none" w:sz="0" w:space="0" w:color="auto"/>
        <w:right w:val="none" w:sz="0" w:space="0" w:color="auto"/>
      </w:divBdr>
      <w:divsChild>
        <w:div w:id="1862040568">
          <w:marLeft w:val="0"/>
          <w:marRight w:val="0"/>
          <w:marTop w:val="0"/>
          <w:marBottom w:val="0"/>
          <w:divBdr>
            <w:top w:val="none" w:sz="0" w:space="0" w:color="auto"/>
            <w:left w:val="none" w:sz="0" w:space="0" w:color="auto"/>
            <w:bottom w:val="none" w:sz="0" w:space="0" w:color="auto"/>
            <w:right w:val="none" w:sz="0" w:space="0" w:color="auto"/>
          </w:divBdr>
          <w:divsChild>
            <w:div w:id="132724993">
              <w:marLeft w:val="0"/>
              <w:marRight w:val="0"/>
              <w:marTop w:val="0"/>
              <w:marBottom w:val="0"/>
              <w:divBdr>
                <w:top w:val="none" w:sz="0" w:space="0" w:color="auto"/>
                <w:left w:val="none" w:sz="0" w:space="0" w:color="auto"/>
                <w:bottom w:val="none" w:sz="0" w:space="0" w:color="auto"/>
                <w:right w:val="none" w:sz="0" w:space="0" w:color="auto"/>
              </w:divBdr>
              <w:divsChild>
                <w:div w:id="1921866585">
                  <w:marLeft w:val="0"/>
                  <w:marRight w:val="0"/>
                  <w:marTop w:val="0"/>
                  <w:marBottom w:val="0"/>
                  <w:divBdr>
                    <w:top w:val="none" w:sz="0" w:space="0" w:color="auto"/>
                    <w:left w:val="none" w:sz="0" w:space="0" w:color="auto"/>
                    <w:bottom w:val="none" w:sz="0" w:space="0" w:color="auto"/>
                    <w:right w:val="none" w:sz="0" w:space="0" w:color="auto"/>
                  </w:divBdr>
                  <w:divsChild>
                    <w:div w:id="11736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4729">
      <w:bodyDiv w:val="1"/>
      <w:marLeft w:val="0"/>
      <w:marRight w:val="0"/>
      <w:marTop w:val="0"/>
      <w:marBottom w:val="0"/>
      <w:divBdr>
        <w:top w:val="none" w:sz="0" w:space="0" w:color="auto"/>
        <w:left w:val="none" w:sz="0" w:space="0" w:color="auto"/>
        <w:bottom w:val="none" w:sz="0" w:space="0" w:color="auto"/>
        <w:right w:val="none" w:sz="0" w:space="0" w:color="auto"/>
      </w:divBdr>
      <w:divsChild>
        <w:div w:id="227346466">
          <w:marLeft w:val="0"/>
          <w:marRight w:val="0"/>
          <w:marTop w:val="0"/>
          <w:marBottom w:val="0"/>
          <w:divBdr>
            <w:top w:val="none" w:sz="0" w:space="0" w:color="auto"/>
            <w:left w:val="none" w:sz="0" w:space="0" w:color="auto"/>
            <w:bottom w:val="none" w:sz="0" w:space="0" w:color="auto"/>
            <w:right w:val="none" w:sz="0" w:space="0" w:color="auto"/>
          </w:divBdr>
          <w:divsChild>
            <w:div w:id="165025120">
              <w:marLeft w:val="0"/>
              <w:marRight w:val="0"/>
              <w:marTop w:val="0"/>
              <w:marBottom w:val="0"/>
              <w:divBdr>
                <w:top w:val="none" w:sz="0" w:space="0" w:color="auto"/>
                <w:left w:val="none" w:sz="0" w:space="0" w:color="auto"/>
                <w:bottom w:val="none" w:sz="0" w:space="0" w:color="auto"/>
                <w:right w:val="none" w:sz="0" w:space="0" w:color="auto"/>
              </w:divBdr>
              <w:divsChild>
                <w:div w:id="1202204329">
                  <w:marLeft w:val="0"/>
                  <w:marRight w:val="0"/>
                  <w:marTop w:val="0"/>
                  <w:marBottom w:val="0"/>
                  <w:divBdr>
                    <w:top w:val="none" w:sz="0" w:space="0" w:color="auto"/>
                    <w:left w:val="none" w:sz="0" w:space="0" w:color="auto"/>
                    <w:bottom w:val="none" w:sz="0" w:space="0" w:color="auto"/>
                    <w:right w:val="none" w:sz="0" w:space="0" w:color="auto"/>
                  </w:divBdr>
                </w:div>
                <w:div w:id="292173498">
                  <w:marLeft w:val="0"/>
                  <w:marRight w:val="0"/>
                  <w:marTop w:val="0"/>
                  <w:marBottom w:val="0"/>
                  <w:divBdr>
                    <w:top w:val="none" w:sz="0" w:space="0" w:color="auto"/>
                    <w:left w:val="none" w:sz="0" w:space="0" w:color="auto"/>
                    <w:bottom w:val="none" w:sz="0" w:space="0" w:color="auto"/>
                    <w:right w:val="none" w:sz="0" w:space="0" w:color="auto"/>
                  </w:divBdr>
                </w:div>
              </w:divsChild>
            </w:div>
            <w:div w:id="957569914">
              <w:marLeft w:val="0"/>
              <w:marRight w:val="0"/>
              <w:marTop w:val="0"/>
              <w:marBottom w:val="0"/>
              <w:divBdr>
                <w:top w:val="none" w:sz="0" w:space="0" w:color="auto"/>
                <w:left w:val="none" w:sz="0" w:space="0" w:color="auto"/>
                <w:bottom w:val="none" w:sz="0" w:space="0" w:color="auto"/>
                <w:right w:val="none" w:sz="0" w:space="0" w:color="auto"/>
              </w:divBdr>
              <w:divsChild>
                <w:div w:id="6374316">
                  <w:marLeft w:val="0"/>
                  <w:marRight w:val="0"/>
                  <w:marTop w:val="0"/>
                  <w:marBottom w:val="0"/>
                  <w:divBdr>
                    <w:top w:val="none" w:sz="0" w:space="0" w:color="auto"/>
                    <w:left w:val="none" w:sz="0" w:space="0" w:color="auto"/>
                    <w:bottom w:val="none" w:sz="0" w:space="0" w:color="auto"/>
                    <w:right w:val="none" w:sz="0" w:space="0" w:color="auto"/>
                  </w:divBdr>
                  <w:divsChild>
                    <w:div w:id="618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1740">
      <w:marLeft w:val="0"/>
      <w:marRight w:val="0"/>
      <w:marTop w:val="0"/>
      <w:marBottom w:val="0"/>
      <w:divBdr>
        <w:top w:val="none" w:sz="0" w:space="0" w:color="auto"/>
        <w:left w:val="none" w:sz="0" w:space="0" w:color="auto"/>
        <w:bottom w:val="none" w:sz="0" w:space="0" w:color="auto"/>
        <w:right w:val="none" w:sz="0" w:space="0" w:color="auto"/>
      </w:divBdr>
    </w:div>
    <w:div w:id="194731741">
      <w:marLeft w:val="0"/>
      <w:marRight w:val="0"/>
      <w:marTop w:val="0"/>
      <w:marBottom w:val="0"/>
      <w:divBdr>
        <w:top w:val="none" w:sz="0" w:space="0" w:color="auto"/>
        <w:left w:val="none" w:sz="0" w:space="0" w:color="auto"/>
        <w:bottom w:val="none" w:sz="0" w:space="0" w:color="auto"/>
        <w:right w:val="none" w:sz="0" w:space="0" w:color="auto"/>
      </w:divBdr>
    </w:div>
    <w:div w:id="194731743">
      <w:marLeft w:val="0"/>
      <w:marRight w:val="0"/>
      <w:marTop w:val="0"/>
      <w:marBottom w:val="0"/>
      <w:divBdr>
        <w:top w:val="none" w:sz="0" w:space="0" w:color="auto"/>
        <w:left w:val="none" w:sz="0" w:space="0" w:color="auto"/>
        <w:bottom w:val="none" w:sz="0" w:space="0" w:color="auto"/>
        <w:right w:val="none" w:sz="0" w:space="0" w:color="auto"/>
      </w:divBdr>
    </w:div>
    <w:div w:id="194731744">
      <w:marLeft w:val="0"/>
      <w:marRight w:val="0"/>
      <w:marTop w:val="0"/>
      <w:marBottom w:val="0"/>
      <w:divBdr>
        <w:top w:val="none" w:sz="0" w:space="0" w:color="auto"/>
        <w:left w:val="none" w:sz="0" w:space="0" w:color="auto"/>
        <w:bottom w:val="none" w:sz="0" w:space="0" w:color="auto"/>
        <w:right w:val="none" w:sz="0" w:space="0" w:color="auto"/>
      </w:divBdr>
    </w:div>
    <w:div w:id="194731745">
      <w:marLeft w:val="0"/>
      <w:marRight w:val="0"/>
      <w:marTop w:val="0"/>
      <w:marBottom w:val="0"/>
      <w:divBdr>
        <w:top w:val="none" w:sz="0" w:space="0" w:color="auto"/>
        <w:left w:val="none" w:sz="0" w:space="0" w:color="auto"/>
        <w:bottom w:val="none" w:sz="0" w:space="0" w:color="auto"/>
        <w:right w:val="none" w:sz="0" w:space="0" w:color="auto"/>
      </w:divBdr>
    </w:div>
    <w:div w:id="194731746">
      <w:marLeft w:val="0"/>
      <w:marRight w:val="0"/>
      <w:marTop w:val="0"/>
      <w:marBottom w:val="0"/>
      <w:divBdr>
        <w:top w:val="none" w:sz="0" w:space="0" w:color="auto"/>
        <w:left w:val="none" w:sz="0" w:space="0" w:color="auto"/>
        <w:bottom w:val="none" w:sz="0" w:space="0" w:color="auto"/>
        <w:right w:val="none" w:sz="0" w:space="0" w:color="auto"/>
      </w:divBdr>
    </w:div>
    <w:div w:id="194731747">
      <w:marLeft w:val="0"/>
      <w:marRight w:val="0"/>
      <w:marTop w:val="0"/>
      <w:marBottom w:val="0"/>
      <w:divBdr>
        <w:top w:val="none" w:sz="0" w:space="0" w:color="auto"/>
        <w:left w:val="none" w:sz="0" w:space="0" w:color="auto"/>
        <w:bottom w:val="none" w:sz="0" w:space="0" w:color="auto"/>
        <w:right w:val="none" w:sz="0" w:space="0" w:color="auto"/>
      </w:divBdr>
    </w:div>
    <w:div w:id="194731748">
      <w:marLeft w:val="0"/>
      <w:marRight w:val="0"/>
      <w:marTop w:val="0"/>
      <w:marBottom w:val="0"/>
      <w:divBdr>
        <w:top w:val="none" w:sz="0" w:space="0" w:color="auto"/>
        <w:left w:val="none" w:sz="0" w:space="0" w:color="auto"/>
        <w:bottom w:val="none" w:sz="0" w:space="0" w:color="auto"/>
        <w:right w:val="none" w:sz="0" w:space="0" w:color="auto"/>
      </w:divBdr>
    </w:div>
    <w:div w:id="194731749">
      <w:marLeft w:val="0"/>
      <w:marRight w:val="0"/>
      <w:marTop w:val="0"/>
      <w:marBottom w:val="0"/>
      <w:divBdr>
        <w:top w:val="none" w:sz="0" w:space="0" w:color="auto"/>
        <w:left w:val="none" w:sz="0" w:space="0" w:color="auto"/>
        <w:bottom w:val="none" w:sz="0" w:space="0" w:color="auto"/>
        <w:right w:val="none" w:sz="0" w:space="0" w:color="auto"/>
      </w:divBdr>
    </w:div>
    <w:div w:id="194731750">
      <w:marLeft w:val="0"/>
      <w:marRight w:val="0"/>
      <w:marTop w:val="0"/>
      <w:marBottom w:val="0"/>
      <w:divBdr>
        <w:top w:val="none" w:sz="0" w:space="0" w:color="auto"/>
        <w:left w:val="none" w:sz="0" w:space="0" w:color="auto"/>
        <w:bottom w:val="none" w:sz="0" w:space="0" w:color="auto"/>
        <w:right w:val="none" w:sz="0" w:space="0" w:color="auto"/>
      </w:divBdr>
    </w:div>
    <w:div w:id="194731751">
      <w:marLeft w:val="0"/>
      <w:marRight w:val="0"/>
      <w:marTop w:val="0"/>
      <w:marBottom w:val="0"/>
      <w:divBdr>
        <w:top w:val="none" w:sz="0" w:space="0" w:color="auto"/>
        <w:left w:val="none" w:sz="0" w:space="0" w:color="auto"/>
        <w:bottom w:val="none" w:sz="0" w:space="0" w:color="auto"/>
        <w:right w:val="none" w:sz="0" w:space="0" w:color="auto"/>
      </w:divBdr>
    </w:div>
    <w:div w:id="194731752">
      <w:marLeft w:val="0"/>
      <w:marRight w:val="0"/>
      <w:marTop w:val="0"/>
      <w:marBottom w:val="0"/>
      <w:divBdr>
        <w:top w:val="none" w:sz="0" w:space="0" w:color="auto"/>
        <w:left w:val="none" w:sz="0" w:space="0" w:color="auto"/>
        <w:bottom w:val="none" w:sz="0" w:space="0" w:color="auto"/>
        <w:right w:val="none" w:sz="0" w:space="0" w:color="auto"/>
      </w:divBdr>
    </w:div>
    <w:div w:id="194731753">
      <w:marLeft w:val="0"/>
      <w:marRight w:val="0"/>
      <w:marTop w:val="0"/>
      <w:marBottom w:val="0"/>
      <w:divBdr>
        <w:top w:val="none" w:sz="0" w:space="0" w:color="auto"/>
        <w:left w:val="none" w:sz="0" w:space="0" w:color="auto"/>
        <w:bottom w:val="none" w:sz="0" w:space="0" w:color="auto"/>
        <w:right w:val="none" w:sz="0" w:space="0" w:color="auto"/>
      </w:divBdr>
    </w:div>
    <w:div w:id="194731755">
      <w:marLeft w:val="0"/>
      <w:marRight w:val="0"/>
      <w:marTop w:val="0"/>
      <w:marBottom w:val="0"/>
      <w:divBdr>
        <w:top w:val="none" w:sz="0" w:space="0" w:color="auto"/>
        <w:left w:val="none" w:sz="0" w:space="0" w:color="auto"/>
        <w:bottom w:val="none" w:sz="0" w:space="0" w:color="auto"/>
        <w:right w:val="none" w:sz="0" w:space="0" w:color="auto"/>
      </w:divBdr>
    </w:div>
    <w:div w:id="194731756">
      <w:marLeft w:val="0"/>
      <w:marRight w:val="0"/>
      <w:marTop w:val="0"/>
      <w:marBottom w:val="0"/>
      <w:divBdr>
        <w:top w:val="none" w:sz="0" w:space="0" w:color="auto"/>
        <w:left w:val="none" w:sz="0" w:space="0" w:color="auto"/>
        <w:bottom w:val="none" w:sz="0" w:space="0" w:color="auto"/>
        <w:right w:val="none" w:sz="0" w:space="0" w:color="auto"/>
      </w:divBdr>
    </w:div>
    <w:div w:id="194731757">
      <w:marLeft w:val="0"/>
      <w:marRight w:val="0"/>
      <w:marTop w:val="0"/>
      <w:marBottom w:val="0"/>
      <w:divBdr>
        <w:top w:val="none" w:sz="0" w:space="0" w:color="auto"/>
        <w:left w:val="none" w:sz="0" w:space="0" w:color="auto"/>
        <w:bottom w:val="none" w:sz="0" w:space="0" w:color="auto"/>
        <w:right w:val="none" w:sz="0" w:space="0" w:color="auto"/>
      </w:divBdr>
    </w:div>
    <w:div w:id="194731758">
      <w:marLeft w:val="0"/>
      <w:marRight w:val="0"/>
      <w:marTop w:val="0"/>
      <w:marBottom w:val="0"/>
      <w:divBdr>
        <w:top w:val="none" w:sz="0" w:space="0" w:color="auto"/>
        <w:left w:val="none" w:sz="0" w:space="0" w:color="auto"/>
        <w:bottom w:val="none" w:sz="0" w:space="0" w:color="auto"/>
        <w:right w:val="none" w:sz="0" w:space="0" w:color="auto"/>
      </w:divBdr>
    </w:div>
    <w:div w:id="194731759">
      <w:marLeft w:val="0"/>
      <w:marRight w:val="0"/>
      <w:marTop w:val="0"/>
      <w:marBottom w:val="0"/>
      <w:divBdr>
        <w:top w:val="none" w:sz="0" w:space="0" w:color="auto"/>
        <w:left w:val="none" w:sz="0" w:space="0" w:color="auto"/>
        <w:bottom w:val="none" w:sz="0" w:space="0" w:color="auto"/>
        <w:right w:val="none" w:sz="0" w:space="0" w:color="auto"/>
      </w:divBdr>
    </w:div>
    <w:div w:id="194731760">
      <w:marLeft w:val="0"/>
      <w:marRight w:val="0"/>
      <w:marTop w:val="0"/>
      <w:marBottom w:val="0"/>
      <w:divBdr>
        <w:top w:val="none" w:sz="0" w:space="0" w:color="auto"/>
        <w:left w:val="none" w:sz="0" w:space="0" w:color="auto"/>
        <w:bottom w:val="none" w:sz="0" w:space="0" w:color="auto"/>
        <w:right w:val="none" w:sz="0" w:space="0" w:color="auto"/>
      </w:divBdr>
    </w:div>
    <w:div w:id="194731761">
      <w:marLeft w:val="0"/>
      <w:marRight w:val="0"/>
      <w:marTop w:val="0"/>
      <w:marBottom w:val="0"/>
      <w:divBdr>
        <w:top w:val="none" w:sz="0" w:space="0" w:color="auto"/>
        <w:left w:val="none" w:sz="0" w:space="0" w:color="auto"/>
        <w:bottom w:val="none" w:sz="0" w:space="0" w:color="auto"/>
        <w:right w:val="none" w:sz="0" w:space="0" w:color="auto"/>
      </w:divBdr>
    </w:div>
    <w:div w:id="194731762">
      <w:marLeft w:val="0"/>
      <w:marRight w:val="0"/>
      <w:marTop w:val="0"/>
      <w:marBottom w:val="0"/>
      <w:divBdr>
        <w:top w:val="none" w:sz="0" w:space="0" w:color="auto"/>
        <w:left w:val="none" w:sz="0" w:space="0" w:color="auto"/>
        <w:bottom w:val="none" w:sz="0" w:space="0" w:color="auto"/>
        <w:right w:val="none" w:sz="0" w:space="0" w:color="auto"/>
      </w:divBdr>
    </w:div>
    <w:div w:id="194731763">
      <w:marLeft w:val="0"/>
      <w:marRight w:val="0"/>
      <w:marTop w:val="0"/>
      <w:marBottom w:val="0"/>
      <w:divBdr>
        <w:top w:val="none" w:sz="0" w:space="0" w:color="auto"/>
        <w:left w:val="none" w:sz="0" w:space="0" w:color="auto"/>
        <w:bottom w:val="none" w:sz="0" w:space="0" w:color="auto"/>
        <w:right w:val="none" w:sz="0" w:space="0" w:color="auto"/>
      </w:divBdr>
    </w:div>
    <w:div w:id="194731764">
      <w:marLeft w:val="0"/>
      <w:marRight w:val="0"/>
      <w:marTop w:val="0"/>
      <w:marBottom w:val="0"/>
      <w:divBdr>
        <w:top w:val="none" w:sz="0" w:space="0" w:color="auto"/>
        <w:left w:val="none" w:sz="0" w:space="0" w:color="auto"/>
        <w:bottom w:val="none" w:sz="0" w:space="0" w:color="auto"/>
        <w:right w:val="none" w:sz="0" w:space="0" w:color="auto"/>
      </w:divBdr>
    </w:div>
    <w:div w:id="194731765">
      <w:marLeft w:val="0"/>
      <w:marRight w:val="0"/>
      <w:marTop w:val="0"/>
      <w:marBottom w:val="0"/>
      <w:divBdr>
        <w:top w:val="none" w:sz="0" w:space="0" w:color="auto"/>
        <w:left w:val="none" w:sz="0" w:space="0" w:color="auto"/>
        <w:bottom w:val="none" w:sz="0" w:space="0" w:color="auto"/>
        <w:right w:val="none" w:sz="0" w:space="0" w:color="auto"/>
      </w:divBdr>
    </w:div>
    <w:div w:id="194731766">
      <w:marLeft w:val="0"/>
      <w:marRight w:val="0"/>
      <w:marTop w:val="0"/>
      <w:marBottom w:val="0"/>
      <w:divBdr>
        <w:top w:val="none" w:sz="0" w:space="0" w:color="auto"/>
        <w:left w:val="none" w:sz="0" w:space="0" w:color="auto"/>
        <w:bottom w:val="none" w:sz="0" w:space="0" w:color="auto"/>
        <w:right w:val="none" w:sz="0" w:space="0" w:color="auto"/>
      </w:divBdr>
      <w:divsChild>
        <w:div w:id="194731754">
          <w:marLeft w:val="0"/>
          <w:marRight w:val="0"/>
          <w:marTop w:val="0"/>
          <w:marBottom w:val="0"/>
          <w:divBdr>
            <w:top w:val="none" w:sz="0" w:space="0" w:color="auto"/>
            <w:left w:val="none" w:sz="0" w:space="0" w:color="auto"/>
            <w:bottom w:val="none" w:sz="0" w:space="0" w:color="auto"/>
            <w:right w:val="none" w:sz="0" w:space="0" w:color="auto"/>
          </w:divBdr>
        </w:div>
      </w:divsChild>
    </w:div>
    <w:div w:id="194731767">
      <w:marLeft w:val="0"/>
      <w:marRight w:val="0"/>
      <w:marTop w:val="0"/>
      <w:marBottom w:val="0"/>
      <w:divBdr>
        <w:top w:val="none" w:sz="0" w:space="0" w:color="auto"/>
        <w:left w:val="none" w:sz="0" w:space="0" w:color="auto"/>
        <w:bottom w:val="none" w:sz="0" w:space="0" w:color="auto"/>
        <w:right w:val="none" w:sz="0" w:space="0" w:color="auto"/>
      </w:divBdr>
    </w:div>
    <w:div w:id="194731768">
      <w:marLeft w:val="0"/>
      <w:marRight w:val="0"/>
      <w:marTop w:val="0"/>
      <w:marBottom w:val="0"/>
      <w:divBdr>
        <w:top w:val="none" w:sz="0" w:space="0" w:color="auto"/>
        <w:left w:val="none" w:sz="0" w:space="0" w:color="auto"/>
        <w:bottom w:val="none" w:sz="0" w:space="0" w:color="auto"/>
        <w:right w:val="none" w:sz="0" w:space="0" w:color="auto"/>
      </w:divBdr>
    </w:div>
    <w:div w:id="194731769">
      <w:marLeft w:val="0"/>
      <w:marRight w:val="0"/>
      <w:marTop w:val="0"/>
      <w:marBottom w:val="0"/>
      <w:divBdr>
        <w:top w:val="none" w:sz="0" w:space="0" w:color="auto"/>
        <w:left w:val="none" w:sz="0" w:space="0" w:color="auto"/>
        <w:bottom w:val="none" w:sz="0" w:space="0" w:color="auto"/>
        <w:right w:val="none" w:sz="0" w:space="0" w:color="auto"/>
      </w:divBdr>
    </w:div>
    <w:div w:id="194731770">
      <w:marLeft w:val="0"/>
      <w:marRight w:val="0"/>
      <w:marTop w:val="0"/>
      <w:marBottom w:val="0"/>
      <w:divBdr>
        <w:top w:val="none" w:sz="0" w:space="0" w:color="auto"/>
        <w:left w:val="none" w:sz="0" w:space="0" w:color="auto"/>
        <w:bottom w:val="none" w:sz="0" w:space="0" w:color="auto"/>
        <w:right w:val="none" w:sz="0" w:space="0" w:color="auto"/>
      </w:divBdr>
    </w:div>
    <w:div w:id="194731771">
      <w:marLeft w:val="0"/>
      <w:marRight w:val="0"/>
      <w:marTop w:val="0"/>
      <w:marBottom w:val="0"/>
      <w:divBdr>
        <w:top w:val="none" w:sz="0" w:space="0" w:color="auto"/>
        <w:left w:val="none" w:sz="0" w:space="0" w:color="auto"/>
        <w:bottom w:val="none" w:sz="0" w:space="0" w:color="auto"/>
        <w:right w:val="none" w:sz="0" w:space="0" w:color="auto"/>
      </w:divBdr>
    </w:div>
    <w:div w:id="194731772">
      <w:marLeft w:val="0"/>
      <w:marRight w:val="0"/>
      <w:marTop w:val="0"/>
      <w:marBottom w:val="0"/>
      <w:divBdr>
        <w:top w:val="none" w:sz="0" w:space="0" w:color="auto"/>
        <w:left w:val="none" w:sz="0" w:space="0" w:color="auto"/>
        <w:bottom w:val="none" w:sz="0" w:space="0" w:color="auto"/>
        <w:right w:val="none" w:sz="0" w:space="0" w:color="auto"/>
      </w:divBdr>
    </w:div>
    <w:div w:id="194731773">
      <w:marLeft w:val="0"/>
      <w:marRight w:val="0"/>
      <w:marTop w:val="0"/>
      <w:marBottom w:val="0"/>
      <w:divBdr>
        <w:top w:val="none" w:sz="0" w:space="0" w:color="auto"/>
        <w:left w:val="none" w:sz="0" w:space="0" w:color="auto"/>
        <w:bottom w:val="none" w:sz="0" w:space="0" w:color="auto"/>
        <w:right w:val="none" w:sz="0" w:space="0" w:color="auto"/>
      </w:divBdr>
      <w:divsChild>
        <w:div w:id="194731742">
          <w:marLeft w:val="360"/>
          <w:marRight w:val="0"/>
          <w:marTop w:val="60"/>
          <w:marBottom w:val="0"/>
          <w:divBdr>
            <w:top w:val="none" w:sz="0" w:space="0" w:color="auto"/>
            <w:left w:val="single" w:sz="24" w:space="24" w:color="BBBBAA"/>
            <w:bottom w:val="none" w:sz="0" w:space="0" w:color="auto"/>
            <w:right w:val="none" w:sz="0" w:space="0" w:color="auto"/>
          </w:divBdr>
        </w:div>
      </w:divsChild>
    </w:div>
    <w:div w:id="194731774">
      <w:marLeft w:val="0"/>
      <w:marRight w:val="0"/>
      <w:marTop w:val="0"/>
      <w:marBottom w:val="0"/>
      <w:divBdr>
        <w:top w:val="none" w:sz="0" w:space="0" w:color="auto"/>
        <w:left w:val="none" w:sz="0" w:space="0" w:color="auto"/>
        <w:bottom w:val="none" w:sz="0" w:space="0" w:color="auto"/>
        <w:right w:val="none" w:sz="0" w:space="0" w:color="auto"/>
      </w:divBdr>
    </w:div>
    <w:div w:id="194731775">
      <w:marLeft w:val="0"/>
      <w:marRight w:val="0"/>
      <w:marTop w:val="0"/>
      <w:marBottom w:val="0"/>
      <w:divBdr>
        <w:top w:val="none" w:sz="0" w:space="0" w:color="auto"/>
        <w:left w:val="none" w:sz="0" w:space="0" w:color="auto"/>
        <w:bottom w:val="none" w:sz="0" w:space="0" w:color="auto"/>
        <w:right w:val="none" w:sz="0" w:space="0" w:color="auto"/>
      </w:divBdr>
    </w:div>
    <w:div w:id="194731776">
      <w:marLeft w:val="0"/>
      <w:marRight w:val="0"/>
      <w:marTop w:val="0"/>
      <w:marBottom w:val="0"/>
      <w:divBdr>
        <w:top w:val="none" w:sz="0" w:space="0" w:color="auto"/>
        <w:left w:val="none" w:sz="0" w:space="0" w:color="auto"/>
        <w:bottom w:val="none" w:sz="0" w:space="0" w:color="auto"/>
        <w:right w:val="none" w:sz="0" w:space="0" w:color="auto"/>
      </w:divBdr>
    </w:div>
    <w:div w:id="226382867">
      <w:bodyDiv w:val="1"/>
      <w:marLeft w:val="0"/>
      <w:marRight w:val="0"/>
      <w:marTop w:val="0"/>
      <w:marBottom w:val="0"/>
      <w:divBdr>
        <w:top w:val="none" w:sz="0" w:space="0" w:color="auto"/>
        <w:left w:val="none" w:sz="0" w:space="0" w:color="auto"/>
        <w:bottom w:val="none" w:sz="0" w:space="0" w:color="auto"/>
        <w:right w:val="none" w:sz="0" w:space="0" w:color="auto"/>
      </w:divBdr>
    </w:div>
    <w:div w:id="252979917">
      <w:bodyDiv w:val="1"/>
      <w:marLeft w:val="0"/>
      <w:marRight w:val="0"/>
      <w:marTop w:val="0"/>
      <w:marBottom w:val="0"/>
      <w:divBdr>
        <w:top w:val="none" w:sz="0" w:space="0" w:color="auto"/>
        <w:left w:val="none" w:sz="0" w:space="0" w:color="auto"/>
        <w:bottom w:val="none" w:sz="0" w:space="0" w:color="auto"/>
        <w:right w:val="none" w:sz="0" w:space="0" w:color="auto"/>
      </w:divBdr>
    </w:div>
    <w:div w:id="260112579">
      <w:bodyDiv w:val="1"/>
      <w:marLeft w:val="0"/>
      <w:marRight w:val="0"/>
      <w:marTop w:val="0"/>
      <w:marBottom w:val="0"/>
      <w:divBdr>
        <w:top w:val="none" w:sz="0" w:space="0" w:color="auto"/>
        <w:left w:val="none" w:sz="0" w:space="0" w:color="auto"/>
        <w:bottom w:val="none" w:sz="0" w:space="0" w:color="auto"/>
        <w:right w:val="none" w:sz="0" w:space="0" w:color="auto"/>
      </w:divBdr>
      <w:divsChild>
        <w:div w:id="869881319">
          <w:marLeft w:val="0"/>
          <w:marRight w:val="0"/>
          <w:marTop w:val="0"/>
          <w:marBottom w:val="0"/>
          <w:divBdr>
            <w:top w:val="none" w:sz="0" w:space="0" w:color="auto"/>
            <w:left w:val="none" w:sz="0" w:space="0" w:color="auto"/>
            <w:bottom w:val="none" w:sz="0" w:space="0" w:color="auto"/>
            <w:right w:val="none" w:sz="0" w:space="0" w:color="auto"/>
          </w:divBdr>
        </w:div>
      </w:divsChild>
    </w:div>
    <w:div w:id="303974618">
      <w:bodyDiv w:val="1"/>
      <w:marLeft w:val="0"/>
      <w:marRight w:val="0"/>
      <w:marTop w:val="0"/>
      <w:marBottom w:val="0"/>
      <w:divBdr>
        <w:top w:val="none" w:sz="0" w:space="0" w:color="auto"/>
        <w:left w:val="none" w:sz="0" w:space="0" w:color="auto"/>
        <w:bottom w:val="none" w:sz="0" w:space="0" w:color="auto"/>
        <w:right w:val="none" w:sz="0" w:space="0" w:color="auto"/>
      </w:divBdr>
      <w:divsChild>
        <w:div w:id="1216892210">
          <w:marLeft w:val="0"/>
          <w:marRight w:val="0"/>
          <w:marTop w:val="0"/>
          <w:marBottom w:val="0"/>
          <w:divBdr>
            <w:top w:val="none" w:sz="0" w:space="0" w:color="auto"/>
            <w:left w:val="none" w:sz="0" w:space="0" w:color="auto"/>
            <w:bottom w:val="none" w:sz="0" w:space="0" w:color="auto"/>
            <w:right w:val="none" w:sz="0" w:space="0" w:color="auto"/>
          </w:divBdr>
        </w:div>
      </w:divsChild>
    </w:div>
    <w:div w:id="328144287">
      <w:bodyDiv w:val="1"/>
      <w:marLeft w:val="0"/>
      <w:marRight w:val="0"/>
      <w:marTop w:val="0"/>
      <w:marBottom w:val="0"/>
      <w:divBdr>
        <w:top w:val="none" w:sz="0" w:space="0" w:color="auto"/>
        <w:left w:val="none" w:sz="0" w:space="0" w:color="auto"/>
        <w:bottom w:val="none" w:sz="0" w:space="0" w:color="auto"/>
        <w:right w:val="none" w:sz="0" w:space="0" w:color="auto"/>
      </w:divBdr>
      <w:divsChild>
        <w:div w:id="412778203">
          <w:marLeft w:val="0"/>
          <w:marRight w:val="0"/>
          <w:marTop w:val="0"/>
          <w:marBottom w:val="0"/>
          <w:divBdr>
            <w:top w:val="single" w:sz="6" w:space="0" w:color="5B616B"/>
            <w:left w:val="single" w:sz="6" w:space="0" w:color="5B616B"/>
            <w:bottom w:val="single" w:sz="6" w:space="0" w:color="5B616B"/>
            <w:right w:val="single" w:sz="6" w:space="0" w:color="5B616B"/>
          </w:divBdr>
        </w:div>
        <w:div w:id="1195389989">
          <w:marLeft w:val="0"/>
          <w:marRight w:val="0"/>
          <w:marTop w:val="0"/>
          <w:marBottom w:val="0"/>
          <w:divBdr>
            <w:top w:val="none" w:sz="0" w:space="0" w:color="auto"/>
            <w:left w:val="none" w:sz="0" w:space="0" w:color="auto"/>
            <w:bottom w:val="none" w:sz="0" w:space="0" w:color="auto"/>
            <w:right w:val="none" w:sz="0" w:space="0" w:color="auto"/>
          </w:divBdr>
        </w:div>
      </w:divsChild>
    </w:div>
    <w:div w:id="392431734">
      <w:bodyDiv w:val="1"/>
      <w:marLeft w:val="0"/>
      <w:marRight w:val="0"/>
      <w:marTop w:val="0"/>
      <w:marBottom w:val="0"/>
      <w:divBdr>
        <w:top w:val="none" w:sz="0" w:space="0" w:color="auto"/>
        <w:left w:val="none" w:sz="0" w:space="0" w:color="auto"/>
        <w:bottom w:val="none" w:sz="0" w:space="0" w:color="auto"/>
        <w:right w:val="none" w:sz="0" w:space="0" w:color="auto"/>
      </w:divBdr>
    </w:div>
    <w:div w:id="547183006">
      <w:bodyDiv w:val="1"/>
      <w:marLeft w:val="0"/>
      <w:marRight w:val="0"/>
      <w:marTop w:val="0"/>
      <w:marBottom w:val="0"/>
      <w:divBdr>
        <w:top w:val="none" w:sz="0" w:space="0" w:color="auto"/>
        <w:left w:val="none" w:sz="0" w:space="0" w:color="auto"/>
        <w:bottom w:val="none" w:sz="0" w:space="0" w:color="auto"/>
        <w:right w:val="none" w:sz="0" w:space="0" w:color="auto"/>
      </w:divBdr>
    </w:div>
    <w:div w:id="565847806">
      <w:bodyDiv w:val="1"/>
      <w:marLeft w:val="0"/>
      <w:marRight w:val="0"/>
      <w:marTop w:val="0"/>
      <w:marBottom w:val="0"/>
      <w:divBdr>
        <w:top w:val="none" w:sz="0" w:space="0" w:color="auto"/>
        <w:left w:val="none" w:sz="0" w:space="0" w:color="auto"/>
        <w:bottom w:val="none" w:sz="0" w:space="0" w:color="auto"/>
        <w:right w:val="none" w:sz="0" w:space="0" w:color="auto"/>
      </w:divBdr>
    </w:div>
    <w:div w:id="640574900">
      <w:bodyDiv w:val="1"/>
      <w:marLeft w:val="0"/>
      <w:marRight w:val="0"/>
      <w:marTop w:val="0"/>
      <w:marBottom w:val="0"/>
      <w:divBdr>
        <w:top w:val="none" w:sz="0" w:space="0" w:color="auto"/>
        <w:left w:val="none" w:sz="0" w:space="0" w:color="auto"/>
        <w:bottom w:val="none" w:sz="0" w:space="0" w:color="auto"/>
        <w:right w:val="none" w:sz="0" w:space="0" w:color="auto"/>
      </w:divBdr>
    </w:div>
    <w:div w:id="675766648">
      <w:bodyDiv w:val="1"/>
      <w:marLeft w:val="0"/>
      <w:marRight w:val="0"/>
      <w:marTop w:val="0"/>
      <w:marBottom w:val="0"/>
      <w:divBdr>
        <w:top w:val="none" w:sz="0" w:space="0" w:color="auto"/>
        <w:left w:val="none" w:sz="0" w:space="0" w:color="auto"/>
        <w:bottom w:val="none" w:sz="0" w:space="0" w:color="auto"/>
        <w:right w:val="none" w:sz="0" w:space="0" w:color="auto"/>
      </w:divBdr>
      <w:divsChild>
        <w:div w:id="1905142880">
          <w:marLeft w:val="0"/>
          <w:marRight w:val="0"/>
          <w:marTop w:val="0"/>
          <w:marBottom w:val="0"/>
          <w:divBdr>
            <w:top w:val="none" w:sz="0" w:space="0" w:color="auto"/>
            <w:left w:val="none" w:sz="0" w:space="0" w:color="auto"/>
            <w:bottom w:val="none" w:sz="0" w:space="0" w:color="auto"/>
            <w:right w:val="none" w:sz="0" w:space="0" w:color="auto"/>
          </w:divBdr>
        </w:div>
        <w:div w:id="1881747522">
          <w:marLeft w:val="0"/>
          <w:marRight w:val="0"/>
          <w:marTop w:val="0"/>
          <w:marBottom w:val="0"/>
          <w:divBdr>
            <w:top w:val="none" w:sz="0" w:space="0" w:color="auto"/>
            <w:left w:val="none" w:sz="0" w:space="0" w:color="auto"/>
            <w:bottom w:val="none" w:sz="0" w:space="0" w:color="auto"/>
            <w:right w:val="none" w:sz="0" w:space="0" w:color="auto"/>
          </w:divBdr>
        </w:div>
        <w:div w:id="1674601034">
          <w:marLeft w:val="0"/>
          <w:marRight w:val="0"/>
          <w:marTop w:val="0"/>
          <w:marBottom w:val="0"/>
          <w:divBdr>
            <w:top w:val="none" w:sz="0" w:space="0" w:color="auto"/>
            <w:left w:val="none" w:sz="0" w:space="0" w:color="auto"/>
            <w:bottom w:val="none" w:sz="0" w:space="0" w:color="auto"/>
            <w:right w:val="none" w:sz="0" w:space="0" w:color="auto"/>
          </w:divBdr>
        </w:div>
        <w:div w:id="1142231127">
          <w:marLeft w:val="0"/>
          <w:marRight w:val="0"/>
          <w:marTop w:val="0"/>
          <w:marBottom w:val="0"/>
          <w:divBdr>
            <w:top w:val="none" w:sz="0" w:space="0" w:color="auto"/>
            <w:left w:val="none" w:sz="0" w:space="0" w:color="auto"/>
            <w:bottom w:val="none" w:sz="0" w:space="0" w:color="auto"/>
            <w:right w:val="none" w:sz="0" w:space="0" w:color="auto"/>
          </w:divBdr>
        </w:div>
        <w:div w:id="1872835236">
          <w:marLeft w:val="0"/>
          <w:marRight w:val="0"/>
          <w:marTop w:val="0"/>
          <w:marBottom w:val="0"/>
          <w:divBdr>
            <w:top w:val="none" w:sz="0" w:space="0" w:color="auto"/>
            <w:left w:val="none" w:sz="0" w:space="0" w:color="auto"/>
            <w:bottom w:val="none" w:sz="0" w:space="0" w:color="auto"/>
            <w:right w:val="none" w:sz="0" w:space="0" w:color="auto"/>
          </w:divBdr>
        </w:div>
        <w:div w:id="1708675249">
          <w:marLeft w:val="0"/>
          <w:marRight w:val="0"/>
          <w:marTop w:val="0"/>
          <w:marBottom w:val="0"/>
          <w:divBdr>
            <w:top w:val="none" w:sz="0" w:space="0" w:color="auto"/>
            <w:left w:val="none" w:sz="0" w:space="0" w:color="auto"/>
            <w:bottom w:val="none" w:sz="0" w:space="0" w:color="auto"/>
            <w:right w:val="none" w:sz="0" w:space="0" w:color="auto"/>
          </w:divBdr>
        </w:div>
        <w:div w:id="1055349221">
          <w:marLeft w:val="0"/>
          <w:marRight w:val="0"/>
          <w:marTop w:val="0"/>
          <w:marBottom w:val="0"/>
          <w:divBdr>
            <w:top w:val="none" w:sz="0" w:space="0" w:color="auto"/>
            <w:left w:val="none" w:sz="0" w:space="0" w:color="auto"/>
            <w:bottom w:val="none" w:sz="0" w:space="0" w:color="auto"/>
            <w:right w:val="none" w:sz="0" w:space="0" w:color="auto"/>
          </w:divBdr>
        </w:div>
        <w:div w:id="1206331030">
          <w:marLeft w:val="0"/>
          <w:marRight w:val="0"/>
          <w:marTop w:val="0"/>
          <w:marBottom w:val="0"/>
          <w:divBdr>
            <w:top w:val="none" w:sz="0" w:space="0" w:color="auto"/>
            <w:left w:val="none" w:sz="0" w:space="0" w:color="auto"/>
            <w:bottom w:val="none" w:sz="0" w:space="0" w:color="auto"/>
            <w:right w:val="none" w:sz="0" w:space="0" w:color="auto"/>
          </w:divBdr>
        </w:div>
        <w:div w:id="1820221866">
          <w:marLeft w:val="0"/>
          <w:marRight w:val="0"/>
          <w:marTop w:val="0"/>
          <w:marBottom w:val="0"/>
          <w:divBdr>
            <w:top w:val="none" w:sz="0" w:space="0" w:color="auto"/>
            <w:left w:val="none" w:sz="0" w:space="0" w:color="auto"/>
            <w:bottom w:val="none" w:sz="0" w:space="0" w:color="auto"/>
            <w:right w:val="none" w:sz="0" w:space="0" w:color="auto"/>
          </w:divBdr>
        </w:div>
        <w:div w:id="1546332228">
          <w:marLeft w:val="0"/>
          <w:marRight w:val="0"/>
          <w:marTop w:val="0"/>
          <w:marBottom w:val="0"/>
          <w:divBdr>
            <w:top w:val="none" w:sz="0" w:space="0" w:color="auto"/>
            <w:left w:val="none" w:sz="0" w:space="0" w:color="auto"/>
            <w:bottom w:val="none" w:sz="0" w:space="0" w:color="auto"/>
            <w:right w:val="none" w:sz="0" w:space="0" w:color="auto"/>
          </w:divBdr>
        </w:div>
        <w:div w:id="1168325048">
          <w:marLeft w:val="0"/>
          <w:marRight w:val="0"/>
          <w:marTop w:val="0"/>
          <w:marBottom w:val="0"/>
          <w:divBdr>
            <w:top w:val="none" w:sz="0" w:space="0" w:color="auto"/>
            <w:left w:val="none" w:sz="0" w:space="0" w:color="auto"/>
            <w:bottom w:val="none" w:sz="0" w:space="0" w:color="auto"/>
            <w:right w:val="none" w:sz="0" w:space="0" w:color="auto"/>
          </w:divBdr>
        </w:div>
        <w:div w:id="1755516917">
          <w:marLeft w:val="0"/>
          <w:marRight w:val="0"/>
          <w:marTop w:val="0"/>
          <w:marBottom w:val="0"/>
          <w:divBdr>
            <w:top w:val="none" w:sz="0" w:space="0" w:color="auto"/>
            <w:left w:val="none" w:sz="0" w:space="0" w:color="auto"/>
            <w:bottom w:val="none" w:sz="0" w:space="0" w:color="auto"/>
            <w:right w:val="none" w:sz="0" w:space="0" w:color="auto"/>
          </w:divBdr>
        </w:div>
        <w:div w:id="858811874">
          <w:marLeft w:val="0"/>
          <w:marRight w:val="0"/>
          <w:marTop w:val="0"/>
          <w:marBottom w:val="0"/>
          <w:divBdr>
            <w:top w:val="none" w:sz="0" w:space="0" w:color="auto"/>
            <w:left w:val="none" w:sz="0" w:space="0" w:color="auto"/>
            <w:bottom w:val="none" w:sz="0" w:space="0" w:color="auto"/>
            <w:right w:val="none" w:sz="0" w:space="0" w:color="auto"/>
          </w:divBdr>
        </w:div>
        <w:div w:id="225994882">
          <w:marLeft w:val="0"/>
          <w:marRight w:val="0"/>
          <w:marTop w:val="0"/>
          <w:marBottom w:val="0"/>
          <w:divBdr>
            <w:top w:val="none" w:sz="0" w:space="0" w:color="auto"/>
            <w:left w:val="none" w:sz="0" w:space="0" w:color="auto"/>
            <w:bottom w:val="none" w:sz="0" w:space="0" w:color="auto"/>
            <w:right w:val="none" w:sz="0" w:space="0" w:color="auto"/>
          </w:divBdr>
        </w:div>
        <w:div w:id="1879514806">
          <w:marLeft w:val="0"/>
          <w:marRight w:val="0"/>
          <w:marTop w:val="0"/>
          <w:marBottom w:val="0"/>
          <w:divBdr>
            <w:top w:val="none" w:sz="0" w:space="0" w:color="auto"/>
            <w:left w:val="none" w:sz="0" w:space="0" w:color="auto"/>
            <w:bottom w:val="none" w:sz="0" w:space="0" w:color="auto"/>
            <w:right w:val="none" w:sz="0" w:space="0" w:color="auto"/>
          </w:divBdr>
        </w:div>
        <w:div w:id="1268343352">
          <w:marLeft w:val="0"/>
          <w:marRight w:val="0"/>
          <w:marTop w:val="0"/>
          <w:marBottom w:val="0"/>
          <w:divBdr>
            <w:top w:val="none" w:sz="0" w:space="0" w:color="auto"/>
            <w:left w:val="none" w:sz="0" w:space="0" w:color="auto"/>
            <w:bottom w:val="none" w:sz="0" w:space="0" w:color="auto"/>
            <w:right w:val="none" w:sz="0" w:space="0" w:color="auto"/>
          </w:divBdr>
        </w:div>
      </w:divsChild>
    </w:div>
    <w:div w:id="684795161">
      <w:bodyDiv w:val="1"/>
      <w:marLeft w:val="0"/>
      <w:marRight w:val="0"/>
      <w:marTop w:val="0"/>
      <w:marBottom w:val="0"/>
      <w:divBdr>
        <w:top w:val="none" w:sz="0" w:space="0" w:color="auto"/>
        <w:left w:val="none" w:sz="0" w:space="0" w:color="auto"/>
        <w:bottom w:val="none" w:sz="0" w:space="0" w:color="auto"/>
        <w:right w:val="none" w:sz="0" w:space="0" w:color="auto"/>
      </w:divBdr>
      <w:divsChild>
        <w:div w:id="1345014203">
          <w:marLeft w:val="0"/>
          <w:marRight w:val="0"/>
          <w:marTop w:val="0"/>
          <w:marBottom w:val="0"/>
          <w:divBdr>
            <w:top w:val="none" w:sz="0" w:space="0" w:color="auto"/>
            <w:left w:val="none" w:sz="0" w:space="0" w:color="auto"/>
            <w:bottom w:val="none" w:sz="0" w:space="0" w:color="auto"/>
            <w:right w:val="none" w:sz="0" w:space="0" w:color="auto"/>
          </w:divBdr>
          <w:divsChild>
            <w:div w:id="2102404838">
              <w:marLeft w:val="0"/>
              <w:marRight w:val="0"/>
              <w:marTop w:val="0"/>
              <w:marBottom w:val="0"/>
              <w:divBdr>
                <w:top w:val="none" w:sz="0" w:space="0" w:color="auto"/>
                <w:left w:val="none" w:sz="0" w:space="0" w:color="auto"/>
                <w:bottom w:val="none" w:sz="0" w:space="0" w:color="auto"/>
                <w:right w:val="none" w:sz="0" w:space="0" w:color="auto"/>
              </w:divBdr>
              <w:divsChild>
                <w:div w:id="1609973160">
                  <w:marLeft w:val="0"/>
                  <w:marRight w:val="0"/>
                  <w:marTop w:val="0"/>
                  <w:marBottom w:val="0"/>
                  <w:divBdr>
                    <w:top w:val="none" w:sz="0" w:space="0" w:color="auto"/>
                    <w:left w:val="none" w:sz="0" w:space="0" w:color="auto"/>
                    <w:bottom w:val="none" w:sz="0" w:space="0" w:color="auto"/>
                    <w:right w:val="none" w:sz="0" w:space="0" w:color="auto"/>
                  </w:divBdr>
                  <w:divsChild>
                    <w:div w:id="5777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46721">
      <w:bodyDiv w:val="1"/>
      <w:marLeft w:val="0"/>
      <w:marRight w:val="0"/>
      <w:marTop w:val="0"/>
      <w:marBottom w:val="0"/>
      <w:divBdr>
        <w:top w:val="none" w:sz="0" w:space="0" w:color="auto"/>
        <w:left w:val="none" w:sz="0" w:space="0" w:color="auto"/>
        <w:bottom w:val="none" w:sz="0" w:space="0" w:color="auto"/>
        <w:right w:val="none" w:sz="0" w:space="0" w:color="auto"/>
      </w:divBdr>
      <w:divsChild>
        <w:div w:id="441463061">
          <w:marLeft w:val="0"/>
          <w:marRight w:val="0"/>
          <w:marTop w:val="0"/>
          <w:marBottom w:val="0"/>
          <w:divBdr>
            <w:top w:val="none" w:sz="0" w:space="0" w:color="auto"/>
            <w:left w:val="none" w:sz="0" w:space="0" w:color="auto"/>
            <w:bottom w:val="none" w:sz="0" w:space="0" w:color="auto"/>
            <w:right w:val="none" w:sz="0" w:space="0" w:color="auto"/>
          </w:divBdr>
        </w:div>
        <w:div w:id="96410710">
          <w:marLeft w:val="0"/>
          <w:marRight w:val="0"/>
          <w:marTop w:val="0"/>
          <w:marBottom w:val="0"/>
          <w:divBdr>
            <w:top w:val="none" w:sz="0" w:space="0" w:color="auto"/>
            <w:left w:val="none" w:sz="0" w:space="0" w:color="auto"/>
            <w:bottom w:val="none" w:sz="0" w:space="0" w:color="auto"/>
            <w:right w:val="none" w:sz="0" w:space="0" w:color="auto"/>
          </w:divBdr>
        </w:div>
      </w:divsChild>
    </w:div>
    <w:div w:id="707222936">
      <w:bodyDiv w:val="1"/>
      <w:marLeft w:val="0"/>
      <w:marRight w:val="0"/>
      <w:marTop w:val="0"/>
      <w:marBottom w:val="0"/>
      <w:divBdr>
        <w:top w:val="none" w:sz="0" w:space="0" w:color="auto"/>
        <w:left w:val="none" w:sz="0" w:space="0" w:color="auto"/>
        <w:bottom w:val="none" w:sz="0" w:space="0" w:color="auto"/>
        <w:right w:val="none" w:sz="0" w:space="0" w:color="auto"/>
      </w:divBdr>
      <w:divsChild>
        <w:div w:id="2000423139">
          <w:marLeft w:val="0"/>
          <w:marRight w:val="0"/>
          <w:marTop w:val="0"/>
          <w:marBottom w:val="0"/>
          <w:divBdr>
            <w:top w:val="none" w:sz="0" w:space="0" w:color="auto"/>
            <w:left w:val="none" w:sz="0" w:space="0" w:color="auto"/>
            <w:bottom w:val="none" w:sz="0" w:space="0" w:color="auto"/>
            <w:right w:val="none" w:sz="0" w:space="0" w:color="auto"/>
          </w:divBdr>
        </w:div>
        <w:div w:id="69935182">
          <w:marLeft w:val="0"/>
          <w:marRight w:val="0"/>
          <w:marTop w:val="0"/>
          <w:marBottom w:val="0"/>
          <w:divBdr>
            <w:top w:val="none" w:sz="0" w:space="0" w:color="auto"/>
            <w:left w:val="none" w:sz="0" w:space="0" w:color="auto"/>
            <w:bottom w:val="none" w:sz="0" w:space="0" w:color="auto"/>
            <w:right w:val="none" w:sz="0" w:space="0" w:color="auto"/>
          </w:divBdr>
        </w:div>
        <w:div w:id="1716461720">
          <w:marLeft w:val="0"/>
          <w:marRight w:val="0"/>
          <w:marTop w:val="0"/>
          <w:marBottom w:val="0"/>
          <w:divBdr>
            <w:top w:val="none" w:sz="0" w:space="0" w:color="auto"/>
            <w:left w:val="none" w:sz="0" w:space="0" w:color="auto"/>
            <w:bottom w:val="none" w:sz="0" w:space="0" w:color="auto"/>
            <w:right w:val="none" w:sz="0" w:space="0" w:color="auto"/>
          </w:divBdr>
        </w:div>
        <w:div w:id="153306501">
          <w:marLeft w:val="0"/>
          <w:marRight w:val="0"/>
          <w:marTop w:val="0"/>
          <w:marBottom w:val="0"/>
          <w:divBdr>
            <w:top w:val="none" w:sz="0" w:space="0" w:color="auto"/>
            <w:left w:val="none" w:sz="0" w:space="0" w:color="auto"/>
            <w:bottom w:val="none" w:sz="0" w:space="0" w:color="auto"/>
            <w:right w:val="none" w:sz="0" w:space="0" w:color="auto"/>
          </w:divBdr>
        </w:div>
        <w:div w:id="165363771">
          <w:marLeft w:val="0"/>
          <w:marRight w:val="0"/>
          <w:marTop w:val="0"/>
          <w:marBottom w:val="0"/>
          <w:divBdr>
            <w:top w:val="none" w:sz="0" w:space="0" w:color="auto"/>
            <w:left w:val="none" w:sz="0" w:space="0" w:color="auto"/>
            <w:bottom w:val="none" w:sz="0" w:space="0" w:color="auto"/>
            <w:right w:val="none" w:sz="0" w:space="0" w:color="auto"/>
          </w:divBdr>
        </w:div>
        <w:div w:id="1160536236">
          <w:marLeft w:val="0"/>
          <w:marRight w:val="0"/>
          <w:marTop w:val="0"/>
          <w:marBottom w:val="0"/>
          <w:divBdr>
            <w:top w:val="none" w:sz="0" w:space="0" w:color="auto"/>
            <w:left w:val="none" w:sz="0" w:space="0" w:color="auto"/>
            <w:bottom w:val="none" w:sz="0" w:space="0" w:color="auto"/>
            <w:right w:val="none" w:sz="0" w:space="0" w:color="auto"/>
          </w:divBdr>
        </w:div>
        <w:div w:id="1526019784">
          <w:marLeft w:val="0"/>
          <w:marRight w:val="0"/>
          <w:marTop w:val="0"/>
          <w:marBottom w:val="0"/>
          <w:divBdr>
            <w:top w:val="none" w:sz="0" w:space="0" w:color="auto"/>
            <w:left w:val="none" w:sz="0" w:space="0" w:color="auto"/>
            <w:bottom w:val="none" w:sz="0" w:space="0" w:color="auto"/>
            <w:right w:val="none" w:sz="0" w:space="0" w:color="auto"/>
          </w:divBdr>
        </w:div>
      </w:divsChild>
    </w:div>
    <w:div w:id="742485718">
      <w:bodyDiv w:val="1"/>
      <w:marLeft w:val="0"/>
      <w:marRight w:val="0"/>
      <w:marTop w:val="0"/>
      <w:marBottom w:val="0"/>
      <w:divBdr>
        <w:top w:val="none" w:sz="0" w:space="0" w:color="auto"/>
        <w:left w:val="none" w:sz="0" w:space="0" w:color="auto"/>
        <w:bottom w:val="none" w:sz="0" w:space="0" w:color="auto"/>
        <w:right w:val="none" w:sz="0" w:space="0" w:color="auto"/>
      </w:divBdr>
      <w:divsChild>
        <w:div w:id="1936088338">
          <w:marLeft w:val="0"/>
          <w:marRight w:val="0"/>
          <w:marTop w:val="0"/>
          <w:marBottom w:val="0"/>
          <w:divBdr>
            <w:top w:val="none" w:sz="0" w:space="0" w:color="auto"/>
            <w:left w:val="none" w:sz="0" w:space="0" w:color="auto"/>
            <w:bottom w:val="none" w:sz="0" w:space="0" w:color="auto"/>
            <w:right w:val="none" w:sz="0" w:space="0" w:color="auto"/>
          </w:divBdr>
          <w:divsChild>
            <w:div w:id="503399365">
              <w:marLeft w:val="0"/>
              <w:marRight w:val="0"/>
              <w:marTop w:val="0"/>
              <w:marBottom w:val="0"/>
              <w:divBdr>
                <w:top w:val="none" w:sz="0" w:space="0" w:color="auto"/>
                <w:left w:val="none" w:sz="0" w:space="0" w:color="auto"/>
                <w:bottom w:val="none" w:sz="0" w:space="0" w:color="auto"/>
                <w:right w:val="none" w:sz="0" w:space="0" w:color="auto"/>
              </w:divBdr>
              <w:divsChild>
                <w:div w:id="508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85080">
      <w:bodyDiv w:val="1"/>
      <w:marLeft w:val="0"/>
      <w:marRight w:val="0"/>
      <w:marTop w:val="0"/>
      <w:marBottom w:val="0"/>
      <w:divBdr>
        <w:top w:val="none" w:sz="0" w:space="0" w:color="auto"/>
        <w:left w:val="none" w:sz="0" w:space="0" w:color="auto"/>
        <w:bottom w:val="none" w:sz="0" w:space="0" w:color="auto"/>
        <w:right w:val="none" w:sz="0" w:space="0" w:color="auto"/>
      </w:divBdr>
    </w:div>
    <w:div w:id="827862315">
      <w:bodyDiv w:val="1"/>
      <w:marLeft w:val="0"/>
      <w:marRight w:val="0"/>
      <w:marTop w:val="0"/>
      <w:marBottom w:val="0"/>
      <w:divBdr>
        <w:top w:val="none" w:sz="0" w:space="0" w:color="auto"/>
        <w:left w:val="none" w:sz="0" w:space="0" w:color="auto"/>
        <w:bottom w:val="none" w:sz="0" w:space="0" w:color="auto"/>
        <w:right w:val="none" w:sz="0" w:space="0" w:color="auto"/>
      </w:divBdr>
    </w:div>
    <w:div w:id="847449661">
      <w:bodyDiv w:val="1"/>
      <w:marLeft w:val="0"/>
      <w:marRight w:val="0"/>
      <w:marTop w:val="0"/>
      <w:marBottom w:val="0"/>
      <w:divBdr>
        <w:top w:val="none" w:sz="0" w:space="0" w:color="auto"/>
        <w:left w:val="none" w:sz="0" w:space="0" w:color="auto"/>
        <w:bottom w:val="none" w:sz="0" w:space="0" w:color="auto"/>
        <w:right w:val="none" w:sz="0" w:space="0" w:color="auto"/>
      </w:divBdr>
    </w:div>
    <w:div w:id="882209449">
      <w:bodyDiv w:val="1"/>
      <w:marLeft w:val="0"/>
      <w:marRight w:val="0"/>
      <w:marTop w:val="0"/>
      <w:marBottom w:val="0"/>
      <w:divBdr>
        <w:top w:val="none" w:sz="0" w:space="0" w:color="auto"/>
        <w:left w:val="none" w:sz="0" w:space="0" w:color="auto"/>
        <w:bottom w:val="none" w:sz="0" w:space="0" w:color="auto"/>
        <w:right w:val="none" w:sz="0" w:space="0" w:color="auto"/>
      </w:divBdr>
      <w:divsChild>
        <w:div w:id="845948712">
          <w:marLeft w:val="0"/>
          <w:marRight w:val="0"/>
          <w:marTop w:val="0"/>
          <w:marBottom w:val="0"/>
          <w:divBdr>
            <w:top w:val="none" w:sz="0" w:space="0" w:color="auto"/>
            <w:left w:val="none" w:sz="0" w:space="0" w:color="auto"/>
            <w:bottom w:val="none" w:sz="0" w:space="0" w:color="auto"/>
            <w:right w:val="none" w:sz="0" w:space="0" w:color="auto"/>
          </w:divBdr>
          <w:divsChild>
            <w:div w:id="58988056">
              <w:marLeft w:val="0"/>
              <w:marRight w:val="0"/>
              <w:marTop w:val="0"/>
              <w:marBottom w:val="0"/>
              <w:divBdr>
                <w:top w:val="none" w:sz="0" w:space="0" w:color="auto"/>
                <w:left w:val="none" w:sz="0" w:space="0" w:color="auto"/>
                <w:bottom w:val="none" w:sz="0" w:space="0" w:color="auto"/>
                <w:right w:val="none" w:sz="0" w:space="0" w:color="auto"/>
              </w:divBdr>
              <w:divsChild>
                <w:div w:id="21180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66381">
      <w:bodyDiv w:val="1"/>
      <w:marLeft w:val="0"/>
      <w:marRight w:val="0"/>
      <w:marTop w:val="0"/>
      <w:marBottom w:val="0"/>
      <w:divBdr>
        <w:top w:val="none" w:sz="0" w:space="0" w:color="auto"/>
        <w:left w:val="none" w:sz="0" w:space="0" w:color="auto"/>
        <w:bottom w:val="none" w:sz="0" w:space="0" w:color="auto"/>
        <w:right w:val="none" w:sz="0" w:space="0" w:color="auto"/>
      </w:divBdr>
      <w:divsChild>
        <w:div w:id="10882707">
          <w:marLeft w:val="0"/>
          <w:marRight w:val="0"/>
          <w:marTop w:val="0"/>
          <w:marBottom w:val="0"/>
          <w:divBdr>
            <w:top w:val="none" w:sz="0" w:space="0" w:color="auto"/>
            <w:left w:val="none" w:sz="0" w:space="0" w:color="auto"/>
            <w:bottom w:val="none" w:sz="0" w:space="0" w:color="auto"/>
            <w:right w:val="none" w:sz="0" w:space="0" w:color="auto"/>
          </w:divBdr>
        </w:div>
      </w:divsChild>
    </w:div>
    <w:div w:id="982389241">
      <w:bodyDiv w:val="1"/>
      <w:marLeft w:val="0"/>
      <w:marRight w:val="0"/>
      <w:marTop w:val="0"/>
      <w:marBottom w:val="0"/>
      <w:divBdr>
        <w:top w:val="none" w:sz="0" w:space="0" w:color="auto"/>
        <w:left w:val="none" w:sz="0" w:space="0" w:color="auto"/>
        <w:bottom w:val="none" w:sz="0" w:space="0" w:color="auto"/>
        <w:right w:val="none" w:sz="0" w:space="0" w:color="auto"/>
      </w:divBdr>
      <w:divsChild>
        <w:div w:id="836308077">
          <w:marLeft w:val="0"/>
          <w:marRight w:val="0"/>
          <w:marTop w:val="0"/>
          <w:marBottom w:val="0"/>
          <w:divBdr>
            <w:top w:val="none" w:sz="0" w:space="0" w:color="auto"/>
            <w:left w:val="none" w:sz="0" w:space="0" w:color="auto"/>
            <w:bottom w:val="none" w:sz="0" w:space="0" w:color="auto"/>
            <w:right w:val="none" w:sz="0" w:space="0" w:color="auto"/>
          </w:divBdr>
          <w:divsChild>
            <w:div w:id="1666668348">
              <w:marLeft w:val="0"/>
              <w:marRight w:val="0"/>
              <w:marTop w:val="0"/>
              <w:marBottom w:val="0"/>
              <w:divBdr>
                <w:top w:val="none" w:sz="0" w:space="0" w:color="auto"/>
                <w:left w:val="none" w:sz="0" w:space="0" w:color="auto"/>
                <w:bottom w:val="none" w:sz="0" w:space="0" w:color="auto"/>
                <w:right w:val="none" w:sz="0" w:space="0" w:color="auto"/>
              </w:divBdr>
              <w:divsChild>
                <w:div w:id="466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3200">
      <w:bodyDiv w:val="1"/>
      <w:marLeft w:val="0"/>
      <w:marRight w:val="0"/>
      <w:marTop w:val="0"/>
      <w:marBottom w:val="0"/>
      <w:divBdr>
        <w:top w:val="none" w:sz="0" w:space="0" w:color="auto"/>
        <w:left w:val="none" w:sz="0" w:space="0" w:color="auto"/>
        <w:bottom w:val="none" w:sz="0" w:space="0" w:color="auto"/>
        <w:right w:val="none" w:sz="0" w:space="0" w:color="auto"/>
      </w:divBdr>
    </w:div>
    <w:div w:id="1020594456">
      <w:bodyDiv w:val="1"/>
      <w:marLeft w:val="0"/>
      <w:marRight w:val="0"/>
      <w:marTop w:val="0"/>
      <w:marBottom w:val="0"/>
      <w:divBdr>
        <w:top w:val="none" w:sz="0" w:space="0" w:color="auto"/>
        <w:left w:val="none" w:sz="0" w:space="0" w:color="auto"/>
        <w:bottom w:val="none" w:sz="0" w:space="0" w:color="auto"/>
        <w:right w:val="none" w:sz="0" w:space="0" w:color="auto"/>
      </w:divBdr>
    </w:div>
    <w:div w:id="1021318655">
      <w:bodyDiv w:val="1"/>
      <w:marLeft w:val="0"/>
      <w:marRight w:val="0"/>
      <w:marTop w:val="0"/>
      <w:marBottom w:val="0"/>
      <w:divBdr>
        <w:top w:val="none" w:sz="0" w:space="0" w:color="auto"/>
        <w:left w:val="none" w:sz="0" w:space="0" w:color="auto"/>
        <w:bottom w:val="none" w:sz="0" w:space="0" w:color="auto"/>
        <w:right w:val="none" w:sz="0" w:space="0" w:color="auto"/>
      </w:divBdr>
      <w:divsChild>
        <w:div w:id="1033002413">
          <w:marLeft w:val="0"/>
          <w:marRight w:val="0"/>
          <w:marTop w:val="0"/>
          <w:marBottom w:val="0"/>
          <w:divBdr>
            <w:top w:val="none" w:sz="0" w:space="0" w:color="auto"/>
            <w:left w:val="none" w:sz="0" w:space="0" w:color="auto"/>
            <w:bottom w:val="none" w:sz="0" w:space="0" w:color="auto"/>
            <w:right w:val="none" w:sz="0" w:space="0" w:color="auto"/>
          </w:divBdr>
        </w:div>
        <w:div w:id="1230070420">
          <w:marLeft w:val="0"/>
          <w:marRight w:val="0"/>
          <w:marTop w:val="0"/>
          <w:marBottom w:val="0"/>
          <w:divBdr>
            <w:top w:val="none" w:sz="0" w:space="0" w:color="auto"/>
            <w:left w:val="none" w:sz="0" w:space="0" w:color="auto"/>
            <w:bottom w:val="none" w:sz="0" w:space="0" w:color="auto"/>
            <w:right w:val="none" w:sz="0" w:space="0" w:color="auto"/>
          </w:divBdr>
        </w:div>
        <w:div w:id="1735351880">
          <w:marLeft w:val="0"/>
          <w:marRight w:val="0"/>
          <w:marTop w:val="0"/>
          <w:marBottom w:val="0"/>
          <w:divBdr>
            <w:top w:val="none" w:sz="0" w:space="0" w:color="auto"/>
            <w:left w:val="none" w:sz="0" w:space="0" w:color="auto"/>
            <w:bottom w:val="none" w:sz="0" w:space="0" w:color="auto"/>
            <w:right w:val="none" w:sz="0" w:space="0" w:color="auto"/>
          </w:divBdr>
        </w:div>
        <w:div w:id="549077580">
          <w:marLeft w:val="0"/>
          <w:marRight w:val="0"/>
          <w:marTop w:val="0"/>
          <w:marBottom w:val="0"/>
          <w:divBdr>
            <w:top w:val="none" w:sz="0" w:space="0" w:color="auto"/>
            <w:left w:val="none" w:sz="0" w:space="0" w:color="auto"/>
            <w:bottom w:val="none" w:sz="0" w:space="0" w:color="auto"/>
            <w:right w:val="none" w:sz="0" w:space="0" w:color="auto"/>
          </w:divBdr>
        </w:div>
        <w:div w:id="1747338900">
          <w:marLeft w:val="0"/>
          <w:marRight w:val="0"/>
          <w:marTop w:val="0"/>
          <w:marBottom w:val="0"/>
          <w:divBdr>
            <w:top w:val="none" w:sz="0" w:space="0" w:color="auto"/>
            <w:left w:val="none" w:sz="0" w:space="0" w:color="auto"/>
            <w:bottom w:val="none" w:sz="0" w:space="0" w:color="auto"/>
            <w:right w:val="none" w:sz="0" w:space="0" w:color="auto"/>
          </w:divBdr>
        </w:div>
      </w:divsChild>
    </w:div>
    <w:div w:id="1034160871">
      <w:bodyDiv w:val="1"/>
      <w:marLeft w:val="0"/>
      <w:marRight w:val="0"/>
      <w:marTop w:val="0"/>
      <w:marBottom w:val="0"/>
      <w:divBdr>
        <w:top w:val="none" w:sz="0" w:space="0" w:color="auto"/>
        <w:left w:val="none" w:sz="0" w:space="0" w:color="auto"/>
        <w:bottom w:val="none" w:sz="0" w:space="0" w:color="auto"/>
        <w:right w:val="none" w:sz="0" w:space="0" w:color="auto"/>
      </w:divBdr>
    </w:div>
    <w:div w:id="1294022430">
      <w:bodyDiv w:val="1"/>
      <w:marLeft w:val="0"/>
      <w:marRight w:val="0"/>
      <w:marTop w:val="0"/>
      <w:marBottom w:val="0"/>
      <w:divBdr>
        <w:top w:val="none" w:sz="0" w:space="0" w:color="auto"/>
        <w:left w:val="none" w:sz="0" w:space="0" w:color="auto"/>
        <w:bottom w:val="none" w:sz="0" w:space="0" w:color="auto"/>
        <w:right w:val="none" w:sz="0" w:space="0" w:color="auto"/>
      </w:divBdr>
      <w:divsChild>
        <w:div w:id="163671962">
          <w:marLeft w:val="0"/>
          <w:marRight w:val="0"/>
          <w:marTop w:val="720"/>
          <w:marBottom w:val="0"/>
          <w:divBdr>
            <w:top w:val="single" w:sz="6" w:space="0" w:color="000000"/>
            <w:left w:val="none" w:sz="0" w:space="0" w:color="auto"/>
            <w:bottom w:val="none" w:sz="0" w:space="0" w:color="auto"/>
            <w:right w:val="none" w:sz="0" w:space="0" w:color="auto"/>
          </w:divBdr>
          <w:divsChild>
            <w:div w:id="16251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98314">
      <w:bodyDiv w:val="1"/>
      <w:marLeft w:val="0"/>
      <w:marRight w:val="0"/>
      <w:marTop w:val="0"/>
      <w:marBottom w:val="0"/>
      <w:divBdr>
        <w:top w:val="none" w:sz="0" w:space="0" w:color="auto"/>
        <w:left w:val="none" w:sz="0" w:space="0" w:color="auto"/>
        <w:bottom w:val="none" w:sz="0" w:space="0" w:color="auto"/>
        <w:right w:val="none" w:sz="0" w:space="0" w:color="auto"/>
      </w:divBdr>
      <w:divsChild>
        <w:div w:id="1353801013">
          <w:marLeft w:val="0"/>
          <w:marRight w:val="0"/>
          <w:marTop w:val="0"/>
          <w:marBottom w:val="0"/>
          <w:divBdr>
            <w:top w:val="none" w:sz="0" w:space="0" w:color="auto"/>
            <w:left w:val="none" w:sz="0" w:space="0" w:color="auto"/>
            <w:bottom w:val="none" w:sz="0" w:space="0" w:color="auto"/>
            <w:right w:val="none" w:sz="0" w:space="0" w:color="auto"/>
          </w:divBdr>
          <w:divsChild>
            <w:div w:id="1822771584">
              <w:marLeft w:val="0"/>
              <w:marRight w:val="0"/>
              <w:marTop w:val="0"/>
              <w:marBottom w:val="0"/>
              <w:divBdr>
                <w:top w:val="none" w:sz="0" w:space="0" w:color="auto"/>
                <w:left w:val="none" w:sz="0" w:space="0" w:color="auto"/>
                <w:bottom w:val="none" w:sz="0" w:space="0" w:color="auto"/>
                <w:right w:val="none" w:sz="0" w:space="0" w:color="auto"/>
              </w:divBdr>
              <w:divsChild>
                <w:div w:id="566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3579">
      <w:bodyDiv w:val="1"/>
      <w:marLeft w:val="0"/>
      <w:marRight w:val="0"/>
      <w:marTop w:val="0"/>
      <w:marBottom w:val="0"/>
      <w:divBdr>
        <w:top w:val="none" w:sz="0" w:space="0" w:color="auto"/>
        <w:left w:val="none" w:sz="0" w:space="0" w:color="auto"/>
        <w:bottom w:val="none" w:sz="0" w:space="0" w:color="auto"/>
        <w:right w:val="none" w:sz="0" w:space="0" w:color="auto"/>
      </w:divBdr>
      <w:divsChild>
        <w:div w:id="373114100">
          <w:marLeft w:val="0"/>
          <w:marRight w:val="0"/>
          <w:marTop w:val="0"/>
          <w:marBottom w:val="0"/>
          <w:divBdr>
            <w:top w:val="none" w:sz="0" w:space="0" w:color="auto"/>
            <w:left w:val="none" w:sz="0" w:space="0" w:color="auto"/>
            <w:bottom w:val="none" w:sz="0" w:space="0" w:color="auto"/>
            <w:right w:val="none" w:sz="0" w:space="0" w:color="auto"/>
          </w:divBdr>
          <w:divsChild>
            <w:div w:id="201749473">
              <w:marLeft w:val="0"/>
              <w:marRight w:val="0"/>
              <w:marTop w:val="0"/>
              <w:marBottom w:val="0"/>
              <w:divBdr>
                <w:top w:val="none" w:sz="0" w:space="0" w:color="auto"/>
                <w:left w:val="none" w:sz="0" w:space="0" w:color="auto"/>
                <w:bottom w:val="none" w:sz="0" w:space="0" w:color="auto"/>
                <w:right w:val="none" w:sz="0" w:space="0" w:color="auto"/>
              </w:divBdr>
              <w:divsChild>
                <w:div w:id="1081636439">
                  <w:marLeft w:val="0"/>
                  <w:marRight w:val="0"/>
                  <w:marTop w:val="0"/>
                  <w:marBottom w:val="0"/>
                  <w:divBdr>
                    <w:top w:val="none" w:sz="0" w:space="0" w:color="auto"/>
                    <w:left w:val="none" w:sz="0" w:space="0" w:color="auto"/>
                    <w:bottom w:val="none" w:sz="0" w:space="0" w:color="auto"/>
                    <w:right w:val="none" w:sz="0" w:space="0" w:color="auto"/>
                  </w:divBdr>
                  <w:divsChild>
                    <w:div w:id="9466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981257">
      <w:bodyDiv w:val="1"/>
      <w:marLeft w:val="0"/>
      <w:marRight w:val="0"/>
      <w:marTop w:val="0"/>
      <w:marBottom w:val="0"/>
      <w:divBdr>
        <w:top w:val="none" w:sz="0" w:space="0" w:color="auto"/>
        <w:left w:val="none" w:sz="0" w:space="0" w:color="auto"/>
        <w:bottom w:val="none" w:sz="0" w:space="0" w:color="auto"/>
        <w:right w:val="none" w:sz="0" w:space="0" w:color="auto"/>
      </w:divBdr>
    </w:div>
    <w:div w:id="1445029230">
      <w:bodyDiv w:val="1"/>
      <w:marLeft w:val="0"/>
      <w:marRight w:val="0"/>
      <w:marTop w:val="0"/>
      <w:marBottom w:val="0"/>
      <w:divBdr>
        <w:top w:val="none" w:sz="0" w:space="0" w:color="auto"/>
        <w:left w:val="none" w:sz="0" w:space="0" w:color="auto"/>
        <w:bottom w:val="none" w:sz="0" w:space="0" w:color="auto"/>
        <w:right w:val="none" w:sz="0" w:space="0" w:color="auto"/>
      </w:divBdr>
      <w:divsChild>
        <w:div w:id="618032004">
          <w:marLeft w:val="0"/>
          <w:marRight w:val="0"/>
          <w:marTop w:val="720"/>
          <w:marBottom w:val="0"/>
          <w:divBdr>
            <w:top w:val="single" w:sz="4" w:space="0" w:color="000000"/>
            <w:left w:val="none" w:sz="0" w:space="0" w:color="auto"/>
            <w:bottom w:val="none" w:sz="0" w:space="0" w:color="auto"/>
            <w:right w:val="none" w:sz="0" w:space="0" w:color="auto"/>
          </w:divBdr>
          <w:divsChild>
            <w:div w:id="401414010">
              <w:marLeft w:val="0"/>
              <w:marRight w:val="0"/>
              <w:marTop w:val="0"/>
              <w:marBottom w:val="0"/>
              <w:divBdr>
                <w:top w:val="none" w:sz="0" w:space="0" w:color="auto"/>
                <w:left w:val="none" w:sz="0" w:space="0" w:color="auto"/>
                <w:bottom w:val="none" w:sz="0" w:space="0" w:color="auto"/>
                <w:right w:val="none" w:sz="0" w:space="0" w:color="auto"/>
              </w:divBdr>
            </w:div>
          </w:divsChild>
        </w:div>
        <w:div w:id="1604218800">
          <w:marLeft w:val="240"/>
          <w:marRight w:val="0"/>
          <w:marTop w:val="120"/>
          <w:marBottom w:val="240"/>
          <w:divBdr>
            <w:top w:val="none" w:sz="0" w:space="0" w:color="auto"/>
            <w:left w:val="none" w:sz="0" w:space="0" w:color="auto"/>
            <w:bottom w:val="none" w:sz="0" w:space="0" w:color="auto"/>
            <w:right w:val="none" w:sz="0" w:space="0" w:color="auto"/>
          </w:divBdr>
        </w:div>
      </w:divsChild>
    </w:div>
    <w:div w:id="1483352669">
      <w:bodyDiv w:val="1"/>
      <w:marLeft w:val="0"/>
      <w:marRight w:val="0"/>
      <w:marTop w:val="0"/>
      <w:marBottom w:val="0"/>
      <w:divBdr>
        <w:top w:val="none" w:sz="0" w:space="0" w:color="auto"/>
        <w:left w:val="none" w:sz="0" w:space="0" w:color="auto"/>
        <w:bottom w:val="none" w:sz="0" w:space="0" w:color="auto"/>
        <w:right w:val="none" w:sz="0" w:space="0" w:color="auto"/>
      </w:divBdr>
    </w:div>
    <w:div w:id="1515608395">
      <w:bodyDiv w:val="1"/>
      <w:marLeft w:val="0"/>
      <w:marRight w:val="0"/>
      <w:marTop w:val="0"/>
      <w:marBottom w:val="0"/>
      <w:divBdr>
        <w:top w:val="none" w:sz="0" w:space="0" w:color="auto"/>
        <w:left w:val="none" w:sz="0" w:space="0" w:color="auto"/>
        <w:bottom w:val="none" w:sz="0" w:space="0" w:color="auto"/>
        <w:right w:val="none" w:sz="0" w:space="0" w:color="auto"/>
      </w:divBdr>
      <w:divsChild>
        <w:div w:id="402220569">
          <w:marLeft w:val="0"/>
          <w:marRight w:val="0"/>
          <w:marTop w:val="720"/>
          <w:marBottom w:val="0"/>
          <w:divBdr>
            <w:top w:val="single" w:sz="4" w:space="0" w:color="000000"/>
            <w:left w:val="none" w:sz="0" w:space="0" w:color="auto"/>
            <w:bottom w:val="none" w:sz="0" w:space="0" w:color="auto"/>
            <w:right w:val="none" w:sz="0" w:space="0" w:color="auto"/>
          </w:divBdr>
          <w:divsChild>
            <w:div w:id="1320186718">
              <w:marLeft w:val="0"/>
              <w:marRight w:val="0"/>
              <w:marTop w:val="0"/>
              <w:marBottom w:val="0"/>
              <w:divBdr>
                <w:top w:val="none" w:sz="0" w:space="0" w:color="auto"/>
                <w:left w:val="none" w:sz="0" w:space="0" w:color="auto"/>
                <w:bottom w:val="none" w:sz="0" w:space="0" w:color="auto"/>
                <w:right w:val="none" w:sz="0" w:space="0" w:color="auto"/>
              </w:divBdr>
            </w:div>
          </w:divsChild>
        </w:div>
        <w:div w:id="1873178854">
          <w:marLeft w:val="240"/>
          <w:marRight w:val="0"/>
          <w:marTop w:val="120"/>
          <w:marBottom w:val="240"/>
          <w:divBdr>
            <w:top w:val="none" w:sz="0" w:space="0" w:color="auto"/>
            <w:left w:val="none" w:sz="0" w:space="0" w:color="auto"/>
            <w:bottom w:val="none" w:sz="0" w:space="0" w:color="auto"/>
            <w:right w:val="none" w:sz="0" w:space="0" w:color="auto"/>
          </w:divBdr>
        </w:div>
      </w:divsChild>
    </w:div>
    <w:div w:id="1710955776">
      <w:bodyDiv w:val="1"/>
      <w:marLeft w:val="0"/>
      <w:marRight w:val="0"/>
      <w:marTop w:val="0"/>
      <w:marBottom w:val="0"/>
      <w:divBdr>
        <w:top w:val="none" w:sz="0" w:space="0" w:color="auto"/>
        <w:left w:val="none" w:sz="0" w:space="0" w:color="auto"/>
        <w:bottom w:val="none" w:sz="0" w:space="0" w:color="auto"/>
        <w:right w:val="none" w:sz="0" w:space="0" w:color="auto"/>
      </w:divBdr>
      <w:divsChild>
        <w:div w:id="262342779">
          <w:marLeft w:val="0"/>
          <w:marRight w:val="0"/>
          <w:marTop w:val="0"/>
          <w:marBottom w:val="0"/>
          <w:divBdr>
            <w:top w:val="none" w:sz="0" w:space="0" w:color="auto"/>
            <w:left w:val="none" w:sz="0" w:space="0" w:color="auto"/>
            <w:bottom w:val="none" w:sz="0" w:space="0" w:color="auto"/>
            <w:right w:val="none" w:sz="0" w:space="0" w:color="auto"/>
          </w:divBdr>
          <w:divsChild>
            <w:div w:id="951133851">
              <w:marLeft w:val="0"/>
              <w:marRight w:val="0"/>
              <w:marTop w:val="0"/>
              <w:marBottom w:val="0"/>
              <w:divBdr>
                <w:top w:val="none" w:sz="0" w:space="0" w:color="auto"/>
                <w:left w:val="none" w:sz="0" w:space="0" w:color="auto"/>
                <w:bottom w:val="none" w:sz="0" w:space="0" w:color="auto"/>
                <w:right w:val="none" w:sz="0" w:space="0" w:color="auto"/>
              </w:divBdr>
              <w:divsChild>
                <w:div w:id="14646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6540">
      <w:bodyDiv w:val="1"/>
      <w:marLeft w:val="0"/>
      <w:marRight w:val="0"/>
      <w:marTop w:val="0"/>
      <w:marBottom w:val="0"/>
      <w:divBdr>
        <w:top w:val="none" w:sz="0" w:space="0" w:color="auto"/>
        <w:left w:val="none" w:sz="0" w:space="0" w:color="auto"/>
        <w:bottom w:val="none" w:sz="0" w:space="0" w:color="auto"/>
        <w:right w:val="none" w:sz="0" w:space="0" w:color="auto"/>
      </w:divBdr>
      <w:divsChild>
        <w:div w:id="131363110">
          <w:marLeft w:val="0"/>
          <w:marRight w:val="0"/>
          <w:marTop w:val="0"/>
          <w:marBottom w:val="0"/>
          <w:divBdr>
            <w:top w:val="none" w:sz="0" w:space="0" w:color="auto"/>
            <w:left w:val="none" w:sz="0" w:space="0" w:color="auto"/>
            <w:bottom w:val="none" w:sz="0" w:space="0" w:color="auto"/>
            <w:right w:val="none" w:sz="0" w:space="0" w:color="auto"/>
          </w:divBdr>
          <w:divsChild>
            <w:div w:id="618686178">
              <w:marLeft w:val="0"/>
              <w:marRight w:val="0"/>
              <w:marTop w:val="0"/>
              <w:marBottom w:val="0"/>
              <w:divBdr>
                <w:top w:val="none" w:sz="0" w:space="0" w:color="auto"/>
                <w:left w:val="none" w:sz="0" w:space="0" w:color="auto"/>
                <w:bottom w:val="none" w:sz="0" w:space="0" w:color="auto"/>
                <w:right w:val="none" w:sz="0" w:space="0" w:color="auto"/>
              </w:divBdr>
              <w:divsChild>
                <w:div w:id="14309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84098">
      <w:bodyDiv w:val="1"/>
      <w:marLeft w:val="0"/>
      <w:marRight w:val="0"/>
      <w:marTop w:val="0"/>
      <w:marBottom w:val="0"/>
      <w:divBdr>
        <w:top w:val="none" w:sz="0" w:space="0" w:color="auto"/>
        <w:left w:val="none" w:sz="0" w:space="0" w:color="auto"/>
        <w:bottom w:val="none" w:sz="0" w:space="0" w:color="auto"/>
        <w:right w:val="none" w:sz="0" w:space="0" w:color="auto"/>
      </w:divBdr>
      <w:divsChild>
        <w:div w:id="407313880">
          <w:marLeft w:val="0"/>
          <w:marRight w:val="0"/>
          <w:marTop w:val="0"/>
          <w:marBottom w:val="0"/>
          <w:divBdr>
            <w:top w:val="none" w:sz="0" w:space="0" w:color="auto"/>
            <w:left w:val="none" w:sz="0" w:space="0" w:color="auto"/>
            <w:bottom w:val="none" w:sz="0" w:space="0" w:color="auto"/>
            <w:right w:val="none" w:sz="0" w:space="0" w:color="auto"/>
          </w:divBdr>
        </w:div>
        <w:div w:id="2135559025">
          <w:marLeft w:val="0"/>
          <w:marRight w:val="0"/>
          <w:marTop w:val="0"/>
          <w:marBottom w:val="0"/>
          <w:divBdr>
            <w:top w:val="none" w:sz="0" w:space="0" w:color="auto"/>
            <w:left w:val="none" w:sz="0" w:space="0" w:color="auto"/>
            <w:bottom w:val="none" w:sz="0" w:space="0" w:color="auto"/>
            <w:right w:val="none" w:sz="0" w:space="0" w:color="auto"/>
          </w:divBdr>
        </w:div>
      </w:divsChild>
    </w:div>
    <w:div w:id="1788893004">
      <w:bodyDiv w:val="1"/>
      <w:marLeft w:val="0"/>
      <w:marRight w:val="0"/>
      <w:marTop w:val="0"/>
      <w:marBottom w:val="0"/>
      <w:divBdr>
        <w:top w:val="none" w:sz="0" w:space="0" w:color="auto"/>
        <w:left w:val="none" w:sz="0" w:space="0" w:color="auto"/>
        <w:bottom w:val="none" w:sz="0" w:space="0" w:color="auto"/>
        <w:right w:val="none" w:sz="0" w:space="0" w:color="auto"/>
      </w:divBdr>
      <w:divsChild>
        <w:div w:id="278613447">
          <w:marLeft w:val="0"/>
          <w:marRight w:val="0"/>
          <w:marTop w:val="0"/>
          <w:marBottom w:val="0"/>
          <w:divBdr>
            <w:top w:val="none" w:sz="0" w:space="0" w:color="auto"/>
            <w:left w:val="none" w:sz="0" w:space="0" w:color="auto"/>
            <w:bottom w:val="none" w:sz="0" w:space="0" w:color="auto"/>
            <w:right w:val="none" w:sz="0" w:space="0" w:color="auto"/>
          </w:divBdr>
        </w:div>
      </w:divsChild>
    </w:div>
    <w:div w:id="1860389099">
      <w:bodyDiv w:val="1"/>
      <w:marLeft w:val="0"/>
      <w:marRight w:val="0"/>
      <w:marTop w:val="0"/>
      <w:marBottom w:val="0"/>
      <w:divBdr>
        <w:top w:val="none" w:sz="0" w:space="0" w:color="auto"/>
        <w:left w:val="none" w:sz="0" w:space="0" w:color="auto"/>
        <w:bottom w:val="none" w:sz="0" w:space="0" w:color="auto"/>
        <w:right w:val="none" w:sz="0" w:space="0" w:color="auto"/>
      </w:divBdr>
    </w:div>
    <w:div w:id="1898734865">
      <w:bodyDiv w:val="1"/>
      <w:marLeft w:val="0"/>
      <w:marRight w:val="0"/>
      <w:marTop w:val="0"/>
      <w:marBottom w:val="0"/>
      <w:divBdr>
        <w:top w:val="none" w:sz="0" w:space="0" w:color="auto"/>
        <w:left w:val="none" w:sz="0" w:space="0" w:color="auto"/>
        <w:bottom w:val="none" w:sz="0" w:space="0" w:color="auto"/>
        <w:right w:val="none" w:sz="0" w:space="0" w:color="auto"/>
      </w:divBdr>
    </w:div>
    <w:div w:id="1993295030">
      <w:bodyDiv w:val="1"/>
      <w:marLeft w:val="0"/>
      <w:marRight w:val="0"/>
      <w:marTop w:val="0"/>
      <w:marBottom w:val="0"/>
      <w:divBdr>
        <w:top w:val="none" w:sz="0" w:space="0" w:color="auto"/>
        <w:left w:val="none" w:sz="0" w:space="0" w:color="auto"/>
        <w:bottom w:val="none" w:sz="0" w:space="0" w:color="auto"/>
        <w:right w:val="none" w:sz="0" w:space="0" w:color="auto"/>
      </w:divBdr>
      <w:divsChild>
        <w:div w:id="1180002117">
          <w:marLeft w:val="0"/>
          <w:marRight w:val="0"/>
          <w:marTop w:val="0"/>
          <w:marBottom w:val="0"/>
          <w:divBdr>
            <w:top w:val="none" w:sz="0" w:space="0" w:color="auto"/>
            <w:left w:val="none" w:sz="0" w:space="0" w:color="auto"/>
            <w:bottom w:val="none" w:sz="0" w:space="0" w:color="auto"/>
            <w:right w:val="none" w:sz="0" w:space="0" w:color="auto"/>
          </w:divBdr>
          <w:divsChild>
            <w:div w:id="2022733544">
              <w:marLeft w:val="0"/>
              <w:marRight w:val="0"/>
              <w:marTop w:val="0"/>
              <w:marBottom w:val="0"/>
              <w:divBdr>
                <w:top w:val="none" w:sz="0" w:space="0" w:color="auto"/>
                <w:left w:val="none" w:sz="0" w:space="0" w:color="auto"/>
                <w:bottom w:val="none" w:sz="0" w:space="0" w:color="auto"/>
                <w:right w:val="none" w:sz="0" w:space="0" w:color="auto"/>
              </w:divBdr>
              <w:divsChild>
                <w:div w:id="6132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81474">
      <w:bodyDiv w:val="1"/>
      <w:marLeft w:val="0"/>
      <w:marRight w:val="0"/>
      <w:marTop w:val="0"/>
      <w:marBottom w:val="0"/>
      <w:divBdr>
        <w:top w:val="none" w:sz="0" w:space="0" w:color="auto"/>
        <w:left w:val="none" w:sz="0" w:space="0" w:color="auto"/>
        <w:bottom w:val="none" w:sz="0" w:space="0" w:color="auto"/>
        <w:right w:val="none" w:sz="0" w:space="0" w:color="auto"/>
      </w:divBdr>
      <w:divsChild>
        <w:div w:id="1308433703">
          <w:marLeft w:val="0"/>
          <w:marRight w:val="0"/>
          <w:marTop w:val="0"/>
          <w:marBottom w:val="0"/>
          <w:divBdr>
            <w:top w:val="none" w:sz="0" w:space="0" w:color="auto"/>
            <w:left w:val="none" w:sz="0" w:space="0" w:color="auto"/>
            <w:bottom w:val="none" w:sz="0" w:space="0" w:color="auto"/>
            <w:right w:val="none" w:sz="0" w:space="0" w:color="auto"/>
          </w:divBdr>
          <w:divsChild>
            <w:div w:id="1918595242">
              <w:marLeft w:val="0"/>
              <w:marRight w:val="0"/>
              <w:marTop w:val="0"/>
              <w:marBottom w:val="0"/>
              <w:divBdr>
                <w:top w:val="none" w:sz="0" w:space="0" w:color="auto"/>
                <w:left w:val="none" w:sz="0" w:space="0" w:color="auto"/>
                <w:bottom w:val="none" w:sz="0" w:space="0" w:color="auto"/>
                <w:right w:val="none" w:sz="0" w:space="0" w:color="auto"/>
              </w:divBdr>
              <w:divsChild>
                <w:div w:id="18486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og-acrin.org/resources/ecog-performance-sta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1CFD0F9E8BFC848B9CE96836C2A6546" ma:contentTypeVersion="16" ma:contentTypeDescription="Создание документа." ma:contentTypeScope="" ma:versionID="1b57755366fd7746fa73906bb592f9b7">
  <xsd:schema xmlns:xsd="http://www.w3.org/2001/XMLSchema" xmlns:xs="http://www.w3.org/2001/XMLSchema" xmlns:p="http://schemas.microsoft.com/office/2006/metadata/properties" xmlns:ns2="e92b3814-a978-4e2d-af1b-be0f208bb190" xmlns:ns3="544e7861-b211-4af9-9ef2-07d978a58404" targetNamespace="http://schemas.microsoft.com/office/2006/metadata/properties" ma:root="true" ma:fieldsID="326e7ce745e6b1245a4d9fdfe156fe6c" ns2:_="" ns3:_="">
    <xsd:import namespace="e92b3814-a978-4e2d-af1b-be0f208bb190"/>
    <xsd:import namespace="544e7861-b211-4af9-9ef2-07d978a584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3814-a978-4e2d-af1b-be0f208bb190"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description="" ma:internalName="SharedWithDetails" ma:readOnly="true">
      <xsd:simpleType>
        <xsd:restriction base="dms:Note">
          <xsd:maxLength value="255"/>
        </xsd:restriction>
      </xsd:simpleType>
    </xsd:element>
    <xsd:element name="TaxCatchAll" ma:index="23" nillable="true" ma:displayName="Taxonomy Catch All Column" ma:hidden="true" ma:list="{10cdff80-a249-4fa4-bb18-a42de2bef057}" ma:internalName="TaxCatchAll" ma:showField="CatchAllData" ma:web="e92b3814-a978-4e2d-af1b-be0f208bb1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4e7861-b211-4af9-9ef2-07d978a584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изображений" ma:readOnly="false" ma:fieldId="{5cf76f15-5ced-4ddc-b409-7134ff3c332f}" ma:taxonomyMulti="true" ma:sspId="c0c83cd9-88a3-47b3-b6bc-3f40b354df8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2FE45-02F3-D94D-AFF1-E27A588F046B}">
  <ds:schemaRefs>
    <ds:schemaRef ds:uri="http://schemas.openxmlformats.org/officeDocument/2006/bibliography"/>
  </ds:schemaRefs>
</ds:datastoreItem>
</file>

<file path=customXml/itemProps2.xml><?xml version="1.0" encoding="utf-8"?>
<ds:datastoreItem xmlns:ds="http://schemas.openxmlformats.org/officeDocument/2006/customXml" ds:itemID="{1C3D6792-1DE6-4812-BB6D-4A158383D057}">
  <ds:schemaRefs>
    <ds:schemaRef ds:uri="http://schemas.microsoft.com/sharepoint/v3/contenttype/forms"/>
  </ds:schemaRefs>
</ds:datastoreItem>
</file>

<file path=customXml/itemProps3.xml><?xml version="1.0" encoding="utf-8"?>
<ds:datastoreItem xmlns:ds="http://schemas.openxmlformats.org/officeDocument/2006/customXml" ds:itemID="{3C0F49BF-B044-4D8F-8210-5223494BE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b3814-a978-4e2d-af1b-be0f208bb190"/>
    <ds:schemaRef ds:uri="544e7861-b211-4af9-9ef2-07d978a58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77141</Words>
  <Characters>439706</Characters>
  <Application>Microsoft Office Word</Application>
  <DocSecurity>0</DocSecurity>
  <Lines>3664</Lines>
  <Paragraphs>1031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Рената Чикаева</cp:lastModifiedBy>
  <cp:revision>2</cp:revision>
  <cp:lastPrinted>2024-12-21T18:06:00Z</cp:lastPrinted>
  <dcterms:created xsi:type="dcterms:W3CDTF">2025-01-24T12:57:00Z</dcterms:created>
  <dcterms:modified xsi:type="dcterms:W3CDTF">2025-01-24T12:57:00Z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ZOTERO_PREF_1">
    <vt:lpwstr>&lt;data data-version="3" zotero-version="6.0.13"&gt;&lt;session id="mquqqT4z"/&gt;&lt;style id="http://www.zotero.org/styles/gost-r-7-0-5-2008-numeric" hasBibliography="1" bibliographyStyleHasBeenSet="1"/&gt;&lt;prefs&gt;&lt;pref name="fieldType" value="Field"/&gt;&lt;pref name="dontAsk</vt:lpwstr>
  </property>
  <property fmtid="{D5CDD505-2E9C-101B-9397-08002B2CF9AE}" pid="10" name="ZOTERO_PREF_2">
    <vt:lpwstr>DelayCitationUpdates" value="true"/&gt;&lt;/prefs&gt;&lt;/data&gt;</vt:lpwstr>
  </property>
</Properties>
</file>