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D795" w14:textId="5C294B75" w:rsidR="00AC2481" w:rsidRPr="00A83E0C" w:rsidRDefault="00BC084C" w:rsidP="00724815">
      <w:pPr>
        <w:ind w:firstLine="851"/>
      </w:pPr>
      <w:r>
        <w:rPr>
          <w:noProof/>
          <w:lang w:val="ru-RU"/>
        </w:rPr>
        <mc:AlternateContent>
          <mc:Choice Requires="wps">
            <w:drawing>
              <wp:anchor distT="0" distB="0" distL="114300" distR="114300" simplePos="0" relativeHeight="251669504" behindDoc="1" locked="0" layoutInCell="1" allowOverlap="1" wp14:anchorId="16BA38C0" wp14:editId="35356325">
                <wp:simplePos x="0" y="0"/>
                <wp:positionH relativeFrom="page">
                  <wp:posOffset>409575</wp:posOffset>
                </wp:positionH>
                <wp:positionV relativeFrom="paragraph">
                  <wp:posOffset>-329565</wp:posOffset>
                </wp:positionV>
                <wp:extent cx="6762750" cy="9839325"/>
                <wp:effectExtent l="0" t="0" r="0" b="0"/>
                <wp:wrapNone/>
                <wp:docPr id="6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9839325"/>
                        </a:xfrm>
                        <a:prstGeom prst="rect">
                          <a:avLst/>
                        </a:prstGeom>
                        <a:solidFill>
                          <a:srgbClr val="FFFFFF"/>
                        </a:solidFill>
                        <a:ln w="25400" cap="flat" cmpd="sng" algn="ctr">
                          <a:noFill/>
                          <a:prstDash val="solid"/>
                        </a:ln>
                        <a:effectLst/>
                      </wps:spPr>
                      <wps:txbx>
                        <w:txbxContent>
                          <w:tbl>
                            <w:tblPr>
                              <w:tblW w:w="10064" w:type="dxa"/>
                              <w:tblLayout w:type="fixed"/>
                              <w:tblLook w:val="0000" w:firstRow="0" w:lastRow="0" w:firstColumn="0" w:lastColumn="0" w:noHBand="0" w:noVBand="0"/>
                            </w:tblPr>
                            <w:tblGrid>
                              <w:gridCol w:w="2127"/>
                              <w:gridCol w:w="2693"/>
                              <w:gridCol w:w="2126"/>
                              <w:gridCol w:w="3118"/>
                            </w:tblGrid>
                            <w:tr w:rsidR="00007EEB" w:rsidRPr="0060277C" w14:paraId="630E3973" w14:textId="77777777" w:rsidTr="0060277C">
                              <w:trPr>
                                <w:trHeight w:val="2555"/>
                              </w:trPr>
                              <w:tc>
                                <w:tcPr>
                                  <w:tcW w:w="2127" w:type="dxa"/>
                                </w:tcPr>
                                <w:p w14:paraId="4710ED5E" w14:textId="79966FB0" w:rsidR="00007EEB" w:rsidRPr="0038253E" w:rsidRDefault="00007EEB" w:rsidP="0038253E">
                                  <w:pPr>
                                    <w:widowControl w:val="0"/>
                                    <w:adjustRightInd w:val="0"/>
                                    <w:ind w:firstLine="37"/>
                                    <w:jc w:val="right"/>
                                    <w:textAlignment w:val="baseline"/>
                                    <w:rPr>
                                      <w:rFonts w:eastAsia="Calibri"/>
                                      <w:b/>
                                      <w:sz w:val="16"/>
                                      <w:szCs w:val="16"/>
                                      <w:lang w:val="ru-RU" w:eastAsia="en-US"/>
                                    </w:rPr>
                                  </w:pPr>
                                </w:p>
                              </w:tc>
                              <w:tc>
                                <w:tcPr>
                                  <w:tcW w:w="2693" w:type="dxa"/>
                                </w:tcPr>
                                <w:p w14:paraId="1B47BC95" w14:textId="77777777" w:rsidR="0060277C" w:rsidRPr="0038253E" w:rsidRDefault="0060277C" w:rsidP="0060277C">
                                  <w:pPr>
                                    <w:widowControl w:val="0"/>
                                    <w:adjustRightInd w:val="0"/>
                                    <w:ind w:left="-111" w:firstLine="148"/>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2A1A6D88"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Общероссийская общественная организация содействия развитию лучевой диагностики и терапии «Российское общество рентгенологов и радиологов»</w:t>
                                  </w:r>
                                </w:p>
                                <w:p w14:paraId="52E8C63C" w14:textId="77777777" w:rsidR="0060277C" w:rsidRDefault="0060277C" w:rsidP="0060277C">
                                  <w:pPr>
                                    <w:widowControl w:val="0"/>
                                    <w:adjustRightInd w:val="0"/>
                                    <w:ind w:left="-111" w:firstLine="148"/>
                                    <w:jc w:val="right"/>
                                    <w:textAlignment w:val="baseline"/>
                                    <w:rPr>
                                      <w:rFonts w:eastAsia="Calibri"/>
                                      <w:bCs/>
                                      <w:sz w:val="16"/>
                                      <w:szCs w:val="16"/>
                                      <w:lang w:val="ru-RU" w:eastAsia="en-US"/>
                                    </w:rPr>
                                  </w:pPr>
                                </w:p>
                                <w:p w14:paraId="4709BEBE"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 xml:space="preserve"> </w:t>
                                  </w:r>
                                </w:p>
                                <w:p w14:paraId="5BE75BC9"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_________________________</w:t>
                                  </w:r>
                                </w:p>
                                <w:p w14:paraId="7ABCC378" w14:textId="55B902EA" w:rsidR="00007EEB" w:rsidRPr="0038253E" w:rsidRDefault="0060277C" w:rsidP="0060277C">
                                  <w:pPr>
                                    <w:widowControl w:val="0"/>
                                    <w:adjustRightInd w:val="0"/>
                                    <w:ind w:left="-111" w:firstLine="148"/>
                                    <w:jc w:val="left"/>
                                    <w:textAlignment w:val="baseline"/>
                                    <w:rPr>
                                      <w:rFonts w:eastAsia="Calibri"/>
                                      <w:b/>
                                      <w:sz w:val="16"/>
                                      <w:szCs w:val="16"/>
                                      <w:lang w:val="ru-RU" w:eastAsia="en-US"/>
                                    </w:rPr>
                                  </w:pPr>
                                  <w:r w:rsidRPr="0038253E">
                                    <w:rPr>
                                      <w:rFonts w:eastAsia="Calibri"/>
                                      <w:b/>
                                      <w:sz w:val="16"/>
                                      <w:szCs w:val="16"/>
                                      <w:lang w:val="ru-RU" w:eastAsia="en-US"/>
                                    </w:rPr>
                                    <w:t xml:space="preserve">                м.п.</w:t>
                                  </w:r>
                                </w:p>
                              </w:tc>
                              <w:tc>
                                <w:tcPr>
                                  <w:tcW w:w="2126" w:type="dxa"/>
                                </w:tcPr>
                                <w:p w14:paraId="36A3CA08"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448A5D10"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Cs/>
                                      <w:sz w:val="16"/>
                                      <w:szCs w:val="16"/>
                                      <w:lang w:val="ru-RU" w:eastAsia="en-US"/>
                                    </w:rPr>
                                    <w:t>Общероссийская общественная организация "Российское общество клинической онкологии"</w:t>
                                  </w:r>
                                </w:p>
                                <w:p w14:paraId="0B210595" w14:textId="77777777" w:rsidR="00007EEB" w:rsidRDefault="00007EEB" w:rsidP="0038253E">
                                  <w:pPr>
                                    <w:widowControl w:val="0"/>
                                    <w:adjustRightInd w:val="0"/>
                                    <w:jc w:val="right"/>
                                    <w:textAlignment w:val="baseline"/>
                                    <w:rPr>
                                      <w:rFonts w:eastAsia="Calibri"/>
                                      <w:bCs/>
                                      <w:sz w:val="16"/>
                                      <w:szCs w:val="16"/>
                                      <w:lang w:val="ru-RU" w:eastAsia="en-US"/>
                                    </w:rPr>
                                  </w:pPr>
                                </w:p>
                                <w:p w14:paraId="0CDFE5A5"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0479AD7B"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4B01068C" w14:textId="77777777" w:rsidR="00007EEB" w:rsidRPr="0038253E" w:rsidRDefault="00007EEB" w:rsidP="0038253E">
                                  <w:pPr>
                                    <w:widowControl w:val="0"/>
                                    <w:adjustRightInd w:val="0"/>
                                    <w:ind w:firstLine="0"/>
                                    <w:jc w:val="right"/>
                                    <w:textAlignment w:val="baseline"/>
                                    <w:rPr>
                                      <w:rFonts w:eastAsia="Calibri"/>
                                      <w:bCs/>
                                      <w:sz w:val="16"/>
                                      <w:szCs w:val="16"/>
                                      <w:lang w:val="ru-RU" w:eastAsia="en-US"/>
                                    </w:rPr>
                                  </w:pPr>
                                  <w:r w:rsidRPr="0038253E">
                                    <w:rPr>
                                      <w:rFonts w:eastAsia="Calibri"/>
                                      <w:bCs/>
                                      <w:sz w:val="16"/>
                                      <w:szCs w:val="16"/>
                                      <w:lang w:val="ru-RU" w:eastAsia="en-US"/>
                                    </w:rPr>
                                    <w:t>_______________________</w:t>
                                  </w:r>
                                </w:p>
                                <w:p w14:paraId="016511EA" w14:textId="77777777" w:rsidR="00007EEB" w:rsidRPr="0038253E" w:rsidRDefault="00007EEB" w:rsidP="0038253E">
                                  <w:pPr>
                                    <w:widowControl w:val="0"/>
                                    <w:adjustRightInd w:val="0"/>
                                    <w:jc w:val="center"/>
                                    <w:textAlignment w:val="baseline"/>
                                    <w:rPr>
                                      <w:rFonts w:eastAsia="Calibri"/>
                                      <w:bCs/>
                                      <w:sz w:val="16"/>
                                      <w:szCs w:val="16"/>
                                      <w:lang w:val="ru-RU" w:eastAsia="en-US"/>
                                    </w:rPr>
                                  </w:pPr>
                                  <w:r w:rsidRPr="0038253E">
                                    <w:rPr>
                                      <w:rFonts w:eastAsia="Calibri"/>
                                      <w:b/>
                                      <w:sz w:val="16"/>
                                      <w:szCs w:val="16"/>
                                      <w:lang w:val="ru-RU" w:eastAsia="en-US"/>
                                    </w:rPr>
                                    <w:t>м.п.</w:t>
                                  </w:r>
                                </w:p>
                              </w:tc>
                              <w:tc>
                                <w:tcPr>
                                  <w:tcW w:w="3118" w:type="dxa"/>
                                </w:tcPr>
                                <w:p w14:paraId="1D6CE473"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7584CA38" w14:textId="77777777" w:rsidR="00007EEB" w:rsidRPr="0038253E" w:rsidRDefault="00007EEB" w:rsidP="0038253E">
                                  <w:pPr>
                                    <w:widowControl w:val="0"/>
                                    <w:adjustRightInd w:val="0"/>
                                    <w:ind w:left="323" w:hanging="323"/>
                                    <w:jc w:val="right"/>
                                    <w:textAlignment w:val="baseline"/>
                                    <w:rPr>
                                      <w:rFonts w:eastAsia="Calibri"/>
                                      <w:b/>
                                      <w:sz w:val="16"/>
                                      <w:szCs w:val="16"/>
                                      <w:lang w:val="ru-RU" w:eastAsia="en-US"/>
                                    </w:rPr>
                                  </w:pPr>
                                  <w:r w:rsidRPr="0038253E">
                                    <w:rPr>
                                      <w:rFonts w:eastAsia="Calibri"/>
                                      <w:bCs/>
                                      <w:sz w:val="16"/>
                                      <w:szCs w:val="16"/>
                                      <w:lang w:val="ru-RU" w:eastAsia="en-US"/>
                                    </w:rPr>
                                    <w:t>Общероссийский национальный союз</w:t>
                                  </w:r>
                                  <w:r w:rsidRPr="0038253E">
                                    <w:rPr>
                                      <w:rFonts w:eastAsia="Calibri"/>
                                      <w:b/>
                                      <w:sz w:val="16"/>
                                      <w:szCs w:val="16"/>
                                      <w:lang w:val="ru-RU" w:eastAsia="en-US"/>
                                    </w:rPr>
                                    <w:t xml:space="preserve"> </w:t>
                                  </w:r>
                                  <w:r w:rsidRPr="0038253E">
                                    <w:rPr>
                                      <w:rFonts w:eastAsia="Calibri"/>
                                      <w:bCs/>
                                      <w:sz w:val="16"/>
                                      <w:szCs w:val="16"/>
                                      <w:lang w:val="ru-RU" w:eastAsia="en-US"/>
                                    </w:rPr>
                                    <w:t>"Ассоциация онкологов России"</w:t>
                                  </w:r>
                                </w:p>
                                <w:p w14:paraId="024EC5C3" w14:textId="08DC48C8" w:rsidR="00007EEB" w:rsidRPr="0038253E" w:rsidRDefault="00007EEB" w:rsidP="0038253E">
                                  <w:pPr>
                                    <w:widowControl w:val="0"/>
                                    <w:adjustRightInd w:val="0"/>
                                    <w:ind w:firstLine="19"/>
                                    <w:jc w:val="right"/>
                                    <w:textAlignment w:val="baseline"/>
                                    <w:rPr>
                                      <w:rFonts w:eastAsia="Calibri"/>
                                      <w:bCs/>
                                      <w:sz w:val="16"/>
                                      <w:szCs w:val="16"/>
                                      <w:lang w:val="ru-RU" w:eastAsia="en-US"/>
                                    </w:rPr>
                                  </w:pPr>
                                  <w:r w:rsidRPr="0038253E">
                                    <w:rPr>
                                      <w:rFonts w:eastAsia="Calibri"/>
                                      <w:bCs/>
                                      <w:sz w:val="16"/>
                                      <w:szCs w:val="16"/>
                                      <w:lang w:val="ru-RU" w:eastAsia="en-US"/>
                                    </w:rPr>
                                    <w:t>Протокол от «</w:t>
                                  </w:r>
                                  <w:r>
                                    <w:rPr>
                                      <w:rFonts w:eastAsia="Calibri"/>
                                      <w:bCs/>
                                      <w:sz w:val="16"/>
                                      <w:szCs w:val="16"/>
                                      <w:lang w:val="ru-RU" w:eastAsia="en-US"/>
                                    </w:rPr>
                                    <w:t>__</w:t>
                                  </w:r>
                                  <w:r w:rsidRPr="0038253E">
                                    <w:rPr>
                                      <w:rFonts w:eastAsia="Calibri"/>
                                      <w:bCs/>
                                      <w:sz w:val="16"/>
                                      <w:szCs w:val="16"/>
                                      <w:lang w:val="ru-RU" w:eastAsia="en-US"/>
                                    </w:rPr>
                                    <w:t xml:space="preserve">» </w:t>
                                  </w:r>
                                  <w:r>
                                    <w:rPr>
                                      <w:rFonts w:eastAsia="Calibri"/>
                                      <w:bCs/>
                                      <w:sz w:val="16"/>
                                      <w:szCs w:val="16"/>
                                      <w:lang w:val="ru-RU" w:eastAsia="en-US"/>
                                    </w:rPr>
                                    <w:t>__________</w:t>
                                  </w:r>
                                  <w:r w:rsidRPr="0038253E">
                                    <w:rPr>
                                      <w:rFonts w:eastAsia="Calibri"/>
                                      <w:bCs/>
                                      <w:sz w:val="16"/>
                                      <w:szCs w:val="16"/>
                                      <w:lang w:val="ru-RU" w:eastAsia="en-US"/>
                                    </w:rPr>
                                    <w:t xml:space="preserve"> 202</w:t>
                                  </w:r>
                                  <w:r w:rsidR="00BE0F39">
                                    <w:rPr>
                                      <w:rFonts w:eastAsia="Calibri"/>
                                      <w:bCs/>
                                      <w:sz w:val="16"/>
                                      <w:szCs w:val="16"/>
                                      <w:lang w:val="ru-RU" w:eastAsia="en-US"/>
                                    </w:rPr>
                                    <w:t>_</w:t>
                                  </w:r>
                                  <w:r w:rsidRPr="0038253E">
                                    <w:rPr>
                                      <w:rFonts w:eastAsia="Calibri"/>
                                      <w:bCs/>
                                      <w:sz w:val="16"/>
                                      <w:szCs w:val="16"/>
                                      <w:lang w:val="ru-RU" w:eastAsia="en-US"/>
                                    </w:rPr>
                                    <w:t xml:space="preserve">г. </w:t>
                                  </w:r>
                                </w:p>
                                <w:p w14:paraId="23058C01" w14:textId="77777777" w:rsidR="00007EEB" w:rsidRPr="0038253E" w:rsidRDefault="00007EEB" w:rsidP="0038253E">
                                  <w:pPr>
                                    <w:widowControl w:val="0"/>
                                    <w:adjustRightInd w:val="0"/>
                                    <w:jc w:val="right"/>
                                    <w:textAlignment w:val="baseline"/>
                                    <w:rPr>
                                      <w:rFonts w:eastAsia="Calibri"/>
                                      <w:bCs/>
                                      <w:sz w:val="16"/>
                                      <w:szCs w:val="16"/>
                                      <w:lang w:val="ru-RU" w:eastAsia="en-US"/>
                                    </w:rPr>
                                  </w:pPr>
                                  <w:r w:rsidRPr="0038253E">
                                    <w:rPr>
                                      <w:rFonts w:eastAsia="Calibri"/>
                                      <w:bCs/>
                                      <w:sz w:val="16"/>
                                      <w:szCs w:val="16"/>
                                      <w:lang w:val="ru-RU" w:eastAsia="en-US"/>
                                    </w:rPr>
                                    <w:t>№</w:t>
                                  </w:r>
                                  <w:r>
                                    <w:rPr>
                                      <w:rFonts w:eastAsia="Calibri"/>
                                      <w:bCs/>
                                      <w:sz w:val="16"/>
                                      <w:szCs w:val="16"/>
                                      <w:lang w:val="ru-RU" w:eastAsia="en-US"/>
                                    </w:rPr>
                                    <w:t>________</w:t>
                                  </w:r>
                                </w:p>
                                <w:p w14:paraId="26D8C4C1" w14:textId="77777777" w:rsidR="00007EEB" w:rsidRDefault="00007EEB" w:rsidP="0038253E">
                                  <w:pPr>
                                    <w:widowControl w:val="0"/>
                                    <w:adjustRightInd w:val="0"/>
                                    <w:jc w:val="right"/>
                                    <w:textAlignment w:val="baseline"/>
                                    <w:rPr>
                                      <w:rFonts w:eastAsia="Calibri"/>
                                      <w:bCs/>
                                      <w:sz w:val="16"/>
                                      <w:szCs w:val="16"/>
                                      <w:lang w:val="ru-RU" w:eastAsia="en-US"/>
                                    </w:rPr>
                                  </w:pPr>
                                </w:p>
                                <w:p w14:paraId="6500E80B"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54441DEA" w14:textId="77777777" w:rsidR="0060277C" w:rsidRDefault="0060277C" w:rsidP="0038253E">
                                  <w:pPr>
                                    <w:widowControl w:val="0"/>
                                    <w:adjustRightInd w:val="0"/>
                                    <w:ind w:left="-102" w:firstLine="0"/>
                                    <w:jc w:val="right"/>
                                    <w:textAlignment w:val="baseline"/>
                                    <w:rPr>
                                      <w:rFonts w:eastAsia="Calibri"/>
                                      <w:b/>
                                      <w:sz w:val="16"/>
                                      <w:szCs w:val="16"/>
                                      <w:lang w:val="ru-RU" w:eastAsia="en-US"/>
                                    </w:rPr>
                                  </w:pPr>
                                </w:p>
                                <w:p w14:paraId="29711596" w14:textId="5F5D34A6" w:rsidR="00007EEB" w:rsidRPr="0038253E" w:rsidRDefault="0060277C" w:rsidP="0038253E">
                                  <w:pPr>
                                    <w:widowControl w:val="0"/>
                                    <w:adjustRightInd w:val="0"/>
                                    <w:ind w:left="-102" w:firstLine="0"/>
                                    <w:jc w:val="right"/>
                                    <w:textAlignment w:val="baseline"/>
                                    <w:rPr>
                                      <w:rFonts w:eastAsia="Calibri"/>
                                      <w:b/>
                                      <w:sz w:val="16"/>
                                      <w:szCs w:val="16"/>
                                      <w:lang w:val="ru-RU" w:eastAsia="en-US"/>
                                    </w:rPr>
                                  </w:pPr>
                                  <w:r>
                                    <w:rPr>
                                      <w:rFonts w:eastAsia="Calibri"/>
                                      <w:b/>
                                      <w:sz w:val="16"/>
                                      <w:szCs w:val="16"/>
                                      <w:lang w:val="ru-RU" w:eastAsia="en-US"/>
                                    </w:rPr>
                                    <w:t>__________</w:t>
                                  </w:r>
                                  <w:r w:rsidR="00007EEB" w:rsidRPr="0038253E">
                                    <w:rPr>
                                      <w:rFonts w:eastAsia="Calibri"/>
                                      <w:b/>
                                      <w:sz w:val="16"/>
                                      <w:szCs w:val="16"/>
                                      <w:lang w:val="ru-RU" w:eastAsia="en-US"/>
                                    </w:rPr>
                                    <w:t>____________________</w:t>
                                  </w:r>
                                </w:p>
                                <w:p w14:paraId="7255DD0D" w14:textId="77777777" w:rsidR="00007EEB" w:rsidRPr="0038253E" w:rsidRDefault="00007EEB" w:rsidP="0038253E">
                                  <w:pPr>
                                    <w:widowControl w:val="0"/>
                                    <w:adjustRightInd w:val="0"/>
                                    <w:textAlignment w:val="baseline"/>
                                    <w:rPr>
                                      <w:rFonts w:eastAsia="Calibri"/>
                                      <w:b/>
                                      <w:sz w:val="16"/>
                                      <w:szCs w:val="16"/>
                                      <w:lang w:val="ru-RU" w:eastAsia="en-US"/>
                                    </w:rPr>
                                  </w:pPr>
                                  <w:r w:rsidRPr="0038253E">
                                    <w:rPr>
                                      <w:rFonts w:eastAsia="Calibri"/>
                                      <w:b/>
                                      <w:sz w:val="16"/>
                                      <w:szCs w:val="16"/>
                                      <w:lang w:val="ru-RU" w:eastAsia="en-US"/>
                                    </w:rPr>
                                    <w:t xml:space="preserve">                  м.п.</w:t>
                                  </w:r>
                                </w:p>
                              </w:tc>
                            </w:tr>
                          </w:tbl>
                          <w:p w14:paraId="33BEE930" w14:textId="77777777" w:rsidR="00007EEB" w:rsidRDefault="00007EEB" w:rsidP="006538DA">
                            <w:pPr>
                              <w:ind w:left="426" w:firstLine="0"/>
                              <w:jc w:val="center"/>
                              <w:rPr>
                                <w:b/>
                                <w:bCs/>
                                <w:color w:val="7F7F7F" w:themeColor="text1" w:themeTint="80"/>
                                <w:lang w:val="ru-RU"/>
                              </w:rPr>
                            </w:pPr>
                          </w:p>
                          <w:p w14:paraId="3E04AC4E" w14:textId="77777777" w:rsidR="00007EEB" w:rsidRDefault="00007EEB" w:rsidP="006538DA">
                            <w:pPr>
                              <w:ind w:left="426" w:firstLine="0"/>
                              <w:jc w:val="center"/>
                              <w:rPr>
                                <w:b/>
                                <w:bCs/>
                                <w:color w:val="7F7F7F" w:themeColor="text1" w:themeTint="80"/>
                                <w:lang w:val="ru-RU"/>
                              </w:rPr>
                            </w:pPr>
                          </w:p>
                          <w:p w14:paraId="54530C51" w14:textId="77777777" w:rsidR="00007EEB" w:rsidRDefault="00007EEB" w:rsidP="006538DA">
                            <w:pPr>
                              <w:ind w:left="426" w:firstLine="0"/>
                              <w:jc w:val="center"/>
                              <w:rPr>
                                <w:b/>
                                <w:bCs/>
                                <w:color w:val="7F7F7F" w:themeColor="text1" w:themeTint="80"/>
                                <w:lang w:val="ru-RU"/>
                              </w:rPr>
                            </w:pPr>
                          </w:p>
                          <w:p w14:paraId="110C736B" w14:textId="77777777" w:rsidR="00007EEB" w:rsidRPr="0078017B" w:rsidRDefault="00007EEB" w:rsidP="006538DA">
                            <w:pPr>
                              <w:ind w:left="426" w:firstLine="0"/>
                              <w:jc w:val="center"/>
                              <w:rPr>
                                <w:b/>
                                <w:bCs/>
                                <w:color w:val="7F7F7F" w:themeColor="text1" w:themeTint="80"/>
                                <w:lang w:val="ru-RU"/>
                              </w:rPr>
                            </w:pPr>
                            <w:r w:rsidRPr="0078017B">
                              <w:rPr>
                                <w:b/>
                                <w:bCs/>
                                <w:color w:val="7F7F7F" w:themeColor="text1" w:themeTint="80"/>
                                <w:lang w:val="ru-RU"/>
                              </w:rPr>
                              <w:t>Клинические рекомендации</w:t>
                            </w:r>
                          </w:p>
                          <w:p w14:paraId="25B48A3E" w14:textId="77777777" w:rsidR="00007EEB" w:rsidRDefault="00007EEB" w:rsidP="006538DA">
                            <w:pPr>
                              <w:ind w:left="426" w:firstLine="0"/>
                              <w:jc w:val="center"/>
                              <w:rPr>
                                <w:b/>
                                <w:sz w:val="44"/>
                                <w:szCs w:val="44"/>
                                <w:lang w:val="ru-RU"/>
                              </w:rPr>
                            </w:pPr>
                            <w:r w:rsidRPr="00B05D9D">
                              <w:rPr>
                                <w:b/>
                                <w:sz w:val="44"/>
                                <w:szCs w:val="44"/>
                                <w:lang w:val="ru-RU"/>
                              </w:rPr>
                              <w:t>Рак поджелудочной железы</w:t>
                            </w:r>
                          </w:p>
                          <w:p w14:paraId="1A28331C" w14:textId="77777777" w:rsidR="00007EEB" w:rsidRPr="00B05D9D" w:rsidRDefault="00007EEB" w:rsidP="006538DA">
                            <w:pPr>
                              <w:ind w:left="426" w:firstLine="0"/>
                              <w:jc w:val="center"/>
                              <w:rPr>
                                <w:lang w:val="ru-RU"/>
                              </w:rPr>
                            </w:pPr>
                          </w:p>
                          <w:tbl>
                            <w:tblPr>
                              <w:tblW w:w="10239" w:type="dxa"/>
                              <w:tblInd w:w="102" w:type="dxa"/>
                              <w:tblLook w:val="0000" w:firstRow="0" w:lastRow="0" w:firstColumn="0" w:lastColumn="0" w:noHBand="0" w:noVBand="0"/>
                            </w:tblPr>
                            <w:tblGrid>
                              <w:gridCol w:w="5852"/>
                              <w:gridCol w:w="4387"/>
                            </w:tblGrid>
                            <w:tr w:rsidR="00007EEB" w14:paraId="69DE3A25" w14:textId="77777777" w:rsidTr="00C059F4">
                              <w:trPr>
                                <w:trHeight w:val="636"/>
                              </w:trPr>
                              <w:tc>
                                <w:tcPr>
                                  <w:tcW w:w="5852" w:type="dxa"/>
                                </w:tcPr>
                                <w:p w14:paraId="133D70B2" w14:textId="77777777" w:rsidR="00007EEB" w:rsidRDefault="00007EEB" w:rsidP="006538DA">
                                  <w:pPr>
                                    <w:ind w:firstLine="0"/>
                                    <w:jc w:val="right"/>
                                    <w:rPr>
                                      <w:rFonts w:eastAsia="Calibri"/>
                                      <w:color w:val="808080"/>
                                      <w:lang w:val="ru-RU" w:eastAsia="en-US"/>
                                    </w:rPr>
                                  </w:pPr>
                                  <w:r w:rsidRPr="00686261">
                                    <w:rPr>
                                      <w:rFonts w:eastAsia="Calibri"/>
                                      <w:color w:val="808080"/>
                                      <w:lang w:val="ru-RU" w:eastAsia="en-US"/>
                                    </w:rPr>
                                    <w:t xml:space="preserve">Кодирование по Международной </w:t>
                                  </w:r>
                                </w:p>
                                <w:p w14:paraId="371926FE" w14:textId="77777777" w:rsidR="00007EEB" w:rsidRDefault="00007EEB" w:rsidP="006538DA">
                                  <w:pPr>
                                    <w:ind w:firstLine="0"/>
                                    <w:jc w:val="right"/>
                                    <w:rPr>
                                      <w:rFonts w:eastAsia="Calibri"/>
                                      <w:color w:val="808080"/>
                                      <w:lang w:val="ru-RU" w:eastAsia="en-US"/>
                                    </w:rPr>
                                  </w:pPr>
                                  <w:r w:rsidRPr="00686261">
                                    <w:rPr>
                                      <w:rFonts w:eastAsia="Calibri"/>
                                      <w:color w:val="808080"/>
                                      <w:lang w:val="ru-RU" w:eastAsia="en-US"/>
                                    </w:rPr>
                                    <w:t xml:space="preserve">статистической классификации болезней и </w:t>
                                  </w:r>
                                </w:p>
                                <w:p w14:paraId="5AF9BF4E" w14:textId="77777777" w:rsidR="00007EEB" w:rsidRPr="0078017B" w:rsidRDefault="00007EEB" w:rsidP="006538DA">
                                  <w:pPr>
                                    <w:ind w:firstLine="0"/>
                                    <w:jc w:val="right"/>
                                    <w:rPr>
                                      <w:color w:val="7F7F7F" w:themeColor="text1" w:themeTint="80"/>
                                      <w:lang w:val="ru-RU"/>
                                    </w:rPr>
                                  </w:pPr>
                                  <w:r w:rsidRPr="00686261">
                                    <w:rPr>
                                      <w:rFonts w:eastAsia="Calibri"/>
                                      <w:color w:val="808080"/>
                                      <w:lang w:val="ru-RU" w:eastAsia="en-US"/>
                                    </w:rPr>
                                    <w:t>проблем, связанных со здоровьем:</w:t>
                                  </w:r>
                                </w:p>
                              </w:tc>
                              <w:tc>
                                <w:tcPr>
                                  <w:tcW w:w="4387" w:type="dxa"/>
                                </w:tcPr>
                                <w:p w14:paraId="3A2CF5CB" w14:textId="77777777" w:rsidR="00007EEB" w:rsidRPr="0078017B" w:rsidRDefault="00007EEB" w:rsidP="006538DA">
                                  <w:pPr>
                                    <w:ind w:firstLine="0"/>
                                    <w:jc w:val="left"/>
                                    <w:rPr>
                                      <w:bCs/>
                                      <w:lang w:val="ru-RU"/>
                                    </w:rPr>
                                  </w:pPr>
                                  <w:r w:rsidRPr="0078017B">
                                    <w:rPr>
                                      <w:bCs/>
                                    </w:rPr>
                                    <w:t>C</w:t>
                                  </w:r>
                                  <w:r w:rsidRPr="0078017B">
                                    <w:rPr>
                                      <w:bCs/>
                                      <w:lang w:val="ru-RU"/>
                                    </w:rPr>
                                    <w:t xml:space="preserve">25 </w:t>
                                  </w:r>
                                </w:p>
                              </w:tc>
                            </w:tr>
                            <w:tr w:rsidR="00007EEB" w14:paraId="20CFCADF" w14:textId="77777777" w:rsidTr="00C059F4">
                              <w:trPr>
                                <w:trHeight w:val="636"/>
                              </w:trPr>
                              <w:tc>
                                <w:tcPr>
                                  <w:tcW w:w="5852" w:type="dxa"/>
                                </w:tcPr>
                                <w:p w14:paraId="0D698FA3" w14:textId="77777777" w:rsidR="00007EEB" w:rsidRPr="0078017B" w:rsidRDefault="00007EEB" w:rsidP="006538DA">
                                  <w:pPr>
                                    <w:ind w:firstLine="0"/>
                                    <w:jc w:val="right"/>
                                    <w:rPr>
                                      <w:color w:val="7F7F7F" w:themeColor="text1" w:themeTint="80"/>
                                      <w:lang w:val="ru-RU"/>
                                    </w:rPr>
                                  </w:pPr>
                                  <w:r w:rsidRPr="0078017B">
                                    <w:rPr>
                                      <w:color w:val="7F7F7F" w:themeColor="text1" w:themeTint="80"/>
                                      <w:lang w:val="ru-RU"/>
                                    </w:rPr>
                                    <w:t>Возрастная группа</w:t>
                                  </w:r>
                                  <w:r>
                                    <w:rPr>
                                      <w:color w:val="7F7F7F" w:themeColor="text1" w:themeTint="80"/>
                                      <w:lang w:val="ru-RU"/>
                                    </w:rPr>
                                    <w:t>:</w:t>
                                  </w:r>
                                </w:p>
                              </w:tc>
                              <w:tc>
                                <w:tcPr>
                                  <w:tcW w:w="4387" w:type="dxa"/>
                                </w:tcPr>
                                <w:p w14:paraId="25B80CCD" w14:textId="77777777" w:rsidR="00007EEB" w:rsidRDefault="00007EEB" w:rsidP="006538DA">
                                  <w:pPr>
                                    <w:ind w:firstLine="0"/>
                                    <w:jc w:val="left"/>
                                    <w:rPr>
                                      <w:lang w:val="ru-RU"/>
                                    </w:rPr>
                                  </w:pPr>
                                  <w:r w:rsidRPr="0078017B">
                                    <w:rPr>
                                      <w:bCs/>
                                      <w:lang w:val="ru-RU"/>
                                    </w:rPr>
                                    <w:t>пациенты старше 18 лет</w:t>
                                  </w:r>
                                </w:p>
                              </w:tc>
                            </w:tr>
                            <w:tr w:rsidR="00007EEB" w14:paraId="005B3342" w14:textId="77777777" w:rsidTr="00C059F4">
                              <w:trPr>
                                <w:trHeight w:val="636"/>
                              </w:trPr>
                              <w:tc>
                                <w:tcPr>
                                  <w:tcW w:w="5852" w:type="dxa"/>
                                </w:tcPr>
                                <w:p w14:paraId="5EA6A1E7" w14:textId="77777777" w:rsidR="00007EEB" w:rsidRPr="0078017B" w:rsidRDefault="00007EEB" w:rsidP="006538DA">
                                  <w:pPr>
                                    <w:ind w:firstLine="0"/>
                                    <w:jc w:val="right"/>
                                    <w:rPr>
                                      <w:color w:val="7F7F7F" w:themeColor="text1" w:themeTint="80"/>
                                      <w:lang w:val="ru-RU"/>
                                    </w:rPr>
                                  </w:pPr>
                                  <w:r w:rsidRPr="0078017B">
                                    <w:rPr>
                                      <w:color w:val="7F7F7F" w:themeColor="text1" w:themeTint="80"/>
                                      <w:lang w:val="ru-RU"/>
                                    </w:rPr>
                                    <w:t>Год утверждения</w:t>
                                  </w:r>
                                  <w:r>
                                    <w:rPr>
                                      <w:color w:val="7F7F7F" w:themeColor="text1" w:themeTint="80"/>
                                      <w:lang w:val="ru-RU"/>
                                    </w:rPr>
                                    <w:t>:</w:t>
                                  </w:r>
                                </w:p>
                              </w:tc>
                              <w:tc>
                                <w:tcPr>
                                  <w:tcW w:w="4387" w:type="dxa"/>
                                </w:tcPr>
                                <w:p w14:paraId="399E1367" w14:textId="6212B240" w:rsidR="00007EEB" w:rsidRDefault="00007EEB" w:rsidP="00F117DF">
                                  <w:pPr>
                                    <w:ind w:firstLine="0"/>
                                    <w:jc w:val="left"/>
                                    <w:rPr>
                                      <w:lang w:val="ru-RU"/>
                                    </w:rPr>
                                  </w:pPr>
                                  <w:r>
                                    <w:rPr>
                                      <w:lang w:val="ru-RU"/>
                                    </w:rPr>
                                    <w:t>202</w:t>
                                  </w:r>
                                  <w:r w:rsidR="00930C9B">
                                    <w:rPr>
                                      <w:lang w:val="ru-RU"/>
                                    </w:rPr>
                                    <w:t>4</w:t>
                                  </w:r>
                                  <w:r>
                                    <w:rPr>
                                      <w:lang w:val="ru-RU"/>
                                    </w:rPr>
                                    <w:t xml:space="preserve"> г.</w:t>
                                  </w:r>
                                </w:p>
                              </w:tc>
                            </w:tr>
                          </w:tbl>
                          <w:p w14:paraId="45CA207A" w14:textId="77777777" w:rsidR="00007EEB" w:rsidRPr="0078017B" w:rsidRDefault="00007EEB" w:rsidP="006538DA">
                            <w:pPr>
                              <w:ind w:left="426" w:firstLine="425"/>
                              <w:rPr>
                                <w:color w:val="7F7F7F" w:themeColor="text1" w:themeTint="80"/>
                                <w:lang w:val="ru-RU"/>
                              </w:rPr>
                            </w:pPr>
                            <w:r w:rsidRPr="0078017B">
                              <w:rPr>
                                <w:color w:val="7F7F7F" w:themeColor="text1" w:themeTint="80"/>
                                <w:lang w:val="ru-RU"/>
                              </w:rPr>
                              <w:t>Разработчик</w:t>
                            </w:r>
                            <w:r>
                              <w:rPr>
                                <w:color w:val="7F7F7F" w:themeColor="text1" w:themeTint="80"/>
                                <w:lang w:val="ru-RU"/>
                              </w:rPr>
                              <w:t>и</w:t>
                            </w:r>
                            <w:r w:rsidRPr="0078017B">
                              <w:rPr>
                                <w:color w:val="7F7F7F" w:themeColor="text1" w:themeTint="80"/>
                                <w:lang w:val="ru-RU"/>
                              </w:rPr>
                              <w:t xml:space="preserve"> клинических рекомендаций:</w:t>
                            </w:r>
                          </w:p>
                          <w:p w14:paraId="764CB652" w14:textId="77777777" w:rsidR="00007EEB" w:rsidRPr="00B05D9D" w:rsidRDefault="00007EEB" w:rsidP="006538DA">
                            <w:pPr>
                              <w:pStyle w:val="af0"/>
                              <w:numPr>
                                <w:ilvl w:val="0"/>
                                <w:numId w:val="19"/>
                              </w:numPr>
                              <w:spacing w:line="360" w:lineRule="auto"/>
                              <w:ind w:left="1985" w:right="397" w:hanging="284"/>
                              <w:rPr>
                                <w:color w:val="000000"/>
                                <w:lang w:val="ru-RU"/>
                              </w:rPr>
                            </w:pPr>
                            <w:r w:rsidRPr="00B05D9D">
                              <w:rPr>
                                <w:color w:val="000000"/>
                                <w:lang w:val="ru-RU"/>
                              </w:rPr>
                              <w:t xml:space="preserve">Общероссийский национальный союз «Ассоциация онкологов России» </w:t>
                            </w:r>
                          </w:p>
                          <w:p w14:paraId="77FB5362" w14:textId="77777777" w:rsidR="00007EEB" w:rsidRPr="00B05D9D" w:rsidRDefault="00007EEB" w:rsidP="006538DA">
                            <w:pPr>
                              <w:pStyle w:val="af0"/>
                              <w:numPr>
                                <w:ilvl w:val="0"/>
                                <w:numId w:val="19"/>
                              </w:numPr>
                              <w:spacing w:line="360" w:lineRule="auto"/>
                              <w:ind w:left="1985" w:right="397" w:hanging="284"/>
                              <w:rPr>
                                <w:color w:val="000000"/>
                                <w:lang w:val="ru-RU"/>
                              </w:rPr>
                            </w:pPr>
                            <w:r w:rsidRPr="00B05D9D">
                              <w:rPr>
                                <w:color w:val="000000"/>
                                <w:lang w:val="ru-RU"/>
                              </w:rPr>
                              <w:t>Общероссийская общественная организация «Российское общество клинической онкологии»</w:t>
                            </w:r>
                          </w:p>
                          <w:p w14:paraId="3CDDF972" w14:textId="77777777" w:rsidR="00007EEB" w:rsidRPr="00D606E8" w:rsidRDefault="00007EEB" w:rsidP="006538DA">
                            <w:pPr>
                              <w:pStyle w:val="af0"/>
                              <w:numPr>
                                <w:ilvl w:val="0"/>
                                <w:numId w:val="19"/>
                              </w:numPr>
                              <w:spacing w:line="360" w:lineRule="auto"/>
                              <w:ind w:left="1985" w:right="397" w:hanging="284"/>
                              <w:rPr>
                                <w:color w:val="000000"/>
                                <w:lang w:val="ru-RU"/>
                              </w:rPr>
                            </w:pPr>
                            <w:r w:rsidRPr="00D606E8">
                              <w:rPr>
                                <w:color w:val="000000"/>
                                <w:lang w:val="ru-RU"/>
                              </w:rPr>
                              <w:t>Общероссийская общественная организация содействия развитию лучевой диагностики и терапии </w:t>
                            </w:r>
                            <w:r w:rsidRPr="00D606E8">
                              <w:rPr>
                                <w:bCs/>
                                <w:color w:val="000000"/>
                                <w:lang w:val="ru-RU"/>
                              </w:rPr>
                              <w:t xml:space="preserve">«Российское общество рентгенологов и радиологов» </w:t>
                            </w:r>
                          </w:p>
                          <w:p w14:paraId="2AB76BBF" w14:textId="77777777" w:rsidR="00007EEB" w:rsidRDefault="00007EEB" w:rsidP="006538DA">
                            <w:pPr>
                              <w:ind w:left="426" w:firstLine="0"/>
                              <w:jc w:val="left"/>
                              <w:rPr>
                                <w:lang w:val="ru-RU"/>
                              </w:rPr>
                            </w:pPr>
                          </w:p>
                          <w:p w14:paraId="59AD565A" w14:textId="77777777" w:rsidR="00007EEB" w:rsidRDefault="00007EEB" w:rsidP="006538DA">
                            <w:pPr>
                              <w:ind w:left="426" w:firstLine="0"/>
                              <w:jc w:val="left"/>
                              <w:rPr>
                                <w:lang w:val="ru-RU"/>
                              </w:rPr>
                            </w:pPr>
                          </w:p>
                          <w:p w14:paraId="69D69DF9" w14:textId="77777777" w:rsidR="00007EEB" w:rsidRDefault="00007EEB" w:rsidP="006538DA">
                            <w:pPr>
                              <w:ind w:left="426" w:firstLine="0"/>
                              <w:jc w:val="left"/>
                              <w:rPr>
                                <w:lang w:val="ru-RU"/>
                              </w:rPr>
                            </w:pPr>
                          </w:p>
                          <w:p w14:paraId="69774D25" w14:textId="77777777" w:rsidR="00007EEB" w:rsidRDefault="00007EEB" w:rsidP="006538DA">
                            <w:pPr>
                              <w:ind w:left="426" w:firstLine="0"/>
                              <w:jc w:val="left"/>
                              <w:rPr>
                                <w:lang w:val="ru-RU"/>
                              </w:rPr>
                            </w:pPr>
                          </w:p>
                          <w:p w14:paraId="20D76FAB" w14:textId="77777777" w:rsidR="00007EEB" w:rsidRPr="00B05D9D" w:rsidRDefault="00007EEB" w:rsidP="006538DA">
                            <w:pPr>
                              <w:ind w:left="426" w:firstLine="0"/>
                              <w:jc w:val="left"/>
                              <w:rPr>
                                <w:lang w:val="ru-RU"/>
                              </w:rPr>
                            </w:pPr>
                          </w:p>
                          <w:p w14:paraId="03E3A3D4" w14:textId="77777777" w:rsidR="00007EEB" w:rsidRPr="00B05D9D" w:rsidRDefault="00007EEB" w:rsidP="006538DA">
                            <w:pPr>
                              <w:pStyle w:val="Default"/>
                              <w:spacing w:line="360" w:lineRule="auto"/>
                              <w:rPr>
                                <w:b/>
                                <w:i/>
                                <w:color w:val="auto"/>
                                <w:sz w:val="28"/>
                                <w:szCs w:val="28"/>
                              </w:rPr>
                            </w:pPr>
                          </w:p>
                          <w:p w14:paraId="4F10B20A" w14:textId="77777777" w:rsidR="00007EEB" w:rsidRPr="00B05D9D" w:rsidRDefault="00007EEB" w:rsidP="006538DA">
                            <w:pPr>
                              <w:pStyle w:val="af0"/>
                              <w:ind w:firstLine="0"/>
                              <w:rPr>
                                <w:lang w:val="ru-RU"/>
                              </w:rPr>
                            </w:pPr>
                          </w:p>
                          <w:p w14:paraId="4E8B020C" w14:textId="77777777" w:rsidR="00007EEB" w:rsidRPr="0038253E" w:rsidRDefault="00007EEB" w:rsidP="0038253E">
                            <w:pPr>
                              <w:widowControl w:val="0"/>
                              <w:adjustRightInd w:val="0"/>
                              <w:ind w:firstLine="0"/>
                              <w:jc w:val="center"/>
                              <w:textAlignment w:val="baseline"/>
                              <w:rPr>
                                <w:bCs/>
                                <w:sz w:val="20"/>
                                <w:szCs w:val="20"/>
                                <w:lang w:val="ru-RU" w:eastAsia="en-US"/>
                              </w:rPr>
                            </w:pPr>
                            <w:r w:rsidRPr="0038253E">
                              <w:rPr>
                                <w:bCs/>
                                <w:sz w:val="20"/>
                                <w:szCs w:val="20"/>
                                <w:lang w:val="ru-RU" w:eastAsia="en-US"/>
                              </w:rPr>
                              <w:t>«Одобрено на заседании научно-практического совета Министерства здравоохранения Российской Федерации (протокол 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A38C0" id="Прямоугольник 2" o:spid="_x0000_s1026" style="position:absolute;left:0;text-align:left;margin-left:32.25pt;margin-top:-25.95pt;width:532.5pt;height:774.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" stroked="f" strokeweight="2pt">
                <v:textbox>
                  <w:txbxContent>
                    <w:tbl>
                      <w:tblPr>
                        <w:tblW w:w="10064" w:type="dxa"/>
                        <w:tblLayout w:type="fixed"/>
                        <w:tblLook w:val="0000" w:firstRow="0" w:lastRow="0" w:firstColumn="0" w:lastColumn="0" w:noHBand="0" w:noVBand="0"/>
                      </w:tblPr>
                      <w:tblGrid>
                        <w:gridCol w:w="2127"/>
                        <w:gridCol w:w="2693"/>
                        <w:gridCol w:w="2126"/>
                        <w:gridCol w:w="3118"/>
                      </w:tblGrid>
                      <w:tr w:rsidR="00007EEB" w:rsidRPr="0060277C" w14:paraId="630E3973" w14:textId="77777777" w:rsidTr="0060277C">
                        <w:trPr>
                          <w:trHeight w:val="2555"/>
                        </w:trPr>
                        <w:tc>
                          <w:tcPr>
                            <w:tcW w:w="2127" w:type="dxa"/>
                          </w:tcPr>
                          <w:p w14:paraId="4710ED5E" w14:textId="79966FB0" w:rsidR="00007EEB" w:rsidRPr="0038253E" w:rsidRDefault="00007EEB" w:rsidP="0038253E">
                            <w:pPr>
                              <w:widowControl w:val="0"/>
                              <w:adjustRightInd w:val="0"/>
                              <w:ind w:firstLine="37"/>
                              <w:jc w:val="right"/>
                              <w:textAlignment w:val="baseline"/>
                              <w:rPr>
                                <w:rFonts w:eastAsia="Calibri"/>
                                <w:b/>
                                <w:sz w:val="16"/>
                                <w:szCs w:val="16"/>
                                <w:lang w:val="ru-RU" w:eastAsia="en-US"/>
                              </w:rPr>
                            </w:pPr>
                          </w:p>
                        </w:tc>
                        <w:tc>
                          <w:tcPr>
                            <w:tcW w:w="2693" w:type="dxa"/>
                          </w:tcPr>
                          <w:p w14:paraId="1B47BC95" w14:textId="77777777" w:rsidR="0060277C" w:rsidRPr="0038253E" w:rsidRDefault="0060277C" w:rsidP="0060277C">
                            <w:pPr>
                              <w:widowControl w:val="0"/>
                              <w:adjustRightInd w:val="0"/>
                              <w:ind w:left="-111" w:firstLine="148"/>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2A1A6D88"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Общероссийская общественная организация содействия развитию лучевой диагностики и терапии «Российское общество рентгенологов и радиологов»</w:t>
                            </w:r>
                          </w:p>
                          <w:p w14:paraId="52E8C63C" w14:textId="77777777" w:rsidR="0060277C" w:rsidRDefault="0060277C" w:rsidP="0060277C">
                            <w:pPr>
                              <w:widowControl w:val="0"/>
                              <w:adjustRightInd w:val="0"/>
                              <w:ind w:left="-111" w:firstLine="148"/>
                              <w:jc w:val="right"/>
                              <w:textAlignment w:val="baseline"/>
                              <w:rPr>
                                <w:rFonts w:eastAsia="Calibri"/>
                                <w:bCs/>
                                <w:sz w:val="16"/>
                                <w:szCs w:val="16"/>
                                <w:lang w:val="ru-RU" w:eastAsia="en-US"/>
                              </w:rPr>
                            </w:pPr>
                          </w:p>
                          <w:p w14:paraId="4709BEBE"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 xml:space="preserve"> </w:t>
                            </w:r>
                          </w:p>
                          <w:p w14:paraId="5BE75BC9" w14:textId="77777777" w:rsidR="0060277C" w:rsidRPr="0038253E" w:rsidRDefault="0060277C" w:rsidP="0060277C">
                            <w:pPr>
                              <w:widowControl w:val="0"/>
                              <w:adjustRightInd w:val="0"/>
                              <w:ind w:left="-111" w:firstLine="148"/>
                              <w:jc w:val="right"/>
                              <w:textAlignment w:val="baseline"/>
                              <w:rPr>
                                <w:rFonts w:eastAsia="Calibri"/>
                                <w:bCs/>
                                <w:sz w:val="16"/>
                                <w:szCs w:val="16"/>
                                <w:lang w:val="ru-RU" w:eastAsia="en-US"/>
                              </w:rPr>
                            </w:pPr>
                            <w:r w:rsidRPr="0038253E">
                              <w:rPr>
                                <w:rFonts w:eastAsia="Calibri"/>
                                <w:bCs/>
                                <w:sz w:val="16"/>
                                <w:szCs w:val="16"/>
                                <w:lang w:val="ru-RU" w:eastAsia="en-US"/>
                              </w:rPr>
                              <w:t>_________________________</w:t>
                            </w:r>
                          </w:p>
                          <w:p w14:paraId="7ABCC378" w14:textId="55B902EA" w:rsidR="00007EEB" w:rsidRPr="0038253E" w:rsidRDefault="0060277C" w:rsidP="0060277C">
                            <w:pPr>
                              <w:widowControl w:val="0"/>
                              <w:adjustRightInd w:val="0"/>
                              <w:ind w:left="-111" w:firstLine="148"/>
                              <w:jc w:val="left"/>
                              <w:textAlignment w:val="baseline"/>
                              <w:rPr>
                                <w:rFonts w:eastAsia="Calibri"/>
                                <w:b/>
                                <w:sz w:val="16"/>
                                <w:szCs w:val="16"/>
                                <w:lang w:val="ru-RU" w:eastAsia="en-US"/>
                              </w:rPr>
                            </w:pPr>
                            <w:r w:rsidRPr="0038253E">
                              <w:rPr>
                                <w:rFonts w:eastAsia="Calibri"/>
                                <w:b/>
                                <w:sz w:val="16"/>
                                <w:szCs w:val="16"/>
                                <w:lang w:val="ru-RU" w:eastAsia="en-US"/>
                              </w:rPr>
                              <w:t xml:space="preserve">                м.п.</w:t>
                            </w:r>
                          </w:p>
                        </w:tc>
                        <w:tc>
                          <w:tcPr>
                            <w:tcW w:w="2126" w:type="dxa"/>
                          </w:tcPr>
                          <w:p w14:paraId="36A3CA08"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448A5D10"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Cs/>
                                <w:sz w:val="16"/>
                                <w:szCs w:val="16"/>
                                <w:lang w:val="ru-RU" w:eastAsia="en-US"/>
                              </w:rPr>
                              <w:t>Общероссийская общественная организация "Российское общество клинической онкологии"</w:t>
                            </w:r>
                          </w:p>
                          <w:p w14:paraId="0B210595" w14:textId="77777777" w:rsidR="00007EEB" w:rsidRDefault="00007EEB" w:rsidP="0038253E">
                            <w:pPr>
                              <w:widowControl w:val="0"/>
                              <w:adjustRightInd w:val="0"/>
                              <w:jc w:val="right"/>
                              <w:textAlignment w:val="baseline"/>
                              <w:rPr>
                                <w:rFonts w:eastAsia="Calibri"/>
                                <w:bCs/>
                                <w:sz w:val="16"/>
                                <w:szCs w:val="16"/>
                                <w:lang w:val="ru-RU" w:eastAsia="en-US"/>
                              </w:rPr>
                            </w:pPr>
                          </w:p>
                          <w:p w14:paraId="0CDFE5A5"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0479AD7B"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4B01068C" w14:textId="77777777" w:rsidR="00007EEB" w:rsidRPr="0038253E" w:rsidRDefault="00007EEB" w:rsidP="0038253E">
                            <w:pPr>
                              <w:widowControl w:val="0"/>
                              <w:adjustRightInd w:val="0"/>
                              <w:ind w:firstLine="0"/>
                              <w:jc w:val="right"/>
                              <w:textAlignment w:val="baseline"/>
                              <w:rPr>
                                <w:rFonts w:eastAsia="Calibri"/>
                                <w:bCs/>
                                <w:sz w:val="16"/>
                                <w:szCs w:val="16"/>
                                <w:lang w:val="ru-RU" w:eastAsia="en-US"/>
                              </w:rPr>
                            </w:pPr>
                            <w:r w:rsidRPr="0038253E">
                              <w:rPr>
                                <w:rFonts w:eastAsia="Calibri"/>
                                <w:bCs/>
                                <w:sz w:val="16"/>
                                <w:szCs w:val="16"/>
                                <w:lang w:val="ru-RU" w:eastAsia="en-US"/>
                              </w:rPr>
                              <w:t>_______________________</w:t>
                            </w:r>
                          </w:p>
                          <w:p w14:paraId="016511EA" w14:textId="77777777" w:rsidR="00007EEB" w:rsidRPr="0038253E" w:rsidRDefault="00007EEB" w:rsidP="0038253E">
                            <w:pPr>
                              <w:widowControl w:val="0"/>
                              <w:adjustRightInd w:val="0"/>
                              <w:jc w:val="center"/>
                              <w:textAlignment w:val="baseline"/>
                              <w:rPr>
                                <w:rFonts w:eastAsia="Calibri"/>
                                <w:bCs/>
                                <w:sz w:val="16"/>
                                <w:szCs w:val="16"/>
                                <w:lang w:val="ru-RU" w:eastAsia="en-US"/>
                              </w:rPr>
                            </w:pPr>
                            <w:r w:rsidRPr="0038253E">
                              <w:rPr>
                                <w:rFonts w:eastAsia="Calibri"/>
                                <w:b/>
                                <w:sz w:val="16"/>
                                <w:szCs w:val="16"/>
                                <w:lang w:val="ru-RU" w:eastAsia="en-US"/>
                              </w:rPr>
                              <w:t>м.п.</w:t>
                            </w:r>
                          </w:p>
                        </w:tc>
                        <w:tc>
                          <w:tcPr>
                            <w:tcW w:w="3118" w:type="dxa"/>
                          </w:tcPr>
                          <w:p w14:paraId="1D6CE473" w14:textId="77777777" w:rsidR="00007EEB" w:rsidRPr="0038253E" w:rsidRDefault="00007EEB" w:rsidP="0038253E">
                            <w:pPr>
                              <w:widowControl w:val="0"/>
                              <w:adjustRightInd w:val="0"/>
                              <w:jc w:val="right"/>
                              <w:textAlignment w:val="baseline"/>
                              <w:rPr>
                                <w:rFonts w:eastAsia="Calibri"/>
                                <w:b/>
                                <w:sz w:val="16"/>
                                <w:szCs w:val="16"/>
                                <w:lang w:val="ru-RU" w:eastAsia="en-US"/>
                              </w:rPr>
                            </w:pPr>
                            <w:r w:rsidRPr="0038253E">
                              <w:rPr>
                                <w:rFonts w:eastAsia="Calibri"/>
                                <w:b/>
                                <w:sz w:val="16"/>
                                <w:szCs w:val="16"/>
                                <w:lang w:val="ru-RU" w:eastAsia="en-US"/>
                              </w:rPr>
                              <w:t>Утверждено:</w:t>
                            </w:r>
                          </w:p>
                          <w:p w14:paraId="7584CA38" w14:textId="77777777" w:rsidR="00007EEB" w:rsidRPr="0038253E" w:rsidRDefault="00007EEB" w:rsidP="0038253E">
                            <w:pPr>
                              <w:widowControl w:val="0"/>
                              <w:adjustRightInd w:val="0"/>
                              <w:ind w:left="323" w:hanging="323"/>
                              <w:jc w:val="right"/>
                              <w:textAlignment w:val="baseline"/>
                              <w:rPr>
                                <w:rFonts w:eastAsia="Calibri"/>
                                <w:b/>
                                <w:sz w:val="16"/>
                                <w:szCs w:val="16"/>
                                <w:lang w:val="ru-RU" w:eastAsia="en-US"/>
                              </w:rPr>
                            </w:pPr>
                            <w:r w:rsidRPr="0038253E">
                              <w:rPr>
                                <w:rFonts w:eastAsia="Calibri"/>
                                <w:bCs/>
                                <w:sz w:val="16"/>
                                <w:szCs w:val="16"/>
                                <w:lang w:val="ru-RU" w:eastAsia="en-US"/>
                              </w:rPr>
                              <w:t>Общероссийский национальный союз</w:t>
                            </w:r>
                            <w:r w:rsidRPr="0038253E">
                              <w:rPr>
                                <w:rFonts w:eastAsia="Calibri"/>
                                <w:b/>
                                <w:sz w:val="16"/>
                                <w:szCs w:val="16"/>
                                <w:lang w:val="ru-RU" w:eastAsia="en-US"/>
                              </w:rPr>
                              <w:t xml:space="preserve"> </w:t>
                            </w:r>
                            <w:r w:rsidRPr="0038253E">
                              <w:rPr>
                                <w:rFonts w:eastAsia="Calibri"/>
                                <w:bCs/>
                                <w:sz w:val="16"/>
                                <w:szCs w:val="16"/>
                                <w:lang w:val="ru-RU" w:eastAsia="en-US"/>
                              </w:rPr>
                              <w:t>"Ассоциация онкологов России"</w:t>
                            </w:r>
                          </w:p>
                          <w:p w14:paraId="024EC5C3" w14:textId="08DC48C8" w:rsidR="00007EEB" w:rsidRPr="0038253E" w:rsidRDefault="00007EEB" w:rsidP="0038253E">
                            <w:pPr>
                              <w:widowControl w:val="0"/>
                              <w:adjustRightInd w:val="0"/>
                              <w:ind w:firstLine="19"/>
                              <w:jc w:val="right"/>
                              <w:textAlignment w:val="baseline"/>
                              <w:rPr>
                                <w:rFonts w:eastAsia="Calibri"/>
                                <w:bCs/>
                                <w:sz w:val="16"/>
                                <w:szCs w:val="16"/>
                                <w:lang w:val="ru-RU" w:eastAsia="en-US"/>
                              </w:rPr>
                            </w:pPr>
                            <w:r w:rsidRPr="0038253E">
                              <w:rPr>
                                <w:rFonts w:eastAsia="Calibri"/>
                                <w:bCs/>
                                <w:sz w:val="16"/>
                                <w:szCs w:val="16"/>
                                <w:lang w:val="ru-RU" w:eastAsia="en-US"/>
                              </w:rPr>
                              <w:t>Протокол от «</w:t>
                            </w:r>
                            <w:r>
                              <w:rPr>
                                <w:rFonts w:eastAsia="Calibri"/>
                                <w:bCs/>
                                <w:sz w:val="16"/>
                                <w:szCs w:val="16"/>
                                <w:lang w:val="ru-RU" w:eastAsia="en-US"/>
                              </w:rPr>
                              <w:t>__</w:t>
                            </w:r>
                            <w:r w:rsidRPr="0038253E">
                              <w:rPr>
                                <w:rFonts w:eastAsia="Calibri"/>
                                <w:bCs/>
                                <w:sz w:val="16"/>
                                <w:szCs w:val="16"/>
                                <w:lang w:val="ru-RU" w:eastAsia="en-US"/>
                              </w:rPr>
                              <w:t xml:space="preserve">» </w:t>
                            </w:r>
                            <w:r>
                              <w:rPr>
                                <w:rFonts w:eastAsia="Calibri"/>
                                <w:bCs/>
                                <w:sz w:val="16"/>
                                <w:szCs w:val="16"/>
                                <w:lang w:val="ru-RU" w:eastAsia="en-US"/>
                              </w:rPr>
                              <w:t>__________</w:t>
                            </w:r>
                            <w:r w:rsidRPr="0038253E">
                              <w:rPr>
                                <w:rFonts w:eastAsia="Calibri"/>
                                <w:bCs/>
                                <w:sz w:val="16"/>
                                <w:szCs w:val="16"/>
                                <w:lang w:val="ru-RU" w:eastAsia="en-US"/>
                              </w:rPr>
                              <w:t xml:space="preserve"> 202</w:t>
                            </w:r>
                            <w:r w:rsidR="00BE0F39">
                              <w:rPr>
                                <w:rFonts w:eastAsia="Calibri"/>
                                <w:bCs/>
                                <w:sz w:val="16"/>
                                <w:szCs w:val="16"/>
                                <w:lang w:val="ru-RU" w:eastAsia="en-US"/>
                              </w:rPr>
                              <w:t>_</w:t>
                            </w:r>
                            <w:r w:rsidRPr="0038253E">
                              <w:rPr>
                                <w:rFonts w:eastAsia="Calibri"/>
                                <w:bCs/>
                                <w:sz w:val="16"/>
                                <w:szCs w:val="16"/>
                                <w:lang w:val="ru-RU" w:eastAsia="en-US"/>
                              </w:rPr>
                              <w:t xml:space="preserve">г. </w:t>
                            </w:r>
                          </w:p>
                          <w:p w14:paraId="23058C01" w14:textId="77777777" w:rsidR="00007EEB" w:rsidRPr="0038253E" w:rsidRDefault="00007EEB" w:rsidP="0038253E">
                            <w:pPr>
                              <w:widowControl w:val="0"/>
                              <w:adjustRightInd w:val="0"/>
                              <w:jc w:val="right"/>
                              <w:textAlignment w:val="baseline"/>
                              <w:rPr>
                                <w:rFonts w:eastAsia="Calibri"/>
                                <w:bCs/>
                                <w:sz w:val="16"/>
                                <w:szCs w:val="16"/>
                                <w:lang w:val="ru-RU" w:eastAsia="en-US"/>
                              </w:rPr>
                            </w:pPr>
                            <w:r w:rsidRPr="0038253E">
                              <w:rPr>
                                <w:rFonts w:eastAsia="Calibri"/>
                                <w:bCs/>
                                <w:sz w:val="16"/>
                                <w:szCs w:val="16"/>
                                <w:lang w:val="ru-RU" w:eastAsia="en-US"/>
                              </w:rPr>
                              <w:t>№</w:t>
                            </w:r>
                            <w:r>
                              <w:rPr>
                                <w:rFonts w:eastAsia="Calibri"/>
                                <w:bCs/>
                                <w:sz w:val="16"/>
                                <w:szCs w:val="16"/>
                                <w:lang w:val="ru-RU" w:eastAsia="en-US"/>
                              </w:rPr>
                              <w:t>________</w:t>
                            </w:r>
                          </w:p>
                          <w:p w14:paraId="26D8C4C1" w14:textId="77777777" w:rsidR="00007EEB" w:rsidRDefault="00007EEB" w:rsidP="0038253E">
                            <w:pPr>
                              <w:widowControl w:val="0"/>
                              <w:adjustRightInd w:val="0"/>
                              <w:jc w:val="right"/>
                              <w:textAlignment w:val="baseline"/>
                              <w:rPr>
                                <w:rFonts w:eastAsia="Calibri"/>
                                <w:bCs/>
                                <w:sz w:val="16"/>
                                <w:szCs w:val="16"/>
                                <w:lang w:val="ru-RU" w:eastAsia="en-US"/>
                              </w:rPr>
                            </w:pPr>
                          </w:p>
                          <w:p w14:paraId="6500E80B" w14:textId="77777777" w:rsidR="00007EEB" w:rsidRPr="0038253E" w:rsidRDefault="00007EEB" w:rsidP="0038253E">
                            <w:pPr>
                              <w:widowControl w:val="0"/>
                              <w:adjustRightInd w:val="0"/>
                              <w:jc w:val="right"/>
                              <w:textAlignment w:val="baseline"/>
                              <w:rPr>
                                <w:rFonts w:eastAsia="Calibri"/>
                                <w:bCs/>
                                <w:sz w:val="16"/>
                                <w:szCs w:val="16"/>
                                <w:lang w:val="ru-RU" w:eastAsia="en-US"/>
                              </w:rPr>
                            </w:pPr>
                          </w:p>
                          <w:p w14:paraId="54441DEA" w14:textId="77777777" w:rsidR="0060277C" w:rsidRDefault="0060277C" w:rsidP="0038253E">
                            <w:pPr>
                              <w:widowControl w:val="0"/>
                              <w:adjustRightInd w:val="0"/>
                              <w:ind w:left="-102" w:firstLine="0"/>
                              <w:jc w:val="right"/>
                              <w:textAlignment w:val="baseline"/>
                              <w:rPr>
                                <w:rFonts w:eastAsia="Calibri"/>
                                <w:b/>
                                <w:sz w:val="16"/>
                                <w:szCs w:val="16"/>
                                <w:lang w:val="ru-RU" w:eastAsia="en-US"/>
                              </w:rPr>
                            </w:pPr>
                          </w:p>
                          <w:p w14:paraId="29711596" w14:textId="5F5D34A6" w:rsidR="00007EEB" w:rsidRPr="0038253E" w:rsidRDefault="0060277C" w:rsidP="0038253E">
                            <w:pPr>
                              <w:widowControl w:val="0"/>
                              <w:adjustRightInd w:val="0"/>
                              <w:ind w:left="-102" w:firstLine="0"/>
                              <w:jc w:val="right"/>
                              <w:textAlignment w:val="baseline"/>
                              <w:rPr>
                                <w:rFonts w:eastAsia="Calibri"/>
                                <w:b/>
                                <w:sz w:val="16"/>
                                <w:szCs w:val="16"/>
                                <w:lang w:val="ru-RU" w:eastAsia="en-US"/>
                              </w:rPr>
                            </w:pPr>
                            <w:r>
                              <w:rPr>
                                <w:rFonts w:eastAsia="Calibri"/>
                                <w:b/>
                                <w:sz w:val="16"/>
                                <w:szCs w:val="16"/>
                                <w:lang w:val="ru-RU" w:eastAsia="en-US"/>
                              </w:rPr>
                              <w:t>__________</w:t>
                            </w:r>
                            <w:r w:rsidR="00007EEB" w:rsidRPr="0038253E">
                              <w:rPr>
                                <w:rFonts w:eastAsia="Calibri"/>
                                <w:b/>
                                <w:sz w:val="16"/>
                                <w:szCs w:val="16"/>
                                <w:lang w:val="ru-RU" w:eastAsia="en-US"/>
                              </w:rPr>
                              <w:t>____________________</w:t>
                            </w:r>
                          </w:p>
                          <w:p w14:paraId="7255DD0D" w14:textId="77777777" w:rsidR="00007EEB" w:rsidRPr="0038253E" w:rsidRDefault="00007EEB" w:rsidP="0038253E">
                            <w:pPr>
                              <w:widowControl w:val="0"/>
                              <w:adjustRightInd w:val="0"/>
                              <w:textAlignment w:val="baseline"/>
                              <w:rPr>
                                <w:rFonts w:eastAsia="Calibri"/>
                                <w:b/>
                                <w:sz w:val="16"/>
                                <w:szCs w:val="16"/>
                                <w:lang w:val="ru-RU" w:eastAsia="en-US"/>
                              </w:rPr>
                            </w:pPr>
                            <w:r w:rsidRPr="0038253E">
                              <w:rPr>
                                <w:rFonts w:eastAsia="Calibri"/>
                                <w:b/>
                                <w:sz w:val="16"/>
                                <w:szCs w:val="16"/>
                                <w:lang w:val="ru-RU" w:eastAsia="en-US"/>
                              </w:rPr>
                              <w:t xml:space="preserve">                  м.п.</w:t>
                            </w:r>
                          </w:p>
                        </w:tc>
                      </w:tr>
                    </w:tbl>
                    <w:p w14:paraId="33BEE930" w14:textId="77777777" w:rsidR="00007EEB" w:rsidRDefault="00007EEB" w:rsidP="006538DA">
                      <w:pPr>
                        <w:ind w:left="426" w:firstLine="0"/>
                        <w:jc w:val="center"/>
                        <w:rPr>
                          <w:b/>
                          <w:bCs/>
                          <w:color w:val="7F7F7F" w:themeColor="text1" w:themeTint="80"/>
                          <w:lang w:val="ru-RU"/>
                        </w:rPr>
                      </w:pPr>
                    </w:p>
                    <w:p w14:paraId="3E04AC4E" w14:textId="77777777" w:rsidR="00007EEB" w:rsidRDefault="00007EEB" w:rsidP="006538DA">
                      <w:pPr>
                        <w:ind w:left="426" w:firstLine="0"/>
                        <w:jc w:val="center"/>
                        <w:rPr>
                          <w:b/>
                          <w:bCs/>
                          <w:color w:val="7F7F7F" w:themeColor="text1" w:themeTint="80"/>
                          <w:lang w:val="ru-RU"/>
                        </w:rPr>
                      </w:pPr>
                    </w:p>
                    <w:p w14:paraId="54530C51" w14:textId="77777777" w:rsidR="00007EEB" w:rsidRDefault="00007EEB" w:rsidP="006538DA">
                      <w:pPr>
                        <w:ind w:left="426" w:firstLine="0"/>
                        <w:jc w:val="center"/>
                        <w:rPr>
                          <w:b/>
                          <w:bCs/>
                          <w:color w:val="7F7F7F" w:themeColor="text1" w:themeTint="80"/>
                          <w:lang w:val="ru-RU"/>
                        </w:rPr>
                      </w:pPr>
                    </w:p>
                    <w:p w14:paraId="110C736B" w14:textId="77777777" w:rsidR="00007EEB" w:rsidRPr="0078017B" w:rsidRDefault="00007EEB" w:rsidP="006538DA">
                      <w:pPr>
                        <w:ind w:left="426" w:firstLine="0"/>
                        <w:jc w:val="center"/>
                        <w:rPr>
                          <w:b/>
                          <w:bCs/>
                          <w:color w:val="7F7F7F" w:themeColor="text1" w:themeTint="80"/>
                          <w:lang w:val="ru-RU"/>
                        </w:rPr>
                      </w:pPr>
                      <w:r w:rsidRPr="0078017B">
                        <w:rPr>
                          <w:b/>
                          <w:bCs/>
                          <w:color w:val="7F7F7F" w:themeColor="text1" w:themeTint="80"/>
                          <w:lang w:val="ru-RU"/>
                        </w:rPr>
                        <w:t>Клинические рекомендации</w:t>
                      </w:r>
                    </w:p>
                    <w:p w14:paraId="25B48A3E" w14:textId="77777777" w:rsidR="00007EEB" w:rsidRDefault="00007EEB" w:rsidP="006538DA">
                      <w:pPr>
                        <w:ind w:left="426" w:firstLine="0"/>
                        <w:jc w:val="center"/>
                        <w:rPr>
                          <w:b/>
                          <w:sz w:val="44"/>
                          <w:szCs w:val="44"/>
                          <w:lang w:val="ru-RU"/>
                        </w:rPr>
                      </w:pPr>
                      <w:r w:rsidRPr="00B05D9D">
                        <w:rPr>
                          <w:b/>
                          <w:sz w:val="44"/>
                          <w:szCs w:val="44"/>
                          <w:lang w:val="ru-RU"/>
                        </w:rPr>
                        <w:t>Рак поджелудочной железы</w:t>
                      </w:r>
                    </w:p>
                    <w:p w14:paraId="1A28331C" w14:textId="77777777" w:rsidR="00007EEB" w:rsidRPr="00B05D9D" w:rsidRDefault="00007EEB" w:rsidP="006538DA">
                      <w:pPr>
                        <w:ind w:left="426" w:firstLine="0"/>
                        <w:jc w:val="center"/>
                        <w:rPr>
                          <w:lang w:val="ru-RU"/>
                        </w:rPr>
                      </w:pPr>
                    </w:p>
                    <w:tbl>
                      <w:tblPr>
                        <w:tblW w:w="10239" w:type="dxa"/>
                        <w:tblInd w:w="102" w:type="dxa"/>
                        <w:tblLook w:val="0000" w:firstRow="0" w:lastRow="0" w:firstColumn="0" w:lastColumn="0" w:noHBand="0" w:noVBand="0"/>
                      </w:tblPr>
                      <w:tblGrid>
                        <w:gridCol w:w="5852"/>
                        <w:gridCol w:w="4387"/>
                      </w:tblGrid>
                      <w:tr w:rsidR="00007EEB" w14:paraId="69DE3A25" w14:textId="77777777" w:rsidTr="00C059F4">
                        <w:trPr>
                          <w:trHeight w:val="636"/>
                        </w:trPr>
                        <w:tc>
                          <w:tcPr>
                            <w:tcW w:w="5852" w:type="dxa"/>
                          </w:tcPr>
                          <w:p w14:paraId="133D70B2" w14:textId="77777777" w:rsidR="00007EEB" w:rsidRDefault="00007EEB" w:rsidP="006538DA">
                            <w:pPr>
                              <w:ind w:firstLine="0"/>
                              <w:jc w:val="right"/>
                              <w:rPr>
                                <w:rFonts w:eastAsia="Calibri"/>
                                <w:color w:val="808080"/>
                                <w:lang w:val="ru-RU" w:eastAsia="en-US"/>
                              </w:rPr>
                            </w:pPr>
                            <w:r w:rsidRPr="00686261">
                              <w:rPr>
                                <w:rFonts w:eastAsia="Calibri"/>
                                <w:color w:val="808080"/>
                                <w:lang w:val="ru-RU" w:eastAsia="en-US"/>
                              </w:rPr>
                              <w:t xml:space="preserve">Кодирование по Международной </w:t>
                            </w:r>
                          </w:p>
                          <w:p w14:paraId="371926FE" w14:textId="77777777" w:rsidR="00007EEB" w:rsidRDefault="00007EEB" w:rsidP="006538DA">
                            <w:pPr>
                              <w:ind w:firstLine="0"/>
                              <w:jc w:val="right"/>
                              <w:rPr>
                                <w:rFonts w:eastAsia="Calibri"/>
                                <w:color w:val="808080"/>
                                <w:lang w:val="ru-RU" w:eastAsia="en-US"/>
                              </w:rPr>
                            </w:pPr>
                            <w:r w:rsidRPr="00686261">
                              <w:rPr>
                                <w:rFonts w:eastAsia="Calibri"/>
                                <w:color w:val="808080"/>
                                <w:lang w:val="ru-RU" w:eastAsia="en-US"/>
                              </w:rPr>
                              <w:t xml:space="preserve">статистической классификации болезней и </w:t>
                            </w:r>
                          </w:p>
                          <w:p w14:paraId="5AF9BF4E" w14:textId="77777777" w:rsidR="00007EEB" w:rsidRPr="0078017B" w:rsidRDefault="00007EEB" w:rsidP="006538DA">
                            <w:pPr>
                              <w:ind w:firstLine="0"/>
                              <w:jc w:val="right"/>
                              <w:rPr>
                                <w:color w:val="7F7F7F" w:themeColor="text1" w:themeTint="80"/>
                                <w:lang w:val="ru-RU"/>
                              </w:rPr>
                            </w:pPr>
                            <w:r w:rsidRPr="00686261">
                              <w:rPr>
                                <w:rFonts w:eastAsia="Calibri"/>
                                <w:color w:val="808080"/>
                                <w:lang w:val="ru-RU" w:eastAsia="en-US"/>
                              </w:rPr>
                              <w:t>проблем, связанных со здоровьем:</w:t>
                            </w:r>
                          </w:p>
                        </w:tc>
                        <w:tc>
                          <w:tcPr>
                            <w:tcW w:w="4387" w:type="dxa"/>
                          </w:tcPr>
                          <w:p w14:paraId="3A2CF5CB" w14:textId="77777777" w:rsidR="00007EEB" w:rsidRPr="0078017B" w:rsidRDefault="00007EEB" w:rsidP="006538DA">
                            <w:pPr>
                              <w:ind w:firstLine="0"/>
                              <w:jc w:val="left"/>
                              <w:rPr>
                                <w:bCs/>
                                <w:lang w:val="ru-RU"/>
                              </w:rPr>
                            </w:pPr>
                            <w:r w:rsidRPr="0078017B">
                              <w:rPr>
                                <w:bCs/>
                              </w:rPr>
                              <w:t>C</w:t>
                            </w:r>
                            <w:r w:rsidRPr="0078017B">
                              <w:rPr>
                                <w:bCs/>
                                <w:lang w:val="ru-RU"/>
                              </w:rPr>
                              <w:t xml:space="preserve">25 </w:t>
                            </w:r>
                          </w:p>
                        </w:tc>
                      </w:tr>
                      <w:tr w:rsidR="00007EEB" w14:paraId="20CFCADF" w14:textId="77777777" w:rsidTr="00C059F4">
                        <w:trPr>
                          <w:trHeight w:val="636"/>
                        </w:trPr>
                        <w:tc>
                          <w:tcPr>
                            <w:tcW w:w="5852" w:type="dxa"/>
                          </w:tcPr>
                          <w:p w14:paraId="0D698FA3" w14:textId="77777777" w:rsidR="00007EEB" w:rsidRPr="0078017B" w:rsidRDefault="00007EEB" w:rsidP="006538DA">
                            <w:pPr>
                              <w:ind w:firstLine="0"/>
                              <w:jc w:val="right"/>
                              <w:rPr>
                                <w:color w:val="7F7F7F" w:themeColor="text1" w:themeTint="80"/>
                                <w:lang w:val="ru-RU"/>
                              </w:rPr>
                            </w:pPr>
                            <w:r w:rsidRPr="0078017B">
                              <w:rPr>
                                <w:color w:val="7F7F7F" w:themeColor="text1" w:themeTint="80"/>
                                <w:lang w:val="ru-RU"/>
                              </w:rPr>
                              <w:t>Возрастная группа</w:t>
                            </w:r>
                            <w:r>
                              <w:rPr>
                                <w:color w:val="7F7F7F" w:themeColor="text1" w:themeTint="80"/>
                                <w:lang w:val="ru-RU"/>
                              </w:rPr>
                              <w:t>:</w:t>
                            </w:r>
                          </w:p>
                        </w:tc>
                        <w:tc>
                          <w:tcPr>
                            <w:tcW w:w="4387" w:type="dxa"/>
                          </w:tcPr>
                          <w:p w14:paraId="25B80CCD" w14:textId="77777777" w:rsidR="00007EEB" w:rsidRDefault="00007EEB" w:rsidP="006538DA">
                            <w:pPr>
                              <w:ind w:firstLine="0"/>
                              <w:jc w:val="left"/>
                              <w:rPr>
                                <w:lang w:val="ru-RU"/>
                              </w:rPr>
                            </w:pPr>
                            <w:r w:rsidRPr="0078017B">
                              <w:rPr>
                                <w:bCs/>
                                <w:lang w:val="ru-RU"/>
                              </w:rPr>
                              <w:t>пациенты старше 18 лет</w:t>
                            </w:r>
                          </w:p>
                        </w:tc>
                      </w:tr>
                      <w:tr w:rsidR="00007EEB" w14:paraId="005B3342" w14:textId="77777777" w:rsidTr="00C059F4">
                        <w:trPr>
                          <w:trHeight w:val="636"/>
                        </w:trPr>
                        <w:tc>
                          <w:tcPr>
                            <w:tcW w:w="5852" w:type="dxa"/>
                          </w:tcPr>
                          <w:p w14:paraId="5EA6A1E7" w14:textId="77777777" w:rsidR="00007EEB" w:rsidRPr="0078017B" w:rsidRDefault="00007EEB" w:rsidP="006538DA">
                            <w:pPr>
                              <w:ind w:firstLine="0"/>
                              <w:jc w:val="right"/>
                              <w:rPr>
                                <w:color w:val="7F7F7F" w:themeColor="text1" w:themeTint="80"/>
                                <w:lang w:val="ru-RU"/>
                              </w:rPr>
                            </w:pPr>
                            <w:r w:rsidRPr="0078017B">
                              <w:rPr>
                                <w:color w:val="7F7F7F" w:themeColor="text1" w:themeTint="80"/>
                                <w:lang w:val="ru-RU"/>
                              </w:rPr>
                              <w:t>Год утверждения</w:t>
                            </w:r>
                            <w:r>
                              <w:rPr>
                                <w:color w:val="7F7F7F" w:themeColor="text1" w:themeTint="80"/>
                                <w:lang w:val="ru-RU"/>
                              </w:rPr>
                              <w:t>:</w:t>
                            </w:r>
                          </w:p>
                        </w:tc>
                        <w:tc>
                          <w:tcPr>
                            <w:tcW w:w="4387" w:type="dxa"/>
                          </w:tcPr>
                          <w:p w14:paraId="399E1367" w14:textId="6212B240" w:rsidR="00007EEB" w:rsidRDefault="00007EEB" w:rsidP="00F117DF">
                            <w:pPr>
                              <w:ind w:firstLine="0"/>
                              <w:jc w:val="left"/>
                              <w:rPr>
                                <w:lang w:val="ru-RU"/>
                              </w:rPr>
                            </w:pPr>
                            <w:r>
                              <w:rPr>
                                <w:lang w:val="ru-RU"/>
                              </w:rPr>
                              <w:t>202</w:t>
                            </w:r>
                            <w:r w:rsidR="00930C9B">
                              <w:rPr>
                                <w:lang w:val="ru-RU"/>
                              </w:rPr>
                              <w:t>4</w:t>
                            </w:r>
                            <w:r>
                              <w:rPr>
                                <w:lang w:val="ru-RU"/>
                              </w:rPr>
                              <w:t xml:space="preserve"> г.</w:t>
                            </w:r>
                          </w:p>
                        </w:tc>
                      </w:tr>
                    </w:tbl>
                    <w:p w14:paraId="45CA207A" w14:textId="77777777" w:rsidR="00007EEB" w:rsidRPr="0078017B" w:rsidRDefault="00007EEB" w:rsidP="006538DA">
                      <w:pPr>
                        <w:ind w:left="426" w:firstLine="425"/>
                        <w:rPr>
                          <w:color w:val="7F7F7F" w:themeColor="text1" w:themeTint="80"/>
                          <w:lang w:val="ru-RU"/>
                        </w:rPr>
                      </w:pPr>
                      <w:r w:rsidRPr="0078017B">
                        <w:rPr>
                          <w:color w:val="7F7F7F" w:themeColor="text1" w:themeTint="80"/>
                          <w:lang w:val="ru-RU"/>
                        </w:rPr>
                        <w:t>Разработчик</w:t>
                      </w:r>
                      <w:r>
                        <w:rPr>
                          <w:color w:val="7F7F7F" w:themeColor="text1" w:themeTint="80"/>
                          <w:lang w:val="ru-RU"/>
                        </w:rPr>
                        <w:t>и</w:t>
                      </w:r>
                      <w:r w:rsidRPr="0078017B">
                        <w:rPr>
                          <w:color w:val="7F7F7F" w:themeColor="text1" w:themeTint="80"/>
                          <w:lang w:val="ru-RU"/>
                        </w:rPr>
                        <w:t xml:space="preserve"> клинических рекомендаций:</w:t>
                      </w:r>
                    </w:p>
                    <w:p w14:paraId="764CB652" w14:textId="77777777" w:rsidR="00007EEB" w:rsidRPr="00B05D9D" w:rsidRDefault="00007EEB" w:rsidP="006538DA">
                      <w:pPr>
                        <w:pStyle w:val="af0"/>
                        <w:numPr>
                          <w:ilvl w:val="0"/>
                          <w:numId w:val="19"/>
                        </w:numPr>
                        <w:spacing w:line="360" w:lineRule="auto"/>
                        <w:ind w:left="1985" w:right="397" w:hanging="284"/>
                        <w:rPr>
                          <w:color w:val="000000"/>
                          <w:lang w:val="ru-RU"/>
                        </w:rPr>
                      </w:pPr>
                      <w:r w:rsidRPr="00B05D9D">
                        <w:rPr>
                          <w:color w:val="000000"/>
                          <w:lang w:val="ru-RU"/>
                        </w:rPr>
                        <w:t xml:space="preserve">Общероссийский национальный союз «Ассоциация онкологов России» </w:t>
                      </w:r>
                    </w:p>
                    <w:p w14:paraId="77FB5362" w14:textId="77777777" w:rsidR="00007EEB" w:rsidRPr="00B05D9D" w:rsidRDefault="00007EEB" w:rsidP="006538DA">
                      <w:pPr>
                        <w:pStyle w:val="af0"/>
                        <w:numPr>
                          <w:ilvl w:val="0"/>
                          <w:numId w:val="19"/>
                        </w:numPr>
                        <w:spacing w:line="360" w:lineRule="auto"/>
                        <w:ind w:left="1985" w:right="397" w:hanging="284"/>
                        <w:rPr>
                          <w:color w:val="000000"/>
                          <w:lang w:val="ru-RU"/>
                        </w:rPr>
                      </w:pPr>
                      <w:r w:rsidRPr="00B05D9D">
                        <w:rPr>
                          <w:color w:val="000000"/>
                          <w:lang w:val="ru-RU"/>
                        </w:rPr>
                        <w:t>Общероссийская общественная организация «Российское общество клинической онкологии»</w:t>
                      </w:r>
                    </w:p>
                    <w:p w14:paraId="3CDDF972" w14:textId="77777777" w:rsidR="00007EEB" w:rsidRPr="00D606E8" w:rsidRDefault="00007EEB" w:rsidP="006538DA">
                      <w:pPr>
                        <w:pStyle w:val="af0"/>
                        <w:numPr>
                          <w:ilvl w:val="0"/>
                          <w:numId w:val="19"/>
                        </w:numPr>
                        <w:spacing w:line="360" w:lineRule="auto"/>
                        <w:ind w:left="1985" w:right="397" w:hanging="284"/>
                        <w:rPr>
                          <w:color w:val="000000"/>
                          <w:lang w:val="ru-RU"/>
                        </w:rPr>
                      </w:pPr>
                      <w:r w:rsidRPr="00D606E8">
                        <w:rPr>
                          <w:color w:val="000000"/>
                          <w:lang w:val="ru-RU"/>
                        </w:rPr>
                        <w:t>Общероссийская общественная организация содействия развитию лучевой диагностики и терапии </w:t>
                      </w:r>
                      <w:r w:rsidRPr="00D606E8">
                        <w:rPr>
                          <w:bCs/>
                          <w:color w:val="000000"/>
                          <w:lang w:val="ru-RU"/>
                        </w:rPr>
                        <w:t xml:space="preserve">«Российское общество рентгенологов и радиологов» </w:t>
                      </w:r>
                    </w:p>
                    <w:p w14:paraId="2AB76BBF" w14:textId="77777777" w:rsidR="00007EEB" w:rsidRDefault="00007EEB" w:rsidP="006538DA">
                      <w:pPr>
                        <w:ind w:left="426" w:firstLine="0"/>
                        <w:jc w:val="left"/>
                        <w:rPr>
                          <w:lang w:val="ru-RU"/>
                        </w:rPr>
                      </w:pPr>
                    </w:p>
                    <w:p w14:paraId="59AD565A" w14:textId="77777777" w:rsidR="00007EEB" w:rsidRDefault="00007EEB" w:rsidP="006538DA">
                      <w:pPr>
                        <w:ind w:left="426" w:firstLine="0"/>
                        <w:jc w:val="left"/>
                        <w:rPr>
                          <w:lang w:val="ru-RU"/>
                        </w:rPr>
                      </w:pPr>
                    </w:p>
                    <w:p w14:paraId="69D69DF9" w14:textId="77777777" w:rsidR="00007EEB" w:rsidRDefault="00007EEB" w:rsidP="006538DA">
                      <w:pPr>
                        <w:ind w:left="426" w:firstLine="0"/>
                        <w:jc w:val="left"/>
                        <w:rPr>
                          <w:lang w:val="ru-RU"/>
                        </w:rPr>
                      </w:pPr>
                    </w:p>
                    <w:p w14:paraId="69774D25" w14:textId="77777777" w:rsidR="00007EEB" w:rsidRDefault="00007EEB" w:rsidP="006538DA">
                      <w:pPr>
                        <w:ind w:left="426" w:firstLine="0"/>
                        <w:jc w:val="left"/>
                        <w:rPr>
                          <w:lang w:val="ru-RU"/>
                        </w:rPr>
                      </w:pPr>
                    </w:p>
                    <w:p w14:paraId="20D76FAB" w14:textId="77777777" w:rsidR="00007EEB" w:rsidRPr="00B05D9D" w:rsidRDefault="00007EEB" w:rsidP="006538DA">
                      <w:pPr>
                        <w:ind w:left="426" w:firstLine="0"/>
                        <w:jc w:val="left"/>
                        <w:rPr>
                          <w:lang w:val="ru-RU"/>
                        </w:rPr>
                      </w:pPr>
                    </w:p>
                    <w:p w14:paraId="03E3A3D4" w14:textId="77777777" w:rsidR="00007EEB" w:rsidRPr="00B05D9D" w:rsidRDefault="00007EEB" w:rsidP="006538DA">
                      <w:pPr>
                        <w:pStyle w:val="Default"/>
                        <w:spacing w:line="360" w:lineRule="auto"/>
                        <w:rPr>
                          <w:b/>
                          <w:i/>
                          <w:color w:val="auto"/>
                          <w:sz w:val="28"/>
                          <w:szCs w:val="28"/>
                        </w:rPr>
                      </w:pPr>
                    </w:p>
                    <w:p w14:paraId="4F10B20A" w14:textId="77777777" w:rsidR="00007EEB" w:rsidRPr="00B05D9D" w:rsidRDefault="00007EEB" w:rsidP="006538DA">
                      <w:pPr>
                        <w:pStyle w:val="af0"/>
                        <w:ind w:firstLine="0"/>
                        <w:rPr>
                          <w:lang w:val="ru-RU"/>
                        </w:rPr>
                      </w:pPr>
                    </w:p>
                    <w:p w14:paraId="4E8B020C" w14:textId="77777777" w:rsidR="00007EEB" w:rsidRPr="0038253E" w:rsidRDefault="00007EEB" w:rsidP="0038253E">
                      <w:pPr>
                        <w:widowControl w:val="0"/>
                        <w:adjustRightInd w:val="0"/>
                        <w:ind w:firstLine="0"/>
                        <w:jc w:val="center"/>
                        <w:textAlignment w:val="baseline"/>
                        <w:rPr>
                          <w:bCs/>
                          <w:sz w:val="20"/>
                          <w:szCs w:val="20"/>
                          <w:lang w:val="ru-RU" w:eastAsia="en-US"/>
                        </w:rPr>
                      </w:pPr>
                      <w:r w:rsidRPr="0038253E">
                        <w:rPr>
                          <w:bCs/>
                          <w:sz w:val="20"/>
                          <w:szCs w:val="20"/>
                          <w:lang w:val="ru-RU" w:eastAsia="en-US"/>
                        </w:rPr>
                        <w:t>«Одобрено на заседании научно-практического совета Министерства здравоохранения Российской Федерации (протокол от)»</w:t>
                      </w:r>
                    </w:p>
                  </w:txbxContent>
                </v:textbox>
                <w10:wrap anchorx="page"/>
              </v:rect>
            </w:pict>
          </mc:Fallback>
        </mc:AlternateContent>
      </w:r>
      <w:r>
        <w:rPr>
          <w:noProof/>
          <w:lang w:val="ru-RU"/>
        </w:rPr>
        <mc:AlternateContent>
          <mc:Choice Requires="wps">
            <w:drawing>
              <wp:anchor distT="0" distB="0" distL="114300" distR="114300" simplePos="0" relativeHeight="251660288" behindDoc="1" locked="0" layoutInCell="1" allowOverlap="1" wp14:anchorId="011FCAA3" wp14:editId="04A75E5B">
                <wp:simplePos x="0" y="0"/>
                <wp:positionH relativeFrom="page">
                  <wp:align>left</wp:align>
                </wp:positionH>
                <wp:positionV relativeFrom="paragraph">
                  <wp:posOffset>-1036320</wp:posOffset>
                </wp:positionV>
                <wp:extent cx="7600950" cy="11020425"/>
                <wp:effectExtent l="0" t="0" r="0" b="0"/>
                <wp:wrapNone/>
                <wp:docPr id="7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16E9" id="Прямоугольник 1" o:spid="_x0000_s1026" style="position:absolute;margin-left:0;margin-top:-81.6pt;width:598.5pt;height:867.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" fillcolor="#0b595d" stroked="f" strokeweight="2pt">
                <v:fill opacity="6425f"/>
                <w10:wrap anchorx="page"/>
              </v:rect>
            </w:pict>
          </mc:Fallback>
        </mc:AlternateContent>
      </w:r>
    </w:p>
    <w:sdt>
      <w:sdtPr>
        <w:rPr>
          <w:rFonts w:ascii="Times New Roman" w:eastAsia="Times New Roman" w:hAnsi="Times New Roman" w:cs="Times New Roman"/>
          <w:b w:val="0"/>
          <w:bCs w:val="0"/>
          <w:color w:val="auto"/>
          <w:sz w:val="24"/>
          <w:szCs w:val="22"/>
          <w:lang w:val="en-US"/>
        </w:rPr>
        <w:id w:val="-2051296103"/>
      </w:sdtPr>
      <w:sdtEndPr>
        <w:rPr>
          <w:szCs w:val="24"/>
        </w:rPr>
      </w:sdtEndPr>
      <w:sdtContent>
        <w:p w14:paraId="6BF038EE" w14:textId="77777777" w:rsidR="00C2200F" w:rsidRPr="00A83E0C" w:rsidRDefault="00C2200F" w:rsidP="000B3A53">
          <w:pPr>
            <w:pStyle w:val="aff0"/>
            <w:rPr>
              <w:rFonts w:ascii="Times New Roman" w:hAnsi="Times New Roman" w:cs="Times New Roman"/>
              <w:color w:val="auto"/>
            </w:rPr>
          </w:pPr>
          <w:r w:rsidRPr="00A83E0C">
            <w:rPr>
              <w:rFonts w:ascii="Times New Roman" w:hAnsi="Times New Roman" w:cs="Times New Roman"/>
              <w:color w:val="auto"/>
            </w:rPr>
            <w:t>Оглавление</w:t>
          </w:r>
        </w:p>
        <w:p w14:paraId="5EE83678" w14:textId="39CA6462" w:rsidR="00930C9B" w:rsidRDefault="00C15198">
          <w:pPr>
            <w:pStyle w:val="12"/>
            <w:rPr>
              <w:rFonts w:asciiTheme="minorHAnsi" w:eastAsiaTheme="minorEastAsia" w:hAnsiTheme="minorHAnsi" w:cstheme="minorBidi"/>
              <w:noProof/>
              <w:kern w:val="2"/>
              <w:sz w:val="22"/>
              <w:szCs w:val="22"/>
              <w:lang w:val="ru-RU"/>
              <w14:ligatures w14:val="standardContextual"/>
            </w:rPr>
          </w:pPr>
          <w:r w:rsidRPr="00A83E0C">
            <w:fldChar w:fldCharType="begin"/>
          </w:r>
          <w:r w:rsidR="00C2200F" w:rsidRPr="00A83E0C">
            <w:instrText xml:space="preserve"> TOC \o "1-3" \h \z \u </w:instrText>
          </w:r>
          <w:r w:rsidRPr="00A83E0C">
            <w:fldChar w:fldCharType="separate"/>
          </w:r>
          <w:hyperlink w:anchor="_Toc158632208" w:history="1">
            <w:r w:rsidR="00930C9B" w:rsidRPr="00C945F7">
              <w:rPr>
                <w:rStyle w:val="afc"/>
                <w:noProof/>
              </w:rPr>
              <w:t>Список сокращений</w:t>
            </w:r>
            <w:r w:rsidR="00930C9B">
              <w:rPr>
                <w:noProof/>
                <w:webHidden/>
              </w:rPr>
              <w:tab/>
            </w:r>
            <w:r w:rsidR="00930C9B">
              <w:rPr>
                <w:noProof/>
                <w:webHidden/>
              </w:rPr>
              <w:fldChar w:fldCharType="begin"/>
            </w:r>
            <w:r w:rsidR="00930C9B">
              <w:rPr>
                <w:noProof/>
                <w:webHidden/>
              </w:rPr>
              <w:instrText xml:space="preserve"> PAGEREF _Toc158632208 \h </w:instrText>
            </w:r>
            <w:r w:rsidR="00930C9B">
              <w:rPr>
                <w:noProof/>
                <w:webHidden/>
              </w:rPr>
            </w:r>
            <w:r w:rsidR="00930C9B">
              <w:rPr>
                <w:noProof/>
                <w:webHidden/>
              </w:rPr>
              <w:fldChar w:fldCharType="separate"/>
            </w:r>
            <w:r w:rsidR="00930C9B">
              <w:rPr>
                <w:noProof/>
                <w:webHidden/>
              </w:rPr>
              <w:t>4</w:t>
            </w:r>
            <w:r w:rsidR="00930C9B">
              <w:rPr>
                <w:noProof/>
                <w:webHidden/>
              </w:rPr>
              <w:fldChar w:fldCharType="end"/>
            </w:r>
          </w:hyperlink>
        </w:p>
        <w:p w14:paraId="0D7E7CBA" w14:textId="70086DB4"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09" w:history="1">
            <w:r w:rsidR="00930C9B" w:rsidRPr="00C945F7">
              <w:rPr>
                <w:rStyle w:val="afc"/>
                <w:noProof/>
              </w:rPr>
              <w:t>Термины и определения</w:t>
            </w:r>
            <w:r w:rsidR="00930C9B">
              <w:rPr>
                <w:noProof/>
                <w:webHidden/>
              </w:rPr>
              <w:tab/>
            </w:r>
            <w:r w:rsidR="00930C9B">
              <w:rPr>
                <w:noProof/>
                <w:webHidden/>
              </w:rPr>
              <w:fldChar w:fldCharType="begin"/>
            </w:r>
            <w:r w:rsidR="00930C9B">
              <w:rPr>
                <w:noProof/>
                <w:webHidden/>
              </w:rPr>
              <w:instrText xml:space="preserve"> PAGEREF _Toc158632209 \h </w:instrText>
            </w:r>
            <w:r w:rsidR="00930C9B">
              <w:rPr>
                <w:noProof/>
                <w:webHidden/>
              </w:rPr>
            </w:r>
            <w:r w:rsidR="00930C9B">
              <w:rPr>
                <w:noProof/>
                <w:webHidden/>
              </w:rPr>
              <w:fldChar w:fldCharType="separate"/>
            </w:r>
            <w:r w:rsidR="00930C9B">
              <w:rPr>
                <w:noProof/>
                <w:webHidden/>
              </w:rPr>
              <w:t>5</w:t>
            </w:r>
            <w:r w:rsidR="00930C9B">
              <w:rPr>
                <w:noProof/>
                <w:webHidden/>
              </w:rPr>
              <w:fldChar w:fldCharType="end"/>
            </w:r>
          </w:hyperlink>
        </w:p>
        <w:p w14:paraId="4883AAF6" w14:textId="0C378F96"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10" w:history="1">
            <w:r w:rsidR="00930C9B" w:rsidRPr="00C945F7">
              <w:rPr>
                <w:rStyle w:val="afc"/>
                <w:noProof/>
              </w:rPr>
              <w:t>1. Краткая информация по заболеванию или состоянию (группе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_Toc158632210 \h </w:instrText>
            </w:r>
            <w:r w:rsidR="00930C9B">
              <w:rPr>
                <w:noProof/>
                <w:webHidden/>
              </w:rPr>
            </w:r>
            <w:r w:rsidR="00930C9B">
              <w:rPr>
                <w:noProof/>
                <w:webHidden/>
              </w:rPr>
              <w:fldChar w:fldCharType="separate"/>
            </w:r>
            <w:r w:rsidR="00930C9B">
              <w:rPr>
                <w:noProof/>
                <w:webHidden/>
              </w:rPr>
              <w:t>6</w:t>
            </w:r>
            <w:r w:rsidR="00930C9B">
              <w:rPr>
                <w:noProof/>
                <w:webHidden/>
              </w:rPr>
              <w:fldChar w:fldCharType="end"/>
            </w:r>
          </w:hyperlink>
        </w:p>
        <w:p w14:paraId="7E426C77" w14:textId="4B135210"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1" w:history="1">
            <w:r w:rsidR="00930C9B" w:rsidRPr="00C945F7">
              <w:rPr>
                <w:rStyle w:val="afc"/>
                <w:noProof/>
                <w:lang w:val="ru-RU"/>
              </w:rPr>
              <w:t>1.1 Определение заболевания или состояния (группы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_Toc158632211 \h </w:instrText>
            </w:r>
            <w:r w:rsidR="00930C9B">
              <w:rPr>
                <w:noProof/>
                <w:webHidden/>
              </w:rPr>
            </w:r>
            <w:r w:rsidR="00930C9B">
              <w:rPr>
                <w:noProof/>
                <w:webHidden/>
              </w:rPr>
              <w:fldChar w:fldCharType="separate"/>
            </w:r>
            <w:r w:rsidR="00930C9B">
              <w:rPr>
                <w:noProof/>
                <w:webHidden/>
              </w:rPr>
              <w:t>6</w:t>
            </w:r>
            <w:r w:rsidR="00930C9B">
              <w:rPr>
                <w:noProof/>
                <w:webHidden/>
              </w:rPr>
              <w:fldChar w:fldCharType="end"/>
            </w:r>
          </w:hyperlink>
        </w:p>
        <w:p w14:paraId="55480DE9" w14:textId="0DBAAD2F"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2" w:history="1">
            <w:r w:rsidR="00930C9B" w:rsidRPr="00C945F7">
              <w:rPr>
                <w:rStyle w:val="afc"/>
                <w:noProof/>
                <w:lang w:val="ru-RU"/>
              </w:rPr>
              <w:t>1.2 Этиология и патогенез заболевания или состояния (группы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_Toc158632212 \h </w:instrText>
            </w:r>
            <w:r w:rsidR="00930C9B">
              <w:rPr>
                <w:noProof/>
                <w:webHidden/>
              </w:rPr>
            </w:r>
            <w:r w:rsidR="00930C9B">
              <w:rPr>
                <w:noProof/>
                <w:webHidden/>
              </w:rPr>
              <w:fldChar w:fldCharType="separate"/>
            </w:r>
            <w:r w:rsidR="00930C9B">
              <w:rPr>
                <w:noProof/>
                <w:webHidden/>
              </w:rPr>
              <w:t>6</w:t>
            </w:r>
            <w:r w:rsidR="00930C9B">
              <w:rPr>
                <w:noProof/>
                <w:webHidden/>
              </w:rPr>
              <w:fldChar w:fldCharType="end"/>
            </w:r>
          </w:hyperlink>
        </w:p>
        <w:p w14:paraId="484A8713" w14:textId="27AF9479"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3" w:history="1">
            <w:r w:rsidR="00930C9B" w:rsidRPr="00C945F7">
              <w:rPr>
                <w:rStyle w:val="afc"/>
                <w:noProof/>
                <w:lang w:val="ru-RU"/>
              </w:rPr>
              <w:t>1.3 Эпидемиология заболевания или состояния (группы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_Toc158632213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p>
        <w:p w14:paraId="6E2CBF2A" w14:textId="5309576F"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4" w:history="1">
            <w:r w:rsidR="00930C9B" w:rsidRPr="00C945F7">
              <w:rPr>
                <w:rStyle w:val="afc"/>
                <w:noProof/>
                <w:lang w:val="ru-RU"/>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930C9B">
              <w:rPr>
                <w:noProof/>
                <w:webHidden/>
              </w:rPr>
              <w:tab/>
            </w:r>
            <w:r w:rsidR="00930C9B">
              <w:rPr>
                <w:noProof/>
                <w:webHidden/>
              </w:rPr>
              <w:fldChar w:fldCharType="begin"/>
            </w:r>
            <w:r w:rsidR="00930C9B">
              <w:rPr>
                <w:noProof/>
                <w:webHidden/>
              </w:rPr>
              <w:instrText xml:space="preserve"> PAGEREF _Toc158632214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p>
        <w:p w14:paraId="45AE913D" w14:textId="2B437ED7"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5" w:history="1">
            <w:r w:rsidR="00930C9B" w:rsidRPr="00C945F7">
              <w:rPr>
                <w:rStyle w:val="afc"/>
                <w:noProof/>
                <w:lang w:val="ru-RU"/>
              </w:rPr>
              <w:t>1.5 Классификация заболевания или состояния (группы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_Toc158632215 \h </w:instrText>
            </w:r>
            <w:r w:rsidR="00930C9B">
              <w:rPr>
                <w:noProof/>
                <w:webHidden/>
              </w:rPr>
            </w:r>
            <w:r w:rsidR="00930C9B">
              <w:rPr>
                <w:noProof/>
                <w:webHidden/>
              </w:rPr>
              <w:fldChar w:fldCharType="separate"/>
            </w:r>
            <w:r w:rsidR="00930C9B">
              <w:rPr>
                <w:noProof/>
                <w:webHidden/>
              </w:rPr>
              <w:t>8</w:t>
            </w:r>
            <w:r w:rsidR="00930C9B">
              <w:rPr>
                <w:noProof/>
                <w:webHidden/>
              </w:rPr>
              <w:fldChar w:fldCharType="end"/>
            </w:r>
          </w:hyperlink>
        </w:p>
        <w:p w14:paraId="5506A90D" w14:textId="20F49EBE"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6" w:history="1">
            <w:r w:rsidR="00930C9B" w:rsidRPr="00C945F7">
              <w:rPr>
                <w:rStyle w:val="afc"/>
                <w:noProof/>
                <w:lang w:val="ru-RU"/>
              </w:rPr>
              <w:t>1.6 Клиническая картина заболевания или состояния (группы заболеваний или состояний)</w:t>
            </w:r>
            <w:r w:rsidR="00930C9B">
              <w:rPr>
                <w:noProof/>
                <w:webHidden/>
              </w:rPr>
              <w:tab/>
            </w:r>
            <w:r w:rsidR="00930C9B">
              <w:rPr>
                <w:noProof/>
                <w:webHidden/>
              </w:rPr>
              <w:fldChar w:fldCharType="begin"/>
            </w:r>
            <w:r w:rsidR="00930C9B">
              <w:rPr>
                <w:noProof/>
                <w:webHidden/>
              </w:rPr>
              <w:instrText xml:space="preserve"> PAGEREF _Toc158632216 \h </w:instrText>
            </w:r>
            <w:r w:rsidR="00930C9B">
              <w:rPr>
                <w:noProof/>
                <w:webHidden/>
              </w:rPr>
            </w:r>
            <w:r w:rsidR="00930C9B">
              <w:rPr>
                <w:noProof/>
                <w:webHidden/>
              </w:rPr>
              <w:fldChar w:fldCharType="separate"/>
            </w:r>
            <w:r w:rsidR="00930C9B">
              <w:rPr>
                <w:noProof/>
                <w:webHidden/>
              </w:rPr>
              <w:t>10</w:t>
            </w:r>
            <w:r w:rsidR="00930C9B">
              <w:rPr>
                <w:noProof/>
                <w:webHidden/>
              </w:rPr>
              <w:fldChar w:fldCharType="end"/>
            </w:r>
          </w:hyperlink>
        </w:p>
        <w:p w14:paraId="7B903408" w14:textId="5B668E9C"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17" w:history="1">
            <w:r w:rsidR="00930C9B" w:rsidRPr="00C945F7">
              <w:rPr>
                <w:rStyle w:val="a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30C9B">
              <w:rPr>
                <w:noProof/>
                <w:webHidden/>
              </w:rPr>
              <w:tab/>
            </w:r>
            <w:r w:rsidR="00930C9B">
              <w:rPr>
                <w:noProof/>
                <w:webHidden/>
              </w:rPr>
              <w:fldChar w:fldCharType="begin"/>
            </w:r>
            <w:r w:rsidR="00930C9B">
              <w:rPr>
                <w:noProof/>
                <w:webHidden/>
              </w:rPr>
              <w:instrText xml:space="preserve"> PAGEREF _Toc158632217 \h </w:instrText>
            </w:r>
            <w:r w:rsidR="00930C9B">
              <w:rPr>
                <w:noProof/>
                <w:webHidden/>
              </w:rPr>
            </w:r>
            <w:r w:rsidR="00930C9B">
              <w:rPr>
                <w:noProof/>
                <w:webHidden/>
              </w:rPr>
              <w:fldChar w:fldCharType="separate"/>
            </w:r>
            <w:r w:rsidR="00930C9B">
              <w:rPr>
                <w:noProof/>
                <w:webHidden/>
              </w:rPr>
              <w:t>12</w:t>
            </w:r>
            <w:r w:rsidR="00930C9B">
              <w:rPr>
                <w:noProof/>
                <w:webHidden/>
              </w:rPr>
              <w:fldChar w:fldCharType="end"/>
            </w:r>
          </w:hyperlink>
        </w:p>
        <w:p w14:paraId="66290EB7" w14:textId="1CDA8FAC"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8" w:history="1">
            <w:r w:rsidR="00930C9B" w:rsidRPr="00C945F7">
              <w:rPr>
                <w:rStyle w:val="afc"/>
                <w:noProof/>
              </w:rPr>
              <w:t>Критерии установления диагноза/состояния:</w:t>
            </w:r>
            <w:r w:rsidR="00930C9B">
              <w:rPr>
                <w:noProof/>
                <w:webHidden/>
              </w:rPr>
              <w:tab/>
            </w:r>
            <w:r w:rsidR="00930C9B">
              <w:rPr>
                <w:noProof/>
                <w:webHidden/>
              </w:rPr>
              <w:fldChar w:fldCharType="begin"/>
            </w:r>
            <w:r w:rsidR="00930C9B">
              <w:rPr>
                <w:noProof/>
                <w:webHidden/>
              </w:rPr>
              <w:instrText xml:space="preserve"> PAGEREF _Toc158632218 \h </w:instrText>
            </w:r>
            <w:r w:rsidR="00930C9B">
              <w:rPr>
                <w:noProof/>
                <w:webHidden/>
              </w:rPr>
            </w:r>
            <w:r w:rsidR="00930C9B">
              <w:rPr>
                <w:noProof/>
                <w:webHidden/>
              </w:rPr>
              <w:fldChar w:fldCharType="separate"/>
            </w:r>
            <w:r w:rsidR="00930C9B">
              <w:rPr>
                <w:noProof/>
                <w:webHidden/>
              </w:rPr>
              <w:t>12</w:t>
            </w:r>
            <w:r w:rsidR="00930C9B">
              <w:rPr>
                <w:noProof/>
                <w:webHidden/>
              </w:rPr>
              <w:fldChar w:fldCharType="end"/>
            </w:r>
          </w:hyperlink>
        </w:p>
        <w:p w14:paraId="50266D67" w14:textId="127B83AA"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19" w:history="1">
            <w:r w:rsidR="00930C9B" w:rsidRPr="00C945F7">
              <w:rPr>
                <w:rStyle w:val="afc"/>
                <w:noProof/>
              </w:rPr>
              <w:t>2.1 Жалобы и анамнез</w:t>
            </w:r>
            <w:r w:rsidR="00930C9B">
              <w:rPr>
                <w:noProof/>
                <w:webHidden/>
              </w:rPr>
              <w:tab/>
            </w:r>
            <w:r w:rsidR="00930C9B">
              <w:rPr>
                <w:noProof/>
                <w:webHidden/>
              </w:rPr>
              <w:fldChar w:fldCharType="begin"/>
            </w:r>
            <w:r w:rsidR="00930C9B">
              <w:rPr>
                <w:noProof/>
                <w:webHidden/>
              </w:rPr>
              <w:instrText xml:space="preserve"> PAGEREF _Toc158632219 \h </w:instrText>
            </w:r>
            <w:r w:rsidR="00930C9B">
              <w:rPr>
                <w:noProof/>
                <w:webHidden/>
              </w:rPr>
            </w:r>
            <w:r w:rsidR="00930C9B">
              <w:rPr>
                <w:noProof/>
                <w:webHidden/>
              </w:rPr>
              <w:fldChar w:fldCharType="separate"/>
            </w:r>
            <w:r w:rsidR="00930C9B">
              <w:rPr>
                <w:noProof/>
                <w:webHidden/>
              </w:rPr>
              <w:t>12</w:t>
            </w:r>
            <w:r w:rsidR="00930C9B">
              <w:rPr>
                <w:noProof/>
                <w:webHidden/>
              </w:rPr>
              <w:fldChar w:fldCharType="end"/>
            </w:r>
          </w:hyperlink>
        </w:p>
        <w:p w14:paraId="6D3FE9F9" w14:textId="0F499127"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0" w:history="1">
            <w:r w:rsidR="00930C9B" w:rsidRPr="00C945F7">
              <w:rPr>
                <w:rStyle w:val="afc"/>
                <w:noProof/>
              </w:rPr>
              <w:t>2.2 Физикальное обследование</w:t>
            </w:r>
            <w:r w:rsidR="00930C9B">
              <w:rPr>
                <w:noProof/>
                <w:webHidden/>
              </w:rPr>
              <w:tab/>
            </w:r>
            <w:r w:rsidR="00930C9B">
              <w:rPr>
                <w:noProof/>
                <w:webHidden/>
              </w:rPr>
              <w:fldChar w:fldCharType="begin"/>
            </w:r>
            <w:r w:rsidR="00930C9B">
              <w:rPr>
                <w:noProof/>
                <w:webHidden/>
              </w:rPr>
              <w:instrText xml:space="preserve"> PAGEREF _Toc158632220 \h </w:instrText>
            </w:r>
            <w:r w:rsidR="00930C9B">
              <w:rPr>
                <w:noProof/>
                <w:webHidden/>
              </w:rPr>
            </w:r>
            <w:r w:rsidR="00930C9B">
              <w:rPr>
                <w:noProof/>
                <w:webHidden/>
              </w:rPr>
              <w:fldChar w:fldCharType="separate"/>
            </w:r>
            <w:r w:rsidR="00930C9B">
              <w:rPr>
                <w:noProof/>
                <w:webHidden/>
              </w:rPr>
              <w:t>12</w:t>
            </w:r>
            <w:r w:rsidR="00930C9B">
              <w:rPr>
                <w:noProof/>
                <w:webHidden/>
              </w:rPr>
              <w:fldChar w:fldCharType="end"/>
            </w:r>
          </w:hyperlink>
        </w:p>
        <w:p w14:paraId="47FFE254" w14:textId="7BD9642A"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1" w:history="1">
            <w:r w:rsidR="00930C9B" w:rsidRPr="00C945F7">
              <w:rPr>
                <w:rStyle w:val="afc"/>
                <w:noProof/>
              </w:rPr>
              <w:t>2.3 Лабораторные диагностические исследования</w:t>
            </w:r>
            <w:r w:rsidR="00930C9B">
              <w:rPr>
                <w:noProof/>
                <w:webHidden/>
              </w:rPr>
              <w:tab/>
            </w:r>
            <w:r w:rsidR="00930C9B">
              <w:rPr>
                <w:noProof/>
                <w:webHidden/>
              </w:rPr>
              <w:fldChar w:fldCharType="begin"/>
            </w:r>
            <w:r w:rsidR="00930C9B">
              <w:rPr>
                <w:noProof/>
                <w:webHidden/>
              </w:rPr>
              <w:instrText xml:space="preserve"> PAGEREF _Toc158632221 \h </w:instrText>
            </w:r>
            <w:r w:rsidR="00930C9B">
              <w:rPr>
                <w:noProof/>
                <w:webHidden/>
              </w:rPr>
            </w:r>
            <w:r w:rsidR="00930C9B">
              <w:rPr>
                <w:noProof/>
                <w:webHidden/>
              </w:rPr>
              <w:fldChar w:fldCharType="separate"/>
            </w:r>
            <w:r w:rsidR="00930C9B">
              <w:rPr>
                <w:noProof/>
                <w:webHidden/>
              </w:rPr>
              <w:t>12</w:t>
            </w:r>
            <w:r w:rsidR="00930C9B">
              <w:rPr>
                <w:noProof/>
                <w:webHidden/>
              </w:rPr>
              <w:fldChar w:fldCharType="end"/>
            </w:r>
          </w:hyperlink>
        </w:p>
        <w:p w14:paraId="3E9A8782" w14:textId="4882D104"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2" w:history="1">
            <w:r w:rsidR="00930C9B" w:rsidRPr="00C945F7">
              <w:rPr>
                <w:rStyle w:val="afc"/>
                <w:noProof/>
                <w:lang w:val="ru-RU"/>
              </w:rPr>
              <w:t>2.4 Инструментальные диагностические исследования</w:t>
            </w:r>
            <w:r w:rsidR="00930C9B">
              <w:rPr>
                <w:noProof/>
                <w:webHidden/>
              </w:rPr>
              <w:tab/>
            </w:r>
            <w:r w:rsidR="00930C9B">
              <w:rPr>
                <w:noProof/>
                <w:webHidden/>
              </w:rPr>
              <w:fldChar w:fldCharType="begin"/>
            </w:r>
            <w:r w:rsidR="00930C9B">
              <w:rPr>
                <w:noProof/>
                <w:webHidden/>
              </w:rPr>
              <w:instrText xml:space="preserve"> PAGEREF _Toc158632222 \h </w:instrText>
            </w:r>
            <w:r w:rsidR="00930C9B">
              <w:rPr>
                <w:noProof/>
                <w:webHidden/>
              </w:rPr>
            </w:r>
            <w:r w:rsidR="00930C9B">
              <w:rPr>
                <w:noProof/>
                <w:webHidden/>
              </w:rPr>
              <w:fldChar w:fldCharType="separate"/>
            </w:r>
            <w:r w:rsidR="00930C9B">
              <w:rPr>
                <w:noProof/>
                <w:webHidden/>
              </w:rPr>
              <w:t>13</w:t>
            </w:r>
            <w:r w:rsidR="00930C9B">
              <w:rPr>
                <w:noProof/>
                <w:webHidden/>
              </w:rPr>
              <w:fldChar w:fldCharType="end"/>
            </w:r>
          </w:hyperlink>
        </w:p>
        <w:p w14:paraId="494D5BA5" w14:textId="445CCEDC"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3" w:history="1">
            <w:r w:rsidR="00930C9B" w:rsidRPr="00C945F7">
              <w:rPr>
                <w:rStyle w:val="afc"/>
                <w:noProof/>
              </w:rPr>
              <w:t>2.5 Иные диагностические исследования</w:t>
            </w:r>
            <w:r w:rsidR="00930C9B">
              <w:rPr>
                <w:noProof/>
                <w:webHidden/>
              </w:rPr>
              <w:tab/>
            </w:r>
            <w:r w:rsidR="00930C9B">
              <w:rPr>
                <w:noProof/>
                <w:webHidden/>
              </w:rPr>
              <w:fldChar w:fldCharType="begin"/>
            </w:r>
            <w:r w:rsidR="00930C9B">
              <w:rPr>
                <w:noProof/>
                <w:webHidden/>
              </w:rPr>
              <w:instrText xml:space="preserve"> PAGEREF _Toc158632223 \h </w:instrText>
            </w:r>
            <w:r w:rsidR="00930C9B">
              <w:rPr>
                <w:noProof/>
                <w:webHidden/>
              </w:rPr>
            </w:r>
            <w:r w:rsidR="00930C9B">
              <w:rPr>
                <w:noProof/>
                <w:webHidden/>
              </w:rPr>
              <w:fldChar w:fldCharType="separate"/>
            </w:r>
            <w:r w:rsidR="00930C9B">
              <w:rPr>
                <w:noProof/>
                <w:webHidden/>
              </w:rPr>
              <w:t>19</w:t>
            </w:r>
            <w:r w:rsidR="00930C9B">
              <w:rPr>
                <w:noProof/>
                <w:webHidden/>
              </w:rPr>
              <w:fldChar w:fldCharType="end"/>
            </w:r>
          </w:hyperlink>
        </w:p>
        <w:p w14:paraId="37C1A57B" w14:textId="1DBEBF6A"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24" w:history="1">
            <w:r w:rsidR="00930C9B" w:rsidRPr="00C945F7">
              <w:rPr>
                <w:rStyle w:val="a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30C9B">
              <w:rPr>
                <w:noProof/>
                <w:webHidden/>
              </w:rPr>
              <w:tab/>
            </w:r>
            <w:r w:rsidR="00930C9B">
              <w:rPr>
                <w:noProof/>
                <w:webHidden/>
              </w:rPr>
              <w:fldChar w:fldCharType="begin"/>
            </w:r>
            <w:r w:rsidR="00930C9B">
              <w:rPr>
                <w:noProof/>
                <w:webHidden/>
              </w:rPr>
              <w:instrText xml:space="preserve"> PAGEREF _Toc158632224 \h </w:instrText>
            </w:r>
            <w:r w:rsidR="00930C9B">
              <w:rPr>
                <w:noProof/>
                <w:webHidden/>
              </w:rPr>
            </w:r>
            <w:r w:rsidR="00930C9B">
              <w:rPr>
                <w:noProof/>
                <w:webHidden/>
              </w:rPr>
              <w:fldChar w:fldCharType="separate"/>
            </w:r>
            <w:r w:rsidR="00930C9B">
              <w:rPr>
                <w:noProof/>
                <w:webHidden/>
              </w:rPr>
              <w:t>22</w:t>
            </w:r>
            <w:r w:rsidR="00930C9B">
              <w:rPr>
                <w:noProof/>
                <w:webHidden/>
              </w:rPr>
              <w:fldChar w:fldCharType="end"/>
            </w:r>
          </w:hyperlink>
        </w:p>
        <w:p w14:paraId="1AF61FAD" w14:textId="15DDFACD"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5" w:history="1">
            <w:r w:rsidR="00930C9B" w:rsidRPr="00C945F7">
              <w:rPr>
                <w:rStyle w:val="afc"/>
                <w:noProof/>
                <w:lang w:val="ru-RU"/>
              </w:rPr>
              <w:t>3.1 Хирургическое лечение</w:t>
            </w:r>
            <w:r w:rsidR="00930C9B">
              <w:rPr>
                <w:noProof/>
                <w:webHidden/>
              </w:rPr>
              <w:tab/>
            </w:r>
            <w:r w:rsidR="00930C9B">
              <w:rPr>
                <w:noProof/>
                <w:webHidden/>
              </w:rPr>
              <w:fldChar w:fldCharType="begin"/>
            </w:r>
            <w:r w:rsidR="00930C9B">
              <w:rPr>
                <w:noProof/>
                <w:webHidden/>
              </w:rPr>
              <w:instrText xml:space="preserve"> PAGEREF _Toc158632225 \h </w:instrText>
            </w:r>
            <w:r w:rsidR="00930C9B">
              <w:rPr>
                <w:noProof/>
                <w:webHidden/>
              </w:rPr>
            </w:r>
            <w:r w:rsidR="00930C9B">
              <w:rPr>
                <w:noProof/>
                <w:webHidden/>
              </w:rPr>
              <w:fldChar w:fldCharType="separate"/>
            </w:r>
            <w:r w:rsidR="00930C9B">
              <w:rPr>
                <w:noProof/>
                <w:webHidden/>
              </w:rPr>
              <w:t>22</w:t>
            </w:r>
            <w:r w:rsidR="00930C9B">
              <w:rPr>
                <w:noProof/>
                <w:webHidden/>
              </w:rPr>
              <w:fldChar w:fldCharType="end"/>
            </w:r>
          </w:hyperlink>
        </w:p>
        <w:p w14:paraId="6F29E7F7" w14:textId="2E71EF02"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6" w:history="1">
            <w:r w:rsidR="00930C9B" w:rsidRPr="00C945F7">
              <w:rPr>
                <w:rStyle w:val="afc"/>
                <w:noProof/>
                <w:lang w:val="ru-RU"/>
              </w:rPr>
              <w:t>3.2 Консервативное лечение</w:t>
            </w:r>
            <w:r w:rsidR="00930C9B">
              <w:rPr>
                <w:noProof/>
                <w:webHidden/>
              </w:rPr>
              <w:tab/>
            </w:r>
            <w:r w:rsidR="00930C9B">
              <w:rPr>
                <w:noProof/>
                <w:webHidden/>
              </w:rPr>
              <w:fldChar w:fldCharType="begin"/>
            </w:r>
            <w:r w:rsidR="00930C9B">
              <w:rPr>
                <w:noProof/>
                <w:webHidden/>
              </w:rPr>
              <w:instrText xml:space="preserve"> PAGEREF _Toc158632226 \h </w:instrText>
            </w:r>
            <w:r w:rsidR="00930C9B">
              <w:rPr>
                <w:noProof/>
                <w:webHidden/>
              </w:rPr>
            </w:r>
            <w:r w:rsidR="00930C9B">
              <w:rPr>
                <w:noProof/>
                <w:webHidden/>
              </w:rPr>
              <w:fldChar w:fldCharType="separate"/>
            </w:r>
            <w:r w:rsidR="00930C9B">
              <w:rPr>
                <w:noProof/>
                <w:webHidden/>
              </w:rPr>
              <w:t>27</w:t>
            </w:r>
            <w:r w:rsidR="00930C9B">
              <w:rPr>
                <w:noProof/>
                <w:webHidden/>
              </w:rPr>
              <w:fldChar w:fldCharType="end"/>
            </w:r>
          </w:hyperlink>
        </w:p>
        <w:p w14:paraId="35B4F0CF" w14:textId="5D5C05B9"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27" w:history="1">
            <w:r w:rsidR="00930C9B" w:rsidRPr="00C945F7">
              <w:rPr>
                <w:rStyle w:val="afc"/>
                <w:noProof/>
                <w:lang w:val="ru-RU"/>
              </w:rPr>
              <w:t>3.3 Коррекция осложнений опухолевого процесса и противоопухолевого лечения</w:t>
            </w:r>
            <w:r w:rsidR="00930C9B">
              <w:rPr>
                <w:noProof/>
                <w:webHidden/>
              </w:rPr>
              <w:tab/>
            </w:r>
            <w:r w:rsidR="00930C9B">
              <w:rPr>
                <w:noProof/>
                <w:webHidden/>
              </w:rPr>
              <w:fldChar w:fldCharType="begin"/>
            </w:r>
            <w:r w:rsidR="00930C9B">
              <w:rPr>
                <w:noProof/>
                <w:webHidden/>
              </w:rPr>
              <w:instrText xml:space="preserve"> PAGEREF _Toc158632227 \h </w:instrText>
            </w:r>
            <w:r w:rsidR="00930C9B">
              <w:rPr>
                <w:noProof/>
                <w:webHidden/>
              </w:rPr>
            </w:r>
            <w:r w:rsidR="00930C9B">
              <w:rPr>
                <w:noProof/>
                <w:webHidden/>
              </w:rPr>
              <w:fldChar w:fldCharType="separate"/>
            </w:r>
            <w:r w:rsidR="00930C9B">
              <w:rPr>
                <w:noProof/>
                <w:webHidden/>
              </w:rPr>
              <w:t>39</w:t>
            </w:r>
            <w:r w:rsidR="00930C9B">
              <w:rPr>
                <w:noProof/>
                <w:webHidden/>
              </w:rPr>
              <w:fldChar w:fldCharType="end"/>
            </w:r>
          </w:hyperlink>
        </w:p>
        <w:p w14:paraId="7986F542" w14:textId="784A3641"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28" w:history="1">
            <w:r w:rsidR="00930C9B" w:rsidRPr="00C945F7">
              <w:rPr>
                <w:rStyle w:val="afc"/>
                <w:noProof/>
              </w:rPr>
              <w:t>5. Профилактика и диспансерное наблюдение, медицинские показания и противопоказания к применению методов профилактики</w:t>
            </w:r>
            <w:r w:rsidR="00930C9B">
              <w:rPr>
                <w:noProof/>
                <w:webHidden/>
              </w:rPr>
              <w:tab/>
            </w:r>
            <w:r w:rsidR="00930C9B">
              <w:rPr>
                <w:noProof/>
                <w:webHidden/>
              </w:rPr>
              <w:fldChar w:fldCharType="begin"/>
            </w:r>
            <w:r w:rsidR="00930C9B">
              <w:rPr>
                <w:noProof/>
                <w:webHidden/>
              </w:rPr>
              <w:instrText xml:space="preserve"> PAGEREF _Toc158632228 \h </w:instrText>
            </w:r>
            <w:r w:rsidR="00930C9B">
              <w:rPr>
                <w:noProof/>
                <w:webHidden/>
              </w:rPr>
            </w:r>
            <w:r w:rsidR="00930C9B">
              <w:rPr>
                <w:noProof/>
                <w:webHidden/>
              </w:rPr>
              <w:fldChar w:fldCharType="separate"/>
            </w:r>
            <w:r w:rsidR="00930C9B">
              <w:rPr>
                <w:noProof/>
                <w:webHidden/>
              </w:rPr>
              <w:t>46</w:t>
            </w:r>
            <w:r w:rsidR="00930C9B">
              <w:rPr>
                <w:noProof/>
                <w:webHidden/>
              </w:rPr>
              <w:fldChar w:fldCharType="end"/>
            </w:r>
          </w:hyperlink>
        </w:p>
        <w:p w14:paraId="497BF0CB" w14:textId="4D963754"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29" w:history="1">
            <w:r w:rsidR="00930C9B" w:rsidRPr="00C945F7">
              <w:rPr>
                <w:rStyle w:val="afc"/>
                <w:noProof/>
              </w:rPr>
              <w:t>6. Организация оказания медицинской помощи</w:t>
            </w:r>
            <w:r w:rsidR="00930C9B">
              <w:rPr>
                <w:noProof/>
                <w:webHidden/>
              </w:rPr>
              <w:tab/>
            </w:r>
            <w:r w:rsidR="00930C9B">
              <w:rPr>
                <w:noProof/>
                <w:webHidden/>
              </w:rPr>
              <w:fldChar w:fldCharType="begin"/>
            </w:r>
            <w:r w:rsidR="00930C9B">
              <w:rPr>
                <w:noProof/>
                <w:webHidden/>
              </w:rPr>
              <w:instrText xml:space="preserve"> PAGEREF _Toc158632229 \h </w:instrText>
            </w:r>
            <w:r w:rsidR="00930C9B">
              <w:rPr>
                <w:noProof/>
                <w:webHidden/>
              </w:rPr>
            </w:r>
            <w:r w:rsidR="00930C9B">
              <w:rPr>
                <w:noProof/>
                <w:webHidden/>
              </w:rPr>
              <w:fldChar w:fldCharType="separate"/>
            </w:r>
            <w:r w:rsidR="00930C9B">
              <w:rPr>
                <w:noProof/>
                <w:webHidden/>
              </w:rPr>
              <w:t>48</w:t>
            </w:r>
            <w:r w:rsidR="00930C9B">
              <w:rPr>
                <w:noProof/>
                <w:webHidden/>
              </w:rPr>
              <w:fldChar w:fldCharType="end"/>
            </w:r>
          </w:hyperlink>
        </w:p>
        <w:p w14:paraId="32D1737D" w14:textId="4D0149CB"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0" w:history="1">
            <w:r w:rsidR="00930C9B" w:rsidRPr="00C945F7">
              <w:rPr>
                <w:rStyle w:val="afc"/>
                <w:noProof/>
                <w:shd w:val="clear" w:color="auto" w:fill="FFFFFF"/>
              </w:rPr>
              <w:t>7. Дополнительная информация (в том числе факторы, влияющие на исход заболевания или состояния)</w:t>
            </w:r>
            <w:r w:rsidR="00930C9B">
              <w:rPr>
                <w:noProof/>
                <w:webHidden/>
              </w:rPr>
              <w:tab/>
            </w:r>
            <w:r w:rsidR="00930C9B">
              <w:rPr>
                <w:noProof/>
                <w:webHidden/>
              </w:rPr>
              <w:fldChar w:fldCharType="begin"/>
            </w:r>
            <w:r w:rsidR="00930C9B">
              <w:rPr>
                <w:noProof/>
                <w:webHidden/>
              </w:rPr>
              <w:instrText xml:space="preserve"> PAGEREF _Toc158632230 \h </w:instrText>
            </w:r>
            <w:r w:rsidR="00930C9B">
              <w:rPr>
                <w:noProof/>
                <w:webHidden/>
              </w:rPr>
            </w:r>
            <w:r w:rsidR="00930C9B">
              <w:rPr>
                <w:noProof/>
                <w:webHidden/>
              </w:rPr>
              <w:fldChar w:fldCharType="separate"/>
            </w:r>
            <w:r w:rsidR="00930C9B">
              <w:rPr>
                <w:noProof/>
                <w:webHidden/>
              </w:rPr>
              <w:t>54</w:t>
            </w:r>
            <w:r w:rsidR="00930C9B">
              <w:rPr>
                <w:noProof/>
                <w:webHidden/>
              </w:rPr>
              <w:fldChar w:fldCharType="end"/>
            </w:r>
          </w:hyperlink>
        </w:p>
        <w:p w14:paraId="284850C9" w14:textId="5DC98EF4" w:rsidR="00930C9B" w:rsidRDefault="00000000">
          <w:pPr>
            <w:pStyle w:val="35"/>
            <w:tabs>
              <w:tab w:val="right" w:leader="dot" w:pos="9345"/>
            </w:tabs>
            <w:rPr>
              <w:rFonts w:asciiTheme="minorHAnsi" w:eastAsiaTheme="minorEastAsia" w:hAnsiTheme="minorHAnsi" w:cstheme="minorBidi"/>
              <w:noProof/>
              <w:kern w:val="2"/>
              <w:sz w:val="22"/>
              <w:szCs w:val="22"/>
              <w:lang w:val="ru-RU"/>
              <w14:ligatures w14:val="standardContextual"/>
            </w:rPr>
          </w:pPr>
          <w:hyperlink w:anchor="_Toc158632231" w:history="1">
            <w:r w:rsidR="00930C9B" w:rsidRPr="00C945F7">
              <w:rPr>
                <w:rStyle w:val="afc"/>
                <w:rFonts w:eastAsia="BlissPro-ExtraBold"/>
                <w:noProof/>
                <w:lang w:val="ru-RU"/>
              </w:rPr>
              <w:t>7.1 Особенности редких гистологических подтипов новообразований экзокринной части поджелудочной железы</w:t>
            </w:r>
            <w:r w:rsidR="00930C9B">
              <w:rPr>
                <w:noProof/>
                <w:webHidden/>
              </w:rPr>
              <w:tab/>
            </w:r>
            <w:r w:rsidR="00930C9B">
              <w:rPr>
                <w:noProof/>
                <w:webHidden/>
              </w:rPr>
              <w:fldChar w:fldCharType="begin"/>
            </w:r>
            <w:r w:rsidR="00930C9B">
              <w:rPr>
                <w:noProof/>
                <w:webHidden/>
              </w:rPr>
              <w:instrText xml:space="preserve"> PAGEREF _Toc158632231 \h </w:instrText>
            </w:r>
            <w:r w:rsidR="00930C9B">
              <w:rPr>
                <w:noProof/>
                <w:webHidden/>
              </w:rPr>
            </w:r>
            <w:r w:rsidR="00930C9B">
              <w:rPr>
                <w:noProof/>
                <w:webHidden/>
              </w:rPr>
              <w:fldChar w:fldCharType="separate"/>
            </w:r>
            <w:r w:rsidR="00930C9B">
              <w:rPr>
                <w:noProof/>
                <w:webHidden/>
              </w:rPr>
              <w:t>54</w:t>
            </w:r>
            <w:r w:rsidR="00930C9B">
              <w:rPr>
                <w:noProof/>
                <w:webHidden/>
              </w:rPr>
              <w:fldChar w:fldCharType="end"/>
            </w:r>
          </w:hyperlink>
        </w:p>
        <w:p w14:paraId="795008B5" w14:textId="20C914E3"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2" w:history="1">
            <w:r w:rsidR="00930C9B" w:rsidRPr="00C945F7">
              <w:rPr>
                <w:rStyle w:val="afc"/>
                <w:noProof/>
              </w:rPr>
              <w:t>Критерии оценки качества медицинской помощи</w:t>
            </w:r>
            <w:r w:rsidR="00930C9B">
              <w:rPr>
                <w:noProof/>
                <w:webHidden/>
              </w:rPr>
              <w:tab/>
            </w:r>
            <w:r w:rsidR="00930C9B">
              <w:rPr>
                <w:noProof/>
                <w:webHidden/>
              </w:rPr>
              <w:fldChar w:fldCharType="begin"/>
            </w:r>
            <w:r w:rsidR="00930C9B">
              <w:rPr>
                <w:noProof/>
                <w:webHidden/>
              </w:rPr>
              <w:instrText xml:space="preserve"> PAGEREF _Toc158632232 \h </w:instrText>
            </w:r>
            <w:r w:rsidR="00930C9B">
              <w:rPr>
                <w:noProof/>
                <w:webHidden/>
              </w:rPr>
            </w:r>
            <w:r w:rsidR="00930C9B">
              <w:rPr>
                <w:noProof/>
                <w:webHidden/>
              </w:rPr>
              <w:fldChar w:fldCharType="separate"/>
            </w:r>
            <w:r w:rsidR="00930C9B">
              <w:rPr>
                <w:noProof/>
                <w:webHidden/>
              </w:rPr>
              <w:t>56</w:t>
            </w:r>
            <w:r w:rsidR="00930C9B">
              <w:rPr>
                <w:noProof/>
                <w:webHidden/>
              </w:rPr>
              <w:fldChar w:fldCharType="end"/>
            </w:r>
          </w:hyperlink>
        </w:p>
        <w:p w14:paraId="0E6AF1DB" w14:textId="7F5DAF3F"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3" w:history="1">
            <w:r w:rsidR="00930C9B" w:rsidRPr="00C945F7">
              <w:rPr>
                <w:rStyle w:val="afc"/>
                <w:noProof/>
              </w:rPr>
              <w:t>Список литературы</w:t>
            </w:r>
            <w:r w:rsidR="00930C9B">
              <w:rPr>
                <w:noProof/>
                <w:webHidden/>
              </w:rPr>
              <w:tab/>
            </w:r>
            <w:r w:rsidR="00930C9B">
              <w:rPr>
                <w:noProof/>
                <w:webHidden/>
              </w:rPr>
              <w:fldChar w:fldCharType="begin"/>
            </w:r>
            <w:r w:rsidR="00930C9B">
              <w:rPr>
                <w:noProof/>
                <w:webHidden/>
              </w:rPr>
              <w:instrText xml:space="preserve"> PAGEREF _Toc158632233 \h </w:instrText>
            </w:r>
            <w:r w:rsidR="00930C9B">
              <w:rPr>
                <w:noProof/>
                <w:webHidden/>
              </w:rPr>
            </w:r>
            <w:r w:rsidR="00930C9B">
              <w:rPr>
                <w:noProof/>
                <w:webHidden/>
              </w:rPr>
              <w:fldChar w:fldCharType="separate"/>
            </w:r>
            <w:r w:rsidR="00930C9B">
              <w:rPr>
                <w:noProof/>
                <w:webHidden/>
              </w:rPr>
              <w:t>57</w:t>
            </w:r>
            <w:r w:rsidR="00930C9B">
              <w:rPr>
                <w:noProof/>
                <w:webHidden/>
              </w:rPr>
              <w:fldChar w:fldCharType="end"/>
            </w:r>
          </w:hyperlink>
        </w:p>
        <w:p w14:paraId="37CD19D4" w14:textId="54032275"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4" w:history="1">
            <w:r w:rsidR="00930C9B" w:rsidRPr="00C945F7">
              <w:rPr>
                <w:rStyle w:val="afc"/>
                <w:noProof/>
              </w:rPr>
              <w:t>Приложение А1. Состав рабочей группы по разработке и пересмотру клинических рекомендаций</w:t>
            </w:r>
            <w:r w:rsidR="00930C9B">
              <w:rPr>
                <w:noProof/>
                <w:webHidden/>
              </w:rPr>
              <w:tab/>
            </w:r>
            <w:r w:rsidR="00930C9B">
              <w:rPr>
                <w:noProof/>
                <w:webHidden/>
              </w:rPr>
              <w:fldChar w:fldCharType="begin"/>
            </w:r>
            <w:r w:rsidR="00930C9B">
              <w:rPr>
                <w:noProof/>
                <w:webHidden/>
              </w:rPr>
              <w:instrText xml:space="preserve"> PAGEREF _Toc158632234 \h </w:instrText>
            </w:r>
            <w:r w:rsidR="00930C9B">
              <w:rPr>
                <w:noProof/>
                <w:webHidden/>
              </w:rPr>
            </w:r>
            <w:r w:rsidR="00930C9B">
              <w:rPr>
                <w:noProof/>
                <w:webHidden/>
              </w:rPr>
              <w:fldChar w:fldCharType="separate"/>
            </w:r>
            <w:r w:rsidR="00930C9B">
              <w:rPr>
                <w:noProof/>
                <w:webHidden/>
              </w:rPr>
              <w:t>68</w:t>
            </w:r>
            <w:r w:rsidR="00930C9B">
              <w:rPr>
                <w:noProof/>
                <w:webHidden/>
              </w:rPr>
              <w:fldChar w:fldCharType="end"/>
            </w:r>
          </w:hyperlink>
        </w:p>
        <w:p w14:paraId="5264A77E" w14:textId="75B5E50B" w:rsidR="00930C9B" w:rsidRPr="00CF45D1"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5" w:history="1">
            <w:r w:rsidR="00930C9B" w:rsidRPr="00C945F7">
              <w:rPr>
                <w:rStyle w:val="afc"/>
                <w:noProof/>
              </w:rPr>
              <w:t>Приложение А2. Методология разработки клинических рекомендаций</w:t>
            </w:r>
            <w:r w:rsidR="00930C9B">
              <w:rPr>
                <w:noProof/>
                <w:webHidden/>
              </w:rPr>
              <w:tab/>
            </w:r>
            <w:r w:rsidR="00930C9B">
              <w:rPr>
                <w:noProof/>
                <w:webHidden/>
              </w:rPr>
              <w:fldChar w:fldCharType="begin"/>
            </w:r>
            <w:r w:rsidR="00930C9B">
              <w:rPr>
                <w:noProof/>
                <w:webHidden/>
              </w:rPr>
              <w:instrText xml:space="preserve"> PAGEREF _Toc158632235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r w:rsidR="00CF45D1">
            <w:rPr>
              <w:noProof/>
              <w:lang w:val="ru-RU"/>
            </w:rPr>
            <w:t>4</w:t>
          </w:r>
        </w:p>
        <w:p w14:paraId="7A7A5F91" w14:textId="2A37D085" w:rsidR="00930C9B" w:rsidRPr="00CF45D1"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6" w:history="1">
            <w:r w:rsidR="00930C9B" w:rsidRPr="00C945F7">
              <w:rPr>
                <w:rStyle w:val="a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30C9B">
              <w:rPr>
                <w:noProof/>
                <w:webHidden/>
              </w:rPr>
              <w:tab/>
            </w:r>
            <w:r w:rsidR="00930C9B">
              <w:rPr>
                <w:noProof/>
                <w:webHidden/>
              </w:rPr>
              <w:fldChar w:fldCharType="begin"/>
            </w:r>
            <w:r w:rsidR="00930C9B">
              <w:rPr>
                <w:noProof/>
                <w:webHidden/>
              </w:rPr>
              <w:instrText xml:space="preserve"> PAGEREF _Toc158632236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r w:rsidR="00CF45D1">
            <w:rPr>
              <w:noProof/>
              <w:lang w:val="ru-RU"/>
            </w:rPr>
            <w:t>7</w:t>
          </w:r>
        </w:p>
        <w:p w14:paraId="43B132DD" w14:textId="132CFD9A" w:rsidR="00930C9B" w:rsidRPr="00CF45D1"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7" w:history="1">
            <w:r w:rsidR="00930C9B" w:rsidRPr="00C945F7">
              <w:rPr>
                <w:rStyle w:val="afc"/>
                <w:noProof/>
              </w:rPr>
              <w:t>Приложение Б. Алгоритм действий врача</w:t>
            </w:r>
            <w:r w:rsidR="00930C9B">
              <w:rPr>
                <w:noProof/>
                <w:webHidden/>
              </w:rPr>
              <w:tab/>
            </w:r>
            <w:r w:rsidR="00930C9B">
              <w:rPr>
                <w:noProof/>
                <w:webHidden/>
              </w:rPr>
              <w:fldChar w:fldCharType="begin"/>
            </w:r>
            <w:r w:rsidR="00930C9B">
              <w:rPr>
                <w:noProof/>
                <w:webHidden/>
              </w:rPr>
              <w:instrText xml:space="preserve"> PAGEREF _Toc158632237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r w:rsidR="00CF45D1">
            <w:rPr>
              <w:noProof/>
              <w:lang w:val="ru-RU"/>
            </w:rPr>
            <w:t>8</w:t>
          </w:r>
        </w:p>
        <w:p w14:paraId="7FF9256B" w14:textId="52094B24" w:rsidR="00930C9B" w:rsidRPr="00CF45D1"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8" w:history="1">
            <w:r w:rsidR="00930C9B" w:rsidRPr="00C945F7">
              <w:rPr>
                <w:rStyle w:val="afc"/>
                <w:noProof/>
              </w:rPr>
              <w:t>Приложение В. Информация для пациента</w:t>
            </w:r>
            <w:r w:rsidR="00930C9B">
              <w:rPr>
                <w:noProof/>
                <w:webHidden/>
              </w:rPr>
              <w:tab/>
            </w:r>
            <w:r w:rsidR="00930C9B">
              <w:rPr>
                <w:noProof/>
                <w:webHidden/>
              </w:rPr>
              <w:fldChar w:fldCharType="begin"/>
            </w:r>
            <w:r w:rsidR="00930C9B">
              <w:rPr>
                <w:noProof/>
                <w:webHidden/>
              </w:rPr>
              <w:instrText xml:space="preserve"> PAGEREF _Toc158632238 \h </w:instrText>
            </w:r>
            <w:r w:rsidR="00930C9B">
              <w:rPr>
                <w:noProof/>
                <w:webHidden/>
              </w:rPr>
            </w:r>
            <w:r w:rsidR="00930C9B">
              <w:rPr>
                <w:noProof/>
                <w:webHidden/>
              </w:rPr>
              <w:fldChar w:fldCharType="separate"/>
            </w:r>
            <w:r w:rsidR="00930C9B">
              <w:rPr>
                <w:noProof/>
                <w:webHidden/>
              </w:rPr>
              <w:t>7</w:t>
            </w:r>
            <w:r w:rsidR="00930C9B">
              <w:rPr>
                <w:noProof/>
                <w:webHidden/>
              </w:rPr>
              <w:fldChar w:fldCharType="end"/>
            </w:r>
          </w:hyperlink>
          <w:r w:rsidR="00CF45D1">
            <w:rPr>
              <w:noProof/>
              <w:lang w:val="ru-RU"/>
            </w:rPr>
            <w:t>9</w:t>
          </w:r>
        </w:p>
        <w:p w14:paraId="141D719C" w14:textId="40C764D0"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39" w:history="1">
            <w:r w:rsidR="00930C9B" w:rsidRPr="00C945F7">
              <w:rPr>
                <w:rStyle w:val="afc"/>
                <w:noProof/>
              </w:rPr>
              <w:t>Приложение Г1. Шкала оценки тяжести состояния пациента по версии ВОЗ/ECOG[197]</w:t>
            </w:r>
            <w:r w:rsidR="00930C9B">
              <w:rPr>
                <w:noProof/>
                <w:webHidden/>
              </w:rPr>
              <w:tab/>
            </w:r>
            <w:r w:rsidR="00CF45D1">
              <w:rPr>
                <w:noProof/>
                <w:webHidden/>
                <w:lang w:val="ru-RU"/>
              </w:rPr>
              <w:t>80</w:t>
            </w:r>
          </w:hyperlink>
        </w:p>
        <w:p w14:paraId="489C2B56" w14:textId="45F2476E" w:rsidR="00930C9B" w:rsidRDefault="00000000">
          <w:pPr>
            <w:pStyle w:val="12"/>
            <w:rPr>
              <w:rFonts w:asciiTheme="minorHAnsi" w:eastAsiaTheme="minorEastAsia" w:hAnsiTheme="minorHAnsi" w:cstheme="minorBidi"/>
              <w:noProof/>
              <w:kern w:val="2"/>
              <w:sz w:val="22"/>
              <w:szCs w:val="22"/>
              <w:lang w:val="ru-RU"/>
              <w14:ligatures w14:val="standardContextual"/>
            </w:rPr>
          </w:pPr>
          <w:hyperlink w:anchor="_Toc158632240" w:history="1">
            <w:r w:rsidR="00930C9B" w:rsidRPr="00C945F7">
              <w:rPr>
                <w:rStyle w:val="afc"/>
                <w:noProof/>
              </w:rPr>
              <w:t>Приложение Г2. Критерии оценки ответа опухоли на лечение (RECIST 1.1)</w:t>
            </w:r>
            <w:r w:rsidR="00930C9B">
              <w:rPr>
                <w:noProof/>
                <w:webHidden/>
              </w:rPr>
              <w:tab/>
            </w:r>
            <w:r w:rsidR="00CF45D1">
              <w:rPr>
                <w:noProof/>
                <w:webHidden/>
                <w:lang w:val="ru-RU"/>
              </w:rPr>
              <w:t>81</w:t>
            </w:r>
          </w:hyperlink>
        </w:p>
        <w:p w14:paraId="1D566711" w14:textId="2A376EE4" w:rsidR="00C2200F" w:rsidRPr="00A83E0C" w:rsidRDefault="00C15198" w:rsidP="00954BDE">
          <w:pPr>
            <w:pStyle w:val="12"/>
          </w:pPr>
          <w:r w:rsidRPr="00A83E0C">
            <w:rPr>
              <w:b/>
              <w:bCs/>
            </w:rPr>
            <w:fldChar w:fldCharType="end"/>
          </w:r>
        </w:p>
      </w:sdtContent>
    </w:sdt>
    <w:p w14:paraId="16BCC8A0" w14:textId="77777777" w:rsidR="00884409" w:rsidRPr="00A83E0C" w:rsidRDefault="00884409" w:rsidP="000B3A53">
      <w:pPr>
        <w:pStyle w:val="1"/>
      </w:pPr>
      <w:bookmarkStart w:id="0" w:name="_Toc158632208"/>
      <w:r w:rsidRPr="00A83E0C">
        <w:lastRenderedPageBreak/>
        <w:t>Список сокращений</w:t>
      </w:r>
      <w:bookmarkEnd w:id="0"/>
    </w:p>
    <w:p w14:paraId="6369669C" w14:textId="77777777" w:rsidR="005364BF" w:rsidRPr="00A83E0C" w:rsidRDefault="000C3BAB" w:rsidP="00DC7BE7">
      <w:pPr>
        <w:rPr>
          <w:rFonts w:eastAsia="GalsLightC"/>
          <w:lang w:val="ru-RU"/>
        </w:rPr>
      </w:pPr>
      <w:r w:rsidRPr="00A83E0C">
        <w:rPr>
          <w:rFonts w:eastAsia="GalsLightC"/>
          <w:lang w:val="ru-RU"/>
        </w:rPr>
        <w:t>ЖКТ – желудочно-кишечный тракт</w:t>
      </w:r>
    </w:p>
    <w:p w14:paraId="5D924942" w14:textId="77777777" w:rsidR="00D4152C" w:rsidRPr="00A83E0C" w:rsidRDefault="00D4152C" w:rsidP="00DC7BE7">
      <w:pPr>
        <w:rPr>
          <w:rFonts w:eastAsia="GalsLightC"/>
          <w:lang w:val="ru-RU"/>
        </w:rPr>
      </w:pPr>
      <w:r w:rsidRPr="00A83E0C">
        <w:rPr>
          <w:rFonts w:eastAsia="GalsLightC"/>
          <w:lang w:val="ru-RU"/>
        </w:rPr>
        <w:t>КТ – компьютерная томография</w:t>
      </w:r>
    </w:p>
    <w:p w14:paraId="501159F8" w14:textId="77777777" w:rsidR="00D4152C" w:rsidRPr="00A83E0C" w:rsidRDefault="00D4152C" w:rsidP="00DC7BE7">
      <w:pPr>
        <w:rPr>
          <w:rFonts w:eastAsia="GalsLightC"/>
          <w:lang w:val="ru-RU"/>
        </w:rPr>
      </w:pPr>
      <w:r w:rsidRPr="00A83E0C">
        <w:rPr>
          <w:rFonts w:eastAsia="GalsLightC"/>
          <w:lang w:val="ru-RU"/>
        </w:rPr>
        <w:t xml:space="preserve">МРТ </w:t>
      </w:r>
      <w:r w:rsidR="00595B78" w:rsidRPr="00A83E0C">
        <w:rPr>
          <w:rFonts w:eastAsia="GalsLightC"/>
          <w:lang w:val="ru-RU"/>
        </w:rPr>
        <w:t>–</w:t>
      </w:r>
      <w:r w:rsidR="00764A24" w:rsidRPr="00A83E0C">
        <w:rPr>
          <w:rFonts w:eastAsia="GalsLightC"/>
          <w:lang w:val="ru-RU"/>
        </w:rPr>
        <w:t xml:space="preserve"> </w:t>
      </w:r>
      <w:r w:rsidRPr="00A83E0C">
        <w:rPr>
          <w:rFonts w:eastAsia="GalsLightC"/>
          <w:lang w:val="ru-RU"/>
        </w:rPr>
        <w:t>магнит</w:t>
      </w:r>
      <w:r w:rsidR="00595B78" w:rsidRPr="00A83E0C">
        <w:rPr>
          <w:rFonts w:eastAsia="GalsLightC"/>
          <w:lang w:val="ru-RU"/>
        </w:rPr>
        <w:t>н</w:t>
      </w:r>
      <w:r w:rsidRPr="00A83E0C">
        <w:rPr>
          <w:rFonts w:eastAsia="GalsLightC"/>
          <w:lang w:val="ru-RU"/>
        </w:rPr>
        <w:t>о</w:t>
      </w:r>
      <w:r w:rsidR="00595B78" w:rsidRPr="00A83E0C">
        <w:rPr>
          <w:rFonts w:eastAsia="GalsLightC"/>
          <w:lang w:val="ru-RU"/>
        </w:rPr>
        <w:t>-</w:t>
      </w:r>
      <w:r w:rsidRPr="00A83E0C">
        <w:rPr>
          <w:rFonts w:eastAsia="GalsLightC"/>
          <w:lang w:val="ru-RU"/>
        </w:rPr>
        <w:t>резонансная томография</w:t>
      </w:r>
    </w:p>
    <w:p w14:paraId="44B555A3" w14:textId="77777777" w:rsidR="005364BF" w:rsidRPr="00A83E0C" w:rsidRDefault="005364BF" w:rsidP="005364BF">
      <w:pPr>
        <w:rPr>
          <w:rFonts w:eastAsia="GalsLightC"/>
          <w:lang w:val="ru-RU"/>
        </w:rPr>
      </w:pPr>
      <w:r w:rsidRPr="00A83E0C">
        <w:rPr>
          <w:rFonts w:eastAsia="GalsLightC"/>
          <w:lang w:val="ru-RU"/>
        </w:rPr>
        <w:t xml:space="preserve">МСКТ – мультиспиральная компьютерная томография </w:t>
      </w:r>
    </w:p>
    <w:p w14:paraId="7BA3202F" w14:textId="56C149E0" w:rsidR="00D4152C" w:rsidRPr="00A83E0C" w:rsidRDefault="00D4152C" w:rsidP="00FD27C5">
      <w:pPr>
        <w:ind w:left="708" w:firstLine="1"/>
        <w:rPr>
          <w:rFonts w:eastAsia="GalsLightC"/>
          <w:lang w:val="ru-RU"/>
        </w:rPr>
      </w:pPr>
      <w:r w:rsidRPr="00A83E0C">
        <w:rPr>
          <w:rFonts w:eastAsia="GalsLightC"/>
          <w:lang w:val="ru-RU"/>
        </w:rPr>
        <w:t>ПЭТ</w:t>
      </w:r>
      <w:r w:rsidR="00530692">
        <w:rPr>
          <w:rFonts w:eastAsia="GalsLightC"/>
          <w:lang w:val="ru-RU"/>
        </w:rPr>
        <w:t xml:space="preserve">/КТ </w:t>
      </w:r>
      <w:r w:rsidR="00764A24" w:rsidRPr="00A83E0C">
        <w:rPr>
          <w:rFonts w:eastAsia="GalsLightC"/>
          <w:lang w:val="ru-RU"/>
        </w:rPr>
        <w:t xml:space="preserve">- </w:t>
      </w:r>
      <w:r w:rsidR="00FD27C5" w:rsidRPr="00FD27C5">
        <w:rPr>
          <w:rFonts w:eastAsia="GalsLightC"/>
          <w:lang w:val="ru-RU"/>
        </w:rPr>
        <w:t>позитронная эмиссионн</w:t>
      </w:r>
      <w:r w:rsidR="00FD27C5">
        <w:rPr>
          <w:rFonts w:eastAsia="GalsLightC"/>
          <w:lang w:val="ru-RU"/>
        </w:rPr>
        <w:t>ая</w:t>
      </w:r>
      <w:r w:rsidR="00FD27C5" w:rsidRPr="00FD27C5">
        <w:rPr>
          <w:rFonts w:eastAsia="GalsLightC"/>
          <w:lang w:val="ru-RU"/>
        </w:rPr>
        <w:t xml:space="preserve"> томографи</w:t>
      </w:r>
      <w:r w:rsidR="00FD27C5">
        <w:rPr>
          <w:rFonts w:eastAsia="GalsLightC"/>
          <w:lang w:val="ru-RU"/>
        </w:rPr>
        <w:t>я</w:t>
      </w:r>
      <w:r w:rsidR="003B09D5" w:rsidRPr="003B09D5">
        <w:rPr>
          <w:rFonts w:eastAsia="GalsLightC"/>
          <w:lang w:val="ru-RU"/>
        </w:rPr>
        <w:t xml:space="preserve"> </w:t>
      </w:r>
      <w:r w:rsidR="003B09D5" w:rsidRPr="00FD27C5">
        <w:rPr>
          <w:rFonts w:eastAsia="GalsLightC"/>
          <w:lang w:val="ru-RU"/>
        </w:rPr>
        <w:t>с туморотропными РФП</w:t>
      </w:r>
      <w:r w:rsidR="00FD27C5" w:rsidRPr="00FD27C5">
        <w:rPr>
          <w:rFonts w:eastAsia="GalsLightC"/>
          <w:lang w:val="ru-RU"/>
        </w:rPr>
        <w:t>, совмещенн</w:t>
      </w:r>
      <w:r w:rsidR="00FD27C5">
        <w:rPr>
          <w:rFonts w:eastAsia="GalsLightC"/>
          <w:lang w:val="ru-RU"/>
        </w:rPr>
        <w:t>ая</w:t>
      </w:r>
      <w:r w:rsidR="00FD27C5" w:rsidRPr="00FD27C5">
        <w:rPr>
          <w:rFonts w:eastAsia="GalsLightC"/>
          <w:lang w:val="ru-RU"/>
        </w:rPr>
        <w:t xml:space="preserve"> с компьютерной томографией </w:t>
      </w:r>
      <w:r w:rsidR="003B09D5">
        <w:rPr>
          <w:rFonts w:eastAsia="GalsLightC"/>
          <w:lang w:val="ru-RU"/>
        </w:rPr>
        <w:t>и в/в</w:t>
      </w:r>
      <w:r w:rsidR="00FD27C5" w:rsidRPr="00FD27C5">
        <w:rPr>
          <w:rFonts w:eastAsia="GalsLightC"/>
          <w:lang w:val="ru-RU"/>
        </w:rPr>
        <w:t xml:space="preserve"> контрастированием</w:t>
      </w:r>
    </w:p>
    <w:p w14:paraId="3C16A056" w14:textId="77777777" w:rsidR="00F64951" w:rsidRPr="00A83E0C" w:rsidRDefault="00F64951" w:rsidP="00DC7BE7">
      <w:pPr>
        <w:rPr>
          <w:rFonts w:eastAsia="GalsLightC"/>
          <w:lang w:val="ru-RU"/>
        </w:rPr>
      </w:pPr>
      <w:r w:rsidRPr="00A83E0C">
        <w:rPr>
          <w:rFonts w:eastAsia="GalsLightC"/>
          <w:lang w:val="ru-RU"/>
        </w:rPr>
        <w:t xml:space="preserve">УЗИ </w:t>
      </w:r>
      <w:r w:rsidR="00764A24" w:rsidRPr="00A83E0C">
        <w:rPr>
          <w:rFonts w:eastAsia="GalsLightC"/>
          <w:lang w:val="ru-RU"/>
        </w:rPr>
        <w:t xml:space="preserve">- </w:t>
      </w:r>
      <w:r w:rsidRPr="00A83E0C">
        <w:rPr>
          <w:rFonts w:eastAsia="GalsLightC"/>
          <w:lang w:val="ru-RU"/>
        </w:rPr>
        <w:t>ультразвуковое исследование</w:t>
      </w:r>
    </w:p>
    <w:p w14:paraId="4B11E76C" w14:textId="77777777" w:rsidR="000C3BAB" w:rsidRPr="00A83E0C" w:rsidRDefault="007235FD" w:rsidP="00DC7BE7">
      <w:pPr>
        <w:rPr>
          <w:rFonts w:eastAsia="GalsLightC"/>
          <w:lang w:val="ru-RU"/>
        </w:rPr>
      </w:pPr>
      <w:r w:rsidRPr="00A83E0C">
        <w:rPr>
          <w:rFonts w:eastAsia="GalsLightC"/>
          <w:lang w:val="ru-RU"/>
        </w:rPr>
        <w:t>ЧЧХС – чрескожная чреспеченочная холангиостомия</w:t>
      </w:r>
    </w:p>
    <w:p w14:paraId="08E7EE75" w14:textId="77777777" w:rsidR="00AC1487" w:rsidRPr="00A83E0C" w:rsidRDefault="00D4152C" w:rsidP="00DC7BE7">
      <w:pPr>
        <w:rPr>
          <w:rFonts w:eastAsia="GalsLightC"/>
          <w:lang w:val="ru-RU"/>
        </w:rPr>
      </w:pPr>
      <w:r w:rsidRPr="00A83E0C">
        <w:rPr>
          <w:rFonts w:eastAsia="GalsLightC"/>
          <w:lang w:val="ru-RU"/>
        </w:rPr>
        <w:t xml:space="preserve">ЭКГ </w:t>
      </w:r>
      <w:r w:rsidR="00AC1487" w:rsidRPr="00A83E0C">
        <w:rPr>
          <w:rFonts w:eastAsia="GalsLightC"/>
          <w:lang w:val="ru-RU"/>
        </w:rPr>
        <w:t>–</w:t>
      </w:r>
      <w:r w:rsidRPr="00A83E0C">
        <w:rPr>
          <w:rFonts w:eastAsia="GalsLightC"/>
          <w:lang w:val="ru-RU"/>
        </w:rPr>
        <w:t xml:space="preserve"> электрокардиография</w:t>
      </w:r>
    </w:p>
    <w:p w14:paraId="44B3B846" w14:textId="503BF515" w:rsidR="0096153E" w:rsidRPr="00A83E0C" w:rsidRDefault="00B94A3C" w:rsidP="00DC7BE7">
      <w:pPr>
        <w:rPr>
          <w:rFonts w:eastAsia="GalsLightC"/>
          <w:lang w:val="ru-RU"/>
        </w:rPr>
      </w:pPr>
      <w:r w:rsidRPr="00A83E0C">
        <w:rPr>
          <w:rFonts w:eastAsia="GalsLightC"/>
          <w:lang w:val="ru-RU"/>
        </w:rPr>
        <w:t xml:space="preserve">РХПГ – </w:t>
      </w:r>
      <w:r w:rsidR="0096153E" w:rsidRPr="00A83E0C">
        <w:rPr>
          <w:rFonts w:eastAsia="GalsLightC"/>
          <w:lang w:val="ru-RU"/>
        </w:rPr>
        <w:t xml:space="preserve">ретроградная холангиопанкреатография </w:t>
      </w:r>
    </w:p>
    <w:p w14:paraId="3DB130FE" w14:textId="77777777" w:rsidR="00AC1487" w:rsidRPr="00A83E0C" w:rsidRDefault="00B83D0B" w:rsidP="00DC7BE7">
      <w:pPr>
        <w:rPr>
          <w:rFonts w:eastAsia="GalsLightC"/>
          <w:lang w:val="ru-RU"/>
        </w:rPr>
      </w:pPr>
      <w:r w:rsidRPr="00A83E0C">
        <w:rPr>
          <w:rFonts w:eastAsia="GalsLightC"/>
          <w:lang w:val="ru-RU"/>
        </w:rPr>
        <w:t xml:space="preserve">МРХПГ – </w:t>
      </w:r>
      <w:r w:rsidR="00BB785A" w:rsidRPr="00A83E0C">
        <w:rPr>
          <w:rFonts w:eastAsia="GalsLightC"/>
          <w:lang w:val="ru-RU"/>
        </w:rPr>
        <w:t>магнитно</w:t>
      </w:r>
      <w:r w:rsidR="007E2171" w:rsidRPr="00A83E0C">
        <w:rPr>
          <w:rFonts w:eastAsia="GalsLightC"/>
          <w:lang w:val="ru-RU"/>
        </w:rPr>
        <w:t>-</w:t>
      </w:r>
      <w:r w:rsidR="00BB785A" w:rsidRPr="00A83E0C">
        <w:rPr>
          <w:rFonts w:eastAsia="GalsLightC"/>
          <w:lang w:val="ru-RU"/>
        </w:rPr>
        <w:t>резонансная холангиопанкреатография</w:t>
      </w:r>
      <w:r w:rsidR="00AC1487" w:rsidRPr="00A83E0C">
        <w:rPr>
          <w:rFonts w:eastAsia="GalsLightC"/>
          <w:lang w:val="ru-RU"/>
        </w:rPr>
        <w:br w:type="page"/>
      </w:r>
    </w:p>
    <w:p w14:paraId="51B158C3" w14:textId="77777777" w:rsidR="00884409" w:rsidRPr="00A83E0C" w:rsidRDefault="00884409" w:rsidP="000B3A53">
      <w:pPr>
        <w:pStyle w:val="1"/>
      </w:pPr>
      <w:bookmarkStart w:id="1" w:name="_Toc464156818"/>
      <w:bookmarkStart w:id="2" w:name="_Toc158632209"/>
      <w:r w:rsidRPr="00A83E0C">
        <w:lastRenderedPageBreak/>
        <w:t>Термины и определения</w:t>
      </w:r>
      <w:bookmarkEnd w:id="1"/>
      <w:bookmarkEnd w:id="2"/>
    </w:p>
    <w:p w14:paraId="1BA71E8A" w14:textId="77777777" w:rsidR="00FB7E29" w:rsidRPr="00A83E0C" w:rsidRDefault="00FB7E29" w:rsidP="00FB7E29">
      <w:pPr>
        <w:rPr>
          <w:lang w:val="ru-RU"/>
        </w:rPr>
      </w:pPr>
      <w:r w:rsidRPr="00A83E0C">
        <w:t>Pancreatic</w:t>
      </w:r>
      <w:r w:rsidRPr="00A83E0C">
        <w:rPr>
          <w:lang w:val="ru-RU"/>
        </w:rPr>
        <w:t xml:space="preserve"> </w:t>
      </w:r>
      <w:r w:rsidRPr="00A83E0C">
        <w:t>intraductal</w:t>
      </w:r>
      <w:r w:rsidRPr="00A83E0C">
        <w:rPr>
          <w:lang w:val="ru-RU"/>
        </w:rPr>
        <w:t xml:space="preserve"> </w:t>
      </w:r>
      <w:r w:rsidRPr="00A83E0C">
        <w:t>neoplasia</w:t>
      </w:r>
      <w:r w:rsidRPr="00A83E0C">
        <w:rPr>
          <w:lang w:val="ru-RU"/>
        </w:rPr>
        <w:t xml:space="preserve"> (</w:t>
      </w:r>
      <w:r w:rsidRPr="00A83E0C">
        <w:t>PanIN</w:t>
      </w:r>
      <w:r w:rsidRPr="00A83E0C">
        <w:rPr>
          <w:lang w:val="ru-RU"/>
        </w:rPr>
        <w:t xml:space="preserve">) - </w:t>
      </w:r>
      <w:r w:rsidR="008F7299" w:rsidRPr="00A83E0C">
        <w:rPr>
          <w:lang w:val="ru-RU"/>
        </w:rPr>
        <w:t xml:space="preserve">панкреатическая </w:t>
      </w:r>
      <w:r w:rsidRPr="00A83E0C">
        <w:rPr>
          <w:lang w:val="ru-RU"/>
        </w:rPr>
        <w:t>внутриэпителиальная неоплазия</w:t>
      </w:r>
      <w:r w:rsidR="008F7299" w:rsidRPr="00A83E0C">
        <w:rPr>
          <w:lang w:val="ru-RU"/>
        </w:rPr>
        <w:t xml:space="preserve"> (ПанИн)</w:t>
      </w:r>
    </w:p>
    <w:p w14:paraId="754B449C" w14:textId="77777777" w:rsidR="00FB7E29" w:rsidRPr="00A83E0C" w:rsidRDefault="00FB7E29" w:rsidP="00FB7E29">
      <w:pPr>
        <w:rPr>
          <w:lang w:val="ru-RU"/>
        </w:rPr>
      </w:pPr>
      <w:r w:rsidRPr="00A83E0C">
        <w:t>Mucinous</w:t>
      </w:r>
      <w:r w:rsidRPr="00A83E0C">
        <w:rPr>
          <w:lang w:val="ru-RU"/>
        </w:rPr>
        <w:t xml:space="preserve"> </w:t>
      </w:r>
      <w:r w:rsidRPr="00A83E0C">
        <w:t>cystic</w:t>
      </w:r>
      <w:r w:rsidRPr="00A83E0C">
        <w:rPr>
          <w:lang w:val="ru-RU"/>
        </w:rPr>
        <w:t xml:space="preserve"> </w:t>
      </w:r>
      <w:r w:rsidRPr="00A83E0C">
        <w:t>neoplasms</w:t>
      </w:r>
      <w:r w:rsidRPr="00A83E0C">
        <w:rPr>
          <w:lang w:val="ru-RU"/>
        </w:rPr>
        <w:t xml:space="preserve"> (</w:t>
      </w:r>
      <w:r w:rsidRPr="00A83E0C">
        <w:t>MCN</w:t>
      </w:r>
      <w:r w:rsidRPr="00A83E0C">
        <w:rPr>
          <w:lang w:val="ru-RU"/>
        </w:rPr>
        <w:t>) – муцинозная кистозная опухоль</w:t>
      </w:r>
      <w:r w:rsidR="008F7299" w:rsidRPr="00A83E0C">
        <w:rPr>
          <w:lang w:val="ru-RU"/>
        </w:rPr>
        <w:t xml:space="preserve"> (МКО)</w:t>
      </w:r>
    </w:p>
    <w:p w14:paraId="63940284" w14:textId="77777777" w:rsidR="00FB7E29" w:rsidRPr="00A83E0C" w:rsidRDefault="00FB7E29" w:rsidP="00FB7E29">
      <w:pPr>
        <w:rPr>
          <w:lang w:val="ru-RU"/>
        </w:rPr>
      </w:pPr>
      <w:r w:rsidRPr="00A83E0C">
        <w:t>Intraductal</w:t>
      </w:r>
      <w:r w:rsidRPr="00A83E0C">
        <w:rPr>
          <w:lang w:val="ru-RU"/>
        </w:rPr>
        <w:t xml:space="preserve"> </w:t>
      </w:r>
      <w:r w:rsidRPr="00A83E0C">
        <w:t>papillary</w:t>
      </w:r>
      <w:r w:rsidRPr="00A83E0C">
        <w:rPr>
          <w:lang w:val="ru-RU"/>
        </w:rPr>
        <w:t xml:space="preserve"> </w:t>
      </w:r>
      <w:r w:rsidRPr="00A83E0C">
        <w:t>mucinous</w:t>
      </w:r>
      <w:r w:rsidRPr="00A83E0C">
        <w:rPr>
          <w:lang w:val="ru-RU"/>
        </w:rPr>
        <w:t xml:space="preserve"> </w:t>
      </w:r>
      <w:r w:rsidRPr="00A83E0C">
        <w:t>neoplasms</w:t>
      </w:r>
      <w:r w:rsidRPr="00A83E0C">
        <w:rPr>
          <w:lang w:val="ru-RU"/>
        </w:rPr>
        <w:t xml:space="preserve"> (</w:t>
      </w:r>
      <w:r w:rsidRPr="00A83E0C">
        <w:t>IPMNs</w:t>
      </w:r>
      <w:r w:rsidRPr="00A83E0C">
        <w:rPr>
          <w:lang w:val="ru-RU"/>
        </w:rPr>
        <w:t xml:space="preserve">) – внутрипротоковая </w:t>
      </w:r>
      <w:r w:rsidR="008F7299" w:rsidRPr="00A83E0C">
        <w:rPr>
          <w:lang w:val="ru-RU"/>
        </w:rPr>
        <w:t xml:space="preserve">папиллярная </w:t>
      </w:r>
      <w:r w:rsidRPr="00A83E0C">
        <w:rPr>
          <w:lang w:val="ru-RU"/>
        </w:rPr>
        <w:t>муцинозная опухоль</w:t>
      </w:r>
      <w:r w:rsidR="008F7299" w:rsidRPr="00A83E0C">
        <w:rPr>
          <w:lang w:val="ru-RU"/>
        </w:rPr>
        <w:t xml:space="preserve"> (ВПМО)</w:t>
      </w:r>
      <w:r w:rsidRPr="00A83E0C">
        <w:rPr>
          <w:lang w:val="ru-RU"/>
        </w:rPr>
        <w:t>.</w:t>
      </w:r>
    </w:p>
    <w:p w14:paraId="403166E2" w14:textId="77777777" w:rsidR="00AB423C" w:rsidRPr="00A83E0C" w:rsidRDefault="00AB423C" w:rsidP="00AB423C">
      <w:pPr>
        <w:rPr>
          <w:lang w:val="ru-RU"/>
        </w:rPr>
      </w:pPr>
      <w:r w:rsidRPr="00A83E0C">
        <w:t>FOLFIRINOX</w:t>
      </w:r>
      <w:r w:rsidRPr="00A83E0C">
        <w:rPr>
          <w:lang w:val="ru-RU"/>
        </w:rPr>
        <w:t xml:space="preserve"> – режим химиотерапии - </w:t>
      </w:r>
      <w:r w:rsidRPr="00A83E0C">
        <w:rPr>
          <w:iCs/>
          <w:lang w:val="ru-RU"/>
        </w:rPr>
        <w:t>оксалиплатин</w:t>
      </w:r>
      <w:r w:rsidRPr="00A83E0C">
        <w:rPr>
          <w:lang w:val="ru-RU"/>
        </w:rPr>
        <w:t xml:space="preserve">** </w:t>
      </w:r>
      <w:r w:rsidRPr="00A83E0C">
        <w:rPr>
          <w:iCs/>
          <w:lang w:val="ru-RU"/>
        </w:rPr>
        <w:t>иринотекан</w:t>
      </w:r>
      <w:r w:rsidRPr="00A83E0C">
        <w:rPr>
          <w:lang w:val="ru-RU"/>
        </w:rPr>
        <w:t xml:space="preserve">** </w:t>
      </w:r>
      <w:r w:rsidRPr="00A83E0C">
        <w:rPr>
          <w:iCs/>
          <w:lang w:val="ru-RU"/>
        </w:rPr>
        <w:t xml:space="preserve">кальция фолинат </w:t>
      </w:r>
      <w:r w:rsidRPr="00A83E0C">
        <w:rPr>
          <w:lang w:val="ru-RU"/>
        </w:rPr>
        <w:t xml:space="preserve">** </w:t>
      </w:r>
      <w:r w:rsidRPr="00A83E0C">
        <w:rPr>
          <w:iCs/>
          <w:lang w:val="ru-RU"/>
        </w:rPr>
        <w:t>фторурацил</w:t>
      </w:r>
      <w:r w:rsidRPr="00A83E0C">
        <w:rPr>
          <w:lang w:val="ru-RU"/>
        </w:rPr>
        <w:t>**</w:t>
      </w:r>
      <w:r w:rsidR="00FD27C5">
        <w:rPr>
          <w:lang w:val="ru-RU"/>
        </w:rPr>
        <w:t xml:space="preserve"> </w:t>
      </w:r>
      <w:r w:rsidRPr="00A83E0C">
        <w:rPr>
          <w:iCs/>
          <w:lang w:val="ru-RU"/>
        </w:rPr>
        <w:t>фторурацил</w:t>
      </w:r>
      <w:r w:rsidRPr="00A83E0C">
        <w:rPr>
          <w:lang w:val="ru-RU"/>
        </w:rPr>
        <w:t>**</w:t>
      </w:r>
    </w:p>
    <w:p w14:paraId="4244B947" w14:textId="77777777" w:rsidR="00AB423C" w:rsidRPr="00A83E0C" w:rsidRDefault="00AB423C" w:rsidP="00AB423C">
      <w:pPr>
        <w:rPr>
          <w:lang w:val="ru-RU"/>
        </w:rPr>
      </w:pPr>
      <w:r w:rsidRPr="00A83E0C">
        <w:t>mFOLFIRINOX</w:t>
      </w:r>
      <w:r w:rsidRPr="00A83E0C">
        <w:rPr>
          <w:lang w:val="ru-RU"/>
        </w:rPr>
        <w:t xml:space="preserve"> – режим химиотерапии - </w:t>
      </w:r>
      <w:r w:rsidRPr="00A83E0C">
        <w:rPr>
          <w:iCs/>
          <w:lang w:val="ru-RU"/>
        </w:rPr>
        <w:t>оксалиплатин</w:t>
      </w:r>
      <w:r w:rsidRPr="00A83E0C">
        <w:rPr>
          <w:lang w:val="ru-RU"/>
        </w:rPr>
        <w:t xml:space="preserve">** </w:t>
      </w:r>
      <w:r w:rsidRPr="00A83E0C">
        <w:rPr>
          <w:iCs/>
          <w:lang w:val="ru-RU"/>
        </w:rPr>
        <w:t>иринотекан</w:t>
      </w:r>
      <w:r w:rsidRPr="00A83E0C">
        <w:rPr>
          <w:lang w:val="ru-RU"/>
        </w:rPr>
        <w:t xml:space="preserve">** </w:t>
      </w:r>
      <w:r w:rsidRPr="00A83E0C">
        <w:rPr>
          <w:iCs/>
          <w:lang w:val="ru-RU"/>
        </w:rPr>
        <w:t xml:space="preserve">кальция фолинат </w:t>
      </w:r>
      <w:r w:rsidRPr="00A83E0C">
        <w:rPr>
          <w:lang w:val="ru-RU"/>
        </w:rPr>
        <w:t xml:space="preserve">** </w:t>
      </w:r>
      <w:r w:rsidRPr="00A83E0C">
        <w:rPr>
          <w:iCs/>
          <w:lang w:val="ru-RU"/>
        </w:rPr>
        <w:t>фторурацил</w:t>
      </w:r>
      <w:r w:rsidRPr="00A83E0C">
        <w:rPr>
          <w:lang w:val="ru-RU"/>
        </w:rPr>
        <w:t xml:space="preserve">** </w:t>
      </w:r>
    </w:p>
    <w:p w14:paraId="6184B614" w14:textId="77777777" w:rsidR="00AB423C" w:rsidRPr="00A83E0C" w:rsidRDefault="00AB423C" w:rsidP="00AB423C">
      <w:pPr>
        <w:rPr>
          <w:lang w:val="ru-RU"/>
        </w:rPr>
      </w:pPr>
      <w:r w:rsidRPr="00A83E0C">
        <w:t>GEMCAP</w:t>
      </w:r>
      <w:r w:rsidRPr="00A83E0C">
        <w:rPr>
          <w:lang w:val="ru-RU"/>
        </w:rPr>
        <w:t xml:space="preserve"> – режим химиотерапии -  гемцитабин**</w:t>
      </w:r>
      <w:r w:rsidR="00FD27C5">
        <w:rPr>
          <w:lang w:val="ru-RU"/>
        </w:rPr>
        <w:t xml:space="preserve"> </w:t>
      </w:r>
      <w:r w:rsidRPr="00A83E0C">
        <w:rPr>
          <w:lang w:val="ru-RU"/>
        </w:rPr>
        <w:t>капецитабин**</w:t>
      </w:r>
    </w:p>
    <w:p w14:paraId="3B49FC93" w14:textId="77777777" w:rsidR="00AC1487" w:rsidRPr="00A83E0C" w:rsidRDefault="006F2430" w:rsidP="00DC7BE7">
      <w:pPr>
        <w:rPr>
          <w:lang w:val="ru-RU"/>
        </w:rPr>
      </w:pPr>
      <w:r w:rsidRPr="00A83E0C">
        <w:rPr>
          <w:lang w:val="ru-RU"/>
        </w:rPr>
        <w:br w:type="page"/>
      </w:r>
    </w:p>
    <w:p w14:paraId="206B6F0B" w14:textId="77777777" w:rsidR="00884409" w:rsidRPr="00A83E0C" w:rsidRDefault="00884409" w:rsidP="000B3A53">
      <w:pPr>
        <w:pStyle w:val="1"/>
      </w:pPr>
      <w:bookmarkStart w:id="3" w:name="_Toc464156819"/>
      <w:bookmarkStart w:id="4" w:name="_Toc158632210"/>
      <w:r w:rsidRPr="00A83E0C">
        <w:lastRenderedPageBreak/>
        <w:t>1.</w:t>
      </w:r>
      <w:r w:rsidR="00C2200F" w:rsidRPr="00A83E0C">
        <w:t xml:space="preserve"> </w:t>
      </w:r>
      <w:r w:rsidRPr="00A83E0C">
        <w:t>Краткая информация</w:t>
      </w:r>
      <w:bookmarkEnd w:id="3"/>
      <w:r w:rsidR="00F408F8" w:rsidRPr="00A83E0C">
        <w:t xml:space="preserve"> по заболеванию или состоянию (группе заболеваний или состояний)</w:t>
      </w:r>
      <w:bookmarkEnd w:id="4"/>
    </w:p>
    <w:p w14:paraId="548FB217" w14:textId="77777777" w:rsidR="00884409" w:rsidRPr="00A83E0C" w:rsidRDefault="00884409" w:rsidP="00AF1F05">
      <w:pPr>
        <w:pStyle w:val="3"/>
        <w:rPr>
          <w:sz w:val="22"/>
          <w:szCs w:val="22"/>
          <w:lang w:val="ru-RU"/>
        </w:rPr>
      </w:pPr>
      <w:bookmarkStart w:id="5" w:name="_Toc158632211"/>
      <w:r w:rsidRPr="00A83E0C">
        <w:rPr>
          <w:lang w:val="ru-RU"/>
        </w:rPr>
        <w:t xml:space="preserve">1.1 </w:t>
      </w:r>
      <w:r w:rsidR="00AF1F05" w:rsidRPr="00A83E0C">
        <w:rPr>
          <w:lang w:val="ru-RU"/>
        </w:rPr>
        <w:t>Определение</w:t>
      </w:r>
      <w:r w:rsidR="00AF1F05" w:rsidRPr="00B4354D">
        <w:rPr>
          <w:lang w:val="ru-RU"/>
        </w:rPr>
        <w:t xml:space="preserve"> заболевания или состояния</w:t>
      </w:r>
      <w:r w:rsidR="00AF1F05" w:rsidRPr="00A83E0C">
        <w:rPr>
          <w:sz w:val="22"/>
          <w:szCs w:val="22"/>
          <w:lang w:val="ru-RU"/>
        </w:rPr>
        <w:t xml:space="preserve"> </w:t>
      </w:r>
      <w:r w:rsidR="00AF1F05" w:rsidRPr="00A83E0C">
        <w:rPr>
          <w:lang w:val="ru-RU"/>
        </w:rPr>
        <w:t>(группы заболеваний или состояний)</w:t>
      </w:r>
      <w:bookmarkEnd w:id="5"/>
    </w:p>
    <w:p w14:paraId="27B005EE" w14:textId="77777777" w:rsidR="00884409" w:rsidRPr="00A83E0C" w:rsidRDefault="00884287" w:rsidP="00DC7BE7">
      <w:pPr>
        <w:pStyle w:val="af2"/>
        <w:rPr>
          <w:lang w:val="ru-RU"/>
        </w:rPr>
      </w:pPr>
      <w:r w:rsidRPr="00A83E0C">
        <w:rPr>
          <w:b/>
          <w:lang w:val="ru-RU"/>
        </w:rPr>
        <w:t xml:space="preserve">Рак </w:t>
      </w:r>
      <w:r w:rsidR="00DE062F" w:rsidRPr="00A83E0C">
        <w:rPr>
          <w:b/>
          <w:lang w:val="ru-RU"/>
        </w:rPr>
        <w:t>поджелудочной железы</w:t>
      </w:r>
      <w:r w:rsidR="00AC1487" w:rsidRPr="00A83E0C">
        <w:rPr>
          <w:lang w:val="ru-RU"/>
        </w:rPr>
        <w:t xml:space="preserve"> –</w:t>
      </w:r>
      <w:r w:rsidR="00884409" w:rsidRPr="00A83E0C">
        <w:rPr>
          <w:lang w:val="ru-RU"/>
        </w:rPr>
        <w:t xml:space="preserve"> злокачественная опухоль</w:t>
      </w:r>
      <w:r w:rsidR="008D3A53" w:rsidRPr="00A83E0C">
        <w:rPr>
          <w:lang w:val="ru-RU"/>
        </w:rPr>
        <w:t>,</w:t>
      </w:r>
      <w:r w:rsidR="00C24F7A" w:rsidRPr="00A83E0C">
        <w:rPr>
          <w:lang w:val="ru-RU"/>
        </w:rPr>
        <w:t xml:space="preserve"> исходящая из </w:t>
      </w:r>
      <w:r w:rsidR="00DE062F" w:rsidRPr="00A83E0C">
        <w:rPr>
          <w:lang w:val="ru-RU"/>
        </w:rPr>
        <w:t>эпителия поджелудочной железы</w:t>
      </w:r>
      <w:r w:rsidR="00AC1487" w:rsidRPr="00A83E0C">
        <w:rPr>
          <w:lang w:val="ru-RU"/>
        </w:rPr>
        <w:t>.</w:t>
      </w:r>
    </w:p>
    <w:p w14:paraId="26E052AE" w14:textId="77777777" w:rsidR="00487A47" w:rsidRPr="00A83E0C" w:rsidRDefault="00884409" w:rsidP="00DC7BE7">
      <w:pPr>
        <w:pStyle w:val="3"/>
        <w:rPr>
          <w:lang w:val="ru-RU"/>
        </w:rPr>
      </w:pPr>
      <w:bookmarkStart w:id="6" w:name="_Toc158632212"/>
      <w:r w:rsidRPr="00A83E0C">
        <w:rPr>
          <w:lang w:val="ru-RU"/>
        </w:rPr>
        <w:t>1.2 Этиология</w:t>
      </w:r>
      <w:r w:rsidR="00237674" w:rsidRPr="00A83E0C">
        <w:rPr>
          <w:lang w:val="ru-RU"/>
        </w:rPr>
        <w:t xml:space="preserve"> и патогенез</w:t>
      </w:r>
      <w:r w:rsidR="00AF1F05" w:rsidRPr="00A83E0C">
        <w:rPr>
          <w:lang w:val="ru-RU"/>
        </w:rPr>
        <w:t xml:space="preserve"> </w:t>
      </w:r>
      <w:r w:rsidR="00AF1F05" w:rsidRPr="00B4354D">
        <w:rPr>
          <w:lang w:val="ru-RU"/>
        </w:rPr>
        <w:t xml:space="preserve">заболевания или состояния </w:t>
      </w:r>
      <w:r w:rsidR="00AF1F05" w:rsidRPr="00A83E0C">
        <w:rPr>
          <w:lang w:val="ru-RU"/>
        </w:rPr>
        <w:t>(группы заболеваний или состояний)</w:t>
      </w:r>
      <w:bookmarkEnd w:id="6"/>
    </w:p>
    <w:p w14:paraId="06D0A12D" w14:textId="14D28BDD" w:rsidR="00996A3D" w:rsidRPr="00A83E0C" w:rsidRDefault="006C32A6" w:rsidP="00DC7BE7">
      <w:pPr>
        <w:rPr>
          <w:rFonts w:eastAsia="GalsLightC"/>
          <w:lang w:val="ru-RU"/>
        </w:rPr>
      </w:pPr>
      <w:r w:rsidRPr="00A83E0C">
        <w:rPr>
          <w:rFonts w:eastAsia="GalsLightC"/>
          <w:lang w:val="ru-RU"/>
        </w:rPr>
        <w:t xml:space="preserve">У </w:t>
      </w:r>
      <w:r w:rsidR="00487A47" w:rsidRPr="00A83E0C">
        <w:rPr>
          <w:rFonts w:eastAsia="GalsLightC"/>
          <w:lang w:val="ru-RU"/>
        </w:rPr>
        <w:t xml:space="preserve">10 % </w:t>
      </w:r>
      <w:r w:rsidR="00E6788B" w:rsidRPr="00A83E0C">
        <w:rPr>
          <w:rFonts w:eastAsia="GalsLightC"/>
          <w:lang w:val="ru-RU"/>
        </w:rPr>
        <w:t xml:space="preserve">пациентов </w:t>
      </w:r>
      <w:r w:rsidR="00487A47" w:rsidRPr="00A83E0C">
        <w:rPr>
          <w:rFonts w:eastAsia="GalsLightC"/>
          <w:lang w:val="ru-RU"/>
        </w:rPr>
        <w:t xml:space="preserve">раком </w:t>
      </w:r>
      <w:r w:rsidRPr="00A83E0C">
        <w:rPr>
          <w:lang w:val="ru-RU"/>
        </w:rPr>
        <w:t>поджелудочной железы</w:t>
      </w:r>
      <w:r w:rsidRPr="00A83E0C">
        <w:rPr>
          <w:rFonts w:eastAsia="GalsLightC"/>
          <w:lang w:val="ru-RU"/>
        </w:rPr>
        <w:t xml:space="preserve"> </w:t>
      </w:r>
      <w:r w:rsidR="00487A47" w:rsidRPr="00A83E0C">
        <w:rPr>
          <w:rFonts w:eastAsia="GalsLightC"/>
          <w:lang w:val="ru-RU"/>
        </w:rPr>
        <w:t xml:space="preserve">развитие заболевания связано с наличием известных наследственных синдромов. Наиболее распространённые – синдром </w:t>
      </w:r>
      <w:r w:rsidRPr="00A83E0C">
        <w:rPr>
          <w:rFonts w:eastAsia="GalsLightC"/>
          <w:lang w:val="ru-RU"/>
        </w:rPr>
        <w:t xml:space="preserve">Пейтц-Егерса, синдром </w:t>
      </w:r>
      <w:r w:rsidR="00487A47" w:rsidRPr="00A83E0C">
        <w:rPr>
          <w:rFonts w:eastAsia="GalsLightC"/>
          <w:lang w:val="ru-RU"/>
        </w:rPr>
        <w:t xml:space="preserve">Линча и </w:t>
      </w:r>
      <w:r w:rsidRPr="00A83E0C">
        <w:rPr>
          <w:rFonts w:eastAsia="GalsLightC"/>
          <w:lang w:val="ru-RU"/>
        </w:rPr>
        <w:t xml:space="preserve">синдром наследования рака молочной железы и яичников, связанный с мутациями генов </w:t>
      </w:r>
      <w:r w:rsidRPr="00A83E0C">
        <w:rPr>
          <w:rFonts w:eastAsia="GalsLightC"/>
          <w:i/>
        </w:rPr>
        <w:t>BRCA</w:t>
      </w:r>
      <w:r w:rsidR="00C15198" w:rsidRPr="00A83E0C">
        <w:rPr>
          <w:rFonts w:eastAsia="GalsLightC"/>
          <w:i/>
        </w:rPr>
        <w:fldChar w:fldCharType="begin"/>
      </w:r>
      <w:r w:rsidR="006C40F2">
        <w:rPr>
          <w:rFonts w:eastAsia="GalsLightC"/>
          <w:i/>
          <w:lang w:val="ru-RU"/>
        </w:rPr>
        <w:instrText xml:space="preserve"> ADDIN ZOTERO_ITEM CSL_CITATION {"citationID":"v7hCQcGF","properties":{"formattedCitation":"[1]","plainCitation":"[1]","noteIndex":0},"citationItems":[{"id":216,"uris":["http://zotero.org/users/5363772/items/H9V7YQFG",["http://zotero.org/users/5363772/items/H9V7YQFG"]],"itemData":{"id":216,"type":"article-journal","container-title":"Nature Reviews Gastroenterology &amp;Amp; Hepatology","journalAbbreviation":"Nature Reviews Gastroenterology &amp;Amp; Hepatology","page":"699","title":"Epidemiology of pancreatic cancer: an overview","volume":"6","author":[{"family":"Raimondi","given":"Sara"},{"family":"Maisonneuve","given":"Patrick"},{"family":"Lowenfels","given":"Albert B."}],"issued":{"date-parts":[["2009",10,6]]}}}],"schema":"https://github.com/citation-style-language/schema/raw/master/csl-citation.json"} </w:instrText>
      </w:r>
      <w:r w:rsidR="00C15198" w:rsidRPr="00A83E0C">
        <w:rPr>
          <w:rFonts w:eastAsia="GalsLightC"/>
          <w:i/>
        </w:rPr>
        <w:fldChar w:fldCharType="separate"/>
      </w:r>
      <w:r w:rsidR="001E4AC9" w:rsidRPr="001E4AC9">
        <w:rPr>
          <w:lang w:val="ru-RU"/>
        </w:rPr>
        <w:t>[1]</w:t>
      </w:r>
      <w:r w:rsidR="00C15198" w:rsidRPr="00A83E0C">
        <w:rPr>
          <w:rFonts w:eastAsia="GalsLightC"/>
          <w:i/>
        </w:rPr>
        <w:fldChar w:fldCharType="end"/>
      </w:r>
      <w:r w:rsidR="00487A47" w:rsidRPr="00A83E0C">
        <w:rPr>
          <w:rFonts w:eastAsia="GalsLightC"/>
          <w:lang w:val="ru-RU"/>
        </w:rPr>
        <w:t xml:space="preserve">. У </w:t>
      </w:r>
      <w:r w:rsidR="007E72C9" w:rsidRPr="00A83E0C">
        <w:rPr>
          <w:rFonts w:eastAsia="GalsLightC"/>
          <w:lang w:val="ru-RU"/>
        </w:rPr>
        <w:t xml:space="preserve">остальных </w:t>
      </w:r>
      <w:r w:rsidR="00487A47" w:rsidRPr="00A83E0C">
        <w:rPr>
          <w:rFonts w:eastAsia="GalsLightC"/>
          <w:lang w:val="ru-RU"/>
        </w:rPr>
        <w:t xml:space="preserve">пациентов </w:t>
      </w:r>
      <w:r w:rsidR="00884287" w:rsidRPr="00A83E0C">
        <w:rPr>
          <w:rFonts w:eastAsia="GalsLightC"/>
          <w:lang w:val="ru-RU"/>
        </w:rPr>
        <w:t xml:space="preserve">рак </w:t>
      </w:r>
      <w:r w:rsidRPr="00A83E0C">
        <w:rPr>
          <w:lang w:val="ru-RU"/>
        </w:rPr>
        <w:t>поджелудочной железы</w:t>
      </w:r>
      <w:r w:rsidR="00884287" w:rsidRPr="00A83E0C">
        <w:rPr>
          <w:rFonts w:eastAsia="GalsLightC"/>
          <w:lang w:val="ru-RU"/>
        </w:rPr>
        <w:t xml:space="preserve"> </w:t>
      </w:r>
      <w:r w:rsidR="00487A47" w:rsidRPr="00A83E0C">
        <w:rPr>
          <w:rFonts w:eastAsia="GalsLightC"/>
          <w:lang w:val="ru-RU"/>
        </w:rPr>
        <w:t xml:space="preserve">имеет спорадический характер. В качестве факторов риска развития данной патологии рассматриваются: </w:t>
      </w:r>
      <w:r w:rsidRPr="00A83E0C">
        <w:rPr>
          <w:rFonts w:eastAsia="GalsLightC"/>
          <w:lang w:val="ru-RU"/>
        </w:rPr>
        <w:t xml:space="preserve">недостаток витамина Д3, </w:t>
      </w:r>
      <w:r w:rsidR="00DE56DB" w:rsidRPr="00A83E0C">
        <w:rPr>
          <w:rFonts w:eastAsia="GalsLightC"/>
          <w:lang w:val="ru-RU"/>
        </w:rPr>
        <w:t xml:space="preserve">злоупотребление алкоголем, </w:t>
      </w:r>
      <w:r w:rsidRPr="00A83E0C">
        <w:rPr>
          <w:rFonts w:eastAsia="GalsLightC"/>
          <w:lang w:val="ru-RU"/>
        </w:rPr>
        <w:t xml:space="preserve">хронический панкреатит, сахарный диабет, </w:t>
      </w:r>
      <w:r w:rsidR="008D3A53" w:rsidRPr="00A83E0C">
        <w:rPr>
          <w:rFonts w:eastAsia="GalsLightC"/>
          <w:lang w:val="ru-RU"/>
        </w:rPr>
        <w:t>курение, ожирение, низкая физическая активность</w:t>
      </w:r>
      <w:r w:rsidR="00C15198" w:rsidRPr="00A83E0C">
        <w:rPr>
          <w:rFonts w:eastAsia="GalsLightC"/>
          <w:lang w:val="ru-RU"/>
        </w:rPr>
        <w:fldChar w:fldCharType="begin"/>
      </w:r>
      <w:r w:rsidR="006C40F2">
        <w:rPr>
          <w:rFonts w:eastAsia="GalsLightC"/>
          <w:lang w:val="ru-RU"/>
        </w:rPr>
        <w:instrText xml:space="preserve"> ADDIN ZOTERO_ITEM CSL_CITATION {"citationID":"7zw8U0Zf","properties":{"formattedCitation":"[2\\uc0\\u8211{}4]","plainCitation":"[2–4]","noteIndex":0},"citationItems":[{"id":217,"uris":["http://zotero.org/users/5363772/items/2BWMNQCH",["http://zotero.org/users/5363772/items/2BWMNQCH"]],"itemData":{"id":217,"type":"article-journal","abstract":"BACKGROUND: Laboratory studies suggest that vitamin D may inhibit pancreatic cancer cell growth. However, epidemiologic studies of vitamin D and pancreatic cancer risk have been conflicting. METHODS: To determine whether prediagnostic levels of plasma 25-hydroxyvitamin D (25[OH]D; IDS Inc.; enzyme immunoassay) were associated with risk of pancreatic cancer, we conducted a pooled analysis of nested case-control studies with 451 cases and 1,167 controls from five cohorts through 2008. Median follow-up among controls was 14.1 years in Health Professionals Follow-Up Study (HPFS), 18.3 years in Nurses' Health Study (NHS), 25.3 years in Physicians' Health Study (PHS), 12.2 years in Women's Health Initiative-Observational Study (WHI), and 14.4 years in Women's Health Study (WHS). Logistic regression was used to compare the odds of pancreatic cancer by plasma level of 25(OH)D. RESULTS: Mean plasma 25(OH)D was lower in cases versus controls (61.3 vs. 64.5 nmol/L, P = 0.005). In logistic regression models, plasma 25(OH)D was inversely associated with odds of pancreatic cancer. Participants in quintiles two through five had multivariable-adjusted ORs (95% confidence intervals) of 0.79 (0.56-1.10), 0.75 (0.53-1.06), 0.68 (0.48-0.97), and 0.67 (0.46-0.97; P(trend) = 0.03), respectively, compared with the bottom quintile. Compared with those with insufficient levels [25[OH]D, &lt;50 nmol/L], ORs were 0.75 (0.58-0.98) for subjects with relative insufficiency [25[OH]D, 50 to &lt;75 nmol/L] and 0.71 (0.52-0.97) for those with sufficient levels [25[OH]D, ≥ 75 nmol/L]. No increased risk was noted in subjects with 25(OH)D ≥100 nmol/L, as suggested in a prior study. In subgroup analyses, ORs for the top versus bottom quartile of 25(OH)D were 0.72 (0.48-1.08) for women, 0.73 (0.40-1.31) for men, and 0.73 (0.51-1.03) for Whites. CONCLUSIONS: Among participants in five large prospective cohorts, higher plasma levels of 25(OH)D were associated with a lower risk for pancreatic cancer. IMPACT: Low circulating 25(OH)D may predispose individuals to the development of pancreatic cancer.","archive":"PubMed","archive_location":"22086883","container-title":"Cancer epidemiology, biomarkers &amp; prevention : a publication of the American Association for Cancer Research, cosponsored by the American Society of Preventive Oncology","DOI":"10.1158/1055-9965.EPI-11-0836","ISSN":"1538-7755","issue":"1","journalAbbreviation":"Cancer Epidemiol Biomarkers Prev","language":"eng","page":"82-91","title":"Plasma 25-hydroxyvitamin D and risk of pancreatic cancer","volume":"21","author":[{"family":"Wolpin","given":"Brian M"},{"family":"Ng","given":"Kimmie"},{"family":"Bao","given":"Ying"},{"family":"Kraft","given":"Peter"},{"family":"Stampfer","given":"Meir J"},{"family":"Michaud","given":"Dominique S"},{"family":"Ma","given":"Jing"},{"family":"Buring","given":"Julie E"},{"family":"Sesso","given":"Howard D"},{"family":"Lee","given":"I-Min"},{"family":"Rifai","given":"Nader"},{"family":"Cochrane","given":"Barbara B"},{"family":"Wactawski-Wende","given":"Jean"},{"family":"Chlebowski","given":"Rowan T"},{"family":"Willett","given":"Walter C"},{"family":"Manson","given":"JoAnn E"},{"family":"Giovannucci","given":"Edward L"},{"family":"Fuchs","given":"Charles S"}],"issued":{"date-parts":[["2012",1]]}}},{"id":219,"uris":["http://zotero.org/users/5363772/items/NE8I7GUU",["http://zotero.org/users/5363772/items/NE8I7GUU"]],"itemData":{"id":219,"type":"article-journal","abstract":"BACKGROUND: Pancreatitis is a known risk factor for pancreatic cancer; however, an unknown fraction of the disease is thought to be a consequence of tumor-related duct obstruction. PATIENTS AND METHODS: A pooled analysis of a history of pancreatitis and risk of pancreatic cancer was carried out considering the time interval between diagnoses and potential modification by covariates. Adjusted pooled odds ratios (ORs) and 95% confidence intervals (CIs) were estimated from 10 case-control studies (5048 cases of ductal pancreatic adenocarcinoma and 10,947 controls) taking part in the International Pancreatic Cancer Case-Control Consortium (PanC4). RESULTS: The association between pancreatitis and pancreatic cancer was nearly three-fold at intervals of &gt;2 years between diagnoses (OR: 2.71, 95% CI: 1.96-3.74) and much stronger at intervals of ≤2 years (OR: 13.56, 95% CI: 8.72-21.90) probably reflecting a combination of reverse causation and antecedent misdiagnosis of pancreas cancer as pancreatitis. The younger (&lt;65 years) pancreatic cancer cases showed stronger associations with previous (&gt;2 years) pancreatitis (OR: 3.91, 95% CI: 2.53-6.04) than the older (≥65 years) cases (OR: 1.68, 95% CI: 1.02-2.76; P value for interaction: 0.006). CONCLUSIONS: Despite a moderately strong association between pancreatitis (diagnosed before &gt;2 years) and pancreatic cancer, the population attributable fraction was estimated at 1.34% (95% CI: 0.612-2.07%), suggesting that a relatively small proportion of pancreatic cancer might be avoided if pancreatitis could be prevented.","archive":"PubMed","archive_location":"22767586","container-title":"Annals of oncology : official journal of the European Society for Medical Oncology","DOI":"10.1093/annonc/mds140","ISSN":"1569-8041","issue":"11","journalAbbreviation":"Ann Oncol","language":"eng","page":"2964-2970","title":"Pancreatitis and pancreatic cancer risk: a pooled analysis in the International Pancreatic Cancer Case-Control Consortium (PanC4)","volume":"23","author":[{"family":"Duell","given":"E J"},{"family":"Lucenteforte","given":"E"},{"family":"Olson","given":"S H"},{"family":"Bracci","given":"P M"},{"family":"Li","given":"D"},{"family":"Risch","given":"H A"},{"family":"Silverman","given":"D T"},{"family":"Ji","given":"B T"},{"family":"Gallinger","given":"S"},{"family":"Holly","given":"E A"},{"family":"Fontham","given":"E H"},{"family":"Maisonneuve","given":"P"},{"family":"Bueno-de-Mesquita","given":"H B"},{"family":"Ghadirian","given":"P"},{"family":"Kurtz","given":"R C"},{"family":"Ludwig","given":"E"},{"family":"Yu","given":"H"},{"family":"Lowenfels","given":"A B"},{"family":"Seminara","given":"D"},{"family":"Petersen","given":"G M"},{"family":"La Vecchia","given":"C"},{"family":"Boffetta","given":"P"}],"issued":{"date-parts":[["2012",11]]}}},{"id":221,"uris":["http://zotero.org/users/5363772/items/IAHQ5LYU",["http://zotero.org/users/5363772/items/IAHQ5LYU"]],"itemData":{"id":221,"type":"article-journal","abstract":"The results from prospective cohort studies of prediabetes (impaired fasting glucose and/or impaired glucose tolerance) and risk of cancer are controversial. We conducted a meta-analysis to evaluate the risk of cancer in association with impaired fasting glucose and impaired glucose tolerance.","container-title":"Diabetologia","DOI":"10.1007/s00125-014-3361-2","ISSN":"1432-0428","issue":"11","journalAbbreviation":"Diabetologia","page":"2261-2269","title":"Prediabetes and the risk of cancer: a meta-analysis","volume":"57","author":[{"family":"Huang","given":"Yi"},{"family":"Cai","given":"Xiaoyan"},{"family":"Qiu","given":"Miaozhen"},{"family":"Chen","given":"Peisong"},{"family":"Tang","given":"Hongfeng"},{"family":"Hu","given":"Yunzhao"},{"family":"Huang","given":"Yuli"}],"issued":{"date-parts":[["2014",11,1]]}}}],"schema":"https://github.com/citation-style-language/schema/raw/master/csl-citation.json"} </w:instrText>
      </w:r>
      <w:r w:rsidR="00C15198" w:rsidRPr="00A83E0C">
        <w:rPr>
          <w:rFonts w:eastAsia="GalsLightC"/>
          <w:lang w:val="ru-RU"/>
        </w:rPr>
        <w:fldChar w:fldCharType="separate"/>
      </w:r>
      <w:r w:rsidR="001E4AC9" w:rsidRPr="001E4AC9">
        <w:rPr>
          <w:lang w:val="ru-RU"/>
        </w:rPr>
        <w:t>[2–4]</w:t>
      </w:r>
      <w:r w:rsidR="00C15198" w:rsidRPr="00A83E0C">
        <w:rPr>
          <w:rFonts w:eastAsia="GalsLightC"/>
          <w:lang w:val="ru-RU"/>
        </w:rPr>
        <w:fldChar w:fldCharType="end"/>
      </w:r>
      <w:r w:rsidR="008D3A53" w:rsidRPr="00A83E0C">
        <w:rPr>
          <w:rFonts w:eastAsia="GalsLightC"/>
          <w:lang w:val="ru-RU"/>
        </w:rPr>
        <w:t>.</w:t>
      </w:r>
    </w:p>
    <w:p w14:paraId="0CC3E529" w14:textId="3EBF9D41" w:rsidR="006849F7" w:rsidRPr="00A83E0C" w:rsidRDefault="006849F7" w:rsidP="008F7299">
      <w:pPr>
        <w:rPr>
          <w:rFonts w:eastAsia="GalsLightC"/>
          <w:lang w:val="ru-RU"/>
        </w:rPr>
      </w:pPr>
      <w:r w:rsidRPr="00A83E0C">
        <w:rPr>
          <w:rFonts w:eastAsia="GalsLightC"/>
          <w:lang w:val="ru-RU"/>
        </w:rPr>
        <w:t>Патогенез рака поджелудочной железы делится на три последовательных стадии. Стадия инициации опухоли заключается в возникновении первой драйверной мутации. Клональное распространение и стадия метастазирования являются, соответственно, второй и третьей стадиями в патогенезе данного заболевания</w:t>
      </w:r>
      <w:r w:rsidR="00C15198" w:rsidRPr="00A83E0C">
        <w:rPr>
          <w:rFonts w:eastAsia="GalsLightC"/>
          <w:lang w:val="ru-RU"/>
        </w:rPr>
        <w:fldChar w:fldCharType="begin"/>
      </w:r>
      <w:r w:rsidR="006C40F2">
        <w:rPr>
          <w:rFonts w:eastAsia="GalsLightC"/>
          <w:lang w:val="ru-RU"/>
        </w:rPr>
        <w:instrText xml:space="preserve"> ADDIN ZOTERO_ITEM CSL_CITATION {"citationID":"CPrO7BfJ","properties":{"formattedCitation":"[5]","plainCitation":"[5]","noteIndex":0},"citationItems":[{"id":222,"uris":["http://zotero.org/users/5363772/items/PIIX5CXW",["http://zotero.org/users/5363772/items/PIIX5CXW"]],"itemData":{"id":222,"type":"article-journal","abstract":"Cancer is an evolutionary disease, containing the hallmarks of an asexually reproducing unicellular organism subject to evolutionary paradigms. Pancreatic ductal adenocarcinoma (hereafter referred to as pancreatic cancer) is a particularly robust example of this phenomenon. Genomic features indicate that pancreatic cancer cells are selected for fitness advantages when encountering the geographic and resource-depleted constraints of the microenvironment. Phenotypic adaptations to these pressures help disseminated cells to survive in secondary sites, a major clinical problem for patients with this disease. In this Review we gather the wide-ranging aspects of pancreatic cancer research into a single concept rooted in Darwinian evolution, with the goal of identifying novel insights and opportunities for study.","archive":"PubMed","archive_location":"27444064","container-title":"Nature reviews. Cancer","DOI":"10.1038/nrc.2016.66","ISSN":"1474-1768","issue":"9","journalAbbreviation":"Nat Rev Cancer","language":"eng","page":"553-565","title":"Pancreatic cancer biology and genetics from an evolutionary perspective","volume":"16","author":[{"family":"Makohon-Moore","given":"Alvin"},{"family":"Iacobuzio-Donahue","given":"Christine A"}],"issued":{"date-parts":[["2016",9]]}}}],"schema":"https://github.com/citation-style-language/schema/raw/master/csl-citation.json"} </w:instrText>
      </w:r>
      <w:r w:rsidR="00C15198" w:rsidRPr="00A83E0C">
        <w:rPr>
          <w:rFonts w:eastAsia="GalsLightC"/>
          <w:lang w:val="ru-RU"/>
        </w:rPr>
        <w:fldChar w:fldCharType="separate"/>
      </w:r>
      <w:r w:rsidR="001E4AC9" w:rsidRPr="001E4AC9">
        <w:rPr>
          <w:lang w:val="ru-RU"/>
        </w:rPr>
        <w:t>[5]</w:t>
      </w:r>
      <w:r w:rsidR="00C15198" w:rsidRPr="00A83E0C">
        <w:rPr>
          <w:rFonts w:eastAsia="GalsLightC"/>
          <w:lang w:val="ru-RU"/>
        </w:rPr>
        <w:fldChar w:fldCharType="end"/>
      </w:r>
      <w:r w:rsidRPr="00A83E0C">
        <w:rPr>
          <w:rFonts w:eastAsia="GalsLightC"/>
          <w:lang w:val="ru-RU"/>
        </w:rPr>
        <w:t>. Однако накапливаются сведения, что процесс метастазирования может быть не завершающей стадией канц</w:t>
      </w:r>
      <w:r w:rsidR="006B34C4">
        <w:rPr>
          <w:rFonts w:eastAsia="GalsLightC"/>
          <w:lang w:val="ru-RU"/>
        </w:rPr>
        <w:t>е</w:t>
      </w:r>
      <w:r w:rsidRPr="00A83E0C">
        <w:rPr>
          <w:rFonts w:eastAsia="GalsLightC"/>
          <w:lang w:val="ru-RU"/>
        </w:rPr>
        <w:t>рогенеза</w:t>
      </w:r>
      <w:r w:rsidR="00C15198" w:rsidRPr="00A83E0C">
        <w:rPr>
          <w:rFonts w:eastAsia="GalsLightC"/>
          <w:lang w:val="ru-RU"/>
        </w:rPr>
        <w:fldChar w:fldCharType="begin"/>
      </w:r>
      <w:r w:rsidR="006C40F2">
        <w:rPr>
          <w:rFonts w:eastAsia="GalsLightC"/>
          <w:lang w:val="ru-RU"/>
        </w:rPr>
        <w:instrText xml:space="preserve"> ADDIN ZOTERO_ITEM CSL_CITATION {"citationID":"XbZG8ouh","properties":{"formattedCitation":"[6]","plainCitation":"[6]","noteIndex":0},"citationItems":[{"id":213,"uris":["http://zotero.org/users/5363772/items/76DCYCCI",["http://zotero.org/users/5363772/items/76DCYCCI"]],"itemData":{"id":213,"type":"article-journal","abstract":"Exocrine cancer of pancreas is the fourth leading cause of death in the USA among both men and women. Contrast enhanced multidetector-row computer tomography (MDCT) is the current modality of choice for the detection of distant metastasis in pancreatic cancer as a part of pre-operative workup, which helps decide on resectability. Authors present a first ever reported case of an incidental liver metastasis found on intra-operative wedge hepatic biopsy during Whipple’s procedure for pancreatic cancer. This pancreatic cancer was initially thought to be resectable based on MDCT staging per guidelines. The case highlights the importance of diagnostic staging laparoscopy and neoadjuvant chemotherapy before resecting pancreatic adenocarcinoma.","container-title":"Journal of Surgical Case Reports","DOI":"10.1093/jscr/rjz084","ISSN":"2042-8812","issue":"3","journalAbbreviation":"Journal of Surgical Case Reports","title":"Incidental liver metastasis in pancreatic adenocarcinoma","URL":"https://doi.org/10.1093/jscr/rjz084","volume":"2019","author":[{"family":"Pandit","given":"Sudha"},{"family":"Samant","given":"Hrishikesh"},{"family":"Kohli","given":"Kapil"},{"family":"Shokouh-Amiri","given":"Hosein M"},{"family":"Wellman","given":"Gregory"},{"family":"Zibari","given":"Gazi B"}],"accessed":{"date-parts":[["2019",10,9]]},"issued":{"date-parts":[["2019",3,29]]}}}],"schema":"https://github.com/citation-style-language/schema/raw/master/csl-citation.json"} </w:instrText>
      </w:r>
      <w:r w:rsidR="00C15198" w:rsidRPr="00A83E0C">
        <w:rPr>
          <w:rFonts w:eastAsia="GalsLightC"/>
          <w:lang w:val="ru-RU"/>
        </w:rPr>
        <w:fldChar w:fldCharType="separate"/>
      </w:r>
      <w:r w:rsidR="001E4AC9" w:rsidRPr="001E4AC9">
        <w:rPr>
          <w:lang w:val="ru-RU"/>
        </w:rPr>
        <w:t>[6]</w:t>
      </w:r>
      <w:r w:rsidR="00C15198" w:rsidRPr="00A83E0C">
        <w:rPr>
          <w:rFonts w:eastAsia="GalsLightC"/>
          <w:lang w:val="ru-RU"/>
        </w:rPr>
        <w:fldChar w:fldCharType="end"/>
      </w:r>
      <w:r w:rsidR="008870DE" w:rsidRPr="00A83E0C">
        <w:rPr>
          <w:rFonts w:eastAsia="GalsLightC"/>
          <w:lang w:val="ru-RU"/>
        </w:rPr>
        <w:t xml:space="preserve">. </w:t>
      </w:r>
      <w:r w:rsidRPr="00A83E0C">
        <w:rPr>
          <w:rFonts w:eastAsia="GalsLightC"/>
          <w:lang w:val="ru-RU"/>
        </w:rPr>
        <w:t>Опухолевые клетки приобретают способность метастазировать на относительно ранних этапах канцерогенеза и продолжают эволюционировать независимо от первичной опухоли в отдаленных органах</w:t>
      </w:r>
      <w:r w:rsidR="00C15198" w:rsidRPr="00A83E0C">
        <w:rPr>
          <w:rFonts w:eastAsia="GalsLightC"/>
          <w:lang w:val="ru-RU"/>
        </w:rPr>
        <w:fldChar w:fldCharType="begin"/>
      </w:r>
      <w:r w:rsidR="006C40F2">
        <w:rPr>
          <w:rFonts w:eastAsia="GalsLightC"/>
          <w:lang w:val="ru-RU"/>
        </w:rPr>
        <w:instrText xml:space="preserve"> ADDIN ZOTERO_ITEM CSL_CITATION {"citationID":"zPSgqWLZ","properties":{"formattedCitation":"[7]","plainCitation":"[7]","noteIndex":0},"citationItems":[{"id":224,"uris":["http://zotero.org/users/5363772/items/TN6G6KNQ",["http://zotero.org/users/5363772/items/TN6G6KNQ"]],"itemData":{"id":224,"type":"article-journal","abstract":"Pancreatic cancer is known for its propensity to metastasize. Recent studies have challenged the commonly held belief that pancreatic cancer is a stepwise process, where tumor cells disseminate late in primary tumor development. Instead it has been suggested that pancreatic tumor cells may disseminate early and develop independently and in parallel to the primary tumor. Circulating tumor cells can be found in most patients with pancreatic cancer, even in those with localized stage. Also, recent phylogenetic analyses have revealed evidence for a branched evolution where metastatic lineages can develop early in tumor development. In this Review, we discuss current models of pancreatic cancer progression and the importance of the tumor microenvironment, in order to better understand the recalcitrant nature of this disease.","archive":"PubMed","archive_location":"29464100","container-title":"Oncotarget","DOI":"10.18632/oncotarget.24019","ISSN":"1949-2553","issue":"5","journalAbbreviation":"Oncotarget","language":"eng","page":"6644-6651","title":"Pancreatic cancer: disease dynamics, tumor biology and the role of the microenvironment","volume":"9","author":[{"family":"Ansari","given":"Daniel"},{"family":"Friess","given":"Helmut"},{"family":"Bauden","given":"Monika"},{"family":"Samnegård","given":"Johan"},{"family":"Andersson","given":"Roland"}],"issued":{"date-parts":[["2018",1,6]]}}}],"schema":"https://github.com/citation-style-language/schema/raw/master/csl-citation.json"} </w:instrText>
      </w:r>
      <w:r w:rsidR="00C15198" w:rsidRPr="00A83E0C">
        <w:rPr>
          <w:rFonts w:eastAsia="GalsLightC"/>
          <w:lang w:val="ru-RU"/>
        </w:rPr>
        <w:fldChar w:fldCharType="separate"/>
      </w:r>
      <w:r w:rsidR="001E4AC9" w:rsidRPr="001E4AC9">
        <w:rPr>
          <w:lang w:val="ru-RU"/>
        </w:rPr>
        <w:t>[7]</w:t>
      </w:r>
      <w:r w:rsidR="00C15198" w:rsidRPr="00A83E0C">
        <w:rPr>
          <w:rFonts w:eastAsia="GalsLightC"/>
          <w:lang w:val="ru-RU"/>
        </w:rPr>
        <w:fldChar w:fldCharType="end"/>
      </w:r>
      <w:r w:rsidR="007A40B8" w:rsidRPr="00A83E0C">
        <w:rPr>
          <w:rFonts w:eastAsia="GalsLightC"/>
          <w:lang w:val="ru-RU"/>
        </w:rPr>
        <w:t>.</w:t>
      </w:r>
    </w:p>
    <w:p w14:paraId="523B1702" w14:textId="6368B295" w:rsidR="00FC29AA" w:rsidRPr="00A83E0C" w:rsidRDefault="006849F7" w:rsidP="006849F7">
      <w:pPr>
        <w:rPr>
          <w:lang w:val="ru-RU"/>
        </w:rPr>
      </w:pPr>
      <w:r w:rsidRPr="00A83E0C">
        <w:rPr>
          <w:lang w:val="ru-RU"/>
        </w:rPr>
        <w:t xml:space="preserve">К предраковым заболеваниям относятся </w:t>
      </w:r>
      <w:r w:rsidR="008F7299" w:rsidRPr="00A83E0C">
        <w:rPr>
          <w:lang w:val="ru-RU"/>
        </w:rPr>
        <w:t xml:space="preserve">панкреатические </w:t>
      </w:r>
      <w:r w:rsidRPr="00A83E0C">
        <w:rPr>
          <w:lang w:val="ru-RU"/>
        </w:rPr>
        <w:t>внутриэпителиальные неоплазии (</w:t>
      </w:r>
      <w:r w:rsidR="008F7299" w:rsidRPr="00A83E0C">
        <w:rPr>
          <w:lang w:val="ru-RU"/>
        </w:rPr>
        <w:t xml:space="preserve">ПанИн, </w:t>
      </w:r>
      <w:r w:rsidRPr="00A83E0C">
        <w:rPr>
          <w:lang w:val="ru-RU"/>
        </w:rPr>
        <w:t xml:space="preserve">PanIN), внутрипротоковые </w:t>
      </w:r>
      <w:r w:rsidR="008F7299" w:rsidRPr="00A83E0C">
        <w:rPr>
          <w:lang w:val="ru-RU"/>
        </w:rPr>
        <w:t xml:space="preserve">папиллярные </w:t>
      </w:r>
      <w:r w:rsidRPr="00A83E0C">
        <w:rPr>
          <w:lang w:val="ru-RU"/>
        </w:rPr>
        <w:t xml:space="preserve">муцинозные </w:t>
      </w:r>
      <w:r w:rsidR="008F7299" w:rsidRPr="00A83E0C">
        <w:rPr>
          <w:lang w:val="ru-RU"/>
        </w:rPr>
        <w:t xml:space="preserve">опухоли </w:t>
      </w:r>
      <w:r w:rsidRPr="00A83E0C">
        <w:rPr>
          <w:lang w:val="ru-RU"/>
        </w:rPr>
        <w:t>(</w:t>
      </w:r>
      <w:r w:rsidR="008F7299" w:rsidRPr="00A83E0C">
        <w:rPr>
          <w:lang w:val="ru-RU"/>
        </w:rPr>
        <w:t xml:space="preserve">ВПМО, </w:t>
      </w:r>
      <w:r w:rsidRPr="00A83E0C">
        <w:rPr>
          <w:lang w:val="ru-RU"/>
        </w:rPr>
        <w:t>IPMN) и муцинозные кистозные опухоли</w:t>
      </w:r>
      <w:r w:rsidR="008F7299" w:rsidRPr="00A83E0C">
        <w:rPr>
          <w:lang w:val="ru-RU"/>
        </w:rPr>
        <w:t xml:space="preserve"> (МКО)</w:t>
      </w:r>
      <w:r w:rsidRPr="00A83E0C">
        <w:rPr>
          <w:lang w:val="ru-RU"/>
        </w:rPr>
        <w:t xml:space="preserve">. В процессе злокачественной трансформации эпителия поджелудочной железы происходит накопление мутаций ключевых генов. Чаще всего инициальной является мутация в гене </w:t>
      </w:r>
      <w:r w:rsidRPr="00A83E0C">
        <w:rPr>
          <w:i/>
          <w:lang w:val="ru-RU"/>
        </w:rPr>
        <w:t>KRAS</w:t>
      </w:r>
      <w:r w:rsidRPr="00A83E0C">
        <w:rPr>
          <w:lang w:val="ru-RU"/>
        </w:rPr>
        <w:t xml:space="preserve">. Далее появляются мутации в генах </w:t>
      </w:r>
      <w:r w:rsidRPr="00A83E0C">
        <w:rPr>
          <w:i/>
          <w:lang w:val="ru-RU"/>
        </w:rPr>
        <w:t>CDKN2</w:t>
      </w:r>
      <w:r w:rsidR="006C40F2">
        <w:rPr>
          <w:i/>
          <w:lang w:val="ru-RU"/>
        </w:rPr>
        <w:t>А</w:t>
      </w:r>
      <w:r w:rsidRPr="00A83E0C">
        <w:rPr>
          <w:i/>
          <w:lang w:val="ru-RU"/>
        </w:rPr>
        <w:t>, TP53, SMAD4/DPC4</w:t>
      </w:r>
      <w:r w:rsidRPr="00A83E0C">
        <w:rPr>
          <w:lang w:val="ru-RU"/>
        </w:rPr>
        <w:t xml:space="preserve"> </w:t>
      </w:r>
      <w:r w:rsidR="00F34478" w:rsidRPr="00A83E0C">
        <w:rPr>
          <w:lang w:val="ru-RU"/>
        </w:rPr>
        <w:t>и</w:t>
      </w:r>
      <w:r w:rsidRPr="00A83E0C">
        <w:rPr>
          <w:lang w:val="ru-RU"/>
        </w:rPr>
        <w:t xml:space="preserve"> </w:t>
      </w:r>
      <w:r w:rsidRPr="00A83E0C">
        <w:rPr>
          <w:i/>
          <w:lang w:val="ru-RU"/>
        </w:rPr>
        <w:t>BRCA2</w:t>
      </w:r>
      <w:r w:rsidRPr="00A83E0C">
        <w:rPr>
          <w:lang w:val="ru-RU"/>
        </w:rPr>
        <w:t>, которые определяют путь предраковых образований от легкой дисплазии до инвазивного рака. Значительную роль в опухолевой прогрессии играют компоненты стромы и микроРНК</w:t>
      </w:r>
      <w:r w:rsidR="00C15198" w:rsidRPr="00A83E0C">
        <w:rPr>
          <w:lang w:val="ru-RU"/>
        </w:rPr>
        <w:fldChar w:fldCharType="begin"/>
      </w:r>
      <w:r w:rsidR="006C40F2">
        <w:rPr>
          <w:lang w:val="ru-RU"/>
        </w:rPr>
        <w:instrText xml:space="preserve"> ADDIN ZOTERO_ITEM CSL_CITATION {"citationID":"9uzFK6U2","properties":{"formattedCitation":"[8]","plainCitation":"[8]","noteIndex":0},"citationItems":[{"id":226,"uris":["http://zotero.org/users/5363772/items/E43NLQI2",["http://zotero.org/users/5363772/items/E43NLQI2"]],"itemData":{"id":226,"type":"article-journal","abstract":"Pancreatic cancer (PC) continues to rank among the most lethal cancers. The consistent increase in incidence and mortality has made it the seventh leading cause of cancer-associated deaths globally and the third in the United States. The biggest challenge in combating PC is our insufficient understanding of the molecular mechanism(s) underlying its complex biology. Studies during the last several years have helped identify several putative factors and events, both genetic and epigenetic, as well as some deregulated signaling pathways, with implications in PC onset and progression. In this review article, we make an effort to summarize our current understanding of molecular and cellular events involved in the pathogenesis of pancreatic malignancy. Specifically, we provide up-to-date information on the genetic and epigenetic changes that occur during the initiation and progression of PC and their functional involvement in the pathogenic processes. We also discuss the impact of the tumor microenvironment on the molecular landscape of PC and its role in aggressive disease progression. It is envisioned that a better understanding of these molecular factors and the mechanisms of their actions can help unravel novel diagnostic and prognostic biomarkers and can also be exploited for future targeted therapies.","archive":"PubMed","archive_location":"28383487","container-title":"International journal of molecular sciences","DOI":"10.3390/ijms18040779","ISSN":"1422-0067","issue":"4","journalAbbreviation":"Int J Mol Sci","language":"eng","page":"779","title":"Molecular Drivers of Pancreatic Cancer Pathogenesis: Looking Inward to Move Forward","volume":"18","author":[{"family":"Khan","given":"Mohammad Aslam Aslam"},{"family":"Azim","given":"Shafquat"},{"family":"Zubair","given":"Haseeb"},{"family":"Bhardwaj","given":"Arun"},{"family":"Patel","given":"Girijesh Kumar"},{"family":"Khushman","given":"Moh'd"},{"family":"Singh","given":"Seema"},{"family":"Singh","given":"Ajay Pratap"}],"issued":{"date-parts":[["2017",4,6]]}}}],"schema":"https://github.com/citation-style-language/schema/raw/master/csl-citation.json"} </w:instrText>
      </w:r>
      <w:r w:rsidR="00C15198" w:rsidRPr="00A83E0C">
        <w:rPr>
          <w:lang w:val="ru-RU"/>
        </w:rPr>
        <w:fldChar w:fldCharType="separate"/>
      </w:r>
      <w:r w:rsidR="001E4AC9" w:rsidRPr="001E4AC9">
        <w:rPr>
          <w:lang w:val="ru-RU"/>
        </w:rPr>
        <w:t>[8]</w:t>
      </w:r>
      <w:r w:rsidR="00C15198" w:rsidRPr="00A83E0C">
        <w:rPr>
          <w:lang w:val="ru-RU"/>
        </w:rPr>
        <w:fldChar w:fldCharType="end"/>
      </w:r>
      <w:r w:rsidRPr="00A83E0C">
        <w:rPr>
          <w:lang w:val="ru-RU"/>
        </w:rPr>
        <w:t>.</w:t>
      </w:r>
    </w:p>
    <w:p w14:paraId="3FEE7BA6" w14:textId="77777777" w:rsidR="00884409" w:rsidRPr="00A83E0C" w:rsidRDefault="00884409" w:rsidP="00DC7BE7">
      <w:pPr>
        <w:pStyle w:val="3"/>
        <w:rPr>
          <w:lang w:val="ru-RU"/>
        </w:rPr>
      </w:pPr>
      <w:bookmarkStart w:id="7" w:name="_Toc158632213"/>
      <w:r w:rsidRPr="00A83E0C">
        <w:rPr>
          <w:lang w:val="ru-RU"/>
        </w:rPr>
        <w:lastRenderedPageBreak/>
        <w:t>1.3 Эпидемиология</w:t>
      </w:r>
      <w:r w:rsidR="00AF1F05" w:rsidRPr="00A83E0C">
        <w:rPr>
          <w:lang w:val="ru-RU"/>
        </w:rPr>
        <w:t xml:space="preserve"> заболевания или состояния (группы заболеваний или состояний)</w:t>
      </w:r>
      <w:bookmarkEnd w:id="7"/>
    </w:p>
    <w:p w14:paraId="3B0A5391" w14:textId="61F747FE" w:rsidR="00852DF2" w:rsidRDefault="00A7410A" w:rsidP="00DC7BE7">
      <w:pPr>
        <w:rPr>
          <w:lang w:val="ru-RU"/>
        </w:rPr>
      </w:pPr>
      <w:r w:rsidRPr="00A83E0C">
        <w:rPr>
          <w:lang w:val="ru-RU"/>
        </w:rPr>
        <w:t>Протоковая аденокарцинома с</w:t>
      </w:r>
      <w:r w:rsidR="00852DF2" w:rsidRPr="00A83E0C">
        <w:rPr>
          <w:lang w:val="ru-RU"/>
        </w:rPr>
        <w:t xml:space="preserve"> её более редкими микроскопическими варианта</w:t>
      </w:r>
      <w:r w:rsidR="00B85916" w:rsidRPr="00A83E0C">
        <w:rPr>
          <w:lang w:val="ru-RU"/>
        </w:rPr>
        <w:t xml:space="preserve">ми составляет приблизительно </w:t>
      </w:r>
      <w:r w:rsidR="006C40F2">
        <w:rPr>
          <w:lang w:val="ru-RU"/>
        </w:rPr>
        <w:t>85-</w:t>
      </w:r>
      <w:r w:rsidR="00B85916" w:rsidRPr="00A83E0C">
        <w:rPr>
          <w:lang w:val="ru-RU"/>
        </w:rPr>
        <w:t>95</w:t>
      </w:r>
      <w:r w:rsidR="00852DF2" w:rsidRPr="00A83E0C">
        <w:rPr>
          <w:lang w:val="ru-RU"/>
        </w:rPr>
        <w:t>% всех экзокринных новообразований поджелудочной железы. Поэтому данные о заболеваемости и смертности от рака поджелудочной железы фактически отражают таковые при протоковой аденокарциноме.</w:t>
      </w:r>
    </w:p>
    <w:p w14:paraId="72EEEA46" w14:textId="015DD04D" w:rsidR="006C40F2" w:rsidRPr="004E104D" w:rsidRDefault="006C40F2" w:rsidP="006C40F2">
      <w:pPr>
        <w:rPr>
          <w:lang w:val="ru-RU"/>
        </w:rPr>
      </w:pPr>
      <w:r w:rsidRPr="004E104D">
        <w:rPr>
          <w:lang w:val="ru-RU"/>
        </w:rPr>
        <w:t xml:space="preserve">В структуре онкологических заболеваний населения России в 2021 году рак поджелудочной железы составил 3,5% среди мужчин и 3,1% среди женщин. Суммарно в 2021 году выявлено 13845 новых случаев заболевания. Показатель заболеваемости раком поджелудочной железы в России в 2021 году составил 6,8 на 100 тысяч населения. Прирост показателей заболеваемости раком поджелудочной железы за предшествующие 10 лет составил 15% </w:t>
      </w:r>
      <w:r w:rsidRPr="00036DD8">
        <w:fldChar w:fldCharType="begin"/>
      </w:r>
      <w:r w:rsidRPr="00036DD8">
        <w:rPr>
          <w:lang w:val="ru-RU"/>
        </w:rPr>
        <w:instrText xml:space="preserve"> ADDIN ZOTERO_ITEM CSL_CITATION {"citationID":"b5lL0uI7","properties":{"formattedCitation":"[9,10]","plainCitation":"[9,10]","noteIndex":0},"citationItems":[{"id":1237,"uris":["http://zotero.org/users/5363772/items/ELXE92B2",["http://zotero.org/users/5363772/items/ELXE92B2"]],"itemData":{"id":1237,"type":"book","edition":"М.: МНИОИ им. П.А. Герцена − филиал ФГБУ «НМИЦ радиологии» Минздрава России","event-place":"Москва","ISBN":"978-5-85502-275-9","language":"ru","publisher-place":"Москва","source":"Zotero","title":"Состояние онкологической помощи населению России в 2021 году","author":[{"family":"Каприн","given":"А.Д."}],"issued":{"date-parts":[["2022"]]}}},{"id":1239,"uris":["http://zotero.org/users/5363772/items/RXXCT6ZS",["http://zotero.org/users/5363772/items/RXXCT6ZS"]],"itemData":{"id":1239,"type":"book","edition":"М.: МНИОИ им. П.А. Герцена − филиал ФГБУ «НМИЦ радиологии» Минздрава России","event-place":"Москва","ISBN":"978-5-85502-280-3","number-of-pages":"252","publisher-place":"Москва","title":"Злокачественные новообразования в России в 2021 году (заболеваемость и смертность)","author":[{"family":"Каприн","given":"Андрей Дмитриевич"}],"issued":{"date-parts":[["2022"]]}}}],"schema":"https://github.com/citation-style-language/schema/raw/master/csl-citation.json"} </w:instrText>
      </w:r>
      <w:r w:rsidRPr="00036DD8">
        <w:fldChar w:fldCharType="separate"/>
      </w:r>
      <w:r w:rsidRPr="00036DD8">
        <w:rPr>
          <w:lang w:val="ru-RU"/>
        </w:rPr>
        <w:t>[9,10]</w:t>
      </w:r>
      <w:r w:rsidRPr="00036DD8">
        <w:fldChar w:fldCharType="end"/>
      </w:r>
      <w:r w:rsidRPr="004E104D">
        <w:rPr>
          <w:lang w:val="ru-RU"/>
        </w:rPr>
        <w:t>. Средний возраст заболевших мужчин – 65 лет, женщин – 70 лет.</w:t>
      </w:r>
    </w:p>
    <w:p w14:paraId="529E682E" w14:textId="71A92486" w:rsidR="006C40F2" w:rsidRPr="004E104D" w:rsidRDefault="006C40F2" w:rsidP="006C40F2">
      <w:pPr>
        <w:rPr>
          <w:lang w:val="ru-RU"/>
        </w:rPr>
      </w:pPr>
      <w:r w:rsidRPr="004E104D">
        <w:rPr>
          <w:lang w:val="ru-RU"/>
        </w:rPr>
        <w:t xml:space="preserve">Неизменным за последнее время остается позднее выявление данной патологии: в 58% случаев заболевание выявлено на </w:t>
      </w:r>
      <w:r w:rsidRPr="00036DD8">
        <w:t>IV</w:t>
      </w:r>
      <w:r w:rsidRPr="004E104D">
        <w:rPr>
          <w:lang w:val="ru-RU"/>
        </w:rPr>
        <w:t xml:space="preserve"> стадии, т.е. при наличии отдаленных метастазов. На долю </w:t>
      </w:r>
      <w:r w:rsidRPr="00036DD8">
        <w:t>I</w:t>
      </w:r>
      <w:r w:rsidRPr="004E104D">
        <w:rPr>
          <w:lang w:val="ru-RU"/>
        </w:rPr>
        <w:t>-</w:t>
      </w:r>
      <w:r w:rsidRPr="00036DD8">
        <w:t>II</w:t>
      </w:r>
      <w:r w:rsidRPr="004E104D">
        <w:rPr>
          <w:lang w:val="ru-RU"/>
        </w:rPr>
        <w:t xml:space="preserve"> стадии приходится только 23% выявляемых случаев. В итоге одногодичная летальность составила 65%, что является одним из наихудших показателей среди всех злокачественных новообразований</w:t>
      </w:r>
      <w:r w:rsidRPr="00036DD8">
        <w:rPr>
          <w:lang w:val="ru-RU"/>
        </w:rPr>
        <w:fldChar w:fldCharType="begin"/>
      </w:r>
      <w:r w:rsidRPr="00036DD8">
        <w:rPr>
          <w:lang w:val="ru-RU"/>
        </w:rPr>
        <w:instrText xml:space="preserve"> ADDIN ZOTERO_ITEM CSL_CITATION {"citationID":"Exf7J2Kx","properties":{"formattedCitation":"[10]","plainCitation":"[10]","noteIndex":0},"citationItems":[{"id":1239,"uris":["http://zotero.org/users/5363772/items/RXXCT6ZS",["http://zotero.org/users/5363772/items/RXXCT6ZS"]],"itemData":{"id":1239,"type":"book","edition":"М.: МНИОИ им. П.А. Герцена − филиал ФГБУ «НМИЦ радиологии» Минздрава России","event-place":"Москва","ISBN":"978-5-85502-280-3","number-of-pages":"252","publisher-place":"Москва","title":"Злокачественные новообразования в России в 2021 году (заболеваемость и смертность)","author":[{"family":"Каприн","given":"Андрей Дмитриевич"}],"issued":{"date-parts":[["2022"]]}}}],"schema":"https://github.com/citation-style-language/schema/raw/master/csl-citation.json"} </w:instrText>
      </w:r>
      <w:r w:rsidRPr="00036DD8">
        <w:rPr>
          <w:lang w:val="ru-RU"/>
        </w:rPr>
        <w:fldChar w:fldCharType="separate"/>
      </w:r>
      <w:r w:rsidRPr="004E104D">
        <w:rPr>
          <w:lang w:val="ru-RU"/>
        </w:rPr>
        <w:t>[10]</w:t>
      </w:r>
      <w:r w:rsidRPr="00036DD8">
        <w:rPr>
          <w:lang w:val="ru-RU"/>
        </w:rPr>
        <w:fldChar w:fldCharType="end"/>
      </w:r>
      <w:r w:rsidRPr="004E104D">
        <w:rPr>
          <w:lang w:val="ru-RU"/>
        </w:rPr>
        <w:t xml:space="preserve">. </w:t>
      </w:r>
    </w:p>
    <w:p w14:paraId="220F8F8B" w14:textId="77777777" w:rsidR="006C40F2" w:rsidRPr="004E104D" w:rsidRDefault="006C40F2" w:rsidP="006C40F2">
      <w:pPr>
        <w:rPr>
          <w:lang w:val="ru-RU"/>
        </w:rPr>
      </w:pPr>
      <w:r w:rsidRPr="004E104D">
        <w:rPr>
          <w:lang w:val="ru-RU"/>
        </w:rPr>
        <w:t xml:space="preserve">В структуре смертности от онкологических заболеваний в России в 2021 году рак поджелудочной железы составил 6,6%, что соответствует 5-му месту, после рака лёгкого, желудка, ободочной кишки и молочной железы. Средний возраст умерших от рака поджелудочной железы мужчин – 65 лет, женщин – 71 год. </w:t>
      </w:r>
    </w:p>
    <w:p w14:paraId="4A029160" w14:textId="0216F3F1" w:rsidR="006C40F2" w:rsidRPr="004E104D" w:rsidRDefault="006C40F2" w:rsidP="006C40F2">
      <w:pPr>
        <w:rPr>
          <w:lang w:val="ru-RU"/>
        </w:rPr>
      </w:pPr>
      <w:r w:rsidRPr="004E104D">
        <w:rPr>
          <w:lang w:val="ru-RU"/>
        </w:rPr>
        <w:t xml:space="preserve">Эпидемиологическая ситуация в </w:t>
      </w:r>
      <w:r w:rsidR="00AE38A7">
        <w:rPr>
          <w:lang w:val="ru-RU"/>
        </w:rPr>
        <w:t>м</w:t>
      </w:r>
      <w:r w:rsidRPr="004E104D">
        <w:rPr>
          <w:lang w:val="ru-RU"/>
        </w:rPr>
        <w:t>ире в целом схожа. Стандартизованные показатели заболеваемости в Европе и Северной Америке составляют 7,6-7,7 на 100 тысяч населения. В США ожидается, что к 2030 году смертность от РПЖ выйдет на второе место в структуре смертности от всех злокачественных новообразований</w:t>
      </w:r>
      <w:r w:rsidRPr="00036DD8">
        <w:fldChar w:fldCharType="begin"/>
      </w:r>
      <w:r w:rsidRPr="00036DD8">
        <w:rPr>
          <w:lang w:val="ru-RU"/>
        </w:rPr>
        <w:instrText xml:space="preserve"> ADDIN ZOTERO_ITEM CSL_CITATION {"citationID":"B1yZBHjx","properties":{"formattedCitation":"[11]","plainCitation":"[11]","noteIndex":0},"citationItems":[{"id":1242,"uris":["http://zotero.org/users/5363772/items/4YDPRH2H",["http://zotero.org/users/5363772/items/4YDPRH2H"]],"itemData":{"id":1242,"type":"article-journal","container-title":"World Journal of Oncology","DOI":"10.14740/wjon1166","ISSN":"1920-4531, 1920-454X","issue":"1","journalAbbreviation":"World J Oncol","language":"en","page":"10-27","source":"DOI.org (Crossref)","title":"Epidemiology of Pancreatic Cancer: Global Trends, Etiology and Risk Factors","title-short":"Epidemiology of Pancreatic Cancer","volume":"10","author":[{"family":"Rawla","given":"Prashanth"},{"family":"Sunkara","given":"Tagore"},{"family":"Gaduputi","given":"Vinaya"}],"issued":{"date-parts":[["2019"]]}}}],"schema":"https://github.com/citation-style-language/schema/raw/master/csl-citation.json"} </w:instrText>
      </w:r>
      <w:r w:rsidRPr="00036DD8">
        <w:fldChar w:fldCharType="separate"/>
      </w:r>
      <w:r w:rsidRPr="00036DD8">
        <w:rPr>
          <w:lang w:val="ru-RU"/>
        </w:rPr>
        <w:t>[11]</w:t>
      </w:r>
      <w:r w:rsidRPr="00036DD8">
        <w:fldChar w:fldCharType="end"/>
      </w:r>
      <w:r w:rsidRPr="004E104D">
        <w:rPr>
          <w:lang w:val="ru-RU"/>
        </w:rPr>
        <w:t xml:space="preserve">. </w:t>
      </w:r>
    </w:p>
    <w:p w14:paraId="4F2AF6ED" w14:textId="77777777" w:rsidR="00884409" w:rsidRPr="00A83E0C" w:rsidRDefault="00884409" w:rsidP="00DC7BE7">
      <w:pPr>
        <w:pStyle w:val="3"/>
        <w:rPr>
          <w:lang w:val="ru-RU"/>
        </w:rPr>
      </w:pPr>
      <w:bookmarkStart w:id="8" w:name="_Toc158632214"/>
      <w:r w:rsidRPr="00A83E0C">
        <w:rPr>
          <w:lang w:val="ru-RU"/>
        </w:rPr>
        <w:t xml:space="preserve">1.4 </w:t>
      </w:r>
      <w:r w:rsidR="00AF1F05" w:rsidRPr="00A83E0C">
        <w:rPr>
          <w:lang w:val="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8"/>
    </w:p>
    <w:p w14:paraId="3E4FBEA2" w14:textId="77777777" w:rsidR="00AC1487" w:rsidRPr="00A83E0C" w:rsidRDefault="00996A3D" w:rsidP="00DC7BE7">
      <w:pPr>
        <w:rPr>
          <w:lang w:val="ru-RU"/>
        </w:rPr>
      </w:pPr>
      <w:r w:rsidRPr="00A83E0C">
        <w:rPr>
          <w:lang w:val="ru-RU"/>
        </w:rPr>
        <w:t xml:space="preserve">Злокачественное новообразование </w:t>
      </w:r>
      <w:r w:rsidR="005D7903" w:rsidRPr="00A83E0C">
        <w:rPr>
          <w:lang w:val="ru-RU"/>
        </w:rPr>
        <w:t xml:space="preserve">поджелудочной железы </w:t>
      </w:r>
      <w:r w:rsidR="00AC1487" w:rsidRPr="00A83E0C">
        <w:rPr>
          <w:lang w:val="ru-RU"/>
        </w:rPr>
        <w:t>(С</w:t>
      </w:r>
      <w:r w:rsidR="005D7903" w:rsidRPr="00A83E0C">
        <w:rPr>
          <w:lang w:val="ru-RU"/>
        </w:rPr>
        <w:t>25</w:t>
      </w:r>
      <w:r w:rsidR="00AC1487" w:rsidRPr="00A83E0C">
        <w:rPr>
          <w:lang w:val="ru-RU"/>
        </w:rPr>
        <w:t>):</w:t>
      </w:r>
    </w:p>
    <w:p w14:paraId="14513335" w14:textId="77777777" w:rsidR="005D7903" w:rsidRPr="00A83E0C" w:rsidRDefault="0067710D" w:rsidP="00DC7BE7">
      <w:pPr>
        <w:rPr>
          <w:lang w:val="ru-RU"/>
        </w:rPr>
      </w:pPr>
      <w:r w:rsidRPr="00A83E0C">
        <w:rPr>
          <w:lang w:val="ru-RU"/>
        </w:rPr>
        <w:t>С</w:t>
      </w:r>
      <w:r w:rsidR="005D7903" w:rsidRPr="00A83E0C">
        <w:rPr>
          <w:lang w:val="ru-RU"/>
        </w:rPr>
        <w:t xml:space="preserve">25.0 </w:t>
      </w:r>
      <w:r w:rsidRPr="00A83E0C">
        <w:rPr>
          <w:lang w:val="ru-RU"/>
        </w:rPr>
        <w:t>Г</w:t>
      </w:r>
      <w:r w:rsidR="005D7903" w:rsidRPr="00A83E0C">
        <w:rPr>
          <w:lang w:val="ru-RU"/>
        </w:rPr>
        <w:t>оловки поджелудочной железы</w:t>
      </w:r>
    </w:p>
    <w:p w14:paraId="0A263061" w14:textId="77777777" w:rsidR="005D7903" w:rsidRPr="00A83E0C" w:rsidRDefault="005D7903" w:rsidP="00DC7BE7">
      <w:pPr>
        <w:rPr>
          <w:lang w:val="ru-RU"/>
        </w:rPr>
      </w:pPr>
      <w:r w:rsidRPr="00A83E0C">
        <w:t>C</w:t>
      </w:r>
      <w:r w:rsidRPr="00A83E0C">
        <w:rPr>
          <w:lang w:val="ru-RU"/>
        </w:rPr>
        <w:t xml:space="preserve">25.1 </w:t>
      </w:r>
      <w:r w:rsidR="0067710D" w:rsidRPr="00A83E0C">
        <w:rPr>
          <w:lang w:val="ru-RU"/>
        </w:rPr>
        <w:t>Т</w:t>
      </w:r>
      <w:r w:rsidRPr="00A83E0C">
        <w:rPr>
          <w:lang w:val="ru-RU"/>
        </w:rPr>
        <w:t>ела поджелудочной железы</w:t>
      </w:r>
    </w:p>
    <w:p w14:paraId="761AAE96" w14:textId="77777777" w:rsidR="005D7903" w:rsidRPr="00A83E0C" w:rsidRDefault="005D7903" w:rsidP="00DC7BE7">
      <w:pPr>
        <w:rPr>
          <w:lang w:val="ru-RU"/>
        </w:rPr>
      </w:pPr>
      <w:r w:rsidRPr="00A83E0C">
        <w:t>C</w:t>
      </w:r>
      <w:r w:rsidRPr="00A83E0C">
        <w:rPr>
          <w:lang w:val="ru-RU"/>
        </w:rPr>
        <w:t xml:space="preserve">25.2 </w:t>
      </w:r>
      <w:r w:rsidR="0067710D" w:rsidRPr="00A83E0C">
        <w:rPr>
          <w:lang w:val="ru-RU"/>
        </w:rPr>
        <w:t>Х</w:t>
      </w:r>
      <w:r w:rsidRPr="00A83E0C">
        <w:rPr>
          <w:lang w:val="ru-RU"/>
        </w:rPr>
        <w:t>воста поджелудочной железы</w:t>
      </w:r>
    </w:p>
    <w:p w14:paraId="78A896EB" w14:textId="77777777" w:rsidR="005D7903" w:rsidRPr="00A83E0C" w:rsidRDefault="005D7903" w:rsidP="00DC7BE7">
      <w:pPr>
        <w:rPr>
          <w:lang w:val="ru-RU"/>
        </w:rPr>
      </w:pPr>
      <w:r w:rsidRPr="00A83E0C">
        <w:t>C</w:t>
      </w:r>
      <w:r w:rsidRPr="00A83E0C">
        <w:rPr>
          <w:lang w:val="ru-RU"/>
        </w:rPr>
        <w:t xml:space="preserve">25.3 </w:t>
      </w:r>
      <w:r w:rsidR="0067710D" w:rsidRPr="00A83E0C">
        <w:rPr>
          <w:lang w:val="ru-RU"/>
        </w:rPr>
        <w:t>П</w:t>
      </w:r>
      <w:r w:rsidRPr="00A83E0C">
        <w:rPr>
          <w:lang w:val="ru-RU"/>
        </w:rPr>
        <w:t>ротока поджелудочной железы</w:t>
      </w:r>
    </w:p>
    <w:p w14:paraId="76B29AE5" w14:textId="77777777" w:rsidR="005D7903" w:rsidRPr="00A83E0C" w:rsidRDefault="005D7903" w:rsidP="00DC7BE7">
      <w:pPr>
        <w:rPr>
          <w:lang w:val="ru-RU"/>
        </w:rPr>
      </w:pPr>
      <w:r w:rsidRPr="00A83E0C">
        <w:lastRenderedPageBreak/>
        <w:t>C</w:t>
      </w:r>
      <w:r w:rsidRPr="00A83E0C">
        <w:rPr>
          <w:lang w:val="ru-RU"/>
        </w:rPr>
        <w:t>25.4 Островковых клеток поджелудочной железы</w:t>
      </w:r>
    </w:p>
    <w:p w14:paraId="3CED4831" w14:textId="77777777" w:rsidR="005D7903" w:rsidRPr="00A83E0C" w:rsidRDefault="005D7903" w:rsidP="00DC7BE7">
      <w:pPr>
        <w:rPr>
          <w:lang w:val="ru-RU"/>
        </w:rPr>
      </w:pPr>
      <w:r w:rsidRPr="00A83E0C">
        <w:t>C</w:t>
      </w:r>
      <w:r w:rsidRPr="00A83E0C">
        <w:rPr>
          <w:lang w:val="ru-RU"/>
        </w:rPr>
        <w:t xml:space="preserve">25.7 Других частей поджелудочной железы </w:t>
      </w:r>
    </w:p>
    <w:p w14:paraId="75F74329" w14:textId="77777777" w:rsidR="005D7903" w:rsidRPr="00A83E0C" w:rsidRDefault="005D7903" w:rsidP="00DC7BE7">
      <w:pPr>
        <w:rPr>
          <w:lang w:val="ru-RU"/>
        </w:rPr>
      </w:pPr>
      <w:r w:rsidRPr="00A83E0C">
        <w:t>C</w:t>
      </w:r>
      <w:r w:rsidRPr="00A83E0C">
        <w:rPr>
          <w:lang w:val="ru-RU"/>
        </w:rPr>
        <w:t>25.8 Поражение поджелудочной железы, выходящее за пределы одной и более вышеуказанных локализаций</w:t>
      </w:r>
    </w:p>
    <w:p w14:paraId="29D8610D" w14:textId="77777777" w:rsidR="005D7903" w:rsidRPr="00A83E0C" w:rsidRDefault="005D7903" w:rsidP="00DC7BE7">
      <w:pPr>
        <w:rPr>
          <w:lang w:val="ru-RU"/>
        </w:rPr>
      </w:pPr>
      <w:r w:rsidRPr="00A83E0C">
        <w:t>C</w:t>
      </w:r>
      <w:r w:rsidRPr="00A83E0C">
        <w:rPr>
          <w:lang w:val="ru-RU"/>
        </w:rPr>
        <w:t>25.9 Поджелудочной железы неуточненное</w:t>
      </w:r>
    </w:p>
    <w:p w14:paraId="6D0FEB97" w14:textId="77777777" w:rsidR="00996A3D" w:rsidRPr="00A83E0C" w:rsidRDefault="00996A3D" w:rsidP="00DC7BE7">
      <w:pPr>
        <w:pStyle w:val="3"/>
        <w:rPr>
          <w:lang w:val="ru-RU"/>
        </w:rPr>
      </w:pPr>
      <w:bookmarkStart w:id="9" w:name="_Toc158632215"/>
      <w:r w:rsidRPr="00A83E0C">
        <w:rPr>
          <w:lang w:val="ru-RU"/>
        </w:rPr>
        <w:t xml:space="preserve">1.5 </w:t>
      </w:r>
      <w:r w:rsidR="00AF1F05" w:rsidRPr="00A83E0C">
        <w:rPr>
          <w:lang w:val="ru-RU"/>
        </w:rPr>
        <w:t>Классификация заболевания или состояния (группы заболеваний или состояний)</w:t>
      </w:r>
      <w:bookmarkEnd w:id="9"/>
    </w:p>
    <w:p w14:paraId="16CDDEB8" w14:textId="66A27231" w:rsidR="00996A3D" w:rsidRPr="00A83E0C" w:rsidRDefault="007A40B8" w:rsidP="00DC7BE7">
      <w:pPr>
        <w:rPr>
          <w:b/>
          <w:lang w:val="ru-RU"/>
        </w:rPr>
      </w:pPr>
      <w:r w:rsidRPr="00A83E0C">
        <w:rPr>
          <w:b/>
          <w:lang w:val="ru-RU"/>
        </w:rPr>
        <w:t>1.5.1 Международная гистологическая классификация (</w:t>
      </w:r>
      <w:r w:rsidR="000938AD" w:rsidRPr="000938AD">
        <w:rPr>
          <w:b/>
          <w:lang w:val="ru-RU"/>
        </w:rPr>
        <w:t>Международной классификации – онкология (МКБ-О)</w:t>
      </w:r>
      <w:r w:rsidR="000938AD">
        <w:rPr>
          <w:b/>
          <w:lang w:val="ru-RU"/>
        </w:rPr>
        <w:t xml:space="preserve"> </w:t>
      </w:r>
      <w:r w:rsidR="000938AD" w:rsidRPr="00ED26E1">
        <w:rPr>
          <w:b/>
          <w:lang w:val="ru-RU"/>
        </w:rPr>
        <w:t>[</w:t>
      </w:r>
      <w:r w:rsidR="000938AD">
        <w:rPr>
          <w:b/>
          <w:lang w:val="ru-RU"/>
        </w:rPr>
        <w:t>199</w:t>
      </w:r>
      <w:r w:rsidR="000938AD" w:rsidRPr="00ED26E1">
        <w:rPr>
          <w:b/>
          <w:lang w:val="ru-RU"/>
        </w:rPr>
        <w:t>]</w:t>
      </w:r>
      <w:r w:rsidRPr="00A83E0C">
        <w:rPr>
          <w:b/>
          <w:lang w:val="ru-RU"/>
        </w:rPr>
        <w:t>)</w:t>
      </w:r>
    </w:p>
    <w:p w14:paraId="1511A9BB" w14:textId="77777777" w:rsidR="00ED26E1" w:rsidRPr="00ED26E1" w:rsidRDefault="00ED26E1" w:rsidP="00ED26E1">
      <w:pPr>
        <w:rPr>
          <w:b/>
          <w:lang w:val="ru-RU"/>
        </w:rPr>
      </w:pPr>
      <w:r w:rsidRPr="00ED26E1">
        <w:rPr>
          <w:b/>
          <w:lang w:val="ru-RU"/>
        </w:rPr>
        <w:t xml:space="preserve">Доброкачественные и предраковые эпителиальные опухоли </w:t>
      </w:r>
    </w:p>
    <w:p w14:paraId="61A91B1C" w14:textId="77777777" w:rsidR="00ED26E1" w:rsidRPr="00ED26E1" w:rsidRDefault="00ED26E1" w:rsidP="00ED26E1">
      <w:pPr>
        <w:rPr>
          <w:lang w:val="ru-RU"/>
        </w:rPr>
      </w:pPr>
      <w:r w:rsidRPr="00ED26E1">
        <w:rPr>
          <w:lang w:val="ru-RU"/>
        </w:rPr>
        <w:t>8441/0  Серозная цистаденома</w:t>
      </w:r>
    </w:p>
    <w:p w14:paraId="2F81F982" w14:textId="77777777" w:rsidR="00ED26E1" w:rsidRPr="00ED26E1" w:rsidRDefault="00ED26E1" w:rsidP="00ED26E1">
      <w:pPr>
        <w:rPr>
          <w:lang w:val="ru-RU"/>
        </w:rPr>
      </w:pPr>
      <w:r w:rsidRPr="00ED26E1">
        <w:rPr>
          <w:lang w:val="ru-RU"/>
        </w:rPr>
        <w:t xml:space="preserve">8148/0 Железистая интраэпителиальная неоплазия </w:t>
      </w:r>
      <w:r w:rsidRPr="00ED26E1">
        <w:t>low</w:t>
      </w:r>
      <w:r w:rsidRPr="00ED26E1">
        <w:rPr>
          <w:lang w:val="ru-RU"/>
        </w:rPr>
        <w:t xml:space="preserve"> </w:t>
      </w:r>
      <w:r w:rsidRPr="00ED26E1">
        <w:t>grade</w:t>
      </w:r>
    </w:p>
    <w:p w14:paraId="284DBF21" w14:textId="77777777" w:rsidR="00ED26E1" w:rsidRPr="00ED26E1" w:rsidRDefault="00ED26E1" w:rsidP="00ED26E1">
      <w:pPr>
        <w:rPr>
          <w:lang w:val="ru-RU"/>
        </w:rPr>
      </w:pPr>
      <w:r w:rsidRPr="00ED26E1">
        <w:rPr>
          <w:lang w:val="ru-RU"/>
        </w:rPr>
        <w:t xml:space="preserve">8148/2 Железистая  интраэпителиальная неоплазия </w:t>
      </w:r>
      <w:r w:rsidRPr="00ED26E1">
        <w:t>high</w:t>
      </w:r>
      <w:r w:rsidRPr="00ED26E1">
        <w:rPr>
          <w:lang w:val="ru-RU"/>
        </w:rPr>
        <w:t xml:space="preserve"> </w:t>
      </w:r>
      <w:r w:rsidRPr="00ED26E1">
        <w:t>grade</w:t>
      </w:r>
    </w:p>
    <w:p w14:paraId="49AA12BB" w14:textId="77777777" w:rsidR="00ED26E1" w:rsidRPr="00ED26E1" w:rsidRDefault="00ED26E1" w:rsidP="00ED26E1">
      <w:pPr>
        <w:rPr>
          <w:lang w:val="ru-RU"/>
        </w:rPr>
      </w:pPr>
      <w:r w:rsidRPr="00ED26E1">
        <w:rPr>
          <w:lang w:val="ru-RU"/>
        </w:rPr>
        <w:t xml:space="preserve">8453/0 Внутрипротоковая папиллярная муцинозная опухоль с дисплазией </w:t>
      </w:r>
      <w:r w:rsidRPr="00ED26E1">
        <w:t>low</w:t>
      </w:r>
      <w:r w:rsidRPr="00ED26E1">
        <w:rPr>
          <w:lang w:val="ru-RU"/>
        </w:rPr>
        <w:t xml:space="preserve"> </w:t>
      </w:r>
      <w:r w:rsidRPr="00ED26E1">
        <w:t>grade</w:t>
      </w:r>
    </w:p>
    <w:p w14:paraId="1C9D5D30" w14:textId="77777777" w:rsidR="00ED26E1" w:rsidRPr="00ED26E1" w:rsidRDefault="00ED26E1" w:rsidP="00ED26E1">
      <w:pPr>
        <w:rPr>
          <w:lang w:val="ru-RU"/>
        </w:rPr>
      </w:pPr>
      <w:r w:rsidRPr="00ED26E1">
        <w:rPr>
          <w:lang w:val="ru-RU"/>
        </w:rPr>
        <w:t xml:space="preserve">8453/2 Внутрипротоковая папиллярная муцинозная опухоль с дисплазией </w:t>
      </w:r>
      <w:r w:rsidRPr="00ED26E1">
        <w:t>high</w:t>
      </w:r>
      <w:r w:rsidRPr="00ED26E1">
        <w:rPr>
          <w:lang w:val="ru-RU"/>
        </w:rPr>
        <w:t xml:space="preserve"> </w:t>
      </w:r>
      <w:r w:rsidRPr="00ED26E1">
        <w:t>grade</w:t>
      </w:r>
    </w:p>
    <w:p w14:paraId="5C0CB854" w14:textId="77777777" w:rsidR="00ED26E1" w:rsidRPr="00ED26E1" w:rsidRDefault="00ED26E1" w:rsidP="00ED26E1">
      <w:pPr>
        <w:rPr>
          <w:lang w:val="ru-RU"/>
        </w:rPr>
      </w:pPr>
      <w:r w:rsidRPr="00ED26E1">
        <w:rPr>
          <w:lang w:val="ru-RU"/>
        </w:rPr>
        <w:t>8455/2 Внутрипротоковая онкоцитарная папиллярная опухоль</w:t>
      </w:r>
    </w:p>
    <w:p w14:paraId="6F0849B3" w14:textId="77777777" w:rsidR="00ED26E1" w:rsidRPr="00ED26E1" w:rsidRDefault="00ED26E1" w:rsidP="00ED26E1">
      <w:pPr>
        <w:rPr>
          <w:lang w:val="ru-RU"/>
        </w:rPr>
      </w:pPr>
      <w:r w:rsidRPr="00ED26E1">
        <w:rPr>
          <w:lang w:val="ru-RU"/>
        </w:rPr>
        <w:t>8503/2Внутрипротоковая тубулопапиллярная опухоль</w:t>
      </w:r>
    </w:p>
    <w:p w14:paraId="2C005A67" w14:textId="77777777" w:rsidR="00ED26E1" w:rsidRPr="00ED26E1" w:rsidRDefault="00ED26E1" w:rsidP="00ED26E1">
      <w:pPr>
        <w:rPr>
          <w:lang w:val="ru-RU"/>
        </w:rPr>
      </w:pPr>
      <w:r w:rsidRPr="00ED26E1">
        <w:rPr>
          <w:lang w:val="ru-RU"/>
        </w:rPr>
        <w:t xml:space="preserve">8470/0 Муцинозная кистозная опухоль с дисплазией </w:t>
      </w:r>
      <w:r w:rsidRPr="00ED26E1">
        <w:t>low</w:t>
      </w:r>
      <w:r w:rsidRPr="00ED26E1">
        <w:rPr>
          <w:lang w:val="ru-RU"/>
        </w:rPr>
        <w:t xml:space="preserve"> </w:t>
      </w:r>
      <w:r w:rsidRPr="00ED26E1">
        <w:t>grade</w:t>
      </w:r>
    </w:p>
    <w:p w14:paraId="2498FD5B" w14:textId="77777777" w:rsidR="00ED26E1" w:rsidRPr="00ED26E1" w:rsidRDefault="00ED26E1" w:rsidP="00ED26E1">
      <w:pPr>
        <w:rPr>
          <w:lang w:val="ru-RU"/>
        </w:rPr>
      </w:pPr>
      <w:r w:rsidRPr="00ED26E1">
        <w:rPr>
          <w:lang w:val="ru-RU"/>
        </w:rPr>
        <w:t xml:space="preserve">8470/2 Муцинозная кистозная опухоль с дисплазией </w:t>
      </w:r>
      <w:r w:rsidRPr="00ED26E1">
        <w:t>high</w:t>
      </w:r>
      <w:r w:rsidRPr="00ED26E1">
        <w:rPr>
          <w:lang w:val="ru-RU"/>
        </w:rPr>
        <w:t xml:space="preserve"> </w:t>
      </w:r>
      <w:r w:rsidRPr="00ED26E1">
        <w:t>grade</w:t>
      </w:r>
    </w:p>
    <w:p w14:paraId="1C3C6108" w14:textId="77777777" w:rsidR="00ED26E1" w:rsidRPr="00ED26E1" w:rsidRDefault="00ED26E1" w:rsidP="00ED26E1">
      <w:pPr>
        <w:rPr>
          <w:lang w:val="ru-RU"/>
        </w:rPr>
      </w:pPr>
    </w:p>
    <w:p w14:paraId="536322A2" w14:textId="77777777" w:rsidR="00ED26E1" w:rsidRPr="00ED26E1" w:rsidRDefault="00ED26E1" w:rsidP="00ED26E1">
      <w:pPr>
        <w:rPr>
          <w:b/>
          <w:lang w:val="ru-RU"/>
        </w:rPr>
      </w:pPr>
      <w:r w:rsidRPr="00ED26E1">
        <w:rPr>
          <w:b/>
          <w:lang w:val="ru-RU"/>
        </w:rPr>
        <w:t>Злокачественные эпителиальные опухоли</w:t>
      </w:r>
    </w:p>
    <w:p w14:paraId="1D347992" w14:textId="77777777" w:rsidR="00ED26E1" w:rsidRPr="00ED26E1" w:rsidRDefault="00ED26E1" w:rsidP="00ED26E1">
      <w:pPr>
        <w:jc w:val="left"/>
        <w:rPr>
          <w:lang w:val="ru-RU"/>
        </w:rPr>
      </w:pPr>
      <w:r w:rsidRPr="00ED26E1">
        <w:rPr>
          <w:lang w:val="ru-RU"/>
        </w:rPr>
        <w:t>8500/3</w:t>
      </w:r>
      <w:r w:rsidRPr="00ED26E1">
        <w:rPr>
          <w:b/>
          <w:lang w:val="ru-RU"/>
        </w:rPr>
        <w:t xml:space="preserve"> </w:t>
      </w:r>
      <w:r w:rsidRPr="00ED26E1">
        <w:rPr>
          <w:lang w:val="ru-RU"/>
        </w:rPr>
        <w:t>Протоковая аденокарцинома</w:t>
      </w:r>
    </w:p>
    <w:p w14:paraId="01288BEB" w14:textId="77777777" w:rsidR="00ED26E1" w:rsidRPr="00ED26E1" w:rsidRDefault="00ED26E1" w:rsidP="00ED26E1">
      <w:pPr>
        <w:jc w:val="left"/>
        <w:rPr>
          <w:lang w:val="ru-RU"/>
        </w:rPr>
      </w:pPr>
      <w:r w:rsidRPr="00ED26E1">
        <w:rPr>
          <w:lang w:val="ru-RU"/>
        </w:rPr>
        <w:t xml:space="preserve">     8560/3 Железисто-плоскоклеточный рак</w:t>
      </w:r>
    </w:p>
    <w:p w14:paraId="0B8C5A7D" w14:textId="77777777" w:rsidR="00ED26E1" w:rsidRPr="00ED26E1" w:rsidRDefault="00ED26E1" w:rsidP="00ED26E1">
      <w:pPr>
        <w:jc w:val="left"/>
        <w:rPr>
          <w:lang w:val="ru-RU"/>
        </w:rPr>
      </w:pPr>
      <w:r w:rsidRPr="00ED26E1">
        <w:rPr>
          <w:lang w:val="ru-RU"/>
        </w:rPr>
        <w:t xml:space="preserve">     8480/3 Коллоидная карцинома </w:t>
      </w:r>
    </w:p>
    <w:p w14:paraId="22783605" w14:textId="77777777" w:rsidR="00ED26E1" w:rsidRPr="00ED26E1" w:rsidRDefault="00ED26E1" w:rsidP="00ED26E1">
      <w:pPr>
        <w:jc w:val="left"/>
        <w:rPr>
          <w:lang w:val="ru-RU"/>
        </w:rPr>
      </w:pPr>
      <w:r w:rsidRPr="00ED26E1">
        <w:rPr>
          <w:lang w:val="ru-RU"/>
        </w:rPr>
        <w:t xml:space="preserve">8490/3   Дискогезивная карцинома </w:t>
      </w:r>
    </w:p>
    <w:p w14:paraId="78BD1D2A" w14:textId="77777777" w:rsidR="00ED26E1" w:rsidRPr="00ED26E1" w:rsidRDefault="00ED26E1" w:rsidP="00ED26E1">
      <w:pPr>
        <w:jc w:val="left"/>
        <w:rPr>
          <w:lang w:val="ru-RU"/>
        </w:rPr>
      </w:pPr>
      <w:r w:rsidRPr="00ED26E1">
        <w:rPr>
          <w:lang w:val="ru-RU"/>
        </w:rPr>
        <w:t xml:space="preserve">     8576/3 Гепатоидная карцинома</w:t>
      </w:r>
    </w:p>
    <w:p w14:paraId="0A14D76C" w14:textId="77777777" w:rsidR="00ED26E1" w:rsidRPr="00ED26E1" w:rsidRDefault="00ED26E1" w:rsidP="00ED26E1">
      <w:pPr>
        <w:jc w:val="left"/>
        <w:rPr>
          <w:lang w:val="ru-RU"/>
        </w:rPr>
      </w:pPr>
      <w:r w:rsidRPr="00ED26E1">
        <w:rPr>
          <w:lang w:val="ru-RU"/>
        </w:rPr>
        <w:t xml:space="preserve">     8510/3 Медуллярный рак</w:t>
      </w:r>
    </w:p>
    <w:p w14:paraId="5C990F8B" w14:textId="77777777" w:rsidR="00ED26E1" w:rsidRPr="00ED26E1" w:rsidRDefault="00ED26E1" w:rsidP="00ED26E1">
      <w:pPr>
        <w:rPr>
          <w:lang w:val="ru-RU"/>
        </w:rPr>
      </w:pPr>
      <w:r w:rsidRPr="00ED26E1">
        <w:rPr>
          <w:lang w:val="ru-RU"/>
        </w:rPr>
        <w:t xml:space="preserve">     8490/3 Перстневидноклеточный рак</w:t>
      </w:r>
    </w:p>
    <w:p w14:paraId="76F62202" w14:textId="77777777" w:rsidR="00ED26E1" w:rsidRPr="00ED26E1" w:rsidRDefault="00ED26E1" w:rsidP="00ED26E1">
      <w:pPr>
        <w:rPr>
          <w:lang w:val="ru-RU"/>
        </w:rPr>
      </w:pPr>
      <w:r w:rsidRPr="00ED26E1">
        <w:rPr>
          <w:lang w:val="ru-RU"/>
        </w:rPr>
        <w:t xml:space="preserve">8014/3 Крупноклеточный рак с рабдоидным фенотипом </w:t>
      </w:r>
    </w:p>
    <w:p w14:paraId="5B8390C0" w14:textId="77777777" w:rsidR="00ED26E1" w:rsidRPr="00ED26E1" w:rsidRDefault="00ED26E1" w:rsidP="00ED26E1">
      <w:pPr>
        <w:rPr>
          <w:lang w:val="ru-RU"/>
        </w:rPr>
      </w:pPr>
      <w:r w:rsidRPr="00ED26E1">
        <w:rPr>
          <w:lang w:val="ru-RU"/>
        </w:rPr>
        <w:t xml:space="preserve">    8020/3  Недифференцированный рак</w:t>
      </w:r>
    </w:p>
    <w:p w14:paraId="6154F07D" w14:textId="77777777" w:rsidR="00ED26E1" w:rsidRPr="00ED26E1" w:rsidRDefault="00ED26E1" w:rsidP="00ED26E1">
      <w:pPr>
        <w:rPr>
          <w:lang w:val="ru-RU"/>
        </w:rPr>
      </w:pPr>
      <w:r w:rsidRPr="00ED26E1">
        <w:rPr>
          <w:lang w:val="ru-RU"/>
        </w:rPr>
        <w:t xml:space="preserve">     8035/3 Недифференцированный рак с остеокластоподобными гигантскими клетками</w:t>
      </w:r>
    </w:p>
    <w:p w14:paraId="129AC3FA" w14:textId="77777777" w:rsidR="00ED26E1" w:rsidRPr="00ED26E1" w:rsidRDefault="00ED26E1" w:rsidP="00ED26E1">
      <w:pPr>
        <w:rPr>
          <w:lang w:val="ru-RU"/>
        </w:rPr>
      </w:pPr>
      <w:r w:rsidRPr="00ED26E1">
        <w:rPr>
          <w:lang w:val="ru-RU"/>
        </w:rPr>
        <w:t>8550/3 Ацинарноклеточная карцинома</w:t>
      </w:r>
    </w:p>
    <w:p w14:paraId="565D1C1F" w14:textId="77777777" w:rsidR="00ED26E1" w:rsidRPr="00ED26E1" w:rsidRDefault="00ED26E1" w:rsidP="00ED26E1">
      <w:pPr>
        <w:rPr>
          <w:lang w:val="ru-RU"/>
        </w:rPr>
      </w:pPr>
      <w:r w:rsidRPr="00ED26E1">
        <w:rPr>
          <w:lang w:val="ru-RU"/>
        </w:rPr>
        <w:lastRenderedPageBreak/>
        <w:t>8551/3 Ацинарноклеточная цистаденокарцинома</w:t>
      </w:r>
    </w:p>
    <w:p w14:paraId="4D0CA3FB" w14:textId="77777777" w:rsidR="00ED26E1" w:rsidRPr="00ED26E1" w:rsidRDefault="00ED26E1" w:rsidP="00ED26E1">
      <w:pPr>
        <w:rPr>
          <w:lang w:val="ru-RU"/>
        </w:rPr>
      </w:pPr>
      <w:r w:rsidRPr="00ED26E1">
        <w:rPr>
          <w:lang w:val="ru-RU"/>
        </w:rPr>
        <w:t xml:space="preserve">8470/3 Внутрипротоковая папиллярная муцинозная опухоль в сочетании с инвазивной карциномой </w:t>
      </w:r>
    </w:p>
    <w:p w14:paraId="78FBC266" w14:textId="77777777" w:rsidR="00ED26E1" w:rsidRPr="00ED26E1" w:rsidRDefault="00ED26E1" w:rsidP="00ED26E1">
      <w:pPr>
        <w:rPr>
          <w:lang w:val="ru-RU"/>
        </w:rPr>
      </w:pPr>
      <w:r w:rsidRPr="00ED26E1">
        <w:rPr>
          <w:lang w:val="ru-RU"/>
        </w:rPr>
        <w:t>8552/3 Комбинированный ацинарно-протоковый рак</w:t>
      </w:r>
    </w:p>
    <w:p w14:paraId="6D5DCAAC" w14:textId="77777777" w:rsidR="00ED26E1" w:rsidRPr="00ED26E1" w:rsidRDefault="00ED26E1" w:rsidP="00ED26E1">
      <w:pPr>
        <w:rPr>
          <w:lang w:val="ru-RU"/>
        </w:rPr>
      </w:pPr>
      <w:r w:rsidRPr="00ED26E1">
        <w:rPr>
          <w:lang w:val="ru-RU"/>
        </w:rPr>
        <w:t>8154/3 Комбинированный ацинарно-нейроэндокринный рак</w:t>
      </w:r>
    </w:p>
    <w:p w14:paraId="42351FFF" w14:textId="77777777" w:rsidR="00ED26E1" w:rsidRPr="00ED26E1" w:rsidRDefault="00ED26E1" w:rsidP="00ED26E1">
      <w:pPr>
        <w:rPr>
          <w:lang w:val="ru-RU"/>
        </w:rPr>
      </w:pPr>
      <w:r w:rsidRPr="00ED26E1">
        <w:rPr>
          <w:lang w:val="ru-RU"/>
        </w:rPr>
        <w:t>8154/3 Комбинированный ацинарно-нейроэндокринно-протоковый рак</w:t>
      </w:r>
    </w:p>
    <w:p w14:paraId="0B1948B1" w14:textId="77777777" w:rsidR="00ED26E1" w:rsidRPr="00ED26E1" w:rsidRDefault="00ED26E1" w:rsidP="00ED26E1">
      <w:pPr>
        <w:rPr>
          <w:lang w:val="ru-RU"/>
        </w:rPr>
      </w:pPr>
      <w:r w:rsidRPr="00ED26E1">
        <w:rPr>
          <w:lang w:val="ru-RU"/>
        </w:rPr>
        <w:t>8154/3 Смешанный протоково-нейроэндокринный рак</w:t>
      </w:r>
    </w:p>
    <w:p w14:paraId="6406539D" w14:textId="77777777" w:rsidR="00ED26E1" w:rsidRPr="00ED26E1" w:rsidRDefault="00ED26E1" w:rsidP="00ED26E1">
      <w:pPr>
        <w:rPr>
          <w:lang w:val="ru-RU"/>
        </w:rPr>
      </w:pPr>
      <w:r w:rsidRPr="00ED26E1">
        <w:rPr>
          <w:lang w:val="ru-RU"/>
        </w:rPr>
        <w:t>8470/3 Муцинозная кистозная опухоль в сочетании  с инвазивной карциномой</w:t>
      </w:r>
    </w:p>
    <w:p w14:paraId="61C29968" w14:textId="77777777" w:rsidR="00ED26E1" w:rsidRPr="00ED26E1" w:rsidRDefault="00ED26E1" w:rsidP="00ED26E1">
      <w:pPr>
        <w:rPr>
          <w:lang w:val="ru-RU"/>
        </w:rPr>
      </w:pPr>
      <w:r w:rsidRPr="00ED26E1">
        <w:rPr>
          <w:lang w:val="ru-RU"/>
        </w:rPr>
        <w:t>8971/3 Панкреатобластома</w:t>
      </w:r>
    </w:p>
    <w:p w14:paraId="01840FCA" w14:textId="77777777" w:rsidR="00ED26E1" w:rsidRPr="00ED26E1" w:rsidRDefault="00ED26E1" w:rsidP="00ED26E1">
      <w:pPr>
        <w:rPr>
          <w:lang w:val="ru-RU"/>
        </w:rPr>
      </w:pPr>
      <w:r w:rsidRPr="00ED26E1">
        <w:rPr>
          <w:lang w:val="ru-RU"/>
        </w:rPr>
        <w:t>8441/3 Серозная цистаденокарцинома</w:t>
      </w:r>
    </w:p>
    <w:p w14:paraId="425E662A" w14:textId="77777777" w:rsidR="00ED26E1" w:rsidRDefault="00ED26E1" w:rsidP="00ED26E1">
      <w:pPr>
        <w:rPr>
          <w:lang w:val="ru-RU"/>
        </w:rPr>
      </w:pPr>
      <w:r w:rsidRPr="00ED26E1">
        <w:rPr>
          <w:lang w:val="ru-RU"/>
        </w:rPr>
        <w:t>8452/3 Солидная псевдопапиллярная опухоль</w:t>
      </w:r>
    </w:p>
    <w:p w14:paraId="35BC33B7" w14:textId="77777777" w:rsidR="00ED26E1" w:rsidRPr="00ED26E1" w:rsidRDefault="00ED26E1" w:rsidP="00ED26E1">
      <w:pPr>
        <w:rPr>
          <w:lang w:val="ru-RU"/>
        </w:rPr>
      </w:pPr>
    </w:p>
    <w:p w14:paraId="5986B798" w14:textId="77777777" w:rsidR="00996A3D" w:rsidRPr="00A83E0C" w:rsidRDefault="00F408F8" w:rsidP="00F408F8">
      <w:pPr>
        <w:rPr>
          <w:lang w:val="ru-RU"/>
        </w:rPr>
      </w:pPr>
      <w:r w:rsidRPr="00A83E0C">
        <w:rPr>
          <w:b/>
          <w:lang w:val="ru-RU"/>
        </w:rPr>
        <w:t xml:space="preserve">1.5.2 </w:t>
      </w:r>
      <w:r w:rsidR="00996A3D" w:rsidRPr="00A83E0C">
        <w:rPr>
          <w:b/>
          <w:lang w:val="ru-RU"/>
        </w:rPr>
        <w:t>Стадирование</w:t>
      </w:r>
      <w:r w:rsidR="00075163" w:rsidRPr="00A83E0C">
        <w:rPr>
          <w:lang w:val="ru-RU"/>
        </w:rPr>
        <w:t xml:space="preserve"> </w:t>
      </w:r>
      <w:r w:rsidR="00075163" w:rsidRPr="00A83E0C">
        <w:rPr>
          <w:b/>
          <w:lang w:val="ru-RU"/>
        </w:rPr>
        <w:t>заболевания или состояния (группы заболеваний или состояний)</w:t>
      </w:r>
    </w:p>
    <w:p w14:paraId="203E2AAC" w14:textId="77777777" w:rsidR="00385052" w:rsidRPr="00A83E0C" w:rsidRDefault="00385052" w:rsidP="00DC7BE7">
      <w:pPr>
        <w:rPr>
          <w:lang w:val="ru-RU"/>
        </w:rPr>
      </w:pPr>
      <w:r w:rsidRPr="00A83E0C">
        <w:rPr>
          <w:lang w:val="ru-RU"/>
        </w:rPr>
        <w:t xml:space="preserve">Стадирование рака </w:t>
      </w:r>
      <w:r w:rsidR="008C78EF" w:rsidRPr="00A83E0C">
        <w:rPr>
          <w:lang w:val="ru-RU"/>
        </w:rPr>
        <w:t>поджелудочной железы</w:t>
      </w:r>
      <w:r w:rsidRPr="00A83E0C">
        <w:rPr>
          <w:lang w:val="ru-RU"/>
        </w:rPr>
        <w:t xml:space="preserve"> по системе </w:t>
      </w:r>
      <w:r w:rsidRPr="00A83E0C">
        <w:t>TNM</w:t>
      </w:r>
      <w:r w:rsidRPr="00A83E0C">
        <w:rPr>
          <w:lang w:val="ru-RU"/>
        </w:rPr>
        <w:t xml:space="preserve"> (</w:t>
      </w:r>
      <w:r w:rsidR="00FA71E1" w:rsidRPr="00A83E0C">
        <w:rPr>
          <w:lang w:val="ru-RU"/>
        </w:rPr>
        <w:t>8</w:t>
      </w:r>
      <w:r w:rsidR="008C78EF" w:rsidRPr="00A83E0C">
        <w:rPr>
          <w:lang w:val="ru-RU"/>
        </w:rPr>
        <w:t>-е издание</w:t>
      </w:r>
      <w:r w:rsidRPr="00A83E0C">
        <w:rPr>
          <w:lang w:val="ru-RU"/>
        </w:rPr>
        <w:t>)</w:t>
      </w:r>
    </w:p>
    <w:p w14:paraId="0BF7C3E8" w14:textId="77777777" w:rsidR="008C78EF" w:rsidRPr="00A83E0C" w:rsidRDefault="008C78EF" w:rsidP="00DC7BE7">
      <w:pPr>
        <w:rPr>
          <w:rStyle w:val="afd"/>
          <w:b w:val="0"/>
          <w:sz w:val="22"/>
          <w:lang w:val="ru-RU"/>
        </w:rPr>
      </w:pPr>
      <w:r w:rsidRPr="00A83E0C">
        <w:rPr>
          <w:rStyle w:val="afd"/>
          <w:lang w:val="ru-RU"/>
        </w:rPr>
        <w:t>Первичная опухоль (</w:t>
      </w:r>
      <w:r w:rsidRPr="00A83E0C">
        <w:rPr>
          <w:rStyle w:val="afd"/>
        </w:rPr>
        <w:t>T</w:t>
      </w:r>
      <w:r w:rsidRPr="00A83E0C">
        <w:rPr>
          <w:rStyle w:val="afd"/>
          <w:lang w:val="ru-RU"/>
        </w:rPr>
        <w:t>):</w:t>
      </w:r>
    </w:p>
    <w:p w14:paraId="3B235055" w14:textId="77777777" w:rsidR="00845025" w:rsidRPr="00A83E0C" w:rsidRDefault="00FA71E1" w:rsidP="00845025">
      <w:pPr>
        <w:tabs>
          <w:tab w:val="left" w:pos="284"/>
          <w:tab w:val="left" w:pos="426"/>
        </w:tabs>
        <w:autoSpaceDE w:val="0"/>
        <w:autoSpaceDN w:val="0"/>
        <w:adjustRightInd w:val="0"/>
        <w:ind w:left="284"/>
        <w:rPr>
          <w:rFonts w:eastAsia="Calibri"/>
          <w:lang w:val="ru-RU"/>
        </w:rPr>
      </w:pPr>
      <w:r w:rsidRPr="00A83E0C">
        <w:rPr>
          <w:rFonts w:eastAsia="Calibri"/>
          <w:lang w:val="ru-RU"/>
        </w:rPr>
        <w:t>Т</w:t>
      </w:r>
      <w:r w:rsidR="00845025" w:rsidRPr="00A83E0C">
        <w:rPr>
          <w:rFonts w:eastAsia="Calibri"/>
        </w:rPr>
        <w:t>x</w:t>
      </w:r>
      <w:r w:rsidRPr="00A83E0C">
        <w:rPr>
          <w:rFonts w:eastAsia="Calibri"/>
          <w:lang w:val="ru-RU"/>
        </w:rPr>
        <w:t xml:space="preserve"> – недостаточно данных для оценки первичной опухоли,</w:t>
      </w:r>
    </w:p>
    <w:p w14:paraId="54CD976E" w14:textId="77777777" w:rsidR="00845025" w:rsidRPr="00A83E0C" w:rsidRDefault="00845025" w:rsidP="00845025">
      <w:pPr>
        <w:tabs>
          <w:tab w:val="left" w:pos="284"/>
          <w:tab w:val="left" w:pos="426"/>
        </w:tabs>
        <w:autoSpaceDE w:val="0"/>
        <w:autoSpaceDN w:val="0"/>
        <w:adjustRightInd w:val="0"/>
        <w:ind w:left="284"/>
        <w:rPr>
          <w:rFonts w:eastAsia="Calibri"/>
          <w:lang w:val="ru-RU"/>
        </w:rPr>
      </w:pPr>
      <w:r w:rsidRPr="00A83E0C">
        <w:rPr>
          <w:rFonts w:eastAsia="Calibri"/>
        </w:rPr>
        <w:t>Tis</w:t>
      </w:r>
      <w:r w:rsidR="00FA71E1" w:rsidRPr="00A83E0C">
        <w:rPr>
          <w:rFonts w:eastAsia="Calibri"/>
          <w:lang w:val="ru-RU"/>
        </w:rPr>
        <w:t xml:space="preserve"> – </w:t>
      </w:r>
      <w:r w:rsidRPr="00A83E0C">
        <w:rPr>
          <w:rFonts w:eastAsia="Calibri"/>
        </w:rPr>
        <w:t>carcinoma</w:t>
      </w:r>
      <w:r w:rsidR="00FA71E1" w:rsidRPr="00A83E0C">
        <w:rPr>
          <w:rFonts w:eastAsia="Calibri"/>
          <w:lang w:val="ru-RU"/>
        </w:rPr>
        <w:t xml:space="preserve"> </w:t>
      </w:r>
      <w:r w:rsidRPr="00A83E0C">
        <w:rPr>
          <w:rFonts w:eastAsia="Calibri"/>
        </w:rPr>
        <w:t>in</w:t>
      </w:r>
      <w:r w:rsidR="00FA71E1" w:rsidRPr="00A83E0C">
        <w:rPr>
          <w:rFonts w:eastAsia="Calibri"/>
          <w:lang w:val="ru-RU"/>
        </w:rPr>
        <w:t xml:space="preserve"> </w:t>
      </w:r>
      <w:r w:rsidRPr="00A83E0C">
        <w:rPr>
          <w:rFonts w:eastAsia="Calibri"/>
        </w:rPr>
        <w:t>situ</w:t>
      </w:r>
      <w:r w:rsidR="00FA71E1" w:rsidRPr="00A83E0C">
        <w:rPr>
          <w:rFonts w:eastAsia="Calibri"/>
          <w:lang w:val="ru-RU"/>
        </w:rPr>
        <w:t xml:space="preserve">, </w:t>
      </w:r>
    </w:p>
    <w:p w14:paraId="6E374CE5" w14:textId="77777777" w:rsidR="001A214D" w:rsidRPr="00A83E0C" w:rsidRDefault="00845025" w:rsidP="001A214D">
      <w:pPr>
        <w:tabs>
          <w:tab w:val="left" w:pos="284"/>
          <w:tab w:val="left" w:pos="426"/>
        </w:tabs>
        <w:autoSpaceDE w:val="0"/>
        <w:autoSpaceDN w:val="0"/>
        <w:adjustRightInd w:val="0"/>
        <w:ind w:left="284"/>
        <w:rPr>
          <w:rFonts w:eastAsia="Calibri"/>
          <w:lang w:val="ru-RU"/>
        </w:rPr>
      </w:pPr>
      <w:r w:rsidRPr="00A83E0C">
        <w:rPr>
          <w:rFonts w:eastAsia="Calibri"/>
        </w:rPr>
        <w:t>T</w:t>
      </w:r>
      <w:r w:rsidR="00FA71E1" w:rsidRPr="00A83E0C">
        <w:rPr>
          <w:rFonts w:eastAsia="Calibri"/>
          <w:lang w:val="ru-RU"/>
        </w:rPr>
        <w:t>1 – опухоль ограничена поджелудочной железой до 2 см в наибольшем измерении,</w:t>
      </w:r>
      <w:r w:rsidR="00A56F61" w:rsidRPr="00A83E0C">
        <w:rPr>
          <w:rFonts w:eastAsia="Calibri"/>
          <w:lang w:val="ru-RU"/>
        </w:rPr>
        <w:t xml:space="preserve"> </w:t>
      </w:r>
    </w:p>
    <w:p w14:paraId="5A8DE9A5" w14:textId="77777777" w:rsidR="001A214D" w:rsidRPr="00A83E0C" w:rsidRDefault="00A56F61" w:rsidP="001A214D">
      <w:pPr>
        <w:tabs>
          <w:tab w:val="left" w:pos="284"/>
          <w:tab w:val="left" w:pos="426"/>
        </w:tabs>
        <w:autoSpaceDE w:val="0"/>
        <w:autoSpaceDN w:val="0"/>
        <w:adjustRightInd w:val="0"/>
        <w:ind w:left="284"/>
        <w:rPr>
          <w:rFonts w:eastAsia="Calibri"/>
          <w:lang w:val="ru-RU"/>
        </w:rPr>
      </w:pPr>
      <w:r w:rsidRPr="00A83E0C">
        <w:rPr>
          <w:rFonts w:eastAsia="Calibri"/>
          <w:lang w:val="ru-RU"/>
        </w:rPr>
        <w:tab/>
      </w:r>
      <w:r w:rsidR="001A214D" w:rsidRPr="00A83E0C">
        <w:rPr>
          <w:rFonts w:eastAsia="Calibri"/>
        </w:rPr>
        <w:t>T</w:t>
      </w:r>
      <w:r w:rsidR="001A214D" w:rsidRPr="00A83E0C">
        <w:rPr>
          <w:rFonts w:eastAsia="Calibri"/>
          <w:lang w:val="ru-RU"/>
        </w:rPr>
        <w:t>1</w:t>
      </w:r>
      <w:r w:rsidR="001A214D" w:rsidRPr="00A83E0C">
        <w:rPr>
          <w:rFonts w:eastAsia="Calibri"/>
        </w:rPr>
        <w:t>A</w:t>
      </w:r>
      <w:r w:rsidR="001A214D" w:rsidRPr="00A83E0C">
        <w:rPr>
          <w:rFonts w:eastAsia="Calibri"/>
          <w:lang w:val="ru-RU"/>
        </w:rPr>
        <w:t xml:space="preserve"> – опухоль до 0,5 см в наибольшем измерении,</w:t>
      </w:r>
    </w:p>
    <w:p w14:paraId="114953E8" w14:textId="77777777" w:rsidR="001A214D" w:rsidRPr="00A83E0C" w:rsidRDefault="001A214D" w:rsidP="001A214D">
      <w:pPr>
        <w:tabs>
          <w:tab w:val="left" w:pos="284"/>
          <w:tab w:val="left" w:pos="426"/>
        </w:tabs>
        <w:autoSpaceDE w:val="0"/>
        <w:autoSpaceDN w:val="0"/>
        <w:adjustRightInd w:val="0"/>
        <w:ind w:left="284"/>
        <w:rPr>
          <w:rFonts w:eastAsia="Calibri"/>
          <w:lang w:val="ru-RU"/>
        </w:rPr>
      </w:pPr>
      <w:r w:rsidRPr="00A83E0C">
        <w:rPr>
          <w:rFonts w:eastAsia="Calibri"/>
          <w:lang w:val="ru-RU"/>
        </w:rPr>
        <w:tab/>
      </w:r>
      <w:r w:rsidRPr="00A83E0C">
        <w:rPr>
          <w:rFonts w:eastAsia="Calibri"/>
        </w:rPr>
        <w:t>T</w:t>
      </w:r>
      <w:r w:rsidRPr="00A83E0C">
        <w:rPr>
          <w:rFonts w:eastAsia="Calibri"/>
          <w:lang w:val="ru-RU"/>
        </w:rPr>
        <w:t>1</w:t>
      </w:r>
      <w:r w:rsidRPr="00A83E0C">
        <w:rPr>
          <w:rFonts w:eastAsia="Calibri"/>
        </w:rPr>
        <w:t>B</w:t>
      </w:r>
      <w:r w:rsidRPr="00A83E0C">
        <w:rPr>
          <w:rFonts w:eastAsia="Calibri"/>
          <w:lang w:val="ru-RU"/>
        </w:rPr>
        <w:t xml:space="preserve"> – опухоль больше 0,5 см, но не более 1 см в наибольшем измерении,</w:t>
      </w:r>
    </w:p>
    <w:p w14:paraId="4524B383" w14:textId="77777777" w:rsidR="00845025" w:rsidRPr="00A83E0C" w:rsidRDefault="001A214D" w:rsidP="00845025">
      <w:pPr>
        <w:tabs>
          <w:tab w:val="left" w:pos="284"/>
          <w:tab w:val="left" w:pos="426"/>
        </w:tabs>
        <w:autoSpaceDE w:val="0"/>
        <w:autoSpaceDN w:val="0"/>
        <w:adjustRightInd w:val="0"/>
        <w:ind w:left="284"/>
        <w:rPr>
          <w:rFonts w:eastAsia="Calibri"/>
          <w:lang w:val="ru-RU"/>
        </w:rPr>
      </w:pPr>
      <w:r w:rsidRPr="00A83E0C">
        <w:rPr>
          <w:rFonts w:eastAsia="Calibri"/>
          <w:lang w:val="ru-RU"/>
        </w:rPr>
        <w:tab/>
      </w:r>
      <w:r w:rsidRPr="00A83E0C">
        <w:rPr>
          <w:rFonts w:eastAsia="Calibri"/>
        </w:rPr>
        <w:t>T</w:t>
      </w:r>
      <w:r w:rsidRPr="00A83E0C">
        <w:rPr>
          <w:rFonts w:eastAsia="Calibri"/>
          <w:lang w:val="ru-RU"/>
        </w:rPr>
        <w:t>1С – опухоль больше 1 см, но не более 2 см в наибольшем измерении,</w:t>
      </w:r>
    </w:p>
    <w:p w14:paraId="2C078654" w14:textId="77777777" w:rsidR="00845025" w:rsidRPr="00A83E0C" w:rsidRDefault="00FA71E1" w:rsidP="00845025">
      <w:pPr>
        <w:tabs>
          <w:tab w:val="left" w:pos="284"/>
          <w:tab w:val="left" w:pos="426"/>
        </w:tabs>
        <w:autoSpaceDE w:val="0"/>
        <w:autoSpaceDN w:val="0"/>
        <w:adjustRightInd w:val="0"/>
        <w:ind w:left="284"/>
        <w:rPr>
          <w:rFonts w:eastAsia="Calibri"/>
          <w:lang w:val="ru-RU"/>
        </w:rPr>
      </w:pPr>
      <w:r w:rsidRPr="00A83E0C">
        <w:rPr>
          <w:rFonts w:eastAsia="Calibri"/>
          <w:lang w:val="ru-RU"/>
        </w:rPr>
        <w:t>Т2 – опухоль более 2 см но не более 4 см в наибольшем измерении,</w:t>
      </w:r>
    </w:p>
    <w:p w14:paraId="37B900E9" w14:textId="77777777" w:rsidR="00845025" w:rsidRPr="00A83E0C" w:rsidRDefault="00FA71E1" w:rsidP="00845025">
      <w:pPr>
        <w:tabs>
          <w:tab w:val="left" w:pos="284"/>
          <w:tab w:val="left" w:pos="426"/>
        </w:tabs>
        <w:autoSpaceDE w:val="0"/>
        <w:autoSpaceDN w:val="0"/>
        <w:adjustRightInd w:val="0"/>
        <w:ind w:left="284"/>
        <w:rPr>
          <w:rFonts w:eastAsia="Calibri"/>
          <w:lang w:val="ru-RU"/>
        </w:rPr>
      </w:pPr>
      <w:r w:rsidRPr="00A83E0C">
        <w:rPr>
          <w:rFonts w:eastAsia="Calibri"/>
          <w:lang w:val="ru-RU"/>
        </w:rPr>
        <w:t>Т3 – опухоль более 4 см в наибольшем измерении,</w:t>
      </w:r>
    </w:p>
    <w:p w14:paraId="4F64AD8E" w14:textId="77777777" w:rsidR="00845025" w:rsidRPr="00A83E0C" w:rsidRDefault="00FA71E1" w:rsidP="00845025">
      <w:pPr>
        <w:tabs>
          <w:tab w:val="left" w:pos="284"/>
          <w:tab w:val="left" w:pos="426"/>
        </w:tabs>
        <w:autoSpaceDE w:val="0"/>
        <w:autoSpaceDN w:val="0"/>
        <w:adjustRightInd w:val="0"/>
        <w:ind w:left="284"/>
        <w:rPr>
          <w:rFonts w:eastAsia="Calibri"/>
          <w:lang w:val="ru-RU"/>
        </w:rPr>
      </w:pPr>
      <w:r w:rsidRPr="00A83E0C">
        <w:rPr>
          <w:rFonts w:eastAsia="Calibri"/>
          <w:lang w:val="ru-RU"/>
        </w:rPr>
        <w:t xml:space="preserve">Т4 – опухоль </w:t>
      </w:r>
      <w:r w:rsidR="00D529DD">
        <w:rPr>
          <w:rFonts w:eastAsia="Calibri"/>
          <w:lang w:val="ru-RU"/>
        </w:rPr>
        <w:t>вовлекает</w:t>
      </w:r>
      <w:r w:rsidRPr="00A83E0C">
        <w:rPr>
          <w:rFonts w:eastAsia="Calibri"/>
          <w:lang w:val="ru-RU"/>
        </w:rPr>
        <w:t xml:space="preserve"> чревный ствол, верхнюю брыжеечную или общую печеночную артерию</w:t>
      </w:r>
      <w:r w:rsidR="00D529DD">
        <w:rPr>
          <w:rFonts w:eastAsia="Calibri"/>
          <w:lang w:val="ru-RU"/>
        </w:rPr>
        <w:t xml:space="preserve"> вне зависимости от размера</w:t>
      </w:r>
      <w:r w:rsidRPr="00A83E0C">
        <w:rPr>
          <w:rFonts w:eastAsia="Calibri"/>
          <w:lang w:val="ru-RU"/>
        </w:rPr>
        <w:t>.</w:t>
      </w:r>
    </w:p>
    <w:p w14:paraId="6463024A" w14:textId="77777777" w:rsidR="00845025" w:rsidRPr="00A83E0C" w:rsidRDefault="00FA71E1" w:rsidP="00845025">
      <w:pPr>
        <w:tabs>
          <w:tab w:val="left" w:pos="284"/>
          <w:tab w:val="left" w:pos="426"/>
        </w:tabs>
        <w:autoSpaceDE w:val="0"/>
        <w:autoSpaceDN w:val="0"/>
        <w:adjustRightInd w:val="0"/>
        <w:rPr>
          <w:rFonts w:eastAsia="Calibri"/>
          <w:lang w:val="ru-RU"/>
        </w:rPr>
      </w:pPr>
      <w:r w:rsidRPr="00A83E0C">
        <w:rPr>
          <w:rFonts w:eastAsia="Calibri"/>
          <w:lang w:val="ru-RU"/>
        </w:rPr>
        <w:t>Региональные лимфатические узлы (</w:t>
      </w:r>
      <w:r w:rsidR="00845025" w:rsidRPr="00A83E0C">
        <w:rPr>
          <w:rFonts w:eastAsia="Calibri"/>
        </w:rPr>
        <w:t>N</w:t>
      </w:r>
      <w:r w:rsidRPr="00A83E0C">
        <w:rPr>
          <w:rFonts w:eastAsia="Calibri"/>
          <w:lang w:val="ru-RU"/>
        </w:rPr>
        <w:t>):</w:t>
      </w:r>
    </w:p>
    <w:p w14:paraId="455BCBB1" w14:textId="77777777" w:rsidR="00845025" w:rsidRPr="00A83E0C" w:rsidRDefault="00845025" w:rsidP="00845025">
      <w:pPr>
        <w:tabs>
          <w:tab w:val="left" w:pos="284"/>
          <w:tab w:val="left" w:pos="426"/>
        </w:tabs>
        <w:autoSpaceDE w:val="0"/>
        <w:autoSpaceDN w:val="0"/>
        <w:adjustRightInd w:val="0"/>
        <w:ind w:left="284"/>
        <w:rPr>
          <w:rFonts w:eastAsia="Calibri"/>
          <w:lang w:val="ru-RU"/>
        </w:rPr>
      </w:pPr>
      <w:r w:rsidRPr="00A83E0C">
        <w:rPr>
          <w:rFonts w:eastAsia="Calibri"/>
        </w:rPr>
        <w:t>N</w:t>
      </w:r>
      <w:r w:rsidR="00FA71E1" w:rsidRPr="00A83E0C">
        <w:rPr>
          <w:rFonts w:eastAsia="Calibri"/>
          <w:lang w:val="ru-RU"/>
        </w:rPr>
        <w:t>Х – недостаточно данных для оценки регионарных лимфоузлов,</w:t>
      </w:r>
    </w:p>
    <w:p w14:paraId="6DA213F9" w14:textId="77777777" w:rsidR="00845025" w:rsidRPr="00A83E0C" w:rsidRDefault="00845025" w:rsidP="00845025">
      <w:pPr>
        <w:tabs>
          <w:tab w:val="left" w:pos="284"/>
          <w:tab w:val="left" w:pos="426"/>
        </w:tabs>
        <w:autoSpaceDE w:val="0"/>
        <w:autoSpaceDN w:val="0"/>
        <w:adjustRightInd w:val="0"/>
        <w:ind w:left="284"/>
        <w:rPr>
          <w:rFonts w:eastAsia="Calibri"/>
          <w:lang w:val="ru-RU"/>
        </w:rPr>
      </w:pPr>
      <w:r w:rsidRPr="00A83E0C">
        <w:rPr>
          <w:rFonts w:eastAsia="Calibri"/>
        </w:rPr>
        <w:t>N</w:t>
      </w:r>
      <w:r w:rsidR="00FA71E1" w:rsidRPr="00A83E0C">
        <w:rPr>
          <w:rFonts w:eastAsia="Calibri"/>
          <w:lang w:val="ru-RU"/>
        </w:rPr>
        <w:t>0 – нет признаков метастатического поражения регионарных лимфоузлов,</w:t>
      </w:r>
    </w:p>
    <w:p w14:paraId="7DE52D04" w14:textId="77777777" w:rsidR="00845025" w:rsidRPr="00A83E0C" w:rsidRDefault="00845025" w:rsidP="00845025">
      <w:pPr>
        <w:tabs>
          <w:tab w:val="left" w:pos="284"/>
          <w:tab w:val="left" w:pos="426"/>
        </w:tabs>
        <w:autoSpaceDE w:val="0"/>
        <w:autoSpaceDN w:val="0"/>
        <w:adjustRightInd w:val="0"/>
        <w:ind w:left="284"/>
        <w:rPr>
          <w:rFonts w:eastAsia="Calibri"/>
          <w:lang w:val="ru-RU"/>
        </w:rPr>
      </w:pPr>
      <w:r w:rsidRPr="00A83E0C">
        <w:rPr>
          <w:rFonts w:eastAsia="Calibri"/>
        </w:rPr>
        <w:t>N</w:t>
      </w:r>
      <w:r w:rsidR="00FA71E1" w:rsidRPr="00A83E0C">
        <w:rPr>
          <w:rFonts w:eastAsia="Calibri"/>
          <w:lang w:val="ru-RU"/>
        </w:rPr>
        <w:t>1 – наличие метастазов в 1-3 регионарных лимфоузлах,</w:t>
      </w:r>
    </w:p>
    <w:p w14:paraId="5BFCF281" w14:textId="77777777" w:rsidR="00845025" w:rsidRPr="00A83E0C" w:rsidRDefault="00845025" w:rsidP="00845025">
      <w:pPr>
        <w:tabs>
          <w:tab w:val="left" w:pos="284"/>
          <w:tab w:val="left" w:pos="426"/>
        </w:tabs>
        <w:autoSpaceDE w:val="0"/>
        <w:autoSpaceDN w:val="0"/>
        <w:adjustRightInd w:val="0"/>
        <w:ind w:left="284"/>
        <w:rPr>
          <w:rFonts w:eastAsia="Calibri"/>
          <w:lang w:val="ru-RU"/>
        </w:rPr>
      </w:pPr>
      <w:r w:rsidRPr="00A83E0C">
        <w:rPr>
          <w:rFonts w:eastAsia="Calibri"/>
        </w:rPr>
        <w:t>N</w:t>
      </w:r>
      <w:r w:rsidR="00FA71E1" w:rsidRPr="00A83E0C">
        <w:rPr>
          <w:rFonts w:eastAsia="Calibri"/>
          <w:lang w:val="ru-RU"/>
        </w:rPr>
        <w:t>2 - наличие метастазов в 4 или более регионарных лимфоузлах.</w:t>
      </w:r>
    </w:p>
    <w:p w14:paraId="11F0290A" w14:textId="77777777" w:rsidR="008C78EF" w:rsidRPr="00A83E0C" w:rsidRDefault="008C78EF" w:rsidP="008878EB">
      <w:pPr>
        <w:rPr>
          <w:rFonts w:eastAsia="Calibri"/>
          <w:lang w:val="ru-RU"/>
        </w:rPr>
      </w:pPr>
      <w:r w:rsidRPr="00A83E0C">
        <w:rPr>
          <w:rFonts w:eastAsia="Calibri"/>
          <w:lang w:val="ru-RU"/>
        </w:rPr>
        <w:t xml:space="preserve">Адекватное послеоперационное стадирование предполагает морфологическое изучение минимум </w:t>
      </w:r>
      <w:r w:rsidR="00142093" w:rsidRPr="00A83E0C">
        <w:rPr>
          <w:rFonts w:eastAsia="Calibri"/>
          <w:lang w:val="ru-RU"/>
        </w:rPr>
        <w:t>1</w:t>
      </w:r>
      <w:r w:rsidR="00A56F61" w:rsidRPr="00A83E0C">
        <w:rPr>
          <w:rFonts w:eastAsia="Calibri"/>
          <w:lang w:val="ru-RU"/>
        </w:rPr>
        <w:t>2</w:t>
      </w:r>
      <w:r w:rsidR="00142093" w:rsidRPr="00A83E0C">
        <w:rPr>
          <w:rFonts w:eastAsia="Calibri"/>
          <w:lang w:val="ru-RU"/>
        </w:rPr>
        <w:t xml:space="preserve"> </w:t>
      </w:r>
      <w:r w:rsidRPr="00A83E0C">
        <w:rPr>
          <w:rFonts w:eastAsia="Calibri"/>
          <w:lang w:val="ru-RU"/>
        </w:rPr>
        <w:t>лимфатических узлов.</w:t>
      </w:r>
    </w:p>
    <w:p w14:paraId="04BBA909" w14:textId="77777777" w:rsidR="00036DD8" w:rsidRDefault="00FA71E1" w:rsidP="00845025">
      <w:pPr>
        <w:tabs>
          <w:tab w:val="left" w:pos="284"/>
          <w:tab w:val="left" w:pos="426"/>
        </w:tabs>
        <w:autoSpaceDE w:val="0"/>
        <w:autoSpaceDN w:val="0"/>
        <w:adjustRightInd w:val="0"/>
        <w:rPr>
          <w:rFonts w:eastAsia="Calibri"/>
          <w:lang w:val="ru-RU"/>
        </w:rPr>
      </w:pPr>
      <w:r w:rsidRPr="00A83E0C">
        <w:rPr>
          <w:rFonts w:eastAsia="Calibri"/>
          <w:lang w:val="ru-RU"/>
        </w:rPr>
        <w:lastRenderedPageBreak/>
        <w:t xml:space="preserve">К регионарным лимфоузлам для опухоли головки поджелудочной железы относятся лимфоузлы вдоль общего желчного протока, общей печеночной артерии, воротной вены, пилорические, инфрапилорические, субпилорические, проксимальные брыжеечные, чревные, передние и задние панкреатодуоденальные, вдоль верхней брыжеечной вены и правой латеральной стенки верхней брыжеечной артерии. К регионарным лимфоузлам для опухоли тела и хвоста поджелудочной железы относятся лимфоузлы вдоль общей печеночной артерии, чревного ствола, селезеночной артерии, ворот селезенки, а также забрюшинные и латеральные аортальные лимфоузлы. </w:t>
      </w:r>
    </w:p>
    <w:p w14:paraId="456326DF" w14:textId="6B0A49BC" w:rsidR="00845025" w:rsidRPr="0089003D" w:rsidRDefault="00964910" w:rsidP="00845025">
      <w:pPr>
        <w:tabs>
          <w:tab w:val="left" w:pos="284"/>
          <w:tab w:val="left" w:pos="426"/>
        </w:tabs>
        <w:autoSpaceDE w:val="0"/>
        <w:autoSpaceDN w:val="0"/>
        <w:adjustRightInd w:val="0"/>
        <w:rPr>
          <w:rFonts w:eastAsia="Calibri"/>
          <w:lang w:val="ru-RU"/>
        </w:rPr>
      </w:pPr>
      <w:r w:rsidRPr="00964910">
        <w:rPr>
          <w:rFonts w:eastAsia="Calibri"/>
          <w:lang w:val="ru-RU"/>
        </w:rPr>
        <w:t>Существуют принципиальные разночтения в описании регионарных лимфатических узлов ТNM 8 редакции по версиям AJCC</w:t>
      </w:r>
      <w:r w:rsidR="00FD27C5">
        <w:rPr>
          <w:rFonts w:eastAsia="Calibri"/>
          <w:lang w:val="ru-RU"/>
        </w:rPr>
        <w:t xml:space="preserve"> и UICC. В</w:t>
      </w:r>
      <w:r w:rsidRPr="00964910">
        <w:rPr>
          <w:rFonts w:eastAsia="Calibri"/>
          <w:lang w:val="ru-RU"/>
        </w:rPr>
        <w:t xml:space="preserve"> то же время отсутствуют ссылки на работы</w:t>
      </w:r>
      <w:r w:rsidR="00FD27C5">
        <w:rPr>
          <w:rFonts w:eastAsia="Calibri"/>
          <w:lang w:val="ru-RU"/>
        </w:rPr>
        <w:t>,</w:t>
      </w:r>
      <w:r w:rsidRPr="00964910">
        <w:rPr>
          <w:rFonts w:eastAsia="Calibri"/>
          <w:lang w:val="ru-RU"/>
        </w:rPr>
        <w:t xml:space="preserve"> на основании которых в UICC латеральные аортальные лимфатические узл</w:t>
      </w:r>
      <w:r w:rsidR="0089003D">
        <w:rPr>
          <w:rFonts w:eastAsia="Calibri"/>
          <w:lang w:val="ru-RU"/>
        </w:rPr>
        <w:t>ы были отнесены к регионарным. Н</w:t>
      </w:r>
      <w:r w:rsidRPr="00964910">
        <w:rPr>
          <w:rFonts w:eastAsia="Calibri"/>
          <w:lang w:val="ru-RU"/>
        </w:rPr>
        <w:t>еобходимо учитывать данную информацию при составлении плана лечения пациентов</w:t>
      </w:r>
      <w:r w:rsidR="0089003D">
        <w:rPr>
          <w:rFonts w:eastAsia="Calibri"/>
          <w:lang w:val="ru-RU"/>
        </w:rPr>
        <w:t>.</w:t>
      </w:r>
    </w:p>
    <w:p w14:paraId="07D7025F" w14:textId="77777777" w:rsidR="008C78EF" w:rsidRPr="00A83E0C" w:rsidRDefault="008C78EF" w:rsidP="00DC7BE7">
      <w:pPr>
        <w:rPr>
          <w:rFonts w:eastAsia="Calibri"/>
          <w:b/>
          <w:lang w:val="ru-RU"/>
        </w:rPr>
      </w:pPr>
      <w:r w:rsidRPr="00A83E0C">
        <w:rPr>
          <w:rFonts w:eastAsia="Calibri"/>
          <w:b/>
          <w:lang w:val="ru-RU"/>
        </w:rPr>
        <w:t>Отдаленные метастазы (</w:t>
      </w:r>
      <w:r w:rsidRPr="00A83E0C">
        <w:rPr>
          <w:rFonts w:eastAsia="Calibri"/>
          <w:b/>
        </w:rPr>
        <w:t>M</w:t>
      </w:r>
      <w:r w:rsidRPr="00A83E0C">
        <w:rPr>
          <w:rFonts w:eastAsia="Calibri"/>
          <w:b/>
          <w:lang w:val="ru-RU"/>
        </w:rPr>
        <w:t>):</w:t>
      </w:r>
    </w:p>
    <w:p w14:paraId="5E82A351" w14:textId="77777777" w:rsidR="008C78EF" w:rsidRPr="00A83E0C" w:rsidRDefault="008C78EF" w:rsidP="00DC7BE7">
      <w:pPr>
        <w:rPr>
          <w:rFonts w:eastAsia="Calibri"/>
          <w:lang w:val="ru-RU"/>
        </w:rPr>
      </w:pPr>
      <w:r w:rsidRPr="00A83E0C">
        <w:rPr>
          <w:rFonts w:eastAsia="Calibri"/>
        </w:rPr>
        <w:t>M</w:t>
      </w:r>
      <w:r w:rsidRPr="00A83E0C">
        <w:rPr>
          <w:rFonts w:eastAsia="Calibri"/>
          <w:lang w:val="ru-RU"/>
        </w:rPr>
        <w:t>0 – нет отдаленных метастазов,</w:t>
      </w:r>
    </w:p>
    <w:p w14:paraId="54C04C17" w14:textId="77777777" w:rsidR="008C78EF" w:rsidRPr="00A83E0C" w:rsidRDefault="008C78EF" w:rsidP="00DC7BE7">
      <w:pPr>
        <w:rPr>
          <w:rFonts w:eastAsia="Calibri"/>
          <w:lang w:val="ru-RU"/>
        </w:rPr>
      </w:pPr>
      <w:r w:rsidRPr="00A83E0C">
        <w:rPr>
          <w:rFonts w:eastAsia="Calibri"/>
        </w:rPr>
        <w:t>M</w:t>
      </w:r>
      <w:r w:rsidRPr="00A83E0C">
        <w:rPr>
          <w:rFonts w:eastAsia="Calibri"/>
          <w:lang w:val="ru-RU"/>
        </w:rPr>
        <w:t>1 – наличие отдаленных метастазов.</w:t>
      </w:r>
    </w:p>
    <w:p w14:paraId="7033FD3F" w14:textId="77777777" w:rsidR="00845025" w:rsidRPr="00A83E0C" w:rsidRDefault="008C78EF" w:rsidP="00CC786A">
      <w:r w:rsidRPr="00A83E0C">
        <w:rPr>
          <w:rFonts w:eastAsia="Calibri"/>
          <w:lang w:val="ru-RU"/>
        </w:rPr>
        <w:t>Таблица 1. Стадирование рака поджелудочной железы</w:t>
      </w:r>
    </w:p>
    <w:tbl>
      <w:tblPr>
        <w:tblW w:w="5168"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59"/>
        <w:gridCol w:w="1529"/>
        <w:gridCol w:w="1573"/>
        <w:gridCol w:w="707"/>
      </w:tblGrid>
      <w:tr w:rsidR="00845025" w:rsidRPr="00A83E0C" w14:paraId="5B766448" w14:textId="77777777" w:rsidTr="0081216A">
        <w:trPr>
          <w:trHeight w:val="280"/>
          <w:tblCellSpacing w:w="15" w:type="dxa"/>
        </w:trPr>
        <w:tc>
          <w:tcPr>
            <w:tcW w:w="0" w:type="auto"/>
            <w:vAlign w:val="center"/>
            <w:hideMark/>
          </w:tcPr>
          <w:p w14:paraId="15875380" w14:textId="77777777" w:rsidR="00FA71E1" w:rsidRPr="00A83E0C" w:rsidRDefault="00845025" w:rsidP="00FA71E1">
            <w:pPr>
              <w:tabs>
                <w:tab w:val="left" w:pos="284"/>
                <w:tab w:val="left" w:pos="426"/>
              </w:tabs>
              <w:ind w:firstLine="0"/>
              <w:rPr>
                <w:b/>
              </w:rPr>
            </w:pPr>
            <w:r w:rsidRPr="00A83E0C">
              <w:rPr>
                <w:rStyle w:val="afd"/>
                <w:b w:val="0"/>
              </w:rPr>
              <w:t>Стадия</w:t>
            </w:r>
          </w:p>
        </w:tc>
        <w:tc>
          <w:tcPr>
            <w:tcW w:w="0" w:type="auto"/>
            <w:vAlign w:val="center"/>
            <w:hideMark/>
          </w:tcPr>
          <w:p w14:paraId="039B017D" w14:textId="77777777" w:rsidR="00FA71E1" w:rsidRPr="00A83E0C" w:rsidRDefault="00845025" w:rsidP="00FA71E1">
            <w:pPr>
              <w:tabs>
                <w:tab w:val="left" w:pos="284"/>
                <w:tab w:val="left" w:pos="426"/>
              </w:tabs>
              <w:ind w:firstLine="0"/>
              <w:rPr>
                <w:b/>
              </w:rPr>
            </w:pPr>
            <w:r w:rsidRPr="00A83E0C">
              <w:rPr>
                <w:rStyle w:val="afd"/>
                <w:b w:val="0"/>
              </w:rPr>
              <w:t>T</w:t>
            </w:r>
          </w:p>
        </w:tc>
        <w:tc>
          <w:tcPr>
            <w:tcW w:w="0" w:type="auto"/>
            <w:vAlign w:val="center"/>
            <w:hideMark/>
          </w:tcPr>
          <w:p w14:paraId="6C94BD6C" w14:textId="77777777" w:rsidR="00FA71E1" w:rsidRPr="00A83E0C" w:rsidRDefault="00845025" w:rsidP="00FA71E1">
            <w:pPr>
              <w:tabs>
                <w:tab w:val="left" w:pos="284"/>
                <w:tab w:val="left" w:pos="426"/>
              </w:tabs>
              <w:ind w:firstLine="0"/>
              <w:rPr>
                <w:b/>
              </w:rPr>
            </w:pPr>
            <w:r w:rsidRPr="00A83E0C">
              <w:rPr>
                <w:rStyle w:val="afd"/>
                <w:b w:val="0"/>
              </w:rPr>
              <w:t>N</w:t>
            </w:r>
          </w:p>
        </w:tc>
        <w:tc>
          <w:tcPr>
            <w:tcW w:w="0" w:type="auto"/>
            <w:vAlign w:val="center"/>
            <w:hideMark/>
          </w:tcPr>
          <w:p w14:paraId="2133CE19" w14:textId="77777777" w:rsidR="00FA71E1" w:rsidRPr="00A83E0C" w:rsidRDefault="00845025" w:rsidP="00FA71E1">
            <w:pPr>
              <w:tabs>
                <w:tab w:val="left" w:pos="284"/>
                <w:tab w:val="left" w:pos="426"/>
              </w:tabs>
              <w:ind w:firstLine="0"/>
              <w:rPr>
                <w:b/>
              </w:rPr>
            </w:pPr>
            <w:r w:rsidRPr="00A83E0C">
              <w:rPr>
                <w:rStyle w:val="afd"/>
                <w:b w:val="0"/>
              </w:rPr>
              <w:t>M</w:t>
            </w:r>
          </w:p>
        </w:tc>
      </w:tr>
      <w:tr w:rsidR="00845025" w:rsidRPr="00A83E0C" w14:paraId="2B24D8C7" w14:textId="77777777" w:rsidTr="0081216A">
        <w:trPr>
          <w:trHeight w:val="265"/>
          <w:tblCellSpacing w:w="15" w:type="dxa"/>
        </w:trPr>
        <w:tc>
          <w:tcPr>
            <w:tcW w:w="0" w:type="auto"/>
            <w:vAlign w:val="center"/>
            <w:hideMark/>
          </w:tcPr>
          <w:p w14:paraId="67F1F7C5" w14:textId="77777777" w:rsidR="00FA71E1" w:rsidRPr="00A83E0C" w:rsidRDefault="00845025" w:rsidP="00FA71E1">
            <w:pPr>
              <w:tabs>
                <w:tab w:val="left" w:pos="284"/>
                <w:tab w:val="left" w:pos="426"/>
              </w:tabs>
              <w:ind w:firstLine="0"/>
            </w:pPr>
            <w:r w:rsidRPr="00A83E0C">
              <w:t>0</w:t>
            </w:r>
          </w:p>
        </w:tc>
        <w:tc>
          <w:tcPr>
            <w:tcW w:w="0" w:type="auto"/>
            <w:vAlign w:val="center"/>
            <w:hideMark/>
          </w:tcPr>
          <w:p w14:paraId="48BB23B2" w14:textId="77777777" w:rsidR="00FA71E1" w:rsidRPr="00A83E0C" w:rsidRDefault="00845025" w:rsidP="00FA71E1">
            <w:pPr>
              <w:tabs>
                <w:tab w:val="left" w:pos="284"/>
                <w:tab w:val="left" w:pos="426"/>
              </w:tabs>
              <w:ind w:firstLine="0"/>
            </w:pPr>
            <w:r w:rsidRPr="00A83E0C">
              <w:t>Tis</w:t>
            </w:r>
          </w:p>
        </w:tc>
        <w:tc>
          <w:tcPr>
            <w:tcW w:w="0" w:type="auto"/>
            <w:vAlign w:val="center"/>
            <w:hideMark/>
          </w:tcPr>
          <w:p w14:paraId="4E55496B" w14:textId="77777777" w:rsidR="00FA71E1" w:rsidRPr="00A83E0C" w:rsidRDefault="00845025" w:rsidP="00FA71E1">
            <w:pPr>
              <w:tabs>
                <w:tab w:val="left" w:pos="284"/>
                <w:tab w:val="left" w:pos="426"/>
              </w:tabs>
              <w:ind w:firstLine="0"/>
            </w:pPr>
            <w:r w:rsidRPr="00A83E0C">
              <w:t>N0</w:t>
            </w:r>
          </w:p>
        </w:tc>
        <w:tc>
          <w:tcPr>
            <w:tcW w:w="0" w:type="auto"/>
            <w:vAlign w:val="center"/>
            <w:hideMark/>
          </w:tcPr>
          <w:p w14:paraId="38EE5AF9" w14:textId="77777777" w:rsidR="00FA71E1" w:rsidRPr="00A83E0C" w:rsidRDefault="00845025" w:rsidP="00FA71E1">
            <w:pPr>
              <w:tabs>
                <w:tab w:val="left" w:pos="284"/>
                <w:tab w:val="left" w:pos="426"/>
              </w:tabs>
              <w:ind w:firstLine="0"/>
            </w:pPr>
            <w:r w:rsidRPr="00A83E0C">
              <w:t>M0</w:t>
            </w:r>
          </w:p>
        </w:tc>
      </w:tr>
      <w:tr w:rsidR="00845025" w:rsidRPr="00A83E0C" w14:paraId="1D256EC4" w14:textId="77777777" w:rsidTr="0081216A">
        <w:trPr>
          <w:trHeight w:val="280"/>
          <w:tblCellSpacing w:w="15" w:type="dxa"/>
        </w:trPr>
        <w:tc>
          <w:tcPr>
            <w:tcW w:w="0" w:type="auto"/>
            <w:vAlign w:val="center"/>
            <w:hideMark/>
          </w:tcPr>
          <w:p w14:paraId="3F9D075C" w14:textId="77777777" w:rsidR="00FA71E1" w:rsidRPr="00A83E0C" w:rsidRDefault="00845025" w:rsidP="00FA71E1">
            <w:pPr>
              <w:tabs>
                <w:tab w:val="left" w:pos="284"/>
                <w:tab w:val="left" w:pos="426"/>
              </w:tabs>
              <w:ind w:firstLine="0"/>
            </w:pPr>
            <w:r w:rsidRPr="00A83E0C">
              <w:t>IA</w:t>
            </w:r>
          </w:p>
        </w:tc>
        <w:tc>
          <w:tcPr>
            <w:tcW w:w="0" w:type="auto"/>
            <w:vAlign w:val="center"/>
            <w:hideMark/>
          </w:tcPr>
          <w:p w14:paraId="06302FB0" w14:textId="77777777" w:rsidR="00FA71E1" w:rsidRPr="00A83E0C" w:rsidRDefault="00845025" w:rsidP="00FA71E1">
            <w:pPr>
              <w:tabs>
                <w:tab w:val="left" w:pos="284"/>
                <w:tab w:val="left" w:pos="426"/>
              </w:tabs>
              <w:ind w:firstLine="0"/>
            </w:pPr>
            <w:r w:rsidRPr="00A83E0C">
              <w:t>T1</w:t>
            </w:r>
          </w:p>
        </w:tc>
        <w:tc>
          <w:tcPr>
            <w:tcW w:w="0" w:type="auto"/>
            <w:vAlign w:val="center"/>
            <w:hideMark/>
          </w:tcPr>
          <w:p w14:paraId="01A22F8F" w14:textId="77777777" w:rsidR="00FA71E1" w:rsidRPr="00A83E0C" w:rsidRDefault="00845025" w:rsidP="00FA71E1">
            <w:pPr>
              <w:tabs>
                <w:tab w:val="left" w:pos="284"/>
                <w:tab w:val="left" w:pos="426"/>
              </w:tabs>
              <w:ind w:firstLine="0"/>
            </w:pPr>
            <w:r w:rsidRPr="00A83E0C">
              <w:t>N0</w:t>
            </w:r>
          </w:p>
        </w:tc>
        <w:tc>
          <w:tcPr>
            <w:tcW w:w="0" w:type="auto"/>
            <w:vAlign w:val="center"/>
            <w:hideMark/>
          </w:tcPr>
          <w:p w14:paraId="46073267" w14:textId="77777777" w:rsidR="00FA71E1" w:rsidRPr="00A83E0C" w:rsidRDefault="00845025" w:rsidP="00FA71E1">
            <w:pPr>
              <w:tabs>
                <w:tab w:val="left" w:pos="284"/>
                <w:tab w:val="left" w:pos="426"/>
              </w:tabs>
              <w:ind w:firstLine="0"/>
            </w:pPr>
            <w:r w:rsidRPr="00A83E0C">
              <w:t>M0</w:t>
            </w:r>
          </w:p>
        </w:tc>
      </w:tr>
      <w:tr w:rsidR="00845025" w:rsidRPr="00A83E0C" w14:paraId="70B12A2C" w14:textId="77777777" w:rsidTr="0081216A">
        <w:trPr>
          <w:trHeight w:val="265"/>
          <w:tblCellSpacing w:w="15" w:type="dxa"/>
        </w:trPr>
        <w:tc>
          <w:tcPr>
            <w:tcW w:w="0" w:type="auto"/>
            <w:vAlign w:val="center"/>
            <w:hideMark/>
          </w:tcPr>
          <w:p w14:paraId="40170FDF" w14:textId="77777777" w:rsidR="00FA71E1" w:rsidRPr="00A83E0C" w:rsidRDefault="00845025" w:rsidP="00FA71E1">
            <w:pPr>
              <w:tabs>
                <w:tab w:val="left" w:pos="284"/>
                <w:tab w:val="left" w:pos="426"/>
              </w:tabs>
              <w:ind w:firstLine="0"/>
            </w:pPr>
            <w:r w:rsidRPr="00A83E0C">
              <w:t>IB</w:t>
            </w:r>
          </w:p>
        </w:tc>
        <w:tc>
          <w:tcPr>
            <w:tcW w:w="0" w:type="auto"/>
            <w:vAlign w:val="center"/>
            <w:hideMark/>
          </w:tcPr>
          <w:p w14:paraId="4FC8C078" w14:textId="77777777" w:rsidR="00FA71E1" w:rsidRPr="00A83E0C" w:rsidRDefault="00845025" w:rsidP="00FA71E1">
            <w:pPr>
              <w:tabs>
                <w:tab w:val="left" w:pos="284"/>
                <w:tab w:val="left" w:pos="426"/>
              </w:tabs>
              <w:ind w:firstLine="0"/>
            </w:pPr>
            <w:r w:rsidRPr="00A83E0C">
              <w:t>T2</w:t>
            </w:r>
          </w:p>
        </w:tc>
        <w:tc>
          <w:tcPr>
            <w:tcW w:w="0" w:type="auto"/>
            <w:vAlign w:val="center"/>
            <w:hideMark/>
          </w:tcPr>
          <w:p w14:paraId="638C88FE" w14:textId="77777777" w:rsidR="00FA71E1" w:rsidRPr="00A83E0C" w:rsidRDefault="00845025" w:rsidP="00FA71E1">
            <w:pPr>
              <w:tabs>
                <w:tab w:val="left" w:pos="284"/>
                <w:tab w:val="left" w:pos="426"/>
              </w:tabs>
              <w:ind w:firstLine="0"/>
            </w:pPr>
            <w:r w:rsidRPr="00A83E0C">
              <w:t>N0</w:t>
            </w:r>
          </w:p>
        </w:tc>
        <w:tc>
          <w:tcPr>
            <w:tcW w:w="0" w:type="auto"/>
            <w:vAlign w:val="center"/>
            <w:hideMark/>
          </w:tcPr>
          <w:p w14:paraId="21706A77" w14:textId="77777777" w:rsidR="00FA71E1" w:rsidRPr="00A83E0C" w:rsidRDefault="00845025" w:rsidP="00FA71E1">
            <w:pPr>
              <w:tabs>
                <w:tab w:val="left" w:pos="284"/>
                <w:tab w:val="left" w:pos="426"/>
              </w:tabs>
              <w:ind w:firstLine="0"/>
            </w:pPr>
            <w:r w:rsidRPr="00A83E0C">
              <w:t>M0</w:t>
            </w:r>
          </w:p>
        </w:tc>
      </w:tr>
      <w:tr w:rsidR="00845025" w:rsidRPr="00A83E0C" w14:paraId="3F89EF6C" w14:textId="77777777" w:rsidTr="0081216A">
        <w:trPr>
          <w:trHeight w:val="280"/>
          <w:tblCellSpacing w:w="15" w:type="dxa"/>
        </w:trPr>
        <w:tc>
          <w:tcPr>
            <w:tcW w:w="0" w:type="auto"/>
            <w:vAlign w:val="center"/>
            <w:hideMark/>
          </w:tcPr>
          <w:p w14:paraId="57ABDD1C" w14:textId="77777777" w:rsidR="00FA71E1" w:rsidRPr="00A83E0C" w:rsidRDefault="00845025" w:rsidP="00FA71E1">
            <w:pPr>
              <w:tabs>
                <w:tab w:val="left" w:pos="284"/>
                <w:tab w:val="left" w:pos="426"/>
              </w:tabs>
              <w:ind w:firstLine="0"/>
            </w:pPr>
            <w:r w:rsidRPr="00A83E0C">
              <w:t>IIA</w:t>
            </w:r>
          </w:p>
        </w:tc>
        <w:tc>
          <w:tcPr>
            <w:tcW w:w="0" w:type="auto"/>
            <w:vAlign w:val="center"/>
            <w:hideMark/>
          </w:tcPr>
          <w:p w14:paraId="774E5036" w14:textId="77777777" w:rsidR="00FA71E1" w:rsidRPr="00A83E0C" w:rsidRDefault="00845025" w:rsidP="00FA71E1">
            <w:pPr>
              <w:tabs>
                <w:tab w:val="left" w:pos="284"/>
                <w:tab w:val="left" w:pos="426"/>
              </w:tabs>
              <w:ind w:firstLine="0"/>
            </w:pPr>
            <w:r w:rsidRPr="00A83E0C">
              <w:t>T3</w:t>
            </w:r>
          </w:p>
        </w:tc>
        <w:tc>
          <w:tcPr>
            <w:tcW w:w="0" w:type="auto"/>
            <w:vAlign w:val="center"/>
            <w:hideMark/>
          </w:tcPr>
          <w:p w14:paraId="12682E0B" w14:textId="77777777" w:rsidR="00FA71E1" w:rsidRPr="00A83E0C" w:rsidRDefault="00845025" w:rsidP="00FA71E1">
            <w:pPr>
              <w:tabs>
                <w:tab w:val="left" w:pos="284"/>
                <w:tab w:val="left" w:pos="426"/>
              </w:tabs>
              <w:ind w:firstLine="0"/>
            </w:pPr>
            <w:r w:rsidRPr="00A83E0C">
              <w:t>N0</w:t>
            </w:r>
          </w:p>
        </w:tc>
        <w:tc>
          <w:tcPr>
            <w:tcW w:w="0" w:type="auto"/>
            <w:vAlign w:val="center"/>
            <w:hideMark/>
          </w:tcPr>
          <w:p w14:paraId="41BB0A60" w14:textId="77777777" w:rsidR="00FA71E1" w:rsidRPr="00A83E0C" w:rsidRDefault="00845025" w:rsidP="00FA71E1">
            <w:pPr>
              <w:tabs>
                <w:tab w:val="left" w:pos="284"/>
                <w:tab w:val="left" w:pos="426"/>
              </w:tabs>
              <w:ind w:firstLine="0"/>
            </w:pPr>
            <w:r w:rsidRPr="00A83E0C">
              <w:t>M0</w:t>
            </w:r>
          </w:p>
        </w:tc>
      </w:tr>
      <w:tr w:rsidR="00845025" w:rsidRPr="00A83E0C" w14:paraId="5803D08F" w14:textId="77777777" w:rsidTr="0081216A">
        <w:trPr>
          <w:trHeight w:val="295"/>
          <w:tblCellSpacing w:w="15" w:type="dxa"/>
        </w:trPr>
        <w:tc>
          <w:tcPr>
            <w:tcW w:w="0" w:type="auto"/>
            <w:vAlign w:val="center"/>
            <w:hideMark/>
          </w:tcPr>
          <w:p w14:paraId="29B2E750" w14:textId="77777777" w:rsidR="00FA71E1" w:rsidRPr="00A83E0C" w:rsidRDefault="00845025" w:rsidP="00FA71E1">
            <w:pPr>
              <w:tabs>
                <w:tab w:val="left" w:pos="284"/>
                <w:tab w:val="left" w:pos="426"/>
              </w:tabs>
              <w:ind w:firstLine="0"/>
            </w:pPr>
            <w:r w:rsidRPr="00A83E0C">
              <w:t>IIB</w:t>
            </w:r>
          </w:p>
        </w:tc>
        <w:tc>
          <w:tcPr>
            <w:tcW w:w="0" w:type="auto"/>
            <w:vAlign w:val="center"/>
            <w:hideMark/>
          </w:tcPr>
          <w:p w14:paraId="4F60C32D" w14:textId="77777777" w:rsidR="00FA71E1" w:rsidRPr="00A83E0C" w:rsidRDefault="00845025" w:rsidP="00FA71E1">
            <w:pPr>
              <w:tabs>
                <w:tab w:val="left" w:pos="284"/>
                <w:tab w:val="left" w:pos="426"/>
              </w:tabs>
              <w:ind w:firstLine="0"/>
            </w:pPr>
            <w:r w:rsidRPr="00A83E0C">
              <w:t>T1-3</w:t>
            </w:r>
          </w:p>
        </w:tc>
        <w:tc>
          <w:tcPr>
            <w:tcW w:w="0" w:type="auto"/>
            <w:vAlign w:val="center"/>
            <w:hideMark/>
          </w:tcPr>
          <w:p w14:paraId="4E2C6A64" w14:textId="77777777" w:rsidR="00FA71E1" w:rsidRPr="00A83E0C" w:rsidRDefault="00845025" w:rsidP="00FA71E1">
            <w:pPr>
              <w:tabs>
                <w:tab w:val="left" w:pos="284"/>
                <w:tab w:val="left" w:pos="426"/>
              </w:tabs>
              <w:ind w:firstLine="0"/>
            </w:pPr>
            <w:r w:rsidRPr="00A83E0C">
              <w:t>N1</w:t>
            </w:r>
          </w:p>
        </w:tc>
        <w:tc>
          <w:tcPr>
            <w:tcW w:w="0" w:type="auto"/>
            <w:vAlign w:val="center"/>
            <w:hideMark/>
          </w:tcPr>
          <w:p w14:paraId="18FA5E64" w14:textId="77777777" w:rsidR="00FA71E1" w:rsidRPr="00A83E0C" w:rsidRDefault="00845025" w:rsidP="00FA71E1">
            <w:pPr>
              <w:tabs>
                <w:tab w:val="left" w:pos="284"/>
                <w:tab w:val="left" w:pos="426"/>
              </w:tabs>
              <w:ind w:firstLine="0"/>
            </w:pPr>
            <w:r w:rsidRPr="00A83E0C">
              <w:t>M0</w:t>
            </w:r>
          </w:p>
        </w:tc>
      </w:tr>
      <w:tr w:rsidR="00845025" w:rsidRPr="00A83E0C" w14:paraId="7DF9E143" w14:textId="77777777" w:rsidTr="0081216A">
        <w:trPr>
          <w:trHeight w:val="141"/>
          <w:tblCellSpacing w:w="15" w:type="dxa"/>
        </w:trPr>
        <w:tc>
          <w:tcPr>
            <w:tcW w:w="0" w:type="auto"/>
            <w:vMerge w:val="restart"/>
            <w:vAlign w:val="center"/>
            <w:hideMark/>
          </w:tcPr>
          <w:p w14:paraId="2564DA90" w14:textId="77777777" w:rsidR="00FA71E1" w:rsidRPr="00A83E0C" w:rsidRDefault="00845025" w:rsidP="00FA71E1">
            <w:pPr>
              <w:tabs>
                <w:tab w:val="left" w:pos="284"/>
                <w:tab w:val="left" w:pos="426"/>
              </w:tabs>
              <w:ind w:firstLine="0"/>
            </w:pPr>
            <w:r w:rsidRPr="00A83E0C">
              <w:t>III</w:t>
            </w:r>
          </w:p>
        </w:tc>
        <w:tc>
          <w:tcPr>
            <w:tcW w:w="0" w:type="auto"/>
            <w:vAlign w:val="center"/>
            <w:hideMark/>
          </w:tcPr>
          <w:p w14:paraId="29218D45" w14:textId="77777777" w:rsidR="00FA71E1" w:rsidRPr="00A83E0C" w:rsidRDefault="00845025" w:rsidP="00FA71E1">
            <w:pPr>
              <w:tabs>
                <w:tab w:val="left" w:pos="284"/>
                <w:tab w:val="left" w:pos="426"/>
              </w:tabs>
              <w:ind w:firstLine="0"/>
            </w:pPr>
            <w:r w:rsidRPr="00A83E0C">
              <w:t>T1-3</w:t>
            </w:r>
          </w:p>
        </w:tc>
        <w:tc>
          <w:tcPr>
            <w:tcW w:w="0" w:type="auto"/>
            <w:vAlign w:val="center"/>
            <w:hideMark/>
          </w:tcPr>
          <w:p w14:paraId="07356A6F" w14:textId="77777777" w:rsidR="00FA71E1" w:rsidRPr="00A83E0C" w:rsidRDefault="00845025" w:rsidP="00FA71E1">
            <w:pPr>
              <w:tabs>
                <w:tab w:val="left" w:pos="284"/>
                <w:tab w:val="left" w:pos="426"/>
              </w:tabs>
              <w:ind w:firstLine="0"/>
            </w:pPr>
            <w:r w:rsidRPr="00A83E0C">
              <w:t>N2</w:t>
            </w:r>
          </w:p>
        </w:tc>
        <w:tc>
          <w:tcPr>
            <w:tcW w:w="0" w:type="auto"/>
            <w:vAlign w:val="center"/>
            <w:hideMark/>
          </w:tcPr>
          <w:p w14:paraId="2740DA0D" w14:textId="77777777" w:rsidR="00FA71E1" w:rsidRPr="00A83E0C" w:rsidRDefault="00845025" w:rsidP="00FA71E1">
            <w:pPr>
              <w:tabs>
                <w:tab w:val="left" w:pos="284"/>
                <w:tab w:val="left" w:pos="426"/>
              </w:tabs>
              <w:ind w:firstLine="0"/>
            </w:pPr>
            <w:r w:rsidRPr="00A83E0C">
              <w:t>M0</w:t>
            </w:r>
          </w:p>
        </w:tc>
      </w:tr>
      <w:tr w:rsidR="00845025" w:rsidRPr="00A83E0C" w14:paraId="0800E9FF" w14:textId="77777777" w:rsidTr="0081216A">
        <w:trPr>
          <w:trHeight w:val="280"/>
          <w:tblCellSpacing w:w="15" w:type="dxa"/>
        </w:trPr>
        <w:tc>
          <w:tcPr>
            <w:tcW w:w="0" w:type="auto"/>
            <w:vMerge/>
            <w:vAlign w:val="center"/>
            <w:hideMark/>
          </w:tcPr>
          <w:p w14:paraId="7643BE8C" w14:textId="77777777" w:rsidR="00FA71E1" w:rsidRPr="00A83E0C" w:rsidRDefault="00FA71E1" w:rsidP="00FA71E1">
            <w:pPr>
              <w:tabs>
                <w:tab w:val="left" w:pos="284"/>
                <w:tab w:val="left" w:pos="426"/>
              </w:tabs>
              <w:ind w:firstLine="0"/>
            </w:pPr>
          </w:p>
        </w:tc>
        <w:tc>
          <w:tcPr>
            <w:tcW w:w="0" w:type="auto"/>
            <w:vAlign w:val="center"/>
            <w:hideMark/>
          </w:tcPr>
          <w:p w14:paraId="1FF200C4" w14:textId="77777777" w:rsidR="00FA71E1" w:rsidRPr="00A83E0C" w:rsidRDefault="00845025" w:rsidP="00FA71E1">
            <w:pPr>
              <w:tabs>
                <w:tab w:val="left" w:pos="284"/>
                <w:tab w:val="left" w:pos="426"/>
              </w:tabs>
              <w:ind w:firstLine="0"/>
            </w:pPr>
            <w:r w:rsidRPr="00A83E0C">
              <w:t>T4</w:t>
            </w:r>
          </w:p>
        </w:tc>
        <w:tc>
          <w:tcPr>
            <w:tcW w:w="0" w:type="auto"/>
            <w:vAlign w:val="center"/>
            <w:hideMark/>
          </w:tcPr>
          <w:p w14:paraId="22141514" w14:textId="77777777" w:rsidR="00FA71E1" w:rsidRPr="00A83E0C" w:rsidRDefault="00845025" w:rsidP="00FA71E1">
            <w:pPr>
              <w:tabs>
                <w:tab w:val="left" w:pos="284"/>
                <w:tab w:val="left" w:pos="426"/>
              </w:tabs>
              <w:ind w:firstLine="0"/>
            </w:pPr>
            <w:r w:rsidRPr="00A83E0C">
              <w:t>любая N</w:t>
            </w:r>
          </w:p>
        </w:tc>
        <w:tc>
          <w:tcPr>
            <w:tcW w:w="0" w:type="auto"/>
            <w:vAlign w:val="center"/>
            <w:hideMark/>
          </w:tcPr>
          <w:p w14:paraId="77796ABE" w14:textId="77777777" w:rsidR="00FA71E1" w:rsidRPr="00A83E0C" w:rsidRDefault="00845025" w:rsidP="00FA71E1">
            <w:pPr>
              <w:tabs>
                <w:tab w:val="left" w:pos="284"/>
                <w:tab w:val="left" w:pos="426"/>
              </w:tabs>
              <w:ind w:firstLine="0"/>
            </w:pPr>
            <w:r w:rsidRPr="00A83E0C">
              <w:t>M0</w:t>
            </w:r>
          </w:p>
        </w:tc>
      </w:tr>
      <w:tr w:rsidR="00845025" w:rsidRPr="00A83E0C" w14:paraId="74EFDC96" w14:textId="77777777" w:rsidTr="0081216A">
        <w:trPr>
          <w:trHeight w:val="280"/>
          <w:tblCellSpacing w:w="15" w:type="dxa"/>
        </w:trPr>
        <w:tc>
          <w:tcPr>
            <w:tcW w:w="0" w:type="auto"/>
            <w:vAlign w:val="center"/>
            <w:hideMark/>
          </w:tcPr>
          <w:p w14:paraId="261D8F90" w14:textId="77777777" w:rsidR="00FA71E1" w:rsidRPr="00A83E0C" w:rsidRDefault="00845025" w:rsidP="00FA71E1">
            <w:pPr>
              <w:tabs>
                <w:tab w:val="left" w:pos="284"/>
                <w:tab w:val="left" w:pos="426"/>
              </w:tabs>
              <w:ind w:firstLine="0"/>
            </w:pPr>
            <w:r w:rsidRPr="00A83E0C">
              <w:t>IV</w:t>
            </w:r>
          </w:p>
        </w:tc>
        <w:tc>
          <w:tcPr>
            <w:tcW w:w="0" w:type="auto"/>
            <w:vAlign w:val="center"/>
            <w:hideMark/>
          </w:tcPr>
          <w:p w14:paraId="57195C6E" w14:textId="77777777" w:rsidR="00FA71E1" w:rsidRPr="00A83E0C" w:rsidRDefault="00845025" w:rsidP="00FA71E1">
            <w:pPr>
              <w:tabs>
                <w:tab w:val="left" w:pos="284"/>
                <w:tab w:val="left" w:pos="426"/>
              </w:tabs>
              <w:ind w:firstLine="0"/>
            </w:pPr>
            <w:r w:rsidRPr="00A83E0C">
              <w:t>любая T</w:t>
            </w:r>
          </w:p>
        </w:tc>
        <w:tc>
          <w:tcPr>
            <w:tcW w:w="0" w:type="auto"/>
            <w:vAlign w:val="center"/>
            <w:hideMark/>
          </w:tcPr>
          <w:p w14:paraId="02FBCEFE" w14:textId="77777777" w:rsidR="00FA71E1" w:rsidRPr="00A83E0C" w:rsidRDefault="00845025" w:rsidP="00FA71E1">
            <w:pPr>
              <w:tabs>
                <w:tab w:val="left" w:pos="284"/>
                <w:tab w:val="left" w:pos="426"/>
              </w:tabs>
              <w:ind w:firstLine="0"/>
            </w:pPr>
            <w:r w:rsidRPr="00A83E0C">
              <w:t>любая N</w:t>
            </w:r>
          </w:p>
        </w:tc>
        <w:tc>
          <w:tcPr>
            <w:tcW w:w="0" w:type="auto"/>
            <w:vAlign w:val="center"/>
            <w:hideMark/>
          </w:tcPr>
          <w:p w14:paraId="11409063" w14:textId="77777777" w:rsidR="00FA71E1" w:rsidRPr="00A83E0C" w:rsidRDefault="00845025" w:rsidP="00FA71E1">
            <w:pPr>
              <w:tabs>
                <w:tab w:val="left" w:pos="284"/>
                <w:tab w:val="left" w:pos="426"/>
              </w:tabs>
              <w:ind w:firstLine="0"/>
            </w:pPr>
            <w:r w:rsidRPr="00A83E0C">
              <w:t>M1</w:t>
            </w:r>
          </w:p>
        </w:tc>
      </w:tr>
    </w:tbl>
    <w:p w14:paraId="30EE674C" w14:textId="77777777" w:rsidR="00B53A9F" w:rsidRPr="00A83E0C" w:rsidRDefault="00B53A9F" w:rsidP="008859E0">
      <w:pPr>
        <w:pStyle w:val="3"/>
        <w:rPr>
          <w:lang w:val="ru-RU"/>
        </w:rPr>
      </w:pPr>
      <w:bookmarkStart w:id="10" w:name="_Toc158632216"/>
      <w:r w:rsidRPr="00A83E0C">
        <w:rPr>
          <w:lang w:val="ru-RU"/>
        </w:rPr>
        <w:t>1.6 Клиническая картина заболевания или состояния (группы заболеваний или состояний)</w:t>
      </w:r>
      <w:bookmarkEnd w:id="10"/>
    </w:p>
    <w:p w14:paraId="44FD8B60" w14:textId="77777777" w:rsidR="00B53A9F" w:rsidRPr="00A83E0C" w:rsidRDefault="00B53A9F" w:rsidP="00B53A9F">
      <w:pPr>
        <w:tabs>
          <w:tab w:val="left" w:pos="284"/>
          <w:tab w:val="left" w:pos="426"/>
        </w:tabs>
        <w:autoSpaceDE w:val="0"/>
        <w:autoSpaceDN w:val="0"/>
        <w:adjustRightInd w:val="0"/>
        <w:rPr>
          <w:rFonts w:eastAsia="Calibri"/>
          <w:lang w:val="ru-RU"/>
        </w:rPr>
      </w:pPr>
      <w:r w:rsidRPr="00A83E0C">
        <w:rPr>
          <w:rFonts w:eastAsia="Calibri"/>
          <w:lang w:val="ru-RU"/>
        </w:rPr>
        <w:t xml:space="preserve">Рак головки поджелудочной железы чаще манифестирует с развития желтухи, вызванной обструкцией желчных протоков. Однако при раке тела и хвоста поджелудочной железы первыми симптомами заболевания, как правило, являются снижение массы тела, </w:t>
      </w:r>
      <w:r w:rsidRPr="00A83E0C">
        <w:rPr>
          <w:rFonts w:eastAsia="Calibri"/>
          <w:lang w:val="ru-RU"/>
        </w:rPr>
        <w:lastRenderedPageBreak/>
        <w:t>появление болей в животе и повышение глюкозы в крови. Неспецифичность симптомов</w:t>
      </w:r>
      <w:r w:rsidR="00D5044A">
        <w:rPr>
          <w:rFonts w:eastAsia="Calibri"/>
          <w:lang w:val="ru-RU"/>
        </w:rPr>
        <w:t xml:space="preserve"> и их</w:t>
      </w:r>
      <w:r w:rsidR="003C1E53">
        <w:rPr>
          <w:rFonts w:eastAsia="Calibri"/>
          <w:lang w:val="ru-RU"/>
        </w:rPr>
        <w:t xml:space="preserve"> </w:t>
      </w:r>
      <w:r w:rsidRPr="00A83E0C">
        <w:rPr>
          <w:rFonts w:eastAsia="Calibri"/>
          <w:lang w:val="ru-RU"/>
        </w:rPr>
        <w:t xml:space="preserve">появление только в поздний период развития заболевания приводят к тому, что большая часть пациентов имеют </w:t>
      </w:r>
      <w:r w:rsidRPr="00A83E0C">
        <w:rPr>
          <w:rFonts w:eastAsia="Calibri"/>
        </w:rPr>
        <w:t>III</w:t>
      </w:r>
      <w:r w:rsidRPr="00A83E0C">
        <w:rPr>
          <w:rFonts w:eastAsia="Calibri"/>
          <w:lang w:val="ru-RU"/>
        </w:rPr>
        <w:t>-</w:t>
      </w:r>
      <w:r w:rsidRPr="00A83E0C">
        <w:rPr>
          <w:rFonts w:eastAsia="Calibri"/>
        </w:rPr>
        <w:t>IV</w:t>
      </w:r>
      <w:r w:rsidRPr="00A83E0C">
        <w:rPr>
          <w:rFonts w:eastAsia="Calibri"/>
          <w:lang w:val="ru-RU"/>
        </w:rPr>
        <w:t xml:space="preserve"> стадии на момент </w:t>
      </w:r>
      <w:r w:rsidR="00D5044A">
        <w:rPr>
          <w:rFonts w:eastAsia="Calibri"/>
          <w:lang w:val="ru-RU"/>
        </w:rPr>
        <w:t>первичной диагностики</w:t>
      </w:r>
      <w:r w:rsidRPr="00A83E0C">
        <w:rPr>
          <w:rFonts w:eastAsia="Calibri"/>
          <w:lang w:val="ru-RU"/>
        </w:rPr>
        <w:t xml:space="preserve">. </w:t>
      </w:r>
    </w:p>
    <w:p w14:paraId="4DD8C7A1" w14:textId="77777777" w:rsidR="00996A3D" w:rsidRPr="00A83E0C" w:rsidRDefault="00996A3D" w:rsidP="000B3A53">
      <w:pPr>
        <w:pStyle w:val="1"/>
      </w:pPr>
      <w:bookmarkStart w:id="11" w:name="_Toc158632217"/>
      <w:r w:rsidRPr="00A83E0C">
        <w:lastRenderedPageBreak/>
        <w:t xml:space="preserve">2. </w:t>
      </w:r>
      <w:r w:rsidR="00CC1108" w:rsidRPr="00A83E0C">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1"/>
    </w:p>
    <w:p w14:paraId="106F3898" w14:textId="77777777" w:rsidR="00EA5F64" w:rsidRPr="00A83E0C" w:rsidRDefault="00EA5F64" w:rsidP="00EA5F64">
      <w:pPr>
        <w:pStyle w:val="3"/>
      </w:pPr>
      <w:bookmarkStart w:id="12" w:name="_Toc158632218"/>
      <w:r w:rsidRPr="00A83E0C">
        <w:t>Критерии установления диагноза/состояния:</w:t>
      </w:r>
      <w:bookmarkEnd w:id="12"/>
      <w:r w:rsidRPr="00A83E0C">
        <w:t xml:space="preserve"> </w:t>
      </w:r>
    </w:p>
    <w:p w14:paraId="15DACF2D" w14:textId="77777777" w:rsidR="00EA5F64" w:rsidRPr="00A83E0C" w:rsidRDefault="00EA5F64" w:rsidP="00EA5F64">
      <w:pPr>
        <w:pStyle w:val="2-6"/>
        <w:numPr>
          <w:ilvl w:val="0"/>
          <w:numId w:val="31"/>
        </w:numPr>
      </w:pPr>
      <w:r w:rsidRPr="00A83E0C">
        <w:t>данные анамнеза;</w:t>
      </w:r>
    </w:p>
    <w:p w14:paraId="064AAE6B" w14:textId="77777777" w:rsidR="00EA5F64" w:rsidRPr="00A83E0C" w:rsidRDefault="00EA5F64" w:rsidP="00EA5F64">
      <w:pPr>
        <w:pStyle w:val="2-6"/>
        <w:numPr>
          <w:ilvl w:val="0"/>
          <w:numId w:val="31"/>
        </w:numPr>
      </w:pPr>
      <w:r w:rsidRPr="00A83E0C">
        <w:t xml:space="preserve">данные физикального и инструментального обследования; </w:t>
      </w:r>
    </w:p>
    <w:p w14:paraId="7A11F3C4" w14:textId="77777777" w:rsidR="00EA5F64" w:rsidRPr="00A83E0C" w:rsidRDefault="00EA5F64" w:rsidP="00EA5F64">
      <w:pPr>
        <w:pStyle w:val="2-6"/>
        <w:numPr>
          <w:ilvl w:val="0"/>
          <w:numId w:val="31"/>
        </w:numPr>
      </w:pPr>
      <w:r w:rsidRPr="00A83E0C">
        <w:t xml:space="preserve">данные </w:t>
      </w:r>
      <w:r w:rsidR="00964910" w:rsidRPr="00964910">
        <w:t>патолого-анатомического исследования биопсийного (операционного) материала</w:t>
      </w:r>
      <w:r w:rsidRPr="00A83E0C">
        <w:t>.</w:t>
      </w:r>
    </w:p>
    <w:p w14:paraId="1DC1AF8D" w14:textId="77777777" w:rsidR="00DB4127" w:rsidRPr="00A83E0C" w:rsidRDefault="00DB4127" w:rsidP="00DC7BE7">
      <w:pPr>
        <w:pStyle w:val="3"/>
      </w:pPr>
      <w:bookmarkStart w:id="13" w:name="_Toc158632219"/>
      <w:r w:rsidRPr="00A83E0C">
        <w:t>2.1 Жалобы и анамнез</w:t>
      </w:r>
      <w:bookmarkEnd w:id="13"/>
    </w:p>
    <w:p w14:paraId="2A7865C0" w14:textId="589A3D8C" w:rsidR="002D5A30" w:rsidRPr="00A83E0C" w:rsidRDefault="00DB4127" w:rsidP="00537A85">
      <w:pPr>
        <w:pStyle w:val="2"/>
      </w:pPr>
      <w:r w:rsidRPr="00A83E0C">
        <w:rPr>
          <w:b/>
        </w:rPr>
        <w:t xml:space="preserve">Рекомендуется </w:t>
      </w:r>
      <w:r w:rsidRPr="00A83E0C">
        <w:t xml:space="preserve">тщательный сбор жалоб и анамнеза у </w:t>
      </w:r>
      <w:r w:rsidR="00AE0284" w:rsidRPr="00A83E0C">
        <w:t xml:space="preserve">всех </w:t>
      </w:r>
      <w:r w:rsidRPr="00A83E0C">
        <w:t>пациент</w:t>
      </w:r>
      <w:r w:rsidR="005B26E5" w:rsidRPr="00A83E0C">
        <w:t>ов с раком поджелудочной железы</w:t>
      </w:r>
      <w:r w:rsidR="0032758D">
        <w:t xml:space="preserve"> </w:t>
      </w:r>
      <w:r w:rsidR="007B1D6E" w:rsidRPr="00A83E0C">
        <w:t>для определения тактики лечения</w:t>
      </w:r>
      <w:r w:rsidR="006D3F4A" w:rsidRPr="00A83E0C">
        <w:t xml:space="preserve"> </w:t>
      </w:r>
      <w:r w:rsidR="00C15198" w:rsidRPr="00A83E0C">
        <w:fldChar w:fldCharType="begin"/>
      </w:r>
      <w:r w:rsidR="00FB1F10">
        <w:instrText xml:space="preserve"> ADDIN ZOTERO_ITEM CSL_CITATION {"citationID":"0G9HolmK","properties":{"formattedCitation":"[12]","plainCitation":"[12]","noteIndex":0},"citationItems":[{"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Committee"}],"issued":{"date-parts":[["2015",8,25]]}}}],"schema":"https://github.com/citation-style-language/schema/raw/master/csl-citation.json"} </w:instrText>
      </w:r>
      <w:r w:rsidR="00C15198" w:rsidRPr="00A83E0C">
        <w:fldChar w:fldCharType="separate"/>
      </w:r>
      <w:r w:rsidR="00FB1F10" w:rsidRPr="00FB1F10">
        <w:t>[12]</w:t>
      </w:r>
      <w:r w:rsidR="00C15198" w:rsidRPr="00A83E0C">
        <w:fldChar w:fldCharType="end"/>
      </w:r>
      <w:r w:rsidR="00AC1487" w:rsidRPr="00A83E0C">
        <w:rPr>
          <w:rFonts w:eastAsia="GalsLightC"/>
        </w:rPr>
        <w:t xml:space="preserve">. </w:t>
      </w:r>
    </w:p>
    <w:p w14:paraId="67E4530F" w14:textId="77777777" w:rsidR="001257AF" w:rsidRPr="00A83E0C" w:rsidRDefault="001257AF" w:rsidP="00DC7BE7">
      <w:pPr>
        <w:pStyle w:val="33"/>
        <w:rPr>
          <w:color w:val="auto"/>
          <w:lang w:val="ru-RU"/>
        </w:rPr>
      </w:pPr>
      <w:r w:rsidRPr="00A83E0C">
        <w:rPr>
          <w:color w:val="auto"/>
          <w:lang w:val="ru-RU"/>
        </w:rPr>
        <w:t>Урове</w:t>
      </w:r>
      <w:r w:rsidR="00A63848" w:rsidRPr="00A83E0C">
        <w:rPr>
          <w:color w:val="auto"/>
          <w:lang w:val="ru-RU"/>
        </w:rPr>
        <w:t>нь убедительности рекомендаций</w:t>
      </w:r>
      <w:r w:rsidRPr="00A83E0C">
        <w:rPr>
          <w:color w:val="auto"/>
          <w:lang w:val="ru-RU"/>
        </w:rPr>
        <w:t xml:space="preserve"> </w:t>
      </w:r>
      <w:r w:rsidR="00B53A9F" w:rsidRPr="00A83E0C">
        <w:rPr>
          <w:color w:val="auto"/>
          <w:lang w:val="ru-RU"/>
        </w:rPr>
        <w:t xml:space="preserve">С </w:t>
      </w:r>
      <w:r w:rsidRPr="00A83E0C">
        <w:rPr>
          <w:color w:val="auto"/>
          <w:lang w:val="ru-RU"/>
        </w:rPr>
        <w:t xml:space="preserve">(уровень достоверности доказательств </w:t>
      </w:r>
      <w:r w:rsidR="00B53A9F" w:rsidRPr="00A83E0C">
        <w:rPr>
          <w:color w:val="auto"/>
          <w:lang w:val="ru-RU"/>
        </w:rPr>
        <w:t>5</w:t>
      </w:r>
      <w:r w:rsidRPr="00A83E0C">
        <w:rPr>
          <w:color w:val="auto"/>
          <w:lang w:val="ru-RU"/>
        </w:rPr>
        <w:t>)</w:t>
      </w:r>
    </w:p>
    <w:p w14:paraId="3D535E43" w14:textId="77777777" w:rsidR="00740EAE" w:rsidRPr="00A83E0C" w:rsidRDefault="00740EAE" w:rsidP="00DC7BE7">
      <w:pPr>
        <w:pStyle w:val="33"/>
        <w:rPr>
          <w:color w:val="auto"/>
          <w:lang w:val="ru-RU"/>
        </w:rPr>
      </w:pPr>
      <w:r w:rsidRPr="00A83E0C">
        <w:rPr>
          <w:color w:val="auto"/>
          <w:lang w:val="ru-RU"/>
        </w:rPr>
        <w:t xml:space="preserve">Комментарий: </w:t>
      </w:r>
      <w:r w:rsidRPr="00A83E0C">
        <w:rPr>
          <w:rFonts w:eastAsia="Times New Roman"/>
          <w:b w:val="0"/>
          <w:i/>
          <w:color w:val="auto"/>
          <w:szCs w:val="22"/>
          <w:shd w:val="clear" w:color="auto" w:fill="auto"/>
          <w:lang w:val="ru-RU"/>
        </w:rPr>
        <w:t>сбор информации о жалобах и деталях а</w:t>
      </w:r>
      <w:r w:rsidR="004C5AAB" w:rsidRPr="00A83E0C">
        <w:rPr>
          <w:rFonts w:eastAsia="Times New Roman"/>
          <w:b w:val="0"/>
          <w:i/>
          <w:color w:val="auto"/>
          <w:szCs w:val="22"/>
          <w:shd w:val="clear" w:color="auto" w:fill="auto"/>
          <w:lang w:val="ru-RU"/>
        </w:rPr>
        <w:t>на</w:t>
      </w:r>
      <w:r w:rsidRPr="00A83E0C">
        <w:rPr>
          <w:rFonts w:eastAsia="Times New Roman"/>
          <w:b w:val="0"/>
          <w:i/>
          <w:color w:val="auto"/>
          <w:szCs w:val="22"/>
          <w:shd w:val="clear" w:color="auto" w:fill="auto"/>
          <w:lang w:val="ru-RU"/>
        </w:rPr>
        <w:t>мнеза</w:t>
      </w:r>
      <w:r w:rsidR="00DD3235" w:rsidRPr="00A83E0C">
        <w:rPr>
          <w:rFonts w:eastAsia="Times New Roman"/>
          <w:b w:val="0"/>
          <w:i/>
          <w:color w:val="auto"/>
          <w:szCs w:val="22"/>
          <w:shd w:val="clear" w:color="auto" w:fill="auto"/>
          <w:lang w:val="ru-RU"/>
        </w:rPr>
        <w:t>, в том числе семейного анамнеза,</w:t>
      </w:r>
      <w:r w:rsidRPr="00A83E0C">
        <w:rPr>
          <w:rFonts w:eastAsia="Times New Roman"/>
          <w:b w:val="0"/>
          <w:i/>
          <w:color w:val="auto"/>
          <w:szCs w:val="22"/>
          <w:shd w:val="clear" w:color="auto" w:fill="auto"/>
          <w:lang w:val="ru-RU"/>
        </w:rPr>
        <w:t xml:space="preserve"> проводится с целью выявления факторов, которые могут повлиять на выбор тактики лечения </w:t>
      </w:r>
    </w:p>
    <w:p w14:paraId="4253F4D3" w14:textId="77777777" w:rsidR="00DB4127" w:rsidRPr="00A83E0C" w:rsidRDefault="00DB4127" w:rsidP="00DC7BE7">
      <w:pPr>
        <w:pStyle w:val="3"/>
      </w:pPr>
      <w:bookmarkStart w:id="14" w:name="_Toc158632220"/>
      <w:r w:rsidRPr="00A83E0C">
        <w:t>2.2 Физикальное обследование</w:t>
      </w:r>
      <w:bookmarkEnd w:id="14"/>
    </w:p>
    <w:p w14:paraId="29E41D3E" w14:textId="3FAD7D7E" w:rsidR="00DB4127" w:rsidRPr="00A83E0C" w:rsidRDefault="00DB4127" w:rsidP="00537A85">
      <w:pPr>
        <w:pStyle w:val="2"/>
      </w:pPr>
      <w:r w:rsidRPr="00A83E0C">
        <w:rPr>
          <w:b/>
        </w:rPr>
        <w:t>Рекомендуется</w:t>
      </w:r>
      <w:r w:rsidRPr="00A83E0C">
        <w:t xml:space="preserve"> тщательный физикальный осмотр</w:t>
      </w:r>
      <w:r w:rsidR="00AE0284" w:rsidRPr="00A83E0C">
        <w:t xml:space="preserve"> у всех</w:t>
      </w:r>
      <w:r w:rsidR="007B1D6E" w:rsidRPr="00A83E0C">
        <w:t xml:space="preserve"> </w:t>
      </w:r>
      <w:r w:rsidR="005B26E5" w:rsidRPr="00A83E0C">
        <w:t xml:space="preserve">пациентов с раком поджелудочной железы </w:t>
      </w:r>
      <w:r w:rsidR="007B1D6E" w:rsidRPr="00A83E0C">
        <w:t>для определения тактики лечения и дифференциальной диагностики заболевания</w:t>
      </w:r>
      <w:r w:rsidR="00AE0284" w:rsidRPr="00A83E0C">
        <w:t xml:space="preserve"> </w:t>
      </w:r>
      <w:r w:rsidR="00C15198" w:rsidRPr="00A83E0C">
        <w:fldChar w:fldCharType="begin"/>
      </w:r>
      <w:r w:rsidR="00FB1F10">
        <w:instrText xml:space="preserve"> ADDIN ZOTERO_ITEM CSL_CITATION {"citationID":"u074VHFi","properties":{"formattedCitation":"[12]","plainCitation":"[12]","noteIndex":0},"citationItems":[{"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Committee"}],"issued":{"date-parts":[["2015",8,25]]}}}],"schema":"https://github.com/citation-style-language/schema/raw/master/csl-citation.json"} </w:instrText>
      </w:r>
      <w:r w:rsidR="00C15198" w:rsidRPr="00A83E0C">
        <w:fldChar w:fldCharType="separate"/>
      </w:r>
      <w:r w:rsidR="00FB1F10" w:rsidRPr="00FB1F10">
        <w:t>[12]</w:t>
      </w:r>
      <w:r w:rsidR="00C15198" w:rsidRPr="00A83E0C">
        <w:fldChar w:fldCharType="end"/>
      </w:r>
      <w:r w:rsidR="00994C25" w:rsidRPr="00A83E0C">
        <w:t xml:space="preserve">. </w:t>
      </w:r>
    </w:p>
    <w:p w14:paraId="2F429E27" w14:textId="77777777" w:rsidR="001257AF" w:rsidRPr="00A83E0C" w:rsidRDefault="001257AF" w:rsidP="00DC7BE7">
      <w:pPr>
        <w:pStyle w:val="33"/>
        <w:rPr>
          <w:color w:val="auto"/>
          <w:lang w:val="ru-RU"/>
        </w:rPr>
      </w:pPr>
      <w:r w:rsidRPr="00A83E0C">
        <w:rPr>
          <w:color w:val="auto"/>
          <w:lang w:val="ru-RU"/>
        </w:rPr>
        <w:t xml:space="preserve">Уровень убедительности рекомендаций С (уровень достоверности доказательств </w:t>
      </w:r>
      <w:r w:rsidR="00B53A9F" w:rsidRPr="00A83E0C">
        <w:rPr>
          <w:color w:val="auto"/>
          <w:lang w:val="ru-RU"/>
        </w:rPr>
        <w:t>5</w:t>
      </w:r>
      <w:r w:rsidRPr="00A83E0C">
        <w:rPr>
          <w:color w:val="auto"/>
          <w:lang w:val="ru-RU"/>
        </w:rPr>
        <w:t>)</w:t>
      </w:r>
    </w:p>
    <w:p w14:paraId="29BA14B6" w14:textId="77777777" w:rsidR="00A07528" w:rsidRPr="00A83E0C" w:rsidRDefault="00A07528" w:rsidP="00DC7BE7">
      <w:pPr>
        <w:pStyle w:val="33"/>
        <w:rPr>
          <w:color w:val="auto"/>
          <w:lang w:val="ru-RU"/>
        </w:rPr>
      </w:pPr>
      <w:r w:rsidRPr="00A83E0C">
        <w:rPr>
          <w:color w:val="auto"/>
          <w:lang w:val="ru-RU"/>
        </w:rPr>
        <w:t xml:space="preserve">Комментарий: </w:t>
      </w:r>
      <w:r w:rsidRPr="00A83E0C">
        <w:rPr>
          <w:b w:val="0"/>
          <w:i/>
          <w:color w:val="auto"/>
          <w:lang w:val="ru-RU"/>
        </w:rPr>
        <w:t xml:space="preserve">особого внимания требуют оценка общего состояния по шкале </w:t>
      </w:r>
      <w:r w:rsidRPr="00A83E0C">
        <w:rPr>
          <w:b w:val="0"/>
          <w:i/>
          <w:color w:val="auto"/>
        </w:rPr>
        <w:t>ECOG</w:t>
      </w:r>
      <w:r w:rsidR="00AE0284" w:rsidRPr="00A83E0C">
        <w:rPr>
          <w:b w:val="0"/>
          <w:i/>
          <w:color w:val="auto"/>
          <w:lang w:val="ru-RU"/>
        </w:rPr>
        <w:t xml:space="preserve"> (Приложение Г1)</w:t>
      </w:r>
      <w:r w:rsidRPr="00A83E0C">
        <w:rPr>
          <w:b w:val="0"/>
          <w:i/>
          <w:color w:val="auto"/>
          <w:lang w:val="ru-RU"/>
        </w:rPr>
        <w:t>, оценка алиментарного статуса, болевого синдрома, темпе</w:t>
      </w:r>
      <w:r w:rsidR="00BB6A23" w:rsidRPr="00A83E0C">
        <w:rPr>
          <w:b w:val="0"/>
          <w:i/>
          <w:color w:val="auto"/>
          <w:lang w:val="ru-RU"/>
        </w:rPr>
        <w:t>р</w:t>
      </w:r>
      <w:r w:rsidRPr="00A83E0C">
        <w:rPr>
          <w:b w:val="0"/>
          <w:i/>
          <w:color w:val="auto"/>
          <w:lang w:val="ru-RU"/>
        </w:rPr>
        <w:t>атуры тела, гемодинамики, цвета кожных покровов и склер, увеличения периферических лимфоузлов, наличие асцита.</w:t>
      </w:r>
    </w:p>
    <w:p w14:paraId="62B95C16" w14:textId="77777777" w:rsidR="00DB4127" w:rsidRPr="00A83E0C" w:rsidRDefault="00DB4127" w:rsidP="00DC7BE7">
      <w:pPr>
        <w:pStyle w:val="3"/>
      </w:pPr>
      <w:bookmarkStart w:id="15" w:name="_Toc158632221"/>
      <w:r w:rsidRPr="00A83E0C">
        <w:t xml:space="preserve">2.3 </w:t>
      </w:r>
      <w:r w:rsidR="00CC1108" w:rsidRPr="00A83E0C">
        <w:t>Лабораторные диагностические исследования</w:t>
      </w:r>
      <w:bookmarkEnd w:id="15"/>
    </w:p>
    <w:p w14:paraId="7C0EAD40" w14:textId="4A35701A" w:rsidR="00DB4127" w:rsidRPr="00A83E0C" w:rsidRDefault="005B26E5" w:rsidP="00537A85">
      <w:pPr>
        <w:pStyle w:val="2"/>
      </w:pPr>
      <w:r w:rsidRPr="00A83E0C">
        <w:t xml:space="preserve">Пациентам с раком поджелудочной железы </w:t>
      </w:r>
      <w:r w:rsidRPr="00A83E0C">
        <w:rPr>
          <w:b/>
        </w:rPr>
        <w:t>р</w:t>
      </w:r>
      <w:r w:rsidR="00F16DED" w:rsidRPr="00A83E0C">
        <w:rPr>
          <w:b/>
        </w:rPr>
        <w:t>екомендуется</w:t>
      </w:r>
      <w:r w:rsidR="00F16DED" w:rsidRPr="00A83E0C">
        <w:t xml:space="preserve"> </w:t>
      </w:r>
      <w:r w:rsidR="00BD5E14" w:rsidRPr="00A83E0C">
        <w:t>выполн</w:t>
      </w:r>
      <w:r w:rsidR="00A405FF" w:rsidRPr="00A83E0C">
        <w:t xml:space="preserve">ить </w:t>
      </w:r>
      <w:r w:rsidR="00F0619F">
        <w:t>о</w:t>
      </w:r>
      <w:r w:rsidR="00964910" w:rsidRPr="00964910">
        <w:t>бщий (клинический) анализ крови развернутый</w:t>
      </w:r>
      <w:r w:rsidR="008A1661">
        <w:t>,</w:t>
      </w:r>
      <w:r w:rsidR="007A40B8" w:rsidRPr="00A83E0C">
        <w:t xml:space="preserve"> </w:t>
      </w:r>
      <w:r w:rsidR="00964910" w:rsidRPr="00964910">
        <w:t>биохимический общетерапевтический</w:t>
      </w:r>
      <w:r w:rsidR="00F0619F" w:rsidRPr="00A83E0C" w:rsidDel="00F0619F">
        <w:t xml:space="preserve"> </w:t>
      </w:r>
      <w:r w:rsidR="007A40B8" w:rsidRPr="00A83E0C">
        <w:t xml:space="preserve">анализы крови, </w:t>
      </w:r>
      <w:r w:rsidR="00F0619F">
        <w:t xml:space="preserve">исследование уровня </w:t>
      </w:r>
      <w:r w:rsidR="00AE0284" w:rsidRPr="00A83E0C">
        <w:t>раков</w:t>
      </w:r>
      <w:r w:rsidR="00F0619F">
        <w:t>ого</w:t>
      </w:r>
      <w:r w:rsidR="00AE0284" w:rsidRPr="00A83E0C">
        <w:t xml:space="preserve"> эмбриональн</w:t>
      </w:r>
      <w:r w:rsidR="00F0619F">
        <w:t>ого</w:t>
      </w:r>
      <w:r w:rsidR="00AE0284" w:rsidRPr="00A83E0C">
        <w:t xml:space="preserve"> антиген</w:t>
      </w:r>
      <w:r w:rsidR="00F0619F">
        <w:t>а</w:t>
      </w:r>
      <w:r w:rsidR="00AE0284" w:rsidRPr="00A83E0C">
        <w:t xml:space="preserve"> (</w:t>
      </w:r>
      <w:r w:rsidR="007A40B8" w:rsidRPr="00A83E0C">
        <w:t>РЭА</w:t>
      </w:r>
      <w:r w:rsidR="00AE0284" w:rsidRPr="00A83E0C">
        <w:t>)</w:t>
      </w:r>
      <w:r w:rsidR="00F0619F">
        <w:t xml:space="preserve"> в крови</w:t>
      </w:r>
      <w:r w:rsidR="007A40B8" w:rsidRPr="00A83E0C">
        <w:t xml:space="preserve">, </w:t>
      </w:r>
      <w:r w:rsidR="00964910" w:rsidRPr="00964910">
        <w:t>исследование</w:t>
      </w:r>
      <w:r w:rsidR="00F0619F" w:rsidRPr="00110D19">
        <w:rPr>
          <w:sz w:val="22"/>
        </w:rPr>
        <w:t xml:space="preserve"> </w:t>
      </w:r>
      <w:r w:rsidR="00AE0284" w:rsidRPr="00A83E0C">
        <w:t xml:space="preserve">уровня антигена аденогенных раков </w:t>
      </w:r>
      <w:r w:rsidR="007A40B8" w:rsidRPr="00A83E0C">
        <w:t>СА 19-9</w:t>
      </w:r>
      <w:r w:rsidR="00F0619F">
        <w:t xml:space="preserve"> в крови</w:t>
      </w:r>
      <w:r w:rsidR="007A40B8" w:rsidRPr="00A83E0C">
        <w:t xml:space="preserve">, </w:t>
      </w:r>
      <w:r w:rsidR="00F0619F" w:rsidRPr="00F0619F">
        <w:t xml:space="preserve">коагулограмму </w:t>
      </w:r>
      <w:r w:rsidR="00F0619F" w:rsidRPr="00F0619F">
        <w:lastRenderedPageBreak/>
        <w:t>(</w:t>
      </w:r>
      <w:r w:rsidR="00964910" w:rsidRPr="00964910">
        <w:t>ориентировочное исследование системы гемостаза)</w:t>
      </w:r>
      <w:r w:rsidR="007A40B8" w:rsidRPr="00A83E0C">
        <w:t xml:space="preserve">, а также </w:t>
      </w:r>
      <w:r w:rsidR="007A40B8" w:rsidRPr="00F0619F">
        <w:t>общий</w:t>
      </w:r>
      <w:r w:rsidR="00F0619F" w:rsidRPr="00F0619F">
        <w:t xml:space="preserve"> </w:t>
      </w:r>
      <w:r w:rsidR="00964910" w:rsidRPr="00964910">
        <w:t>(клинический)</w:t>
      </w:r>
      <w:r w:rsidR="007A40B8" w:rsidRPr="00F0619F">
        <w:t xml:space="preserve"> анализ</w:t>
      </w:r>
      <w:r w:rsidR="007A40B8" w:rsidRPr="00A83E0C">
        <w:t xml:space="preserve"> мочи</w:t>
      </w:r>
      <w:r w:rsidR="007B1D6E" w:rsidRPr="00A83E0C">
        <w:t xml:space="preserve"> для определения тактики лечения и дифференциальной диагностики заболевания</w:t>
      </w:r>
      <w:r w:rsidR="00C73DC3" w:rsidRPr="00A83E0C">
        <w:t xml:space="preserve"> </w:t>
      </w:r>
      <w:r w:rsidR="00C15198" w:rsidRPr="00A83E0C">
        <w:rPr>
          <w:lang w:val="en-US"/>
        </w:rPr>
        <w:fldChar w:fldCharType="begin"/>
      </w:r>
      <w:r w:rsidR="00FB1F10">
        <w:instrText xml:space="preserve"> ADDIN ZOTERO_ITEM CSL_CITATION {"citationID":"AqQ5UXHJ","properties":{"formattedCitation":"[12\\uc0\\u8211{}14]","plainCitation":"[12–14]","noteIndex":0},"citationItems":[{"id":1124,"uris":["http://zotero.org/users/5363772/items/2299ARDD",["http://zotero.org/users/5363772/items/2299ARDD"]],"itemData":{"id":1124,"type":"article-journal","DOI":"10.18027 / 2224 5057 2020 10 3s2–01","issue":"3s2","journalAbbreviation":"Злокачественные опухоли. Практические рекомендации RUSSCO","language":"Русский","title":"Практические рекомендации по общим принципам проведения противоопухолевой лекарственной терапии","volume":"10","author":[{"family":"Трякин","given":"Алексей"},{"family":"Бесова","given":"Наталья"},{"family":"Волков","given":"Никита"}],"issued":{"date-parts":[["2020"]]}}},{"id":1150,"uris":["http://zotero.org/users/5363772/items/QVGK3B2H",["http://zotero.org/users/5363772/items/QVGK3B2H"]],"itemData":{"id":1150,"type":"document","publisher":"Министерство здравоохранения и социального развития РФ","title":"Приказ Министерства здравоохранения и социального развития РФ от 20 ноября 2006 г. N 783 \"Об утверждении стандарта медицинской помощи больным со злокачественным новообразованием поджелудочной железы (при оказании специализированной помощи)\"","URL":"https://www.garant.ru/products/ipo/prime/doc/4083915/","accessed":{"date-parts":[["2021",1,16]]},"issued":{"date-parts":[["2006"]]}}},{"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Committee"}],"issued":{"date-parts":[["2015",8,25]]}}}],"schema":"https://github.com/citation-style-language/schema/raw/master/csl-citation.json"} </w:instrText>
      </w:r>
      <w:r w:rsidR="00C15198" w:rsidRPr="00A83E0C">
        <w:rPr>
          <w:lang w:val="en-US"/>
        </w:rPr>
        <w:fldChar w:fldCharType="separate"/>
      </w:r>
      <w:r w:rsidR="00FB1F10" w:rsidRPr="00FB1F10">
        <w:t>[12–14]</w:t>
      </w:r>
      <w:r w:rsidR="00C15198" w:rsidRPr="00A83E0C">
        <w:rPr>
          <w:lang w:val="en-US"/>
        </w:rPr>
        <w:fldChar w:fldCharType="end"/>
      </w:r>
      <w:r w:rsidR="00A375E9" w:rsidRPr="00A83E0C">
        <w:t>.</w:t>
      </w:r>
      <w:r w:rsidR="00A07528" w:rsidRPr="00A83E0C">
        <w:t xml:space="preserve"> </w:t>
      </w:r>
    </w:p>
    <w:p w14:paraId="5A197AB7" w14:textId="77777777" w:rsidR="001257AF" w:rsidRPr="00A83E0C" w:rsidRDefault="001257AF" w:rsidP="00DC7BE7">
      <w:pPr>
        <w:pStyle w:val="33"/>
        <w:rPr>
          <w:color w:val="auto"/>
          <w:lang w:val="ru-RU"/>
        </w:rPr>
      </w:pPr>
      <w:r w:rsidRPr="00A83E0C">
        <w:rPr>
          <w:color w:val="auto"/>
          <w:lang w:val="ru-RU"/>
        </w:rPr>
        <w:t xml:space="preserve">Уровень убедительности рекомендаций </w:t>
      </w:r>
      <w:r w:rsidR="00B53A9F" w:rsidRPr="00A83E0C">
        <w:rPr>
          <w:color w:val="auto"/>
          <w:lang w:val="ru-RU"/>
        </w:rPr>
        <w:t xml:space="preserve">С </w:t>
      </w:r>
      <w:r w:rsidRPr="00A83E0C">
        <w:rPr>
          <w:color w:val="auto"/>
          <w:lang w:val="ru-RU"/>
        </w:rPr>
        <w:t>(урове</w:t>
      </w:r>
      <w:r w:rsidR="00A63848" w:rsidRPr="00A83E0C">
        <w:rPr>
          <w:color w:val="auto"/>
          <w:lang w:val="ru-RU"/>
        </w:rPr>
        <w:t xml:space="preserve">нь достоверности доказательств </w:t>
      </w:r>
      <w:r w:rsidR="00B53A9F" w:rsidRPr="00A83E0C">
        <w:rPr>
          <w:color w:val="auto"/>
          <w:lang w:val="ru-RU"/>
        </w:rPr>
        <w:t>5</w:t>
      </w:r>
      <w:r w:rsidRPr="00A83E0C">
        <w:rPr>
          <w:color w:val="auto"/>
          <w:lang w:val="ru-RU"/>
        </w:rPr>
        <w:t>)</w:t>
      </w:r>
    </w:p>
    <w:p w14:paraId="1E85B219" w14:textId="312C1FD9" w:rsidR="00A07528" w:rsidRPr="00CE2DC7" w:rsidRDefault="00A07528" w:rsidP="00DC7BE7">
      <w:pPr>
        <w:pStyle w:val="33"/>
        <w:rPr>
          <w:b w:val="0"/>
          <w:i/>
          <w:color w:val="auto"/>
          <w:lang w:val="ru-RU"/>
        </w:rPr>
      </w:pPr>
      <w:r w:rsidRPr="00A83E0C">
        <w:rPr>
          <w:color w:val="auto"/>
          <w:lang w:val="ru-RU"/>
        </w:rPr>
        <w:t xml:space="preserve">Комментарий: </w:t>
      </w:r>
      <w:r w:rsidR="000D11EC" w:rsidRPr="00A83E0C">
        <w:rPr>
          <w:b w:val="0"/>
          <w:i/>
          <w:color w:val="auto"/>
          <w:lang w:val="ru-RU"/>
        </w:rPr>
        <w:t xml:space="preserve">данный объем лабораторной диагностики выполняется на этапе диагностики и перед планированием лечения. В процессе проведения химиотерапии объем и кратность выполнения лабораторных исследований определяется клинической </w:t>
      </w:r>
      <w:r w:rsidR="000D11EC" w:rsidRPr="00690F5D">
        <w:rPr>
          <w:b w:val="0"/>
          <w:i/>
          <w:color w:val="auto"/>
          <w:lang w:val="ru-RU"/>
        </w:rPr>
        <w:t>необходимостью</w:t>
      </w:r>
      <w:r w:rsidR="00690F5D">
        <w:rPr>
          <w:b w:val="0"/>
          <w:i/>
          <w:color w:val="auto"/>
          <w:lang w:val="ru-RU"/>
        </w:rPr>
        <w:t xml:space="preserve"> </w:t>
      </w:r>
      <w:r w:rsidR="00C15198" w:rsidRPr="00690F5D">
        <w:rPr>
          <w:b w:val="0"/>
          <w:i/>
          <w:color w:val="auto"/>
          <w:lang w:val="ru-RU"/>
        </w:rPr>
        <w:fldChar w:fldCharType="begin"/>
      </w:r>
      <w:r w:rsidR="00FB1F10">
        <w:rPr>
          <w:b w:val="0"/>
          <w:i/>
          <w:color w:val="auto"/>
          <w:lang w:val="ru-RU"/>
        </w:rPr>
        <w:instrText xml:space="preserve"> ADDIN ZOTERO_ITEM CSL_CITATION {"citationID":"MKJ66aHV","properties":{"formattedCitation":"[13]","plainCitation":"[13]","noteIndex":0},"citationItems":[{"id":1124,"uris":["http://zotero.org/users/5363772/items/2299ARDD",["http://zotero.org/users/5363772/items/2299ARDD"]],"itemData":{"id":1124,"type":"article-journal","DOI":"10.18027 / 2224 5057 2020 10 3s2–01","issue":"3s2","journalAbbreviation":"Злокачественные опухоли. Практические рекомендации RUSSCO","language":"Русский","title":"Практические рекомендации по общим принципам проведения противоопухолевой лекарственной терапии","volume":"10","author":[{"family":"Трякин","given":"Алексей"},{"family":"Бесова","given":"Наталья"},{"family":"Волков","given":"Никита"}],"issued":{"date-parts":[["2020"]]}}}],"schema":"https://github.com/citation-style-language/schema/raw/master/csl-citation.json"} </w:instrText>
      </w:r>
      <w:r w:rsidR="00C15198" w:rsidRPr="00690F5D">
        <w:rPr>
          <w:b w:val="0"/>
          <w:i/>
          <w:color w:val="auto"/>
          <w:lang w:val="ru-RU"/>
        </w:rPr>
        <w:fldChar w:fldCharType="separate"/>
      </w:r>
      <w:r w:rsidR="00FB1F10" w:rsidRPr="00FB1F10">
        <w:rPr>
          <w:lang w:val="ru-RU"/>
        </w:rPr>
        <w:t>[13]</w:t>
      </w:r>
      <w:r w:rsidR="00C15198" w:rsidRPr="00690F5D">
        <w:rPr>
          <w:b w:val="0"/>
          <w:i/>
          <w:color w:val="auto"/>
          <w:lang w:val="ru-RU"/>
        </w:rPr>
        <w:fldChar w:fldCharType="end"/>
      </w:r>
      <w:r w:rsidR="000D11EC" w:rsidRPr="00690F5D">
        <w:rPr>
          <w:b w:val="0"/>
          <w:i/>
          <w:color w:val="auto"/>
          <w:lang w:val="ru-RU"/>
        </w:rPr>
        <w:t>.</w:t>
      </w:r>
      <w:r w:rsidR="00022010" w:rsidRPr="00A83E0C">
        <w:rPr>
          <w:b w:val="0"/>
          <w:i/>
          <w:color w:val="auto"/>
          <w:lang w:val="ru-RU"/>
        </w:rPr>
        <w:t xml:space="preserve"> </w:t>
      </w:r>
      <w:r w:rsidR="00D10A7E">
        <w:rPr>
          <w:b w:val="0"/>
          <w:i/>
          <w:color w:val="auto"/>
          <w:lang w:val="ru-RU"/>
        </w:rPr>
        <w:t xml:space="preserve">Минимальный перечень биохимического анализа крови должен включать определение глюкозы, креатинина, общего билирубина, общего белка, АЛТ и АСТ </w:t>
      </w:r>
      <w:r w:rsidR="00D10A7E">
        <w:rPr>
          <w:b w:val="0"/>
          <w:i/>
          <w:color w:val="auto"/>
          <w:lang w:val="ru-RU"/>
        </w:rPr>
        <w:fldChar w:fldCharType="begin"/>
      </w:r>
      <w:r w:rsidR="00D10A7E">
        <w:rPr>
          <w:b w:val="0"/>
          <w:i/>
          <w:color w:val="auto"/>
          <w:lang w:val="ru-RU"/>
        </w:rPr>
        <w:instrText xml:space="preserve"> ADDIN ZOTERO_ITEM CSL_CITATION {"citationID":"LIAGvOFT","properties":{"formattedCitation":"[15]","plainCitation":"[15]","noteIndex":0},"citationItems":[{"id":1246,"uris":["http://zotero.org/users/5363772/items/EZTJU3SW"],"itemData":{"id":1246,"type":"article-journal","container-title":"Злокачественные опухоли. Практические рекомендации RUSSCO","issue":"3s2","language":"ru","page":"28-41","source":"Zotero","title":"Практические рекомендации по общим принципам проведения противоопухолевой лекарственной терапии","volume":"13","author":[{"family":"Трякин","given":"Алексей"},{"family":"Бесова","given":"Наталья"},{"family":"Волков","given":"Никита"}],"issued":{"date-parts":[["2023"]]}}}],"schema":"https://github.com/citation-style-language/schema/raw/master/csl-citation.json"} </w:instrText>
      </w:r>
      <w:r w:rsidR="00D10A7E">
        <w:rPr>
          <w:b w:val="0"/>
          <w:i/>
          <w:color w:val="auto"/>
          <w:lang w:val="ru-RU"/>
        </w:rPr>
        <w:fldChar w:fldCharType="separate"/>
      </w:r>
      <w:r w:rsidR="00D10A7E" w:rsidRPr="00D10A7E">
        <w:rPr>
          <w:lang w:val="ru-RU"/>
        </w:rPr>
        <w:t>[15]</w:t>
      </w:r>
      <w:r w:rsidR="00D10A7E">
        <w:rPr>
          <w:b w:val="0"/>
          <w:i/>
          <w:color w:val="auto"/>
          <w:lang w:val="ru-RU"/>
        </w:rPr>
        <w:fldChar w:fldCharType="end"/>
      </w:r>
      <w:r w:rsidR="00D10A7E">
        <w:rPr>
          <w:b w:val="0"/>
          <w:i/>
          <w:color w:val="auto"/>
          <w:lang w:val="ru-RU"/>
        </w:rPr>
        <w:t xml:space="preserve">. </w:t>
      </w:r>
      <w:r w:rsidR="00964910" w:rsidRPr="00964910">
        <w:rPr>
          <w:b w:val="0"/>
          <w:i/>
          <w:lang w:val="ru-RU"/>
        </w:rPr>
        <w:t>Необходимо помнить, что уровень СА</w:t>
      </w:r>
      <w:r w:rsidR="005B02E1">
        <w:rPr>
          <w:b w:val="0"/>
          <w:i/>
          <w:lang w:val="ru-RU"/>
        </w:rPr>
        <w:t xml:space="preserve"> </w:t>
      </w:r>
      <w:r w:rsidR="00964910" w:rsidRPr="00964910">
        <w:rPr>
          <w:b w:val="0"/>
          <w:i/>
          <w:lang w:val="ru-RU"/>
        </w:rPr>
        <w:t xml:space="preserve">19-9 может быть повышен на фоне желтухи, холангита или иного воспалительного процесса в панкреатобилиарной области, в связи с чем </w:t>
      </w:r>
      <w:r w:rsidR="00F0619F">
        <w:rPr>
          <w:b w:val="0"/>
          <w:i/>
          <w:lang w:val="ru-RU"/>
        </w:rPr>
        <w:t>исследование</w:t>
      </w:r>
      <w:r w:rsidR="00964910" w:rsidRPr="00964910">
        <w:rPr>
          <w:b w:val="0"/>
          <w:i/>
          <w:lang w:val="ru-RU"/>
        </w:rPr>
        <w:t xml:space="preserve"> базового уровня антигена аденогенных раков</w:t>
      </w:r>
      <w:r w:rsidR="00964910" w:rsidRPr="00964910">
        <w:rPr>
          <w:lang w:val="ru-RU"/>
        </w:rPr>
        <w:t xml:space="preserve"> </w:t>
      </w:r>
      <w:r w:rsidR="00964910" w:rsidRPr="00964910">
        <w:rPr>
          <w:b w:val="0"/>
          <w:i/>
          <w:lang w:val="ru-RU"/>
        </w:rPr>
        <w:t xml:space="preserve">СА 19-9 </w:t>
      </w:r>
      <w:r w:rsidR="00F0619F">
        <w:rPr>
          <w:b w:val="0"/>
          <w:i/>
          <w:lang w:val="ru-RU"/>
        </w:rPr>
        <w:t xml:space="preserve">в крови </w:t>
      </w:r>
      <w:r w:rsidR="00964910" w:rsidRPr="00964910">
        <w:rPr>
          <w:b w:val="0"/>
          <w:i/>
          <w:lang w:val="ru-RU"/>
        </w:rPr>
        <w:t>должно проводиться после билиарной декомпрессии, нормализации уровня билирубина и купирования воспалительных явлений.</w:t>
      </w:r>
      <w:r w:rsidR="00022010" w:rsidRPr="00863CCC">
        <w:rPr>
          <w:b w:val="0"/>
          <w:i/>
          <w:lang w:val="ru-RU"/>
        </w:rPr>
        <w:t xml:space="preserve"> </w:t>
      </w:r>
    </w:p>
    <w:p w14:paraId="0A0E26FA" w14:textId="447F0C7B" w:rsidR="00C2002F" w:rsidRPr="00A83E0C" w:rsidRDefault="00324E4C" w:rsidP="00537A85">
      <w:pPr>
        <w:pStyle w:val="2"/>
      </w:pPr>
      <w:r w:rsidRPr="00A83E0C">
        <w:rPr>
          <w:b/>
        </w:rPr>
        <w:t>Р</w:t>
      </w:r>
      <w:r w:rsidR="00076176" w:rsidRPr="00A83E0C">
        <w:rPr>
          <w:b/>
        </w:rPr>
        <w:t>екоменд</w:t>
      </w:r>
      <w:r w:rsidRPr="00A83E0C">
        <w:rPr>
          <w:b/>
        </w:rPr>
        <w:t>уется</w:t>
      </w:r>
      <w:r w:rsidRPr="00A83E0C">
        <w:t xml:space="preserve"> </w:t>
      </w:r>
      <w:r w:rsidR="00957EDE">
        <w:t xml:space="preserve">определение </w:t>
      </w:r>
      <w:r w:rsidRPr="00A83E0C">
        <w:t>хромогранин</w:t>
      </w:r>
      <w:r w:rsidR="00957EDE">
        <w:t>а</w:t>
      </w:r>
      <w:r w:rsidRPr="00A83E0C">
        <w:t xml:space="preserve"> А </w:t>
      </w:r>
      <w:r w:rsidR="00957EDE">
        <w:t xml:space="preserve">в крови </w:t>
      </w:r>
      <w:r w:rsidR="005B26E5" w:rsidRPr="00A83E0C">
        <w:t xml:space="preserve">тем пациентам с опухолями поджелудочной железы, которым </w:t>
      </w:r>
      <w:r w:rsidRPr="00A83E0C">
        <w:t>необходимо дифференци</w:t>
      </w:r>
      <w:r w:rsidR="005B26E5" w:rsidRPr="00A83E0C">
        <w:t>ровать</w:t>
      </w:r>
      <w:r w:rsidRPr="00A83E0C">
        <w:t xml:space="preserve"> аденокарцином</w:t>
      </w:r>
      <w:r w:rsidR="005B26E5" w:rsidRPr="00A83E0C">
        <w:t>у</w:t>
      </w:r>
      <w:r w:rsidRPr="00A83E0C">
        <w:t xml:space="preserve"> и нейроэндокринн</w:t>
      </w:r>
      <w:r w:rsidR="005B26E5" w:rsidRPr="00A83E0C">
        <w:t>ую</w:t>
      </w:r>
      <w:r w:rsidRPr="00A83E0C">
        <w:t xml:space="preserve"> </w:t>
      </w:r>
      <w:r w:rsidR="005B26E5" w:rsidRPr="00A83E0C">
        <w:t xml:space="preserve">опухоль </w:t>
      </w:r>
      <w:r w:rsidR="00C15198" w:rsidRPr="00A83E0C">
        <w:fldChar w:fldCharType="begin"/>
      </w:r>
      <w:r w:rsidR="00D10A7E">
        <w:instrText xml:space="preserve"> ADDIN ZOTERO_ITEM CSL_CITATION {"citationID":"taJDDx21","properties":{"formattedCitation":"[12,16,17]","plainCitation":"[12,16,17]","noteIndex":0},"citationItems":[{"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Committee"}],"issued":{"date-parts":[["2015",8,25]]}}},{"id":302,"uris":["http://zotero.org/users/5363772/items/T4ILWN7Q",["http://zotero.org/users/5363772/items/T4ILWN7Q"]],"itemData":{"id":302,"type":"article-journal","abstract":"Neuroendocrine tumors (NETs) are a form of cancer that differ from other neoplasia in that they synthesize, store, and secrete peptides, e.g., chromogranin A (CgA) and amines. A critical issue is late diagnosis due to failure to identify symptoms or to establish the biochemical diagnosis. We review here the utility of CgA measurement in NETs and describe its biological role and the clinical value of its measurement.","container-title":"Annals of Surgical Oncology","DOI":"10.1245/s10434-010-1006-3","ISSN":"1534-4681","issue":"9","journalAbbreviation":"Annals of Surgical Oncology","page":"2427-2443","title":"Chromogranin A—Biological Function and Clinical Utility in Neuro Endocrine Tumor Disease","volume":"17","author":[{"family":"Modlin","given":"Irvin M."},{"family":"Gustafsson","given":"Bjorn I."},{"family":"Moss","given":"Steven F."},{"family":"Pavel","given":"Marianne"},{"family":"Tsolakis","given":"Apostolos V."},{"family":"Kidd","given":"Mark"}],"issued":{"date-parts":[["2010",9,1]]}}},{"id":301,"uris":["http://zotero.org/users/5363772/items/F6S8LTHW",["http://zotero.org/users/5363772/items/F6S8LTHW"]],"itemData":{"id":301,"type":"article-journal","container-title":"Neuroendocrinology","DOI":"10.1159/000225948","ISSN":"0028-3835","issue":"2","journalAbbreviation":"Neuroendocrinology","page":"194-202","title":"ENETS Consensus Guidelines for the Standards of Care in Neuroendocrine Tumors: Biochemical Markers","volume":"90","author":[{"family":"O’Toole","given":"D."},{"family":"Grossman","given":"A."},{"family":"Gross","given":"D."},{"family":"Delle Fave","given":"G."},{"family":"Barkmanova","given":"J."},{"family":"O’Connor","given":"J."},{"family":"Pape","given":"U.-F."},{"family":"Plöckinger","given":"U."}],"issued":{"date-parts":[["2009"]]}}}],"schema":"https://github.com/citation-style-language/schema/raw/master/csl-citation.json"} </w:instrText>
      </w:r>
      <w:r w:rsidR="00C15198" w:rsidRPr="00A83E0C">
        <w:fldChar w:fldCharType="separate"/>
      </w:r>
      <w:r w:rsidR="00D10A7E" w:rsidRPr="00D10A7E">
        <w:t>[12,16,17]</w:t>
      </w:r>
      <w:r w:rsidR="00C15198" w:rsidRPr="00A83E0C">
        <w:fldChar w:fldCharType="end"/>
      </w:r>
      <w:r w:rsidR="00076176" w:rsidRPr="00A83E0C">
        <w:t xml:space="preserve"> </w:t>
      </w:r>
    </w:p>
    <w:p w14:paraId="5BF9F9A5" w14:textId="77777777" w:rsidR="00324E4C" w:rsidRPr="00A83E0C" w:rsidRDefault="00324E4C" w:rsidP="00DC7BE7">
      <w:pPr>
        <w:pStyle w:val="33"/>
        <w:rPr>
          <w:color w:val="auto"/>
          <w:lang w:val="ru-RU"/>
        </w:rPr>
      </w:pPr>
      <w:r w:rsidRPr="00A83E0C">
        <w:rPr>
          <w:color w:val="auto"/>
          <w:lang w:val="ru-RU"/>
        </w:rPr>
        <w:t>Уровень убедительности рекомендаций С (уровень достоверности доказательств 5)</w:t>
      </w:r>
    </w:p>
    <w:p w14:paraId="1FEB0AF5" w14:textId="77777777" w:rsidR="00076176" w:rsidRPr="00A83E0C" w:rsidRDefault="00324E4C" w:rsidP="00DC7BE7">
      <w:pPr>
        <w:pStyle w:val="33"/>
        <w:rPr>
          <w:b w:val="0"/>
          <w:i/>
          <w:color w:val="auto"/>
          <w:lang w:val="ru-RU"/>
        </w:rPr>
      </w:pPr>
      <w:r w:rsidRPr="00A83E0C">
        <w:rPr>
          <w:color w:val="auto"/>
          <w:lang w:val="ru-RU"/>
        </w:rPr>
        <w:t xml:space="preserve">Комментарий: </w:t>
      </w:r>
      <w:r w:rsidRPr="00A83E0C">
        <w:rPr>
          <w:b w:val="0"/>
          <w:i/>
          <w:color w:val="auto"/>
          <w:lang w:val="ru-RU"/>
        </w:rPr>
        <w:t xml:space="preserve">определение хромогранина может быть полезно при неубедительном </w:t>
      </w:r>
      <w:r w:rsidR="008E267B">
        <w:rPr>
          <w:b w:val="0"/>
          <w:i/>
          <w:color w:val="auto"/>
          <w:lang w:val="ru-RU"/>
        </w:rPr>
        <w:t xml:space="preserve">патоморфологическом </w:t>
      </w:r>
      <w:r w:rsidRPr="00A83E0C">
        <w:rPr>
          <w:b w:val="0"/>
          <w:i/>
          <w:color w:val="auto"/>
          <w:lang w:val="ru-RU"/>
        </w:rPr>
        <w:t>заключении в отношении гистопринадлежности злокачественной опухоли в сочетании с нормальным уровнем СА19-9.</w:t>
      </w:r>
    </w:p>
    <w:p w14:paraId="17100E95" w14:textId="77777777" w:rsidR="00DB4127" w:rsidRPr="00A83E0C" w:rsidRDefault="00A56F61" w:rsidP="00DC7BE7">
      <w:pPr>
        <w:pStyle w:val="3"/>
        <w:rPr>
          <w:lang w:val="ru-RU"/>
        </w:rPr>
      </w:pPr>
      <w:bookmarkStart w:id="16" w:name="_Toc158632222"/>
      <w:r w:rsidRPr="00A83E0C">
        <w:rPr>
          <w:lang w:val="ru-RU"/>
        </w:rPr>
        <w:t>2.4 Инструментальные диагностические исследования</w:t>
      </w:r>
      <w:bookmarkEnd w:id="16"/>
    </w:p>
    <w:p w14:paraId="5E0C18BC" w14:textId="7EF250BB" w:rsidR="001257AF" w:rsidRPr="00A83E0C" w:rsidRDefault="00F16DED" w:rsidP="00537A85">
      <w:pPr>
        <w:pStyle w:val="2"/>
      </w:pPr>
      <w:r w:rsidRPr="00A83E0C">
        <w:rPr>
          <w:b/>
        </w:rPr>
        <w:t>Рекомендуется</w:t>
      </w:r>
      <w:r w:rsidRPr="00A83E0C">
        <w:t xml:space="preserve"> </w:t>
      </w:r>
      <w:r w:rsidR="00B94A3C" w:rsidRPr="00A83E0C">
        <w:t xml:space="preserve">проведение биопсии с последующим патолого-анатомическим исследованием биопсийного материала поджелудочной железы </w:t>
      </w:r>
      <w:r w:rsidR="005B26E5" w:rsidRPr="00A83E0C">
        <w:t>тем пациентам</w:t>
      </w:r>
      <w:r w:rsidR="00F923DC" w:rsidRPr="00A83E0C">
        <w:t xml:space="preserve">, </w:t>
      </w:r>
      <w:r w:rsidR="005B26E5" w:rsidRPr="00A83E0C">
        <w:t>кому</w:t>
      </w:r>
      <w:r w:rsidR="00F923DC" w:rsidRPr="00A83E0C">
        <w:t xml:space="preserve"> планируется начало лечения с консервативного этапа</w:t>
      </w:r>
      <w:r w:rsidR="00CB323C" w:rsidRPr="00A83E0C">
        <w:t xml:space="preserve"> </w:t>
      </w:r>
      <w:r w:rsidR="00C15198" w:rsidRPr="00A83E0C">
        <w:fldChar w:fldCharType="begin"/>
      </w:r>
      <w:r w:rsidR="00D10A7E">
        <w:instrText xml:space="preserve"> ADDIN ZOTERO_ITEM CSL_CITATION {"citationID":"mTBnKnuy","properties":{"formattedCitation":"[12,18,19]","plainCitation":"[12,18,19]","noteIndex":0},"citationItems":[{"id":303,"uris":["http://zotero.org/users/5363772/items/M9B426DS",["http://zotero.org/users/5363772/items/M9B426DS"]],"itemData":{"id":303,"type":"article-journal","abstract":"The authors prospectively performed serum CA 19-9 assessment, ultrasound (US), computed tomography (CT), and CT-guided fine-needle aspiration biopsy (FNAB) of the pancreas in 81 consecutive patients with suspected chronic pancreatitis or pancreatic neoplasm. The final diagnosis was pancreatic cancer in 54 patients and chronic pancreatitis in 27 patients. CA 19-9 assessment, US, CT, and FNAB were considered nondiagnostic, respectively, in 0%, 25%, 19%, and 6% of cases. When a definite diagnosis was rendered, the positive predictive value was 90% for CA 19-9 assessment, 95% for US, 98% for CT, and 100% for FNAB; the negative predictive value was, respectively, 69%, 95%, 86%, and 100%. The accuracy of all diagnostic and nondiagnostic studies was 81% for CA 19-9 assessment, 72% for US, 77% for CT, and 94% for FNAB. It is concluded that CT-guided pancreatic FNAB is the most reliable examination for enabling differential diagnosis of pancreatic cancer and chronic pancreatitis. When the pancreas is well visualized at US, the negative predictive value for pancreatic cancer is more accurate than that of CA 19-9 assessment and CT.","container-title":"Radiology","DOI":"10.1148/radiology.178.1.1984331","ISSN":"0033-8419","issue":"1","journalAbbreviation":"Radiology","page":"95-99","title":"Pancreatic cancer versus chronic pancreatitis: diagnosis with CA 19-9 assessment, US, CT, and CT-guided fine-needle biopsy.","volume":"178","author":[{"family":"DelMaschio","given":"A"},{"family":"Vanzulli","given":"A"},{"family":"Sironi","given":"S"},{"family":"Castrucci","given":"M"},{"family":"Mellone","given":"R"},{"family":"Staudacher","given":"C"},{"family":"Carlucci","given":"M"},{"family":"Zerbi","given":"A"},{"family":"Parolini","given":"D"},{"family":"Faravelli","given":"A"}],"issued":{"date-parts":[["1991",1,1]]}}},{"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[12,18,19]</w:t>
      </w:r>
      <w:r w:rsidR="00C15198" w:rsidRPr="00A83E0C">
        <w:fldChar w:fldCharType="end"/>
      </w:r>
      <w:r w:rsidR="00A375E9" w:rsidRPr="00A83E0C">
        <w:t>.</w:t>
      </w:r>
    </w:p>
    <w:p w14:paraId="111DBD64" w14:textId="77777777" w:rsidR="00C1769C" w:rsidRPr="00A83E0C" w:rsidRDefault="001F58F6" w:rsidP="00DC7BE7">
      <w:pPr>
        <w:pStyle w:val="33"/>
        <w:rPr>
          <w:color w:val="auto"/>
          <w:lang w:val="ru-RU"/>
        </w:rPr>
      </w:pPr>
      <w:r w:rsidRPr="00A83E0C">
        <w:rPr>
          <w:color w:val="auto"/>
          <w:lang w:val="ru-RU"/>
        </w:rPr>
        <w:t xml:space="preserve">Уровень убедительности рекомендаций </w:t>
      </w:r>
      <w:r w:rsidR="00913445">
        <w:rPr>
          <w:color w:val="auto"/>
          <w:lang w:val="ru-RU"/>
        </w:rPr>
        <w:t>В</w:t>
      </w:r>
      <w:r w:rsidR="00913445" w:rsidRPr="00A83E0C">
        <w:rPr>
          <w:color w:val="auto"/>
          <w:lang w:val="ru-RU"/>
        </w:rPr>
        <w:t xml:space="preserve"> </w:t>
      </w:r>
      <w:r w:rsidR="00D36980" w:rsidRPr="00A83E0C">
        <w:rPr>
          <w:color w:val="auto"/>
          <w:lang w:val="ru-RU"/>
        </w:rPr>
        <w:t xml:space="preserve">(уровень достоверности доказательств </w:t>
      </w:r>
      <w:r w:rsidR="00913445">
        <w:rPr>
          <w:color w:val="auto"/>
          <w:lang w:val="ru-RU"/>
        </w:rPr>
        <w:t>2</w:t>
      </w:r>
      <w:r w:rsidR="00D36980" w:rsidRPr="00A83E0C">
        <w:rPr>
          <w:color w:val="auto"/>
          <w:lang w:val="ru-RU"/>
        </w:rPr>
        <w:t>)</w:t>
      </w:r>
    </w:p>
    <w:p w14:paraId="3CF757AE" w14:textId="3CAA3E89" w:rsidR="00295D1A" w:rsidRDefault="001257AF" w:rsidP="002E6369">
      <w:pPr>
        <w:pStyle w:val="aff2"/>
        <w:ind w:firstLine="708"/>
        <w:jc w:val="left"/>
      </w:pPr>
      <w:r w:rsidRPr="00A83E0C">
        <w:rPr>
          <w:b/>
          <w:i w:val="0"/>
        </w:rPr>
        <w:t>Комментарий</w:t>
      </w:r>
      <w:r w:rsidRPr="00A83E0C">
        <w:t xml:space="preserve">: </w:t>
      </w:r>
      <w:r w:rsidR="00F45976" w:rsidRPr="00A83E0C">
        <w:t>хирургическое вмешательство в ряде случаев может быть выполнено без морфологического подтверждения</w:t>
      </w:r>
      <w:r w:rsidR="002E6369">
        <w:t>.</w:t>
      </w:r>
      <w:r w:rsidR="00945AAD">
        <w:t xml:space="preserve"> </w:t>
      </w:r>
      <w:r w:rsidR="002E6369">
        <w:t>Н</w:t>
      </w:r>
      <w:r w:rsidR="00F45976" w:rsidRPr="00A83E0C">
        <w:t xml:space="preserve">азначение консервативного лечения требует обязательной </w:t>
      </w:r>
      <w:r w:rsidR="002E6369">
        <w:t xml:space="preserve">морфологической </w:t>
      </w:r>
      <w:r w:rsidR="00F45976" w:rsidRPr="00A83E0C">
        <w:t xml:space="preserve">верификации ввиду значительной вероятности ложноположительных заключений инструментальных методов исследования. </w:t>
      </w:r>
      <w:r w:rsidR="002E6369">
        <w:lastRenderedPageBreak/>
        <w:t>О</w:t>
      </w:r>
      <w:r w:rsidR="002E6369" w:rsidRPr="004E104D">
        <w:rPr>
          <w:rFonts w:eastAsia="BlissPro-Light"/>
          <w:szCs w:val="24"/>
        </w:rPr>
        <w:t>птимальным вариантом получения материала для верификации процесса является эндосонография и тонкоигольная аспирационная биопсия. Толстоигольная биопсия под контролем эндосонографии позволяет получить дополнительный материал для ИГХ или молекулярно-генетического исследования, однако является более сложным и дорогостоящим методом. Биопсия должна быть выполнена также в ходе эксплоративной лапаротомии или лапароскопии у тех пациентов, которым планировалась радикальная операция без предшествующей верификации, однако интраоперационно процесс был признан нерезектабельным.</w:t>
      </w:r>
      <w:r w:rsidR="002E6369">
        <w:rPr>
          <w:rFonts w:eastAsia="BlissPro-Light"/>
          <w:sz w:val="28"/>
          <w:szCs w:val="28"/>
        </w:rPr>
        <w:t xml:space="preserve"> </w:t>
      </w:r>
      <w:r w:rsidR="00F923DC" w:rsidRPr="00A83E0C">
        <w:t>Отрицательный результат биопсии при положительных данных лучевого исследования - повод для повторных процедур, пока не будет получен диагностически значимый материал.</w:t>
      </w:r>
      <w:r w:rsidR="00A56F61" w:rsidRPr="00A83E0C">
        <w:t xml:space="preserve"> </w:t>
      </w:r>
      <w:r w:rsidR="002E6369">
        <w:t xml:space="preserve">Для экономии времени и расходных материалов </w:t>
      </w:r>
      <w:r w:rsidR="004B4F95">
        <w:t xml:space="preserve">при выполнении биопсии под эндосонографическим контролем </w:t>
      </w:r>
      <w:r w:rsidR="004B0E90">
        <w:t xml:space="preserve">рекомендуется внедрить методику экспресс-окрашивания </w:t>
      </w:r>
      <w:r w:rsidR="00E36F81">
        <w:t xml:space="preserve">цитологических </w:t>
      </w:r>
      <w:r w:rsidR="004B0E90">
        <w:t xml:space="preserve">стекол и срочного анализа полученного материала на предмет достаточности для последующего планового морфологического исследования. </w:t>
      </w:r>
    </w:p>
    <w:p w14:paraId="51E03099" w14:textId="41EAD3DA" w:rsidR="007844B0" w:rsidRPr="007F0D4A" w:rsidRDefault="007844B0" w:rsidP="004E104D">
      <w:pPr>
        <w:pStyle w:val="aff2"/>
        <w:ind w:firstLine="708"/>
        <w:jc w:val="left"/>
        <w:rPr>
          <w:szCs w:val="24"/>
        </w:rPr>
      </w:pPr>
      <w:r w:rsidRPr="004E104D">
        <w:rPr>
          <w:rFonts w:eastAsia="BlissPro-Light"/>
          <w:szCs w:val="24"/>
        </w:rPr>
        <w:t>У пациентов с резектабельными опухолями (15–20 % от общего числа больных) отрицательный результат биопсии не должен приводить к задержке или отмене хирургического лечения в том случае, если тактика лечения обсуждается на междисциплинарном консилиуме и клинический диагноз РПЖ не вызывает сомнения.</w:t>
      </w:r>
      <w:r w:rsidR="007F0D4A" w:rsidRPr="007F0D4A">
        <w:rPr>
          <w:rFonts w:eastAsia="BlissPro-Light"/>
          <w:szCs w:val="24"/>
        </w:rPr>
        <w:t xml:space="preserve"> </w:t>
      </w:r>
      <w:r w:rsidR="00131DD9">
        <w:rPr>
          <w:rFonts w:eastAsia="BlissPro-Light"/>
          <w:szCs w:val="24"/>
        </w:rPr>
        <w:t>При этом п</w:t>
      </w:r>
      <w:r w:rsidR="007F0D4A">
        <w:rPr>
          <w:rFonts w:eastAsia="BlissPro-Light"/>
          <w:szCs w:val="24"/>
        </w:rPr>
        <w:t xml:space="preserve">ланирование неоадъювантной терапии на первом этапе лечения (погранично) резектабельного процесса требует обязательной морфологической верификации процесса. </w:t>
      </w:r>
    </w:p>
    <w:p w14:paraId="77EB8A72" w14:textId="0404ABFF" w:rsidR="00DB4127" w:rsidRPr="00A83E0C" w:rsidRDefault="005B26E5" w:rsidP="00537A85">
      <w:pPr>
        <w:pStyle w:val="2"/>
      </w:pPr>
      <w:r w:rsidRPr="00A83E0C">
        <w:t xml:space="preserve">Всем пациентам с раком поджелудочной железы </w:t>
      </w:r>
      <w:r w:rsidRPr="00A83E0C">
        <w:rPr>
          <w:b/>
        </w:rPr>
        <w:t>р</w:t>
      </w:r>
      <w:r w:rsidR="00F16DED" w:rsidRPr="00A83E0C">
        <w:rPr>
          <w:b/>
        </w:rPr>
        <w:t>екомендуется</w:t>
      </w:r>
      <w:r w:rsidR="00F16DED" w:rsidRPr="00A83E0C">
        <w:t xml:space="preserve"> выполнить </w:t>
      </w:r>
      <w:r w:rsidR="00B94A3C" w:rsidRPr="00A83E0C">
        <w:t>эзофагогастродуоденоскопию (</w:t>
      </w:r>
      <w:r w:rsidR="00C866C8" w:rsidRPr="00A83E0C">
        <w:t>ЭГДС</w:t>
      </w:r>
      <w:r w:rsidR="00B94A3C" w:rsidRPr="00A83E0C">
        <w:t>)</w:t>
      </w:r>
      <w:r w:rsidR="007B1D6E" w:rsidRPr="00A83E0C">
        <w:t xml:space="preserve"> для оценки распространенности опухолевого процесса</w:t>
      </w:r>
      <w:r w:rsidR="00CB323C" w:rsidRPr="00A83E0C">
        <w:t xml:space="preserve"> </w:t>
      </w:r>
      <w:r w:rsidR="00C15198" w:rsidRPr="00A83E0C">
        <w:fldChar w:fldCharType="begin"/>
      </w:r>
      <w:r w:rsidR="00D10A7E">
        <w:instrText xml:space="preserve"> ADDIN ZOTERO_ITEM CSL_CITATION {"citationID":"7Du18zX1","properties":{"formattedCitation":"[20]","plainCitation":"[20]","noteIndex":0},"citationItems":[{"id":1151,"uris":["http://zotero.org/users/5363772/items/CC9EHM76",["http://zotero.org/users/5363772/items/CC9EHM76"]],"itemData":{"id":1151,"type":"article-journal","abstract":"In the screening of early pancreatic cancer and bile duct cancer, the first issue was ?what are the types of abnormality in laboratory data and symptoms in case of early pancreatic cancer and bile duct cancer?? Early cancer in the pancreaticobiliary region has almost no symptoms, however epigastralgia without abnormality in the gastrointestinal (GI) tract is a sign of early stage pancreaticobiliary cancer. Sudden onset and aggravation of diabetes mellitus is an important change in the case of pancreatic cancer. Extracorporeal ultrasonography is a very useful procedure of checking up changes of pancreatic and biliary lesions. As the role of endoscopy in screening, endoscopic ultrasonography (EUS) is the most effective means of cancer detection of the pancreas, and endoscopic retrograde cholangiopancreatography (ERCP) is most useful of diagnosis tool for abnormalities of the common bile duct. Endoscopic retrograde cholangiopancreatography is an important modality as the procedure of sampling of diagnostic materials. Endoscopic ultrasonography-fine needle aspiration (EUS-FNA) has the role of histological diagnosis of pancreatic mass lesion also. Especially, in the case of pancreas cancer without evidence of cancer by pancreatic juice cytology and brushing cytology, EUS-FNA is essential. Intra ductal ultrasonography (IUDS) and perotral cholangioscopy (POCS) are useful for determination of mucosal extent in extrahepatic bile duct cancer. Further improvements of endoscopical technology, endoscopic procedures are expected to be more useful modalities in detection and diagnosis of early pancreatic and bile duct cancers.","container-title":"Digestive Endoscopy","DOI":"10.1111/j.1443-1661.2009.00856.x","ISSN":"0915-5635","issue":"s1","journalAbbreviation":"Digestive Endoscopy","note":"publisher: John Wiley &amp; Sons, Ltd","page":"S97-S100","title":"Role of endoscopy in screening of early pancreatic cancer and bile duct cancer","volume":"21","author":[{"family":"Tanaka","given":"Kiyohito"},{"family":"Kida","given":"Mitsuhiro"}],"issued":{"date-parts":[["2009",7,1]]}}}],"schema":"https://github.com/citation-style-language/schema/raw/master/csl-citation.json"} </w:instrText>
      </w:r>
      <w:r w:rsidR="00C15198" w:rsidRPr="00A83E0C">
        <w:fldChar w:fldCharType="separate"/>
      </w:r>
      <w:r w:rsidR="00D10A7E" w:rsidRPr="00D10A7E">
        <w:t>[20]</w:t>
      </w:r>
      <w:r w:rsidR="00C15198" w:rsidRPr="00A83E0C">
        <w:fldChar w:fldCharType="end"/>
      </w:r>
      <w:r w:rsidR="00385052" w:rsidRPr="00A83E0C">
        <w:t>.</w:t>
      </w:r>
    </w:p>
    <w:p w14:paraId="222B2842" w14:textId="77777777" w:rsidR="00F64951" w:rsidRPr="00A83E0C" w:rsidRDefault="00F64951" w:rsidP="00DC7BE7">
      <w:pPr>
        <w:pStyle w:val="33"/>
        <w:rPr>
          <w:color w:val="auto"/>
          <w:lang w:val="ru-RU"/>
        </w:rPr>
      </w:pPr>
      <w:r w:rsidRPr="00A83E0C">
        <w:rPr>
          <w:color w:val="auto"/>
          <w:lang w:val="ru-RU"/>
        </w:rPr>
        <w:t xml:space="preserve">Уровень убедительности рекомендаций </w:t>
      </w:r>
      <w:r w:rsidR="006D3F4A" w:rsidRPr="00A83E0C">
        <w:rPr>
          <w:color w:val="auto"/>
        </w:rPr>
        <w:t>C</w:t>
      </w:r>
      <w:r w:rsidR="006D3F4A" w:rsidRPr="00A83E0C">
        <w:rPr>
          <w:color w:val="auto"/>
          <w:lang w:val="ru-RU"/>
        </w:rPr>
        <w:t xml:space="preserve"> </w:t>
      </w:r>
      <w:r w:rsidRPr="00A83E0C">
        <w:rPr>
          <w:color w:val="auto"/>
          <w:lang w:val="ru-RU"/>
        </w:rPr>
        <w:t xml:space="preserve">(уровень достоверности доказательств </w:t>
      </w:r>
      <w:r w:rsidR="006D3F4A" w:rsidRPr="00A83E0C">
        <w:rPr>
          <w:color w:val="auto"/>
          <w:lang w:val="ru-RU"/>
        </w:rPr>
        <w:t>5</w:t>
      </w:r>
      <w:r w:rsidRPr="00A83E0C">
        <w:rPr>
          <w:color w:val="auto"/>
          <w:lang w:val="ru-RU"/>
        </w:rPr>
        <w:t>)</w:t>
      </w:r>
    </w:p>
    <w:p w14:paraId="6CB434BB" w14:textId="77777777" w:rsidR="00D812D2" w:rsidRPr="00A83E0C" w:rsidRDefault="006F6947" w:rsidP="00AB423C">
      <w:pPr>
        <w:pStyle w:val="aff2"/>
        <w:ind w:firstLine="708"/>
      </w:pPr>
      <w:r w:rsidRPr="00A83E0C">
        <w:rPr>
          <w:b/>
          <w:i w:val="0"/>
        </w:rPr>
        <w:t>Комментарий</w:t>
      </w:r>
      <w:r w:rsidRPr="00A83E0C">
        <w:t xml:space="preserve">: </w:t>
      </w:r>
      <w:r w:rsidR="00BE5BAC" w:rsidRPr="00A83E0C">
        <w:t xml:space="preserve">ЭГДС - </w:t>
      </w:r>
      <w:r w:rsidR="00F931B7" w:rsidRPr="00A83E0C">
        <w:t xml:space="preserve">обязательный метод исследования </w:t>
      </w:r>
      <w:r w:rsidR="00BE5BAC" w:rsidRPr="00A83E0C">
        <w:t>пациентов</w:t>
      </w:r>
      <w:r w:rsidR="00F931B7" w:rsidRPr="00A83E0C">
        <w:t xml:space="preserve"> с подозрением на опухоль поджелудочной железы. </w:t>
      </w:r>
      <w:r w:rsidR="00BE5BAC" w:rsidRPr="00A83E0C">
        <w:t>ЭГДС п</w:t>
      </w:r>
      <w:r w:rsidR="00F931B7" w:rsidRPr="00A83E0C">
        <w:t>озволяет визуализировать инвазию двенадцатиперстной кишки, оценить степень опухолевого стеноза двенадцатиперстной кишки, уточнить локализацию и местную инвазию опухоли орган</w:t>
      </w:r>
      <w:r w:rsidR="000B5088" w:rsidRPr="00A83E0C">
        <w:t>ов и структур</w:t>
      </w:r>
      <w:r w:rsidR="00F931B7" w:rsidRPr="00A83E0C">
        <w:t xml:space="preserve"> билиопанкреатодуоденальной зоны. </w:t>
      </w:r>
    </w:p>
    <w:p w14:paraId="5857D215" w14:textId="3D7F0EF5" w:rsidR="008D30E8" w:rsidRPr="00A83E0C" w:rsidRDefault="00964243" w:rsidP="003C1E53">
      <w:pPr>
        <w:pStyle w:val="2"/>
      </w:pPr>
      <w:r w:rsidRPr="00A83E0C">
        <w:t xml:space="preserve">Всем пациентам с раком поджелудочной железы </w:t>
      </w:r>
      <w:r w:rsidRPr="00A83E0C">
        <w:rPr>
          <w:b/>
        </w:rPr>
        <w:t>рекомендуется</w:t>
      </w:r>
      <w:r w:rsidRPr="00A83E0C">
        <w:t xml:space="preserve"> выполнить </w:t>
      </w:r>
      <w:r w:rsidRPr="00A83E0C">
        <w:rPr>
          <w:rFonts w:eastAsia="GalsLightC"/>
        </w:rPr>
        <w:t xml:space="preserve">компьютерную томографию </w:t>
      </w:r>
      <w:r w:rsidRPr="00A83E0C">
        <w:t xml:space="preserve">с болюсным контрастным усилением органов брюшной </w:t>
      </w:r>
      <w:r w:rsidRPr="00A83E0C">
        <w:lastRenderedPageBreak/>
        <w:t>полости, грудной клетки и</w:t>
      </w:r>
      <w:r>
        <w:t xml:space="preserve"> для женщин</w:t>
      </w:r>
      <w:r w:rsidRPr="00A83E0C">
        <w:t xml:space="preserve"> малого таза для оценки распространенности опухолевого процесса и дифференциальной диагностики заболевания </w:t>
      </w:r>
      <w:r w:rsidR="00C15198" w:rsidRPr="00A83E0C">
        <w:fldChar w:fldCharType="begin"/>
      </w:r>
      <w:r w:rsidR="00D10A7E">
        <w:instrText xml:space="preserve"> ADDIN ZOTERO_ITEM CSL_CITATION {"citationID":"199ulXrL","properties":{"formattedCitation":"[19,21,22]","plainCitation":"[19,21,22]","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305,"uris":["http://zotero.org/users/5363772/items/ES9ZAWZ3",["http://zotero.org/users/5363772/items/ES9ZAWZ3"]],"itemData":{"id":305,"type":"article-journal","issue":"3","journalAbbreviation":"Анналы хирургической гепатологии","language":"Русский","page":"22-35","title":"Дифференциальная диагностика и определение резектабельности рака поджелудочной железы с помощью МСКТ и МРТ","volume":"24","author":[{"family":"Кармазановский","given":"Григорий"}],"issued":{"date-parts":[["2019"]]}}},{"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[19,21,22]</w:t>
      </w:r>
      <w:r w:rsidR="00C15198" w:rsidRPr="00A83E0C">
        <w:fldChar w:fldCharType="end"/>
      </w:r>
      <w:r w:rsidR="007235FD" w:rsidRPr="00A83E0C">
        <w:t>.</w:t>
      </w:r>
      <w:r w:rsidR="007235FD" w:rsidRPr="00A83E0C">
        <w:rPr>
          <w:rStyle w:val="af"/>
          <w:b/>
        </w:rPr>
        <w:t xml:space="preserve"> </w:t>
      </w:r>
    </w:p>
    <w:p w14:paraId="3C235C0D" w14:textId="77777777" w:rsidR="00C1769C" w:rsidRPr="00A83E0C" w:rsidRDefault="001F58F6" w:rsidP="00DC7BE7">
      <w:pPr>
        <w:pStyle w:val="33"/>
        <w:rPr>
          <w:color w:val="auto"/>
          <w:lang w:val="ru-RU"/>
        </w:rPr>
      </w:pPr>
      <w:r w:rsidRPr="00A83E0C">
        <w:rPr>
          <w:color w:val="auto"/>
          <w:lang w:val="ru-RU"/>
        </w:rPr>
        <w:t xml:space="preserve">Уровень убедительности рекомендаций </w:t>
      </w:r>
      <w:r w:rsidR="00454216" w:rsidRPr="00A83E0C">
        <w:rPr>
          <w:color w:val="auto"/>
          <w:lang w:val="ru-RU"/>
        </w:rPr>
        <w:t xml:space="preserve">С </w:t>
      </w:r>
      <w:r w:rsidR="00C1769C" w:rsidRPr="00A83E0C">
        <w:rPr>
          <w:color w:val="auto"/>
          <w:lang w:val="ru-RU"/>
        </w:rPr>
        <w:t xml:space="preserve">(уровень достоверности доказательств </w:t>
      </w:r>
      <w:r w:rsidR="00454216" w:rsidRPr="00A83E0C">
        <w:rPr>
          <w:color w:val="auto"/>
          <w:lang w:val="ru-RU"/>
        </w:rPr>
        <w:t>5</w:t>
      </w:r>
      <w:r w:rsidR="00C1769C" w:rsidRPr="00A83E0C">
        <w:rPr>
          <w:color w:val="auto"/>
          <w:lang w:val="ru-RU"/>
        </w:rPr>
        <w:t>)</w:t>
      </w:r>
    </w:p>
    <w:p w14:paraId="511DE54D" w14:textId="6BCAD237" w:rsidR="00605B6C" w:rsidRPr="00605B6C" w:rsidRDefault="00A56F61" w:rsidP="00605B6C">
      <w:pPr>
        <w:ind w:firstLine="567"/>
        <w:rPr>
          <w:i/>
          <w:iCs/>
          <w:lang w:val="ru-RU"/>
        </w:rPr>
      </w:pPr>
      <w:r w:rsidRPr="00A83E0C">
        <w:rPr>
          <w:b/>
          <w:lang w:val="ru-RU"/>
        </w:rPr>
        <w:t>Комментарий</w:t>
      </w:r>
      <w:r w:rsidRPr="00A83E0C">
        <w:rPr>
          <w:lang w:val="ru-RU"/>
        </w:rPr>
        <w:t xml:space="preserve">: </w:t>
      </w:r>
      <w:r w:rsidR="00605B6C" w:rsidRPr="00605B6C">
        <w:rPr>
          <w:i/>
          <w:iCs/>
          <w:lang w:val="ru-RU"/>
        </w:rPr>
        <w:t xml:space="preserve">при выполнении РКТ-исследований абдоминальной области с внутривенным контрастированием необходимо обязательное применение автоматических инжекторов. Применяемая скорость введения контрастных препаратов обычно составляет 2-5 мл/сек, которую можно считать вполне достаточной для получения информативных результатов. </w:t>
      </w:r>
    </w:p>
    <w:p w14:paraId="02F29471" w14:textId="48261B13" w:rsidR="00605B6C" w:rsidRPr="00605B6C" w:rsidRDefault="00605B6C" w:rsidP="00605B6C">
      <w:pPr>
        <w:ind w:firstLine="567"/>
        <w:rPr>
          <w:i/>
          <w:iCs/>
          <w:lang w:val="ru-RU"/>
        </w:rPr>
      </w:pPr>
      <w:r w:rsidRPr="00605B6C">
        <w:rPr>
          <w:i/>
          <w:iCs/>
          <w:lang w:val="ru-RU"/>
        </w:rPr>
        <w:t>Ручное введение контрастных препаратов при РКТ-исследованиях органов абдоминальной области следует считать неприемлемым, поскольку невозможно получить информативные отображения изучаемых органов в необходимые фазы контрастирования, без анализа которых корректная диагностика, как правило, невозможна.</w:t>
      </w:r>
    </w:p>
    <w:p w14:paraId="2F3561E2" w14:textId="77777777" w:rsidR="00605B6C" w:rsidRPr="00605B6C" w:rsidRDefault="00605B6C" w:rsidP="00605B6C">
      <w:pPr>
        <w:ind w:firstLine="567"/>
        <w:rPr>
          <w:i/>
          <w:iCs/>
          <w:lang w:val="ru-RU"/>
        </w:rPr>
      </w:pPr>
      <w:r w:rsidRPr="00605B6C">
        <w:rPr>
          <w:i/>
          <w:iCs/>
          <w:lang w:val="ru-RU"/>
        </w:rPr>
        <w:t xml:space="preserve">При расчетах основных параметров методик контрастирования необходимо учитывать технические характеристики и конструктивные особенности используемых компьютерных томографов (в частности, скорость вращения трубки, параметры тока на ней, ширину полосы детекторов и др.). </w:t>
      </w:r>
    </w:p>
    <w:p w14:paraId="2DF8E2BD" w14:textId="77777777" w:rsidR="00605B6C" w:rsidRPr="00605B6C" w:rsidRDefault="00605B6C" w:rsidP="00605B6C">
      <w:pPr>
        <w:ind w:firstLine="567"/>
        <w:rPr>
          <w:i/>
          <w:iCs/>
          <w:lang w:val="ru-RU"/>
        </w:rPr>
      </w:pPr>
      <w:r w:rsidRPr="00605B6C">
        <w:rPr>
          <w:i/>
          <w:iCs/>
          <w:lang w:val="ru-RU"/>
        </w:rPr>
        <w:t>Для полноценного анализа особенностей состояния органов абдоминальной области нужно использовать 3-х или 4-фазное исследование, включающее в себя нативную, артериальную, венозную (или портально-венозную) фазы, равновесную (или отсроченную) фазы. Для каждой фазы исследования время начала сканирования от момента начала введения контрастного препарата (т.е. времени задержки) определяется строго индивидуально с учетом предпочитаемой скорости введения РКС (обычно, 2-5мл/сек), его объема, цели исследования и технических параметров томографа.  В современных КТ-сканерах для определения величины задержки начала сканирования используются автоматические методики (типа «</w:t>
      </w:r>
      <w:r w:rsidRPr="00605B6C">
        <w:rPr>
          <w:i/>
          <w:iCs/>
        </w:rPr>
        <w:t>bolus</w:t>
      </w:r>
      <w:r w:rsidRPr="00605B6C">
        <w:rPr>
          <w:i/>
          <w:iCs/>
          <w:lang w:val="ru-RU"/>
        </w:rPr>
        <w:t>-</w:t>
      </w:r>
      <w:r w:rsidRPr="00605B6C">
        <w:rPr>
          <w:i/>
          <w:iCs/>
        </w:rPr>
        <w:t>tracking</w:t>
      </w:r>
      <w:r w:rsidRPr="00605B6C">
        <w:rPr>
          <w:i/>
          <w:iCs/>
          <w:lang w:val="ru-RU"/>
        </w:rPr>
        <w:t>» "</w:t>
      </w:r>
      <w:r w:rsidRPr="00605B6C">
        <w:rPr>
          <w:i/>
          <w:iCs/>
        </w:rPr>
        <w:t>sure</w:t>
      </w:r>
      <w:r w:rsidRPr="00605B6C">
        <w:rPr>
          <w:i/>
          <w:iCs/>
          <w:lang w:val="ru-RU"/>
        </w:rPr>
        <w:t xml:space="preserve"> </w:t>
      </w:r>
      <w:r w:rsidRPr="00605B6C">
        <w:rPr>
          <w:i/>
          <w:iCs/>
        </w:rPr>
        <w:t>start</w:t>
      </w:r>
      <w:r w:rsidRPr="00605B6C">
        <w:rPr>
          <w:i/>
          <w:iCs/>
          <w:lang w:val="ru-RU"/>
        </w:rPr>
        <w:t xml:space="preserve">" и подобные). </w:t>
      </w:r>
    </w:p>
    <w:p w14:paraId="401F29A7" w14:textId="77777777" w:rsidR="00605B6C" w:rsidRPr="00605B6C" w:rsidRDefault="00605B6C" w:rsidP="00605B6C">
      <w:pPr>
        <w:ind w:firstLine="567"/>
        <w:rPr>
          <w:i/>
          <w:iCs/>
          <w:lang w:val="ru-RU"/>
        </w:rPr>
      </w:pPr>
      <w:r w:rsidRPr="00605B6C">
        <w:rPr>
          <w:i/>
          <w:iCs/>
          <w:lang w:val="ru-RU"/>
        </w:rPr>
        <w:t xml:space="preserve">Наиболее распространенными величинами задержки для артериальной фазы считаются величины 20-30 сек (от начала ведения РКС), для портально- венозной фазы = 50-70 сек, для равновесной или отсроченной фазы = 100-180 сек. Ряд авторов в своих исследованиях выделяют также панкреатическую фазу (или «позднюю артериальную») с задержкой 30-50 сек (40-45сек) от начала введения рентгеноконтрастных средств (РКС) </w:t>
      </w:r>
    </w:p>
    <w:p w14:paraId="068DBFF7" w14:textId="77777777" w:rsidR="00605B6C" w:rsidRPr="00605B6C" w:rsidRDefault="00605B6C" w:rsidP="00605B6C">
      <w:pPr>
        <w:ind w:firstLine="567"/>
        <w:rPr>
          <w:i/>
          <w:iCs/>
          <w:lang w:val="ru-RU"/>
        </w:rPr>
      </w:pPr>
      <w:r w:rsidRPr="00605B6C">
        <w:rPr>
          <w:i/>
          <w:iCs/>
          <w:lang w:val="ru-RU"/>
        </w:rPr>
        <w:t xml:space="preserve">В качестве точки отсчета (для начала сканирования) может применяться момент достижения на просвете нисходящей аорты уровня «усиления» =100-120 </w:t>
      </w:r>
      <w:r w:rsidRPr="00605B6C">
        <w:rPr>
          <w:i/>
          <w:iCs/>
        </w:rPr>
        <w:t>HU</w:t>
      </w:r>
      <w:r w:rsidRPr="00605B6C">
        <w:rPr>
          <w:i/>
          <w:iCs/>
          <w:lang w:val="ru-RU"/>
        </w:rPr>
        <w:t xml:space="preserve">, что </w:t>
      </w:r>
      <w:r w:rsidRPr="00605B6C">
        <w:rPr>
          <w:i/>
          <w:iCs/>
          <w:lang w:val="ru-RU"/>
        </w:rPr>
        <w:lastRenderedPageBreak/>
        <w:t>происходит обычно через 18-23 сек, при этом, задержка начала сканирования от указанной точки отсчета составляет: для артериальной фазы = 5-6сек, для панкреатической фазы = 19-22 сек, для портально-венозной фазы = 52-65 сек.</w:t>
      </w:r>
    </w:p>
    <w:p w14:paraId="070A2779" w14:textId="77777777" w:rsidR="00605B6C" w:rsidRPr="00605B6C" w:rsidRDefault="00605B6C" w:rsidP="00605B6C">
      <w:pPr>
        <w:ind w:firstLine="567"/>
        <w:rPr>
          <w:i/>
          <w:iCs/>
          <w:lang w:val="ru-RU"/>
        </w:rPr>
      </w:pPr>
      <w:r w:rsidRPr="00605B6C">
        <w:rPr>
          <w:i/>
          <w:iCs/>
          <w:lang w:val="ru-RU"/>
        </w:rPr>
        <w:t>По данным отдельных авторов, для панкреатической фазы величина задержки составляла 22 сек - на 4-16 рядных томографах и 24 сек - на 64-рядных томографах (при достижении уровня контрастирования брюшной аорты в 100</w:t>
      </w:r>
      <w:r w:rsidRPr="00605B6C">
        <w:rPr>
          <w:i/>
          <w:iCs/>
        </w:rPr>
        <w:t>HU</w:t>
      </w:r>
      <w:r w:rsidRPr="00605B6C">
        <w:rPr>
          <w:i/>
          <w:iCs/>
          <w:lang w:val="ru-RU"/>
        </w:rPr>
        <w:t xml:space="preserve">) </w:t>
      </w:r>
    </w:p>
    <w:p w14:paraId="2B98FE09" w14:textId="77777777" w:rsidR="00605B6C" w:rsidRPr="00605B6C" w:rsidRDefault="00605B6C" w:rsidP="00605B6C">
      <w:pPr>
        <w:ind w:firstLine="567"/>
        <w:rPr>
          <w:i/>
          <w:iCs/>
          <w:lang w:val="ru-RU"/>
        </w:rPr>
      </w:pPr>
      <w:r w:rsidRPr="00605B6C">
        <w:rPr>
          <w:i/>
          <w:iCs/>
          <w:lang w:val="ru-RU"/>
        </w:rPr>
        <w:t>Значительный разброс обсуждаемых значений обусловлен особенностями гемодинамики у разных пациентов, различиями в используемой аппаратуры и разной скоростью введения РКС.</w:t>
      </w:r>
    </w:p>
    <w:p w14:paraId="27567823" w14:textId="77777777" w:rsidR="00605B6C" w:rsidRPr="00605B6C" w:rsidRDefault="00605B6C" w:rsidP="00605B6C">
      <w:pPr>
        <w:ind w:firstLine="567"/>
        <w:rPr>
          <w:i/>
          <w:iCs/>
          <w:lang w:val="ru-RU"/>
        </w:rPr>
      </w:pPr>
      <w:r w:rsidRPr="00605B6C">
        <w:rPr>
          <w:i/>
          <w:iCs/>
          <w:lang w:val="ru-RU"/>
        </w:rPr>
        <w:t>Только тщательный анализ всех фаз в/в контрастирования позволяет осуществить детальную оценку особенностей контрастирования опухоли, а в ряде случаев и уточнить ее характер, а также определить состояние всех ключевых регионарных сосудистых стволов (в частности, степень их вовлеченности в опухолевый процесс либо их интактность).</w:t>
      </w:r>
    </w:p>
    <w:p w14:paraId="3B4B9A87" w14:textId="77777777" w:rsidR="00605B6C" w:rsidRPr="00605B6C" w:rsidRDefault="00605B6C" w:rsidP="00605B6C">
      <w:pPr>
        <w:ind w:firstLine="567"/>
        <w:rPr>
          <w:i/>
          <w:iCs/>
          <w:lang w:val="ru-RU"/>
        </w:rPr>
      </w:pPr>
      <w:r w:rsidRPr="00605B6C">
        <w:rPr>
          <w:i/>
          <w:iCs/>
          <w:lang w:val="ru-RU"/>
        </w:rPr>
        <w:t xml:space="preserve">Пациентам с предполагаемым поражением ПЖ необходимо выполнять стандартное исследование всей абдоминальной области с учетом высокой частоты метастатического поражения печени. </w:t>
      </w:r>
    </w:p>
    <w:p w14:paraId="20AF6683" w14:textId="77777777" w:rsidR="00605B6C" w:rsidRPr="00605B6C" w:rsidRDefault="00605B6C" w:rsidP="00605B6C">
      <w:pPr>
        <w:rPr>
          <w:i/>
          <w:lang w:val="ru-RU"/>
        </w:rPr>
      </w:pPr>
      <w:r w:rsidRPr="00605B6C">
        <w:rPr>
          <w:i/>
          <w:lang w:val="ru-RU"/>
        </w:rPr>
        <w:t>Минимальный объем заключения при КТ-исследовании, помимо описания локализации и размеров опухолевого образования, особенностей его взаимоотношений с близлежащими органами и структурами, наличия увеличенных лимфоузлов (с указанием их локализации), должен включать и детальную оценку степени его взаимосвязи (при наличии таковой) с ключевыми региональными сосудистыми стволами, в частности: с чревным стволом и его основными ветвями, ВБА и ВБВ, воротной и селезеночной венами, а именно:</w:t>
      </w:r>
    </w:p>
    <w:p w14:paraId="03FC82C4" w14:textId="77777777" w:rsidR="00605B6C" w:rsidRPr="00605B6C" w:rsidRDefault="00605B6C" w:rsidP="00605B6C">
      <w:pPr>
        <w:numPr>
          <w:ilvl w:val="0"/>
          <w:numId w:val="45"/>
        </w:numPr>
        <w:rPr>
          <w:i/>
          <w:lang w:val="ru-RU"/>
        </w:rPr>
      </w:pPr>
      <w:r w:rsidRPr="00605B6C">
        <w:rPr>
          <w:i/>
          <w:lang w:val="ru-RU"/>
        </w:rPr>
        <w:t>наличие и протяженность периваскулярной опухолевой инфильтрации</w:t>
      </w:r>
    </w:p>
    <w:p w14:paraId="09313E25" w14:textId="77777777" w:rsidR="00605B6C" w:rsidRPr="00605B6C" w:rsidRDefault="00605B6C" w:rsidP="00605B6C">
      <w:pPr>
        <w:numPr>
          <w:ilvl w:val="0"/>
          <w:numId w:val="45"/>
        </w:numPr>
        <w:rPr>
          <w:i/>
        </w:rPr>
      </w:pPr>
      <w:r w:rsidRPr="00605B6C">
        <w:rPr>
          <w:i/>
        </w:rPr>
        <w:t>степень деформации (сужения) сосудов</w:t>
      </w:r>
    </w:p>
    <w:p w14:paraId="4129D9F9" w14:textId="77777777" w:rsidR="00605B6C" w:rsidRPr="00605B6C" w:rsidRDefault="00605B6C" w:rsidP="00605B6C">
      <w:pPr>
        <w:numPr>
          <w:ilvl w:val="0"/>
          <w:numId w:val="45"/>
        </w:numPr>
        <w:rPr>
          <w:i/>
          <w:lang w:val="ru-RU"/>
        </w:rPr>
      </w:pPr>
      <w:r w:rsidRPr="00605B6C">
        <w:rPr>
          <w:i/>
          <w:lang w:val="ru-RU"/>
        </w:rPr>
        <w:t>по возможности, величину тесного контакта опухоли (при отсутствии разделительных жировых прослоек) с тем или иным сосудом: менее его полуокружности (</w:t>
      </w:r>
      <m:oMath>
        <m:r>
          <w:rPr>
            <w:rFonts w:ascii="Cambria Math" w:hAnsi="Cambria Math"/>
            <w:lang w:val="ru-RU"/>
          </w:rPr>
          <m:t>&lt;</m:t>
        </m:r>
      </m:oMath>
      <w:r w:rsidRPr="00605B6C">
        <w:rPr>
          <w:i/>
          <w:lang w:val="ru-RU"/>
        </w:rPr>
        <w:t>180°), более его полуокружности (</w:t>
      </w:r>
      <m:oMath>
        <m:r>
          <w:rPr>
            <w:rFonts w:ascii="Cambria Math" w:hAnsi="Cambria Math"/>
            <w:lang w:val="ru-RU"/>
          </w:rPr>
          <m:t xml:space="preserve"> &gt;</m:t>
        </m:r>
      </m:oMath>
      <w:r w:rsidRPr="00605B6C">
        <w:rPr>
          <w:i/>
          <w:lang w:val="ru-RU"/>
        </w:rPr>
        <w:t xml:space="preserve">180°), сосуд в толще опухоли. </w:t>
      </w:r>
    </w:p>
    <w:p w14:paraId="7D9BF8B3" w14:textId="77777777" w:rsidR="00605B6C" w:rsidRPr="00605B6C" w:rsidRDefault="00605B6C" w:rsidP="00605B6C">
      <w:pPr>
        <w:numPr>
          <w:ilvl w:val="0"/>
          <w:numId w:val="45"/>
        </w:numPr>
        <w:rPr>
          <w:i/>
          <w:lang w:val="ru-RU"/>
        </w:rPr>
      </w:pPr>
      <w:r w:rsidRPr="00605B6C">
        <w:rPr>
          <w:i/>
          <w:lang w:val="ru-RU"/>
        </w:rPr>
        <w:t>наличие или отсутствие тромбоза (опухолевого или кровяного) тех или иных сосудов</w:t>
      </w:r>
    </w:p>
    <w:p w14:paraId="63A0E3A9" w14:textId="77777777" w:rsidR="00605B6C" w:rsidRPr="00605B6C" w:rsidRDefault="00605B6C" w:rsidP="00605B6C">
      <w:pPr>
        <w:numPr>
          <w:ilvl w:val="0"/>
          <w:numId w:val="45"/>
        </w:numPr>
        <w:rPr>
          <w:i/>
          <w:lang w:val="ru-RU"/>
        </w:rPr>
      </w:pPr>
      <w:r w:rsidRPr="00605B6C">
        <w:rPr>
          <w:i/>
          <w:lang w:val="ru-RU"/>
        </w:rPr>
        <w:t xml:space="preserve">Необходимо описывать состояние главного панкреатического протока, внутри- и внепеченочных желчных протоков, а при их расширении  - фиксировать соответствующие цифровые значения. </w:t>
      </w:r>
    </w:p>
    <w:p w14:paraId="453F1DE6" w14:textId="7E0E509F" w:rsidR="00647D61" w:rsidRPr="00A83E0C" w:rsidRDefault="005B26E5" w:rsidP="00537A85">
      <w:pPr>
        <w:pStyle w:val="2"/>
      </w:pPr>
      <w:r w:rsidRPr="00A83E0C">
        <w:lastRenderedPageBreak/>
        <w:t xml:space="preserve">Пациентам с раком поджелудочной железы </w:t>
      </w:r>
      <w:r w:rsidRPr="00A83E0C">
        <w:rPr>
          <w:b/>
        </w:rPr>
        <w:t>рекомендуется</w:t>
      </w:r>
      <w:r w:rsidRPr="00A83E0C">
        <w:t xml:space="preserve"> </w:t>
      </w:r>
      <w:r w:rsidR="00647D61" w:rsidRPr="00A83E0C">
        <w:t xml:space="preserve">выполнить </w:t>
      </w:r>
      <w:r w:rsidR="00FB4164" w:rsidRPr="00A83E0C">
        <w:rPr>
          <w:rFonts w:eastAsia="GalsLightC"/>
        </w:rPr>
        <w:t>магнитно-резонансную томографию</w:t>
      </w:r>
      <w:r w:rsidR="00FB4164" w:rsidRPr="00A83E0C">
        <w:t xml:space="preserve"> (</w:t>
      </w:r>
      <w:r w:rsidR="00647D61" w:rsidRPr="00A83E0C">
        <w:t>МРТ</w:t>
      </w:r>
      <w:r w:rsidR="00FB4164" w:rsidRPr="00A83E0C">
        <w:t>)</w:t>
      </w:r>
      <w:r w:rsidR="00647D61" w:rsidRPr="00A83E0C">
        <w:t xml:space="preserve"> </w:t>
      </w:r>
      <w:r w:rsidR="00F773E2">
        <w:t xml:space="preserve">органов </w:t>
      </w:r>
      <w:r w:rsidR="00B53A9F" w:rsidRPr="00A83E0C">
        <w:t xml:space="preserve">брюшной полости (± малого таза) </w:t>
      </w:r>
      <w:r w:rsidR="00647D61" w:rsidRPr="00A83E0C">
        <w:t>с контрастным усилением и получением изображений в артериальную, венозно-портальн</w:t>
      </w:r>
      <w:r w:rsidR="00F46413">
        <w:t xml:space="preserve">ую и отсроченную фазы, а также </w:t>
      </w:r>
      <w:r w:rsidR="00647D61" w:rsidRPr="00A83E0C">
        <w:t>ди</w:t>
      </w:r>
      <w:r w:rsidR="0003434B" w:rsidRPr="00A83E0C">
        <w:t>ффузионно-взвешенных изображени</w:t>
      </w:r>
      <w:r w:rsidR="00647D61" w:rsidRPr="00A83E0C">
        <w:t>й</w:t>
      </w:r>
      <w:r w:rsidR="0003434B" w:rsidRPr="00A83E0C">
        <w:t xml:space="preserve"> </w:t>
      </w:r>
      <w:r w:rsidR="00647D61" w:rsidRPr="00A83E0C">
        <w:t xml:space="preserve">в качестве альтернативы МСКТ </w:t>
      </w:r>
      <w:r w:rsidR="004B052F">
        <w:t xml:space="preserve">у пациентов с аллергией на </w:t>
      </w:r>
      <w:r w:rsidR="0067482F">
        <w:t>рентгенконтрастные йод</w:t>
      </w:r>
      <w:r w:rsidR="004B052F">
        <w:t xml:space="preserve">содержащие </w:t>
      </w:r>
      <w:r w:rsidR="0067482F">
        <w:t>вещества</w:t>
      </w:r>
      <w:r w:rsidR="004B052F">
        <w:t xml:space="preserve">, </w:t>
      </w:r>
      <w:r w:rsidR="00647D61" w:rsidRPr="00A83E0C">
        <w:t>при подозрении на наличие метастазов в печени, которые не удалось подтвердить/исключить другими методами</w:t>
      </w:r>
      <w:r w:rsidR="004B052F">
        <w:t>, а также</w:t>
      </w:r>
      <w:r w:rsidR="00647D61" w:rsidRPr="00A83E0C">
        <w:t xml:space="preserve"> </w:t>
      </w:r>
      <w:r w:rsidR="007E2171" w:rsidRPr="00A83E0C">
        <w:rPr>
          <w:rFonts w:eastAsia="GalsLightC"/>
        </w:rPr>
        <w:t>магнитно-резонансн</w:t>
      </w:r>
      <w:r w:rsidR="00F46413">
        <w:rPr>
          <w:rFonts w:eastAsia="GalsLightC"/>
        </w:rPr>
        <w:t>ую</w:t>
      </w:r>
      <w:r w:rsidR="007E2171" w:rsidRPr="00A83E0C">
        <w:rPr>
          <w:rFonts w:eastAsia="GalsLightC"/>
        </w:rPr>
        <w:t xml:space="preserve"> холангиопанкреатографи</w:t>
      </w:r>
      <w:r w:rsidR="00F46413">
        <w:rPr>
          <w:rFonts w:eastAsia="GalsLightC"/>
        </w:rPr>
        <w:t>ю</w:t>
      </w:r>
      <w:r w:rsidR="007E2171" w:rsidRPr="00A83E0C">
        <w:t xml:space="preserve"> </w:t>
      </w:r>
      <w:r w:rsidR="008D30E8" w:rsidRPr="00A83E0C">
        <w:t>(</w:t>
      </w:r>
      <w:r w:rsidR="00647D61" w:rsidRPr="00A83E0C">
        <w:t>МРХПГ</w:t>
      </w:r>
      <w:r w:rsidR="008D30E8" w:rsidRPr="00A83E0C">
        <w:t>)</w:t>
      </w:r>
      <w:r w:rsidR="00647D61" w:rsidRPr="00A83E0C">
        <w:t xml:space="preserve"> при наличии механической желтухи, требующей миниинвазивного дренирования желчных протоков</w:t>
      </w:r>
      <w:r w:rsidR="00CB323C" w:rsidRPr="00A83E0C">
        <w:t xml:space="preserve"> </w:t>
      </w:r>
      <w:r w:rsidR="00C15198" w:rsidRPr="00A83E0C">
        <w:fldChar w:fldCharType="begin"/>
      </w:r>
      <w:r w:rsidR="00D10A7E">
        <w:instrText xml:space="preserve"> ADDIN ZOTERO_ITEM CSL_CITATION {"citationID":"CfVk7dhj","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p>
    <w:p w14:paraId="216AD7EC" w14:textId="77777777" w:rsidR="00647D61" w:rsidRPr="00A83E0C" w:rsidRDefault="00647D61" w:rsidP="00647D61">
      <w:pPr>
        <w:pStyle w:val="33"/>
        <w:rPr>
          <w:color w:val="auto"/>
          <w:lang w:val="ru-RU"/>
        </w:rPr>
      </w:pPr>
      <w:r w:rsidRPr="00A83E0C">
        <w:rPr>
          <w:color w:val="auto"/>
          <w:lang w:val="ru-RU"/>
        </w:rPr>
        <w:t xml:space="preserve">Уровень убедительности рекомендаций </w:t>
      </w:r>
      <w:r w:rsidR="00454216" w:rsidRPr="00A83E0C">
        <w:rPr>
          <w:color w:val="auto"/>
          <w:lang w:val="ru-RU"/>
        </w:rPr>
        <w:t xml:space="preserve">С </w:t>
      </w:r>
      <w:r w:rsidRPr="00A83E0C">
        <w:rPr>
          <w:color w:val="auto"/>
          <w:lang w:val="ru-RU"/>
        </w:rPr>
        <w:t xml:space="preserve">(уровень достоверности доказательств </w:t>
      </w:r>
      <w:r w:rsidR="00454216" w:rsidRPr="00A83E0C">
        <w:rPr>
          <w:color w:val="auto"/>
          <w:lang w:val="ru-RU"/>
        </w:rPr>
        <w:t>5</w:t>
      </w:r>
      <w:r w:rsidRPr="00A83E0C">
        <w:rPr>
          <w:color w:val="auto"/>
          <w:lang w:val="ru-RU"/>
        </w:rPr>
        <w:t>)</w:t>
      </w:r>
    </w:p>
    <w:p w14:paraId="1AEA4AA2" w14:textId="0F8DD8CD" w:rsidR="00647D61" w:rsidRPr="00A83E0C" w:rsidRDefault="00647D61" w:rsidP="00AB423C">
      <w:pPr>
        <w:pStyle w:val="aff2"/>
        <w:ind w:firstLine="708"/>
      </w:pPr>
      <w:r w:rsidRPr="00A83E0C">
        <w:rPr>
          <w:b/>
          <w:i w:val="0"/>
        </w:rPr>
        <w:t>Комментарий</w:t>
      </w:r>
      <w:r w:rsidR="00A56F61" w:rsidRPr="00A83E0C">
        <w:t xml:space="preserve">: </w:t>
      </w:r>
      <w:r w:rsidR="0003434B" w:rsidRPr="00A83E0C">
        <w:t xml:space="preserve">хотя карциномы поджелудочной железы могут быть хорошо визуализированы при МРТ, нет доказательств того, что МРТ имеет диагностические </w:t>
      </w:r>
      <w:r w:rsidR="008813C4" w:rsidRPr="00A83E0C">
        <w:t>преимущества</w:t>
      </w:r>
      <w:r w:rsidR="0003434B" w:rsidRPr="00A83E0C">
        <w:t xml:space="preserve"> по сравнению с МСКТ с точки зрения стадирования</w:t>
      </w:r>
      <w:r w:rsidR="00A56F61" w:rsidRPr="00A83E0C">
        <w:t xml:space="preserve"> </w:t>
      </w:r>
      <w:r w:rsidR="0003434B" w:rsidRPr="00A83E0C">
        <w:t>первичной опухоли</w:t>
      </w:r>
      <w:r w:rsidR="00CB323C" w:rsidRPr="00A83E0C">
        <w:t xml:space="preserve"> </w:t>
      </w:r>
      <w:r w:rsidR="00C15198" w:rsidRPr="00A83E0C">
        <w:fldChar w:fldCharType="begin"/>
      </w:r>
      <w:r w:rsidR="00D10A7E">
        <w:instrText xml:space="preserve"> ADDIN ZOTERO_ITEM CSL_CITATION {"citationID":"Wq43D938","properties":{"formattedCitation":"[23\\uc0\\u8211{}26]","plainCitation":"[23–26]","noteIndex":0},"citationItems":[{"id":306,"uris":["http://zotero.org/users/5363772/items/826W7NZ9",["http://zotero.org/users/5363772/items/826W7NZ9"]],"itemData":{"id":306,"type":"article-journal","abstract":"PURPOSE: To evaluate the use of measurements of blood flow in the superior mesenteric vein (SMV) and superior mesenteric artery (SMA) simultaneously acquired with phase-contrast cine magnetic resonance (MR) imaging for diagnosing chronic mesenteric ischemia. MATERIALS AND METHODS: Simultaneous measurements of flow in the SMV and SMA were obtained in six healthy volunteers and eight patients with angiographically proved SMA stenosis (six asymptomatic, two symptomatic). Flow dynamics in both vessels were correlated with the degree of arterial disease seen at angiography and with the presence or absence of ischemic symptoms. RESULTS: Postprandial SMV and SMA flow increased substantially less in patients with atherosclerosis than in volunteers. Comparison of simultaneous SMV and SMA flow measurements provided more information about collateral flow to and from the mesenteric circulation than did either the SMV or SMA flow measurement alone. CONCLUSION: Simultaneous SMV and SMA flow measurement with cine phase-contrast MR imaging may be useful in diagnosing and understanding chronic mesenteric ischemia.","container-title":"Radiology","DOI":"10.1148/radiology.194.2.7824706","ISSN":"0033-8419","issue":"2","journalAbbreviation":"Radiology","page":"327-330","title":"Simultaneous measurement of flow in the superior mesenteric vein and artery with cine phase-contrast MR imaging: value in diagnosis of chronic mesenteric ischemia. Work in progress.","volume":"194","author":[{"family":"Li","given":"K C"},{"family":"Hopkins","given":"K L"},{"family":"Dalman","given":"R L"},{"family":"Song","given":"C K"}],"issued":{"date-parts":[["1995",2,1]]}}},{"id":308,"uris":["http://zotero.org/users/5363772/items/AI6QCPJC",["http://zotero.org/users/5363772/items/AI6QCPJC"]],"itemData":{"id":308,"type":"article-journal","abstract":"PURPOSE: To compare findings with computed tomography (CT) and magnetic resonance (MR) imaging in pancreatic adenocarcinoma and to determine optimal pulse sequences for MR imaging. MATERIALS AND METHODS: CT scans and MR images were compared of 189 adult patients with known or suspected adenocarcinoma of the pancreas. Levels of confidence were correlated with surgical and pathologic results. RESULTS: The accuracy of CT was 0.73 and of MR imaging was 0.70. The negative predictive value of CT was 0.28 and of MR imaging was 0.23. The positive predictive value of CT was 0.89 and of MR imaging was 0.88. Gradient-echo and T1-weighted spin-echo sequences ranked equally in evaluation of vascular invasion, T1-weighted spin-echo sequences were preferred for assessing lymphadenopathy, and T2-weighted spin-echo sequences were preferred for detecting hepatic metastases. CONCLUSIONS: Cross-sectional imaging modalities are useful in the identification of unresectable pancreatic carcinoma. CT is recommended for initial imaging assessment.","container-title":"Radiology","DOI":"10.1148/radiology.195.2.7724748","ISSN":"0033-8419","issue":"2","journalAbbreviation":"Radiology","page":"327-332","title":"Pancreatic adenocarcinoma: CT versus MR imaging in the evaluation of resectability--report of the Radiology Diagnostic Oncology Group.","volume":"195","author":[{"family":"Megibow","given":"A J"},{"family":"Zhou","given":"X H"},{"family":"Rotterdam","given":"H"},{"family":"Francis","given":"I R"},{"family":"Zerhouni","given":"E A"},{"family":"Balfe","given":"D M"},{"family":"Weinreb","given":"J C"},{"family":"Aisen","given":"A"},{"family":"Kuhlman","given":"J"},{"family":"Heiken","given":"J P"}],"issued":{"date-parts":[["1995",5,1]]}}},{"id":310,"uris":["http://zotero.org/users/5363772/items/SQW8UDVU",["http://zotero.org/users/5363772/items/SQW8UDVU"]],"itemData":{"id":310,"type":"article-journal","container-title":"American Journal of Roentgenology","DOI":"10.2214/ajr.173.3.10470884","ISSN":"0361-803X","issue":"3","journalAbbreviation":"American Journal of Roentgenology","page":"583-590","title":"Dynamic contrast-enhanced MR imaging and dual-phase helical CT in the preoperative assessment of suspected pancreatic cancer: a comparative study with receiver operating characteristic analysis.","volume":"173","author":[{"family":"Sheridan","given":"M B"},{"family":"Ward","given":"J"},{"family":"Guthrie","given":"J A"},{"family":"Spencer","given":"J A"},{"family":"Craven","given":"C M"},{"family":"Wilson","given":"D"},{"family":"Guillou","given":"P J"},{"family":"Robinson","given":"P J"}],"issued":{"date-parts":[["1999",9,1]]}}},{"id":312,"uris":["http://zotero.org/users/5363772/items/NKA9FVNI",["http://zotero.org/users/5363772/items/NKA9FVNI"]],"itemData":{"id":312,"type":"article-journal","abstract":"Pancreatic cancer is associated with a poor prognosis, and surgical resection remains the only chance for curative therapy. In the absence of metastatic disease, which would preclude resection, assessment of vascular invasion is an important parameter for determining resectability of pancreatic cancer. A frequent error is to misdiagnose an involved major vessel. Obviously, surgical exploration with pathological examination remains the \"gold standard\" in terms of evaluation of resectability, especially from the point of view of vascular involvement. However, current imaging modalities have improved and allow detection of vascular invasion with more accuracy. A venous resection in pancreatic cancer is a feasible technique and relatively reliable. Nevertheless, a survival benefit is not achieved by curative resection in patients with pancreatic cancer and vascular invasion. Although the discovery of an arterial invasion during the operation might require an aggressive management, discovery before the operation should be considered as a contraindication. Detection of vascular invasion remains one of the most important challenges in pancreatic surgery. The aim of this article is to provide a complete review of the different imaging modalities in the detection of vascular invasion in pancreatic cancer.","archive":"PubMed","archive_location":"20143460","container-title":"World journal of gastroenterology","DOI":"10.3748/wjg.v16.i7.818","ISSN":"2219-2840","issue":"7","journalAbbreviation":"World J Gastroenterol","language":"eng","page":"818-831","title":"Vascular invasion in pancreatic cancer: Imaging modalities, preoperative diagnosis and surgical management","volume":"16","author":[{"family":"Buchs","given":"Nicolas C"},{"family":"Chilcott","given":"Michael"},{"family":"Poletti","given":"Pierre-Alexandre"},{"family":"Buhler","given":"Leo H"},{"family":"Morel","given":"Philippe"}],"issued":{"date-parts":[["2010",2,21]]}}}],"schema":"https://github.com/citation-style-language/schema/raw/master/csl-citation.json"} </w:instrText>
      </w:r>
      <w:r w:rsidR="00C15198" w:rsidRPr="00A83E0C">
        <w:fldChar w:fldCharType="separate"/>
      </w:r>
      <w:r w:rsidR="00D10A7E" w:rsidRPr="00D10A7E">
        <w:rPr>
          <w:szCs w:val="24"/>
        </w:rPr>
        <w:t>[23–26]</w:t>
      </w:r>
      <w:r w:rsidR="00C15198" w:rsidRPr="00A83E0C">
        <w:fldChar w:fldCharType="end"/>
      </w:r>
      <w:r w:rsidR="00C93C9F" w:rsidRPr="00A83E0C">
        <w:t>.</w:t>
      </w:r>
      <w:r w:rsidR="0003434B" w:rsidRPr="00A83E0C">
        <w:t xml:space="preserve"> Но </w:t>
      </w:r>
      <w:r w:rsidRPr="00A83E0C">
        <w:t>МРТ с большей чувствительностью и специфичностью способна визуализировать метастазы рака в печени, поэтому рекомендуется при подозрении на наличие метастазов в печени, когда их подтверждение изменит тактику лечения</w:t>
      </w:r>
      <w:r w:rsidR="00CB323C" w:rsidRPr="00A83E0C">
        <w:t xml:space="preserve"> </w:t>
      </w:r>
      <w:r w:rsidR="00C15198" w:rsidRPr="00A83E0C">
        <w:fldChar w:fldCharType="begin"/>
      </w:r>
      <w:r w:rsidR="00D10A7E">
        <w:instrText xml:space="preserve"> ADDIN ZOTERO_ITEM CSL_CITATION {"citationID":"VQSKMES1","properties":{"formattedCitation":"[27,28]","plainCitation":"[27,28]","noteIndex":0},"citationItems":[{"id":314,"uris":["http://zotero.org/users/5363772/items/WD3Q9EBS",["http://zotero.org/users/5363772/items/WD3Q9EBS"]],"itemData":{"id":314,"type":"article-journal","abstract":"The purpose of this study is to determine the value of diffusion-weighted MR imaging (DWI) in the detection of liver metastases in patients with pancreatic tumors when compared to multidetector-row CT (MDCT).","container-title":"Abdominal Imaging","DOI":"10.1007/s00261-010-9633-5","ISSN":"1432-0509","issue":"2","journalAbbreviation":"Abdominal Imaging","page":"179-184","title":"Comparison of diffusion-weighted MR imaging and multidetector-row CT in the detection of liver metastases in patients operated for pancreatic cancer","volume":"36","author":[{"family":"Holzapfel","given":"Konstantin"},{"family":"Reiser-Erkan","given":"Carolin"},{"family":"Fingerle","given":"Alexander A."},{"family":"Erkan","given":"Merd"},{"family":"Eiber","given":"Matthias J."},{"family":"Rummeny","given":"Ernst J."},{"family":"Friess","given":"Helmut"},{"family":"Kleeff","given":"Jörg"},{"family":"Gaa","given":"Jochen"}],"issued":{"date-parts":[["2011",4,1]]}}},{"id":315,"uris":["http://zotero.org/users/5363772/items/2NRS9Z5W",["http://zotero.org/users/5363772/items/2NRS9Z5W"]],"itemData":{"id":315,"type":"article-journal","abstract":"PurposeTo intraindividually compare gadoxetic acid?enhanced magnetic resonance (MR) imaging with contrast material?enhanced multi?detector row computed tomography (CT) in detection of pancreatic carcinoma and liver metastases.Materials and MethodsThe ethics committee approved this retrospective study with waiver of informed consent. This study included 100 patients (53 men, 47 women; mean age, 67.8 years) consisting of 54 patients with pathologically confirmed pancreatic carcinoma (mean size, 33 mm) and 46 without a pancreatic lesion. Sixty-two liver metastases (mean size, 10 mm) in 15 patients with pancreatic carcinoma were diagnosed at pathologic examination or multimodality assessment. Three readers blinded to the final diagnosis interpreted all MR (precontrast T1- and T2-weighted and gadoxetic acid?enhanced dynamic and hepatocyte phase MR images) and tetraphasic dynamic contrast-enhanced CT images and graded the presence (or absence) of pancreatic carcinoma and liver metastasis on patient-by-patient and lesion-by-lesion bases. Receiver operating characteristic analysis, McNemar test, and Fisher test were performed to compare the diagnostic performance of CT and MR imaging.ResultsNo significant differences were observed between CT and MR images in depiction of pancreatic carcinoma. However, MR imaging had greater sensitivity in depicting liver metastasis than did CT for two of the three readers in the MR imaging-versus-CT analysis (85% vs 69%, P = .046) and for all three readers in the lesion-by-lesion analysis (92%?94% vs 74%?76%, P = .030?.044).ConclusionGadoxetic acid?enhanced MR imaging was equivalent to dynamic contrast-enhanced CT in depicting pancreatic carcinoma and had better sensitivity for depicting liver metastases, suggesting the usefulness of gadoxetic acid?enhanced MR imaging for evaluation of patients with pancreatic carcinoma.? RSNA, 2011","container-title":"Radiology","DOI":"10.1148/radiol.11103548","ISSN":"0033-8419","issue":"2","journalAbbreviation":"Radiology","page":"446-453","title":"Detection of Pancreatic Carcinoma and Liver Metastases with Gadoxetic Acid–enhanced MR Imaging: Comparison with Contrast-enhanced Multi–Detector Row CT","volume":"260","author":[{"family":"Motosugi","given":"Utaroh"},{"family":"Ichikawa","given":"Tomoaki"},{"family":"Morisaka","given":"Hiroyuki"},{"family":"Sou","given":"Hironobu"},{"family":"Muhi","given":"Ali"},{"family":"Kimura","given":"Kazufumi"},{"family":"Sano","given":"Katsuhiro"},{"family":"Araki","given":"Tsutomu"}],"issued":{"date-parts":[["2011",8,1]]}}}],"schema":"https://github.com/citation-style-language/schema/raw/master/csl-citation.json"} </w:instrText>
      </w:r>
      <w:r w:rsidR="00C15198" w:rsidRPr="00A83E0C">
        <w:fldChar w:fldCharType="separate"/>
      </w:r>
      <w:r w:rsidR="00D10A7E" w:rsidRPr="00D10A7E">
        <w:t>[27,28]</w:t>
      </w:r>
      <w:r w:rsidR="00C15198" w:rsidRPr="00A83E0C">
        <w:fldChar w:fldCharType="end"/>
      </w:r>
      <w:r w:rsidRPr="00A83E0C">
        <w:t xml:space="preserve">. МРХПГ позволяет судить о природе стриктуры внутри- и внепечёночных желчных протоков, что сделает необязательным в дальнейшем выполнение </w:t>
      </w:r>
      <w:r w:rsidR="009E4337" w:rsidRPr="00A83E0C">
        <w:rPr>
          <w:rFonts w:eastAsia="GalsLightC"/>
        </w:rPr>
        <w:t xml:space="preserve">эндоскопической ретроградной холангиопанкреатографии </w:t>
      </w:r>
      <w:r w:rsidRPr="00A83E0C">
        <w:t xml:space="preserve">ЭРХПГ. </w:t>
      </w:r>
    </w:p>
    <w:p w14:paraId="293DF0C9" w14:textId="0258AD24" w:rsidR="00F45976" w:rsidRPr="00A83E0C" w:rsidRDefault="005B26E5" w:rsidP="00537A85">
      <w:pPr>
        <w:pStyle w:val="2"/>
      </w:pPr>
      <w:r w:rsidRPr="00A83E0C">
        <w:t>Всем пациентам с раком поджелудочной железы</w:t>
      </w:r>
      <w:r w:rsidRPr="00A83E0C">
        <w:rPr>
          <w:b/>
        </w:rPr>
        <w:t xml:space="preserve"> р</w:t>
      </w:r>
      <w:r w:rsidR="00F45976" w:rsidRPr="00A83E0C">
        <w:rPr>
          <w:b/>
        </w:rPr>
        <w:t>екомендуется</w:t>
      </w:r>
      <w:r w:rsidR="00F45976" w:rsidRPr="00A83E0C">
        <w:t xml:space="preserve"> выполнить </w:t>
      </w:r>
      <w:r w:rsidR="007B0E81" w:rsidRPr="00A83E0C">
        <w:rPr>
          <w:rFonts w:eastAsia="GalsLightC"/>
        </w:rPr>
        <w:t>ультразвуковое исследование</w:t>
      </w:r>
      <w:r w:rsidR="007B0E81" w:rsidRPr="00A83E0C">
        <w:t xml:space="preserve"> </w:t>
      </w:r>
      <w:r w:rsidR="007235FD" w:rsidRPr="00A83E0C">
        <w:t>(</w:t>
      </w:r>
      <w:r w:rsidR="00F45976" w:rsidRPr="00A83E0C">
        <w:t>УЗИ</w:t>
      </w:r>
      <w:r w:rsidR="007235FD" w:rsidRPr="00A83E0C">
        <w:t>)</w:t>
      </w:r>
      <w:r w:rsidR="00F45976" w:rsidRPr="00A83E0C">
        <w:t xml:space="preserve"> </w:t>
      </w:r>
      <w:r w:rsidR="00F0619F">
        <w:t xml:space="preserve">органов </w:t>
      </w:r>
      <w:r w:rsidR="00F45976" w:rsidRPr="00A83E0C">
        <w:t>брюшной полости</w:t>
      </w:r>
      <w:r w:rsidR="00F0619F">
        <w:t xml:space="preserve"> (комплексное)</w:t>
      </w:r>
      <w:r w:rsidR="00B53A9F" w:rsidRPr="00A83E0C">
        <w:t>, забрюшинного пространства</w:t>
      </w:r>
      <w:r w:rsidR="00F45976" w:rsidRPr="00A83E0C">
        <w:t xml:space="preserve"> и малого таза </w:t>
      </w:r>
      <w:r w:rsidR="00602917" w:rsidRPr="00A83E0C">
        <w:t xml:space="preserve">для оценки распространенности опухолевого процесса </w:t>
      </w:r>
      <w:r w:rsidR="00F45976" w:rsidRPr="00A83E0C">
        <w:t>при невозможности выполнения КТ</w:t>
      </w:r>
      <w:r w:rsidR="00222E38" w:rsidRPr="00A83E0C">
        <w:t xml:space="preserve"> или МРТ </w:t>
      </w:r>
      <w:r w:rsidR="00C15198" w:rsidRPr="00A83E0C">
        <w:fldChar w:fldCharType="begin"/>
      </w:r>
      <w:r w:rsidR="00D10A7E">
        <w:instrText xml:space="preserve"> ADDIN ZOTERO_ITEM CSL_CITATION {"citationID":"30rrNrvG","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r w:rsidR="00F45976" w:rsidRPr="00A83E0C">
        <w:t>.</w:t>
      </w:r>
    </w:p>
    <w:p w14:paraId="484B10E2" w14:textId="77777777" w:rsidR="00F45976" w:rsidRPr="00A83E0C" w:rsidRDefault="00F45976" w:rsidP="00DC7BE7">
      <w:pPr>
        <w:pStyle w:val="33"/>
        <w:rPr>
          <w:color w:val="auto"/>
          <w:lang w:val="ru-RU"/>
        </w:rPr>
      </w:pPr>
      <w:r w:rsidRPr="00A83E0C">
        <w:rPr>
          <w:color w:val="auto"/>
          <w:lang w:val="ru-RU"/>
        </w:rPr>
        <w:t xml:space="preserve">Уровень убедительности рекомендаций С (уровень достоверности доказательств </w:t>
      </w:r>
      <w:r w:rsidR="00454216" w:rsidRPr="00A83E0C">
        <w:rPr>
          <w:color w:val="auto"/>
          <w:lang w:val="ru-RU"/>
        </w:rPr>
        <w:t>5</w:t>
      </w:r>
      <w:r w:rsidRPr="00A83E0C">
        <w:rPr>
          <w:color w:val="auto"/>
          <w:lang w:val="ru-RU"/>
        </w:rPr>
        <w:t>)</w:t>
      </w:r>
    </w:p>
    <w:p w14:paraId="02D37AFB" w14:textId="77777777" w:rsidR="00F45976" w:rsidRPr="00A83E0C" w:rsidRDefault="00F45976" w:rsidP="00AB423C">
      <w:pPr>
        <w:pStyle w:val="aff2"/>
        <w:ind w:firstLine="708"/>
      </w:pPr>
      <w:r w:rsidRPr="00A83E0C">
        <w:rPr>
          <w:b/>
          <w:i w:val="0"/>
        </w:rPr>
        <w:t>Комментарий</w:t>
      </w:r>
      <w:r w:rsidRPr="00A83E0C">
        <w:t xml:space="preserve">: УЗИ - наиболее простой метод визуализации образования в поджелудочной железе и оценки других органов на наличие метастазов. Однако этот метод существенно уступает КТ в отношении оценки инвазии сосудов, что важно при оценке резектабельности. </w:t>
      </w:r>
      <w:r w:rsidR="000D11EC" w:rsidRPr="00A83E0C">
        <w:t xml:space="preserve">УЗИ может являться альтернативой КТ в оценке эффективности лечения у пациентов, получающих паллиативную химиотерапию. </w:t>
      </w:r>
      <w:r w:rsidRPr="00A83E0C">
        <w:t xml:space="preserve">Женщинам рекомендуется дополнить УЗИ исследованием малого таза в связи с риском метастазирования в придатки матки. </w:t>
      </w:r>
    </w:p>
    <w:p w14:paraId="0621B09A" w14:textId="4B3B9369" w:rsidR="00D812D2" w:rsidRPr="00A83E0C" w:rsidRDefault="005B26E5" w:rsidP="00537A85">
      <w:pPr>
        <w:pStyle w:val="2"/>
      </w:pPr>
      <w:r w:rsidRPr="00A83E0C">
        <w:lastRenderedPageBreak/>
        <w:t xml:space="preserve">Пациентам с раком поджелудочной железы </w:t>
      </w:r>
      <w:r w:rsidRPr="00A83E0C">
        <w:rPr>
          <w:b/>
        </w:rPr>
        <w:t>рекомендуется</w:t>
      </w:r>
      <w:r w:rsidRPr="00A83E0C">
        <w:t xml:space="preserve"> </w:t>
      </w:r>
      <w:r w:rsidR="00D812D2" w:rsidRPr="00A83E0C">
        <w:t>выполнить эндосонографию</w:t>
      </w:r>
      <w:r w:rsidR="00615922" w:rsidRPr="00A83E0C">
        <w:t xml:space="preserve"> </w:t>
      </w:r>
      <w:r w:rsidR="00964910" w:rsidRPr="00964910">
        <w:t>панкреатобилиарной зоны</w:t>
      </w:r>
      <w:r w:rsidR="00F0619F" w:rsidRPr="00A83E0C">
        <w:t xml:space="preserve"> </w:t>
      </w:r>
      <w:r w:rsidR="00647D61" w:rsidRPr="00A83E0C">
        <w:t>при необходимости дополнительно</w:t>
      </w:r>
      <w:r w:rsidR="003B09D5">
        <w:t>го</w:t>
      </w:r>
      <w:r w:rsidR="00647D61" w:rsidRPr="00A83E0C">
        <w:t xml:space="preserve"> </w:t>
      </w:r>
      <w:r w:rsidR="003B09D5">
        <w:t>уточнения степени</w:t>
      </w:r>
      <w:r w:rsidR="00647D61" w:rsidRPr="00A83E0C">
        <w:t xml:space="preserve"> </w:t>
      </w:r>
      <w:r w:rsidR="000144B8" w:rsidRPr="00A83E0C">
        <w:t xml:space="preserve">местной </w:t>
      </w:r>
      <w:r w:rsidR="00647D61" w:rsidRPr="00A83E0C">
        <w:t xml:space="preserve">распространенности опухоли и </w:t>
      </w:r>
      <w:r w:rsidR="00615922" w:rsidRPr="00A83E0C">
        <w:t>для навигации при выполнении биопсии</w:t>
      </w:r>
      <w:r w:rsidR="00CB323C" w:rsidRPr="00A83E0C">
        <w:t xml:space="preserve"> </w:t>
      </w:r>
      <w:r w:rsidR="00C15198" w:rsidRPr="00A83E0C">
        <w:fldChar w:fldCharType="begin"/>
      </w:r>
      <w:r w:rsidR="00D10A7E">
        <w:instrText xml:space="preserve"> ADDIN ZOTERO_ITEM CSL_CITATION {"citationID":"GPZMz1Sc","properties":{"formattedCitation":"[21,29\\uc0\\u8211{}31]","plainCitation":"[21,29–31]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238,"uris":["http://zotero.org/users/5363772/items/CI75P82N",["http://zotero.org/users/5363772/items/CI75P82N"]],"itemData":{"id":238,"type":"article-journal","abstract":"&lt;b&gt;&lt;i&gt;Background/Aims:&lt;/i&gt;&lt;/b&gt; The accurate staging of pancreatic cancer (PanCa) is crucial in the development of a stage-specific treatment plan for PanCa patients. We aimed to perform a meta-analysis of endoscopic ultrasonography (EUS) in the tumor node (TN) staging and evaluation of vascular invasion in PanCa. &lt;b&gt;&lt;i&gt;Methods:&lt;/i&gt;&lt;/b&gt; A meta-analysis of diagnostic accuracy parameters was performed to evaluate the EUS-based TN staging, and vascular invasion by PanCa was compared to the results of intraoperative staging or to the histopathology of resected specimens. &lt;b&gt;&lt;i&gt;Results:&lt;/i&gt;&lt;/b&gt; Twenty studies with 726 PanCa cases were identified from 281 articles. The pooled sensitivity, specificity, positive likelihood ratio (PLR), negative likelihood ratio (NLR), and diagnostic odds ratio (DOR) were 0.72, 0.90, 6.27, 0.28, and 24.69, respectively, for T1-2 staging and 0.90, 0.72, 3.58, 0.16, and 24.69, respectively, for T3-4 staging. The overall sensitivity, specificity, PLR, NLR, and DOR were 0.62, 0.74, 2.54, 0.51, and 6.67, respectively, for N staging (positive vs. negative) and 0.87, 0.92, 7.16, 0.20, and 56.19, respectively, for vascular invasion. The area under the curve was 0.90, 0.90, 0.79, and 0.94 for T1-2 staging, T3-4 staging, N staging, and vascular invasion, respectively. &lt;b&gt;&lt;i&gt;Conclusions:&lt;/i&gt;&lt;/b&gt; EUS is a reliable and accurate diagnostic tool for the TN staging and evaluation of vascular invasion in PanCa. The nodal staging accuracy using EUS is less satisfactory. i 2014 S. Karger AG, Basel","container-title":"Digestive Surgery","DOI":"10.1159/000368089","ISSN":"0253-4886","issue":"4-5","journalAbbreviation":"Digestive Surgery","page":"297-305","title":"Endoscopic Ultrasonography for Tumor Node Staging and Vascular Invasion in Pancreatic Cancer: A Meta-Analysis","volume":"31","author":[{"family":"Li","given":"J."},{"family":"He","given":"R."},{"family":"Li","given":"Y."},{"family":"Cao","given":"G."},{"family":"Ma","given":"Q."},{"family":"Yang","given":"W."}],"issued":{"date-parts":[["2014"]]}}},{"id":241,"uris":["http://zotero.org/users/5363772/items/EX47S2ZQ",["http://zotero.org/users/5363772/items/EX47S2ZQ"]],"itemData":{"id":241,"type":"article-journal","abstract":"Purpose Celiac plexus neurolysis (CPN) is currently used as salvage therapy for morphine-resistant pancreatic cancer pain. Endoscopic ultrasound?guided CPN (EUS-CPN) can be performed early, at the time of EUS. We hypothesized that early EUS-CPN would reduce pain and morphine consumption, increase quality of life (QOL), and prolong survival. Patients and Methods Patients were eligible if referred for EUS for suspected pancreatic cancer with related pain. If EUS and EUS-guided fine-needle aspiration cytology confirmed inoperable adenocarcinoma, patients were randomly assigned to early EUS-CPN or conventional pain management. Pain scores (7-point Likert scale), morphine equivalent consumption, and QOL scores (Digestive Disease Questionnaire-15) were assessed at 1 and 3 months. Results Five hundred eighty eligible patients were seen between April 2006 and December 2008. Ninety-six patients were randomly assigned (48 patients per study arm). Pain relief was greater in the EUS-CPN group at 1 month and significantly greater at 3 months (difference in mean percent change in pain score = ?28.9 [95% CI, ?67.0 to 2.8], P = .09, and ?60.7 [95% CI, ?86.6 to ?25.5], P = .01, respectively). Morphine consumption was similar in both groups at 1 month (difference in mean change in morphine consumption = ?1.0 [95% CI, ?47.7 to 49.2], P = .99), but tended toward lower consumption at 3 months in the neurolysis group (difference in mean change in morphine consumption = ?49.5 [95% CI, ?127.5 to 7.0], P = .10). There was no effect on QOL or survival. Conclusion Early EUS-CPN reduces pain and may moderate morphine consumption in patients with painful, inoperable pancreatic adenocarcinoma. EUS-CPN can be considered in all such patients at the time of diagnostic and staging EUS.","container-title":"Journal of Clinical Oncology","DOI":"10.1200/JCO.2010.32.2750","ISSN":"0732-183X","issue":"26","journalAbbreviation":"JCO","page":"3541-3546","title":"Randomized, Double-Blind, Controlled Trial of Early Endoscopic Ultrasound–Guided Celiac Plexus Neurolysis  to Prevent Pain Progression in Patients With Newly Diagnosed, Painful, Inoperable Pancreatic Cancer","volume":"29","author":[{"family":"Wyse","given":"Jonathan M."},{"family":"Carone","given":"Marco"},{"family":"Paquin","given":"Sarto C."},{"family":"Usatii","given":"Mariana"},{"family":"Sahai","given":"Anand V."}],"issued":{"date-parts":[["2011",8,15]]}}},{"id":240,"uris":["http://zotero.org/users/5363772/items/2MAYAS4J",["http://zotero.org/users/5363772/items/2MAYAS4J"]],"itemData":{"id":240,"type":"article-journal","abstract":"INTRODUCTION: Endoscopic ultrasound (EUS) is now established as a valuable imaging test for diagnosing and staging pancreatic cancer. But, with signiﬁcant recent improvements in spiral CT scanners, particularly higher resolution and ability to reconstruct 3D images, spiral CT is now increasingly accepted as being better for pancreatic cancer staging. The debate continues, however, about the best diagnostic test or combination of tests in patients with suspected pancreatic cancer. Spiral CT is more readily available than EUS-FNA and, therefore, more frequently used. In this study, we evaluated the use of EUS-FNA in conjunction with spiral CT for suspected pancreatic cancer.\nMETHODS: We retrospectively evaluated 81 consecutive patients who underwent EUS and EUS-FNA for clinical suspicion of a pancreatic cancer from November 2000 to November 2001. All patients had spiral CT with a multiphasic pancreatic protocol using multidetector spiral CT scanners. In all patients, EUS-FNA and spiral CT examinations were performed less than 3 wk apart.\nRESULTS: Overall, the accuracy of spiral CT, EUS, and EUS-FNA was 74% (n = 60/81, CI 63–83%), 94% (n = 76/81, CI 87–98%), and 88% (n = 73/81, CI 81–96%), respectively, for diagnosing pancreatic cancer. In patients without an identiﬁable mass on spiral CT, the diagnostic accuracy of EUS and EUS-FNA for pancreatic tumors was 92% (n = 23/25, CI 74–99%). Absence of a focal “mass” lesion on EUS reliably excluded pancreatic cancer irrespective of clinical presentation (NPV 100% n = 5/5, CI 48–100%). The negative predictive value of EUS-FNA was only 22% (n = 2/9, CI 3–60%) in patients with obstructive jaundice and biliary stricture. However, in patients without obstructive jaundice at initial presentation, EUS-FNA was highly accurate (accuracy 97%, n = 33/34, CI 85–100%) and was reliable for ruling out malignancy (NPV 89%, n = 8/9, CI 52–100%). Cytologic assessment of EUS-FNA specimens was 89% accurate for identifying malignancy in suspicious lesions visualized on EUS.\nCONCLUSIONS: The EUS with FNA can be a valuable adjunct to newer high-resolution multidetector spiral CT for diagnostic evaluation of patients with suspected pancreatic cancer.","container-title":"The American Journal of Gastroenterology","DOI":"10.1111/j.1572-0241.2004.04177.x","ISSN":"0002-9270, 1572-0241","issue":"5","journalAbbreviation":"Am J Gastroenterology","language":"en","page":"844-850","source":"DOI.org (Crossref)","title":"Endoscopic Ultrasound-Guided Fine Needle Aspiration and Multidetector Spiral CT in the Diagnosis of Pancreatic Cancer","volume":"99","author":[{"family":"Agarwal","given":"Banke"},{"family":"Abu-Hamda","given":"Emad"},{"family":"Molke","given":"Kimber L."},{"family":"Correa","given":"Arlene M."},{"family":"Ho","given":"Linus"}],"issued":{"date-parts":[["2004",5]]}}}],"schema":"https://github.com/citation-style-language/schema/raw/master/csl-citation.json"} </w:instrText>
      </w:r>
      <w:r w:rsidR="00C15198" w:rsidRPr="00A83E0C">
        <w:fldChar w:fldCharType="separate"/>
      </w:r>
      <w:r w:rsidR="00D10A7E" w:rsidRPr="00D10A7E">
        <w:t>[21,29–31]</w:t>
      </w:r>
      <w:r w:rsidR="00C15198" w:rsidRPr="00A83E0C">
        <w:fldChar w:fldCharType="end"/>
      </w:r>
      <w:r w:rsidR="00D812D2" w:rsidRPr="00A83E0C">
        <w:t>.</w:t>
      </w:r>
    </w:p>
    <w:p w14:paraId="5580A703" w14:textId="77777777" w:rsidR="00D812D2" w:rsidRPr="00A83E0C" w:rsidRDefault="00D812D2" w:rsidP="00DC7BE7">
      <w:pPr>
        <w:pStyle w:val="33"/>
        <w:rPr>
          <w:color w:val="auto"/>
          <w:lang w:val="ru-RU"/>
        </w:rPr>
      </w:pPr>
      <w:r w:rsidRPr="00A83E0C">
        <w:rPr>
          <w:color w:val="auto"/>
          <w:lang w:val="ru-RU"/>
        </w:rPr>
        <w:t xml:space="preserve">Уровень убедительности рекомендаций </w:t>
      </w:r>
      <w:r w:rsidR="00861D0A">
        <w:rPr>
          <w:color w:val="auto"/>
        </w:rPr>
        <w:t>B</w:t>
      </w:r>
      <w:r w:rsidR="00861D0A" w:rsidRPr="00A83E0C">
        <w:rPr>
          <w:color w:val="auto"/>
          <w:lang w:val="ru-RU"/>
        </w:rPr>
        <w:t xml:space="preserve"> </w:t>
      </w:r>
      <w:r w:rsidRPr="00A83E0C">
        <w:rPr>
          <w:color w:val="auto"/>
          <w:lang w:val="ru-RU"/>
        </w:rPr>
        <w:t xml:space="preserve">(уровень достоверности доказательств </w:t>
      </w:r>
      <w:r w:rsidR="00964910" w:rsidRPr="00964910">
        <w:rPr>
          <w:color w:val="auto"/>
          <w:lang w:val="ru-RU"/>
        </w:rPr>
        <w:t>1</w:t>
      </w:r>
      <w:r w:rsidRPr="00A83E0C">
        <w:rPr>
          <w:color w:val="auto"/>
          <w:lang w:val="ru-RU"/>
        </w:rPr>
        <w:t>)</w:t>
      </w:r>
    </w:p>
    <w:p w14:paraId="43940F39" w14:textId="3FE64A58" w:rsidR="00D812D2" w:rsidRPr="00A83E0C" w:rsidRDefault="00D812D2" w:rsidP="00AB423C">
      <w:pPr>
        <w:pStyle w:val="aff2"/>
        <w:ind w:firstLine="708"/>
      </w:pPr>
      <w:r w:rsidRPr="00A83E0C">
        <w:rPr>
          <w:b/>
          <w:i w:val="0"/>
        </w:rPr>
        <w:t>Комментарий</w:t>
      </w:r>
      <w:r w:rsidRPr="00A83E0C">
        <w:t xml:space="preserve">: эндосонография </w:t>
      </w:r>
      <w:r w:rsidR="00F0619F" w:rsidRPr="00F0619F">
        <w:t>панкреатобилиарной зоны</w:t>
      </w:r>
      <w:r w:rsidR="00F0619F" w:rsidRPr="00A83E0C">
        <w:t xml:space="preserve"> </w:t>
      </w:r>
      <w:r w:rsidRPr="00A83E0C">
        <w:t xml:space="preserve">является высокочувствительным методом оценки инвазии опухоли поджелудочной железы в прилежащие анатомические структуры, в том числе </w:t>
      </w:r>
      <w:r w:rsidR="00647D61" w:rsidRPr="00A83E0C">
        <w:t>двенадцати</w:t>
      </w:r>
      <w:r w:rsidRPr="00A83E0C">
        <w:t>перстную кишку, желчные протоки и крупные сосуды</w:t>
      </w:r>
      <w:r w:rsidR="00CB323C" w:rsidRPr="00A83E0C">
        <w:t xml:space="preserve"> </w:t>
      </w:r>
      <w:r w:rsidR="00C15198" w:rsidRPr="00A83E0C">
        <w:fldChar w:fldCharType="begin"/>
      </w:r>
      <w:r w:rsidR="00D10A7E">
        <w:instrText xml:space="preserve"> ADDIN ZOTERO_ITEM CSL_CITATION {"citationID":"M30z4QLI","properties":{"formattedCitation":"[29]","plainCitation":"[29]","noteIndex":0},"citationItems":[{"id":238,"uris":["http://zotero.org/users/5363772/items/CI75P82N",["http://zotero.org/users/5363772/items/CI75P82N"]],"itemData":{"id":238,"type":"article-journal","abstract":"&lt;b&gt;&lt;i&gt;Background/Aims:&lt;/i&gt;&lt;/b&gt; The accurate staging of pancreatic cancer (PanCa) is crucial in the development of a stage-specific treatment plan for PanCa patients. We aimed to perform a meta-analysis of endoscopic ultrasonography (EUS) in the tumor node (TN) staging and evaluation of vascular invasion in PanCa. &lt;b&gt;&lt;i&gt;Methods:&lt;/i&gt;&lt;/b&gt; A meta-analysis of diagnostic accuracy parameters was performed to evaluate the EUS-based TN staging, and vascular invasion by PanCa was compared to the results of intraoperative staging or to the histopathology of resected specimens. &lt;b&gt;&lt;i&gt;Results:&lt;/i&gt;&lt;/b&gt; Twenty studies with 726 PanCa cases were identified from 281 articles. The pooled sensitivity, specificity, positive likelihood ratio (PLR), negative likelihood ratio (NLR), and diagnostic odds ratio (DOR) were 0.72, 0.90, 6.27, 0.28, and 24.69, respectively, for T1-2 staging and 0.90, 0.72, 3.58, 0.16, and 24.69, respectively, for T3-4 staging. The overall sensitivity, specificity, PLR, NLR, and DOR were 0.62, 0.74, 2.54, 0.51, and 6.67, respectively, for N staging (positive vs. negative) and 0.87, 0.92, 7.16, 0.20, and 56.19, respectively, for vascular invasion. The area under the curve was 0.90, 0.90, 0.79, and 0.94 for T1-2 staging, T3-4 staging, N staging, and vascular invasion, respectively. &lt;b&gt;&lt;i&gt;Conclusions:&lt;/i&gt;&lt;/b&gt; EUS is a reliable and accurate diagnostic tool for the TN staging and evaluation of vascular invasion in PanCa. The nodal staging accuracy using EUS is less satisfactory. i 2014 S. Karger AG, Basel","container-title":"Digestive Surgery","DOI":"10.1159/000368089","ISSN":"0253-4886","issue":"4-5","journalAbbreviation":"Digestive Surgery","page":"297-305","title":"Endoscopic Ultrasonography for Tumor Node Staging and Vascular Invasion in Pancreatic Cancer: A Meta-Analysis","volume":"31","author":[{"family":"Li","given":"J."},{"family":"He","given":"R."},{"family":"Li","given":"Y."},{"family":"Cao","given":"G."},{"family":"Ma","given":"Q."},{"family":"Yang","given":"W."}],"issued":{"date-parts":[["2014"]]}}}],"schema":"https://github.com/citation-style-language/schema/raw/master/csl-citation.json"} </w:instrText>
      </w:r>
      <w:r w:rsidR="00C15198" w:rsidRPr="00A83E0C">
        <w:fldChar w:fldCharType="separate"/>
      </w:r>
      <w:r w:rsidR="00D10A7E" w:rsidRPr="00D10A7E">
        <w:t>[29]</w:t>
      </w:r>
      <w:r w:rsidR="00C15198" w:rsidRPr="00A83E0C">
        <w:fldChar w:fldCharType="end"/>
      </w:r>
      <w:r w:rsidR="004260F3" w:rsidRPr="00A83E0C">
        <w:t>.</w:t>
      </w:r>
      <w:r w:rsidR="0096153E" w:rsidRPr="00A83E0C">
        <w:t xml:space="preserve"> </w:t>
      </w:r>
      <w:r w:rsidR="003B09D5">
        <w:t>Кроме этого, э</w:t>
      </w:r>
      <w:r w:rsidR="004260F3" w:rsidRPr="00A83E0C">
        <w:t xml:space="preserve">ндосонография </w:t>
      </w:r>
      <w:r w:rsidR="00F0619F" w:rsidRPr="00F0619F">
        <w:t>панкреатобилиарной зоны</w:t>
      </w:r>
      <w:r w:rsidR="00F0619F" w:rsidRPr="00A83E0C">
        <w:t xml:space="preserve"> </w:t>
      </w:r>
      <w:r w:rsidR="004260F3" w:rsidRPr="00A83E0C">
        <w:t>может служить методом визуализации при выполнении биопсии новообразования</w:t>
      </w:r>
      <w:r w:rsidR="00C15198" w:rsidRPr="00A83E0C">
        <w:fldChar w:fldCharType="begin"/>
      </w:r>
      <w:r w:rsidR="00D10A7E">
        <w:instrText xml:space="preserve"> ADDIN ZOTERO_ITEM CSL_CITATION {"citationID":"oAvXybot","properties":{"formattedCitation":"[31]","plainCitation":"[31]","noteIndex":0},"citationItems":[{"id":240,"uris":["http://zotero.org/users/5363772/items/2MAYAS4J",["http://zotero.org/users/5363772/items/2MAYAS4J"]],"itemData":{"id":240,"type":"article-journal","abstract":"INTRODUCTION: Endoscopic ultrasound (EUS) is now established as a valuable imaging test for diagnosing and staging pancreatic cancer. But, with signiﬁcant recent improvements in spiral CT scanners, particularly higher resolution and ability to reconstruct 3D images, spiral CT is now increasingly accepted as being better for pancreatic cancer staging. The debate continues, however, about the best diagnostic test or combination of tests in patients with suspected pancreatic cancer. Spiral CT is more readily available than EUS-FNA and, therefore, more frequently used. In this study, we evaluated the use of EUS-FNA in conjunction with spiral CT for suspected pancreatic cancer.\nMETHODS: We retrospectively evaluated 81 consecutive patients who underwent EUS and EUS-FNA for clinical suspicion of a pancreatic cancer from November 2000 to November 2001. All patients had spiral CT with a multiphasic pancreatic protocol using multidetector spiral CT scanners. In all patients, EUS-FNA and spiral CT examinations were performed less than 3 wk apart.\nRESULTS: Overall, the accuracy of spiral CT, EUS, and EUS-FNA was 74% (n = 60/81, CI 63–83%), 94% (n = 76/81, CI 87–98%), and 88% (n = 73/81, CI 81–96%), respectively, for diagnosing pancreatic cancer. In patients without an identiﬁable mass on spiral CT, the diagnostic accuracy of EUS and EUS-FNA for pancreatic tumors was 92% (n = 23/25, CI 74–99%). Absence of a focal “mass” lesion on EUS reliably excluded pancreatic cancer irrespective of clinical presentation (NPV 100% n = 5/5, CI 48–100%). The negative predictive value of EUS-FNA was only 22% (n = 2/9, CI 3–60%) in patients with obstructive jaundice and biliary stricture. However, in patients without obstructive jaundice at initial presentation, EUS-FNA was highly accurate (accuracy 97%, n = 33/34, CI 85–100%) and was reliable for ruling out malignancy (NPV 89%, n = 8/9, CI 52–100%). Cytologic assessment of EUS-FNA specimens was 89% accurate for identifying malignancy in suspicious lesions visualized on EUS.\nCONCLUSIONS: The EUS with FNA can be a valuable adjunct to newer high-resolution multidetector spiral CT for diagnostic evaluation of patients with suspected pancreatic cancer.","container-title":"The American Journal of Gastroenterology","DOI":"10.1111/j.1572-0241.2004.04177.x","ISSN":"0002-9270, 1572-0241","issue":"5","journalAbbreviation":"Am J Gastroenterology","language":"en","page":"844-850","source":"DOI.org (Crossref)","title":"Endoscopic Ultrasound-Guided Fine Needle Aspiration and Multidetector Spiral CT in the Diagnosis of Pancreatic Cancer","volume":"99","author":[{"family":"Agarwal","given":"Banke"},{"family":"Abu-Hamda","given":"Emad"},{"family":"Molke","given":"Kimber L."},{"family":"Correa","given":"Arlene M."},{"family":"Ho","given":"Linus"}],"issued":{"date-parts":[["2004",5]]}}}],"schema":"https://github.com/citation-style-language/schema/raw/master/csl-citation.json"} </w:instrText>
      </w:r>
      <w:r w:rsidR="00C15198" w:rsidRPr="00A83E0C">
        <w:fldChar w:fldCharType="separate"/>
      </w:r>
      <w:r w:rsidR="00D10A7E" w:rsidRPr="00D10A7E">
        <w:t>[31]</w:t>
      </w:r>
      <w:r w:rsidR="00C15198" w:rsidRPr="00A83E0C">
        <w:fldChar w:fldCharType="end"/>
      </w:r>
      <w:r w:rsidR="003B09D5">
        <w:t xml:space="preserve"> или </w:t>
      </w:r>
      <w:r w:rsidR="00F931B7" w:rsidRPr="00A83E0C">
        <w:t>нейролизис</w:t>
      </w:r>
      <w:r w:rsidR="003B09D5">
        <w:t>а</w:t>
      </w:r>
      <w:r w:rsidR="00F931B7" w:rsidRPr="00A83E0C">
        <w:t xml:space="preserve"> чревного сплетения </w:t>
      </w:r>
      <w:r w:rsidR="00C15198" w:rsidRPr="00A83E0C">
        <w:fldChar w:fldCharType="begin"/>
      </w:r>
      <w:r w:rsidR="00D10A7E">
        <w:instrText xml:space="preserve"> ADDIN ZOTERO_ITEM CSL_CITATION {"citationID":"0TuqzRU4","properties":{"formattedCitation":"[30]","plainCitation":"[30]","noteIndex":0},"citationItems":[{"id":241,"uris":["http://zotero.org/users/5363772/items/EX47S2ZQ",["http://zotero.org/users/5363772/items/EX47S2ZQ"]],"itemData":{"id":241,"type":"article-journal","abstract":"Purpose Celiac plexus neurolysis (CPN) is currently used as salvage therapy for morphine-resistant pancreatic cancer pain. Endoscopic ultrasound?guided CPN (EUS-CPN) can be performed early, at the time of EUS. We hypothesized that early EUS-CPN would reduce pain and morphine consumption, increase quality of life (QOL), and prolong survival. Patients and Methods Patients were eligible if referred for EUS for suspected pancreatic cancer with related pain. If EUS and EUS-guided fine-needle aspiration cytology confirmed inoperable adenocarcinoma, patients were randomly assigned to early EUS-CPN or conventional pain management. Pain scores (7-point Likert scale), morphine equivalent consumption, and QOL scores (Digestive Disease Questionnaire-15) were assessed at 1 and 3 months. Results Five hundred eighty eligible patients were seen between April 2006 and December 2008. Ninety-six patients were randomly assigned (48 patients per study arm). Pain relief was greater in the EUS-CPN group at 1 month and significantly greater at 3 months (difference in mean percent change in pain score = ?28.9 [95% CI, ?67.0 to 2.8], P = .09, and ?60.7 [95% CI, ?86.6 to ?25.5], P = .01, respectively). Morphine consumption was similar in both groups at 1 month (difference in mean change in morphine consumption = ?1.0 [95% CI, ?47.7 to 49.2], P = .99), but tended toward lower consumption at 3 months in the neurolysis group (difference in mean change in morphine consumption = ?49.5 [95% CI, ?127.5 to 7.0], P = .10). There was no effect on QOL or survival. Conclusion Early EUS-CPN reduces pain and may moderate morphine consumption in patients with painful, inoperable pancreatic adenocarcinoma. EUS-CPN can be considered in all such patients at the time of diagnostic and staging EUS.","container-title":"Journal of Clinical Oncology","DOI":"10.1200/JCO.2010.32.2750","ISSN":"0732-183X","issue":"26","journalAbbreviation":"JCO","page":"3541-3546","title":"Randomized, Double-Blind, Controlled Trial of Early Endoscopic Ultrasound–Guided Celiac Plexus Neurolysis  to Prevent Pain Progression in Patients With Newly Diagnosed, Painful, Inoperable Pancreatic Cancer","volume":"29","author":[{"family":"Wyse","given":"Jonathan M."},{"family":"Carone","given":"Marco"},{"family":"Paquin","given":"Sarto C."},{"family":"Usatii","given":"Mariana"},{"family":"Sahai","given":"Anand V."}],"issued":{"date-parts":[["2011",8,15]]}}}],"schema":"https://github.com/citation-style-language/schema/raw/master/csl-citation.json"} </w:instrText>
      </w:r>
      <w:r w:rsidR="00C15198" w:rsidRPr="00A83E0C">
        <w:fldChar w:fldCharType="separate"/>
      </w:r>
      <w:r w:rsidR="00D10A7E" w:rsidRPr="00D10A7E">
        <w:t>[30]</w:t>
      </w:r>
      <w:r w:rsidR="00C15198" w:rsidRPr="00A83E0C">
        <w:fldChar w:fldCharType="end"/>
      </w:r>
      <w:r w:rsidR="002C6F11" w:rsidRPr="00A83E0C">
        <w:rPr>
          <w:lang w:val="en-US"/>
        </w:rPr>
        <w:t>.</w:t>
      </w:r>
      <w:r w:rsidR="00F931B7" w:rsidRPr="00A83E0C">
        <w:t xml:space="preserve">  </w:t>
      </w:r>
    </w:p>
    <w:p w14:paraId="2218D2E7" w14:textId="768F554C" w:rsidR="0096153E" w:rsidRPr="00A83E0C" w:rsidRDefault="005B26E5" w:rsidP="00537A85">
      <w:pPr>
        <w:pStyle w:val="2"/>
      </w:pPr>
      <w:r w:rsidRPr="00A83E0C">
        <w:t xml:space="preserve">Пациентам с раком поджелудочной железы </w:t>
      </w:r>
      <w:r w:rsidRPr="00A83E0C">
        <w:rPr>
          <w:b/>
        </w:rPr>
        <w:t>р</w:t>
      </w:r>
      <w:r w:rsidR="0096153E" w:rsidRPr="00A83E0C">
        <w:rPr>
          <w:b/>
        </w:rPr>
        <w:t>екомендуется</w:t>
      </w:r>
      <w:r w:rsidR="0096153E" w:rsidRPr="00A83E0C">
        <w:t xml:space="preserve"> выполнить </w:t>
      </w:r>
      <w:r w:rsidR="00B94A3C" w:rsidRPr="00A83E0C">
        <w:t>ретроградную холангиопанкреатографию (</w:t>
      </w:r>
      <w:r w:rsidR="0096153E" w:rsidRPr="00A83E0C">
        <w:t>РХПГ</w:t>
      </w:r>
      <w:r w:rsidR="00B94A3C" w:rsidRPr="00A83E0C">
        <w:t>)</w:t>
      </w:r>
      <w:r w:rsidR="0096153E" w:rsidRPr="00A83E0C">
        <w:t xml:space="preserve"> при наличии механической желтухи</w:t>
      </w:r>
      <w:r w:rsidR="00BE5BAC" w:rsidRPr="00A83E0C">
        <w:t>, требующей выполнения стентирования общего желчного протока</w:t>
      </w:r>
      <w:r w:rsidR="00CB323C" w:rsidRPr="00A83E0C">
        <w:t xml:space="preserve"> </w:t>
      </w:r>
      <w:r w:rsidR="00C15198" w:rsidRPr="00A83E0C">
        <w:fldChar w:fldCharType="begin"/>
      </w:r>
      <w:r w:rsidR="00D10A7E">
        <w:instrText xml:space="preserve"> ADDIN ZOTERO_ITEM CSL_CITATION {"citationID":"8uHJqNAE","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r w:rsidR="002C6F11" w:rsidRPr="00A83E0C">
        <w:t>.</w:t>
      </w:r>
    </w:p>
    <w:p w14:paraId="2D5FAF8D" w14:textId="77777777" w:rsidR="0096153E" w:rsidRPr="00A83E0C" w:rsidRDefault="0096153E" w:rsidP="00DC7BE7">
      <w:pPr>
        <w:pStyle w:val="33"/>
        <w:rPr>
          <w:color w:val="auto"/>
          <w:lang w:val="ru-RU"/>
        </w:rPr>
      </w:pPr>
      <w:r w:rsidRPr="00A83E0C">
        <w:rPr>
          <w:color w:val="auto"/>
          <w:lang w:val="ru-RU"/>
        </w:rPr>
        <w:t xml:space="preserve">Уровень убедительности рекомендаций </w:t>
      </w:r>
      <w:r w:rsidR="00454216" w:rsidRPr="00A83E0C">
        <w:rPr>
          <w:color w:val="auto"/>
          <w:lang w:val="ru-RU"/>
        </w:rPr>
        <w:t xml:space="preserve">С </w:t>
      </w:r>
      <w:r w:rsidRPr="00A83E0C">
        <w:rPr>
          <w:color w:val="auto"/>
          <w:lang w:val="ru-RU"/>
        </w:rPr>
        <w:t xml:space="preserve">(уровень достоверности доказательств </w:t>
      </w:r>
      <w:r w:rsidR="00454216" w:rsidRPr="00A83E0C">
        <w:rPr>
          <w:color w:val="auto"/>
          <w:lang w:val="ru-RU"/>
        </w:rPr>
        <w:t>5</w:t>
      </w:r>
      <w:r w:rsidRPr="00A83E0C">
        <w:rPr>
          <w:color w:val="auto"/>
          <w:lang w:val="ru-RU"/>
        </w:rPr>
        <w:t>)</w:t>
      </w:r>
    </w:p>
    <w:p w14:paraId="4ADE8093" w14:textId="75640E40" w:rsidR="00BE5BAC" w:rsidRPr="00A83E0C" w:rsidRDefault="0096153E" w:rsidP="00AB423C">
      <w:pPr>
        <w:pStyle w:val="aff2"/>
        <w:ind w:firstLine="708"/>
      </w:pPr>
      <w:r w:rsidRPr="00A83E0C">
        <w:rPr>
          <w:b/>
          <w:i w:val="0"/>
        </w:rPr>
        <w:t>Комментарий</w:t>
      </w:r>
      <w:r w:rsidRPr="00A83E0C">
        <w:t>:</w:t>
      </w:r>
      <w:r w:rsidR="00BE5BAC" w:rsidRPr="00A83E0C">
        <w:t xml:space="preserve"> ввиду сложности и вероятности осложнений </w:t>
      </w:r>
      <w:r w:rsidR="000B41F0" w:rsidRPr="00A83E0C">
        <w:t xml:space="preserve">данный </w:t>
      </w:r>
      <w:r w:rsidR="00BE5BAC" w:rsidRPr="00A83E0C">
        <w:t xml:space="preserve">метод </w:t>
      </w:r>
      <w:r w:rsidR="000B41F0" w:rsidRPr="00A83E0C">
        <w:t xml:space="preserve">в настоящее время наиболее часто </w:t>
      </w:r>
      <w:r w:rsidR="00BE5BAC" w:rsidRPr="00A83E0C">
        <w:t xml:space="preserve">используется </w:t>
      </w:r>
      <w:r w:rsidR="000B41F0" w:rsidRPr="00A83E0C">
        <w:t>при выполнении стентирования общего желчного п</w:t>
      </w:r>
      <w:r w:rsidR="00A509D9" w:rsidRPr="00A83E0C">
        <w:t>ротока при механической желтухе</w:t>
      </w:r>
      <w:r w:rsidR="000B41F0" w:rsidRPr="00A83E0C">
        <w:t xml:space="preserve">. </w:t>
      </w:r>
      <w:r w:rsidR="0003434B" w:rsidRPr="00A83E0C">
        <w:t>Методик</w:t>
      </w:r>
      <w:r w:rsidR="00B94A3C" w:rsidRPr="00A83E0C">
        <w:t>а предпочтительна в варианте Э</w:t>
      </w:r>
      <w:r w:rsidR="0003434B" w:rsidRPr="00A83E0C">
        <w:t>Х</w:t>
      </w:r>
      <w:r w:rsidR="00B94A3C" w:rsidRPr="00A83E0C">
        <w:t>П</w:t>
      </w:r>
      <w:r w:rsidR="0003434B" w:rsidRPr="00A83E0C">
        <w:t xml:space="preserve">Г, а прямое контрастирование протоковой системы поджелудочной железы следует выполнять строго по показаниям и исключительно с применением неионных рентгеноконтрастных веществ, так как высокоосмолярные ионные </w:t>
      </w:r>
      <w:r w:rsidR="0067482F">
        <w:t>рентген</w:t>
      </w:r>
      <w:r w:rsidR="0003434B" w:rsidRPr="00A83E0C">
        <w:t>контрастные вещества вызывают деструкцию покровного эпителия протоков и приводят к развитию спазма, нарушению оттока секрета и развитию острого панкреатита различной степени тяжести.</w:t>
      </w:r>
      <w:r w:rsidR="00B86BF1" w:rsidRPr="00A83E0C">
        <w:t xml:space="preserve"> </w:t>
      </w:r>
      <w:r w:rsidR="000B41F0" w:rsidRPr="00A83E0C">
        <w:t xml:space="preserve">ЭРХПГ позволяет осуществить забор материала для </w:t>
      </w:r>
      <w:r w:rsidR="00964910" w:rsidRPr="00964910">
        <w:rPr>
          <w:szCs w:val="24"/>
        </w:rPr>
        <w:t>патолого-анатомического исследования биопсийного (операционного) материала</w:t>
      </w:r>
      <w:r w:rsidR="000B41F0" w:rsidRPr="00A83E0C">
        <w:t xml:space="preserve">. </w:t>
      </w:r>
    </w:p>
    <w:p w14:paraId="54F764C3" w14:textId="153B5A2F" w:rsidR="00981DC9" w:rsidRPr="00A83E0C" w:rsidRDefault="005B26E5" w:rsidP="00537A85">
      <w:pPr>
        <w:pStyle w:val="2"/>
      </w:pPr>
      <w:r w:rsidRPr="00A83E0C">
        <w:t xml:space="preserve">Пациентам с раком поджелудочной железы </w:t>
      </w:r>
      <w:r w:rsidRPr="00A83E0C">
        <w:rPr>
          <w:b/>
        </w:rPr>
        <w:t>рекомендуется</w:t>
      </w:r>
      <w:r w:rsidRPr="00A83E0C">
        <w:t xml:space="preserve"> </w:t>
      </w:r>
      <w:r w:rsidR="00981DC9" w:rsidRPr="00A83E0C">
        <w:t xml:space="preserve">выполнить </w:t>
      </w:r>
      <w:r w:rsidR="00964910" w:rsidRPr="00F46413">
        <w:t>позитронную эмиссионную томографию, совмещенную с компьютерной томографией с туморотропными РФП с контрастированием</w:t>
      </w:r>
      <w:r w:rsidR="00530692" w:rsidRPr="00F46413">
        <w:t xml:space="preserve"> </w:t>
      </w:r>
      <w:r w:rsidR="008D30E8" w:rsidRPr="00A83E0C">
        <w:t>(</w:t>
      </w:r>
      <w:r w:rsidR="00981DC9" w:rsidRPr="00A83E0C">
        <w:t>ПЭТ/КТ</w:t>
      </w:r>
      <w:r w:rsidR="008D30E8" w:rsidRPr="00A83E0C">
        <w:t>)</w:t>
      </w:r>
      <w:r w:rsidR="00981DC9" w:rsidRPr="00A83E0C">
        <w:t xml:space="preserve"> при невозможности исключить метастатический процесс другими методами исследования</w:t>
      </w:r>
      <w:r w:rsidR="00CB323C" w:rsidRPr="00A83E0C">
        <w:t xml:space="preserve"> </w:t>
      </w:r>
      <w:r w:rsidR="00C15198" w:rsidRPr="00A83E0C">
        <w:fldChar w:fldCharType="begin"/>
      </w:r>
      <w:r w:rsidR="00D10A7E">
        <w:instrText xml:space="preserve"> ADDIN ZOTERO_ITEM CSL_CITATION {"citationID":"S0a7NBaM","properties":{"formattedCitation":"[12,32]","plainCitation":"[12,32]","noteIndex":0},"citationItems":[{"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Committee"}],"issued":{"date-parts":[["2015",8,25]]}}},{"id":243,"uris":["http://zotero.org/users/5363772/items/ECPDE9KN",["http://zotero.org/users/5363772/items/ECPDE9KN"]],"itemData":{"id":243,"type":"article-journal","abstract":"The role of fusion positron emission tomography/computed tomography scans (PET/CT) in staging of patients with pancreatic neoplasms (PN) is poorly defined. PET/CT may serve as an adjunct to standard imaging by increasing occult metastases detection. The purpose of this study was to assess the additional value, in relation to computed tomography (CT), of PET/CT imaging for patients with PN.","container-title":"Annals of Surgical Oncology","DOI":"10.1245/s10434-008-9992-0","ISSN":"1534-4681","issue":"9","journalAbbreviation":"Annals of Surgical Oncology","page":"2465-2471","title":"PET/CT Fusion Scan Enhances CT Staging in Patients with Pancreatic Neoplasms","volume":"15","author":[{"family":"Farma","given":"Jeffrey M."},{"family":"Santillan","given":"Alfredo A."},{"family":"Melis","given":"Marcovalerio"},{"family":"Walters","given":"Janet"},{"family":"Belinc","given":"Daly"},{"family":"Chen","given":"Dung-Tsa"},{"family":"Eikman","given":"Edward A."},{"family":"Malafa","given":"Mokenge"}],"issued":{"date-parts":[["2008",9,1]]}}}],"schema":"https://github.com/citation-style-language/schema/raw/master/csl-citation.json"} </w:instrText>
      </w:r>
      <w:r w:rsidR="00C15198" w:rsidRPr="00A83E0C">
        <w:fldChar w:fldCharType="separate"/>
      </w:r>
      <w:r w:rsidR="00D10A7E" w:rsidRPr="00D10A7E">
        <w:t>[12,32]</w:t>
      </w:r>
      <w:r w:rsidR="00C15198" w:rsidRPr="00A83E0C">
        <w:fldChar w:fldCharType="end"/>
      </w:r>
      <w:r w:rsidR="002C6F11" w:rsidRPr="00A83E0C">
        <w:t>.</w:t>
      </w:r>
    </w:p>
    <w:p w14:paraId="31E1731E" w14:textId="77777777" w:rsidR="00981DC9" w:rsidRPr="00A83E0C" w:rsidRDefault="00981DC9" w:rsidP="00DC7BE7">
      <w:pPr>
        <w:pStyle w:val="33"/>
        <w:rPr>
          <w:color w:val="auto"/>
          <w:lang w:val="ru-RU"/>
        </w:rPr>
      </w:pPr>
      <w:r w:rsidRPr="00A83E0C">
        <w:rPr>
          <w:color w:val="auto"/>
          <w:lang w:val="ru-RU"/>
        </w:rPr>
        <w:t xml:space="preserve">Уровень убедительности рекомендаций </w:t>
      </w:r>
      <w:r w:rsidR="00454216" w:rsidRPr="00A83E0C">
        <w:rPr>
          <w:color w:val="auto"/>
          <w:lang w:val="ru-RU"/>
        </w:rPr>
        <w:t xml:space="preserve">С </w:t>
      </w:r>
      <w:r w:rsidRPr="00A83E0C">
        <w:rPr>
          <w:color w:val="auto"/>
          <w:lang w:val="ru-RU"/>
        </w:rPr>
        <w:t xml:space="preserve">(уровень достоверности доказательств </w:t>
      </w:r>
      <w:r w:rsidR="00964910" w:rsidRPr="00964910">
        <w:rPr>
          <w:color w:val="auto"/>
          <w:lang w:val="ru-RU"/>
        </w:rPr>
        <w:t>3</w:t>
      </w:r>
      <w:r w:rsidRPr="00A83E0C">
        <w:rPr>
          <w:color w:val="auto"/>
          <w:lang w:val="ru-RU"/>
        </w:rPr>
        <w:t>)</w:t>
      </w:r>
    </w:p>
    <w:p w14:paraId="310A1D6A" w14:textId="77777777" w:rsidR="000B41F0" w:rsidRPr="00A83E0C" w:rsidRDefault="00981DC9" w:rsidP="00AB423C">
      <w:pPr>
        <w:pStyle w:val="aff2"/>
        <w:ind w:firstLine="708"/>
      </w:pPr>
      <w:r w:rsidRPr="00A83E0C">
        <w:rPr>
          <w:b/>
          <w:i w:val="0"/>
        </w:rPr>
        <w:lastRenderedPageBreak/>
        <w:t>Комментарий</w:t>
      </w:r>
      <w:r w:rsidRPr="00A83E0C">
        <w:t>: добавление ПЭТ/КТ к стандартным методам визуализации увеличивает чувствительность выявления отдаленных метастазов с 57% до 87%. В отдельных случаях при подозрении на наличие отдаленных метастазов</w:t>
      </w:r>
      <w:r w:rsidR="00CB70FB">
        <w:t xml:space="preserve"> </w:t>
      </w:r>
      <w:r w:rsidR="00CB70FB">
        <w:rPr>
          <w:szCs w:val="24"/>
        </w:rPr>
        <w:t>(напр., высокий уровень маркера СА 19-9 или крупные размеры первичной опухоли)</w:t>
      </w:r>
      <w:r w:rsidRPr="00A83E0C">
        <w:t>, когда их подтверждение изменит тактику лечения, рекомендуется выполнить ПЭТ/КТ.</w:t>
      </w:r>
      <w:r w:rsidR="00CB70FB">
        <w:rPr>
          <w:szCs w:val="24"/>
        </w:rPr>
        <w:t xml:space="preserve"> Однако ПЭТ/КТ НЕ является заменой КТ по вышеописанному протоколу в отношении</w:t>
      </w:r>
      <w:r w:rsidR="00CB70FB" w:rsidRPr="00CB70FB">
        <w:rPr>
          <w:szCs w:val="24"/>
        </w:rPr>
        <w:t xml:space="preserve"> </w:t>
      </w:r>
      <w:r w:rsidR="00CB70FB" w:rsidRPr="00AF4FB2">
        <w:rPr>
          <w:szCs w:val="24"/>
        </w:rPr>
        <w:t>оценки первичной распространенности при решении вопроса о возможности выполнения радикаль</w:t>
      </w:r>
      <w:r w:rsidR="00CB70FB">
        <w:rPr>
          <w:szCs w:val="24"/>
        </w:rPr>
        <w:t>ной операции.</w:t>
      </w:r>
    </w:p>
    <w:p w14:paraId="6C174B57" w14:textId="7B337A70" w:rsidR="00DB4127" w:rsidRPr="00A83E0C" w:rsidRDefault="00175ADB" w:rsidP="00537A85">
      <w:pPr>
        <w:pStyle w:val="2"/>
      </w:pPr>
      <w:r w:rsidRPr="00A83E0C">
        <w:t xml:space="preserve">Пациентам с раком поджелудочной железы </w:t>
      </w:r>
      <w:r w:rsidRPr="00A83E0C">
        <w:rPr>
          <w:b/>
        </w:rPr>
        <w:t>рекомендуется</w:t>
      </w:r>
      <w:r w:rsidRPr="00A83E0C">
        <w:t xml:space="preserve"> </w:t>
      </w:r>
      <w:r w:rsidR="00F16DED" w:rsidRPr="00A83E0C">
        <w:t xml:space="preserve">выполнить </w:t>
      </w:r>
      <w:r w:rsidR="00DB4127" w:rsidRPr="00A83E0C">
        <w:t>сцинтиграфи</w:t>
      </w:r>
      <w:r w:rsidR="00F16DED" w:rsidRPr="00A83E0C">
        <w:t>ю</w:t>
      </w:r>
      <w:r w:rsidR="00DB4127" w:rsidRPr="00A83E0C">
        <w:t xml:space="preserve"> </w:t>
      </w:r>
      <w:r w:rsidR="00964910" w:rsidRPr="00964910">
        <w:t>костей всего тела</w:t>
      </w:r>
      <w:r w:rsidR="00F0619F" w:rsidRPr="00A83E0C">
        <w:t xml:space="preserve"> </w:t>
      </w:r>
      <w:r w:rsidR="00DB4127" w:rsidRPr="00A83E0C">
        <w:t>при подозрении на метастатическое поражение костей скелета</w:t>
      </w:r>
      <w:r w:rsidR="00CB323C" w:rsidRPr="00A83E0C">
        <w:t xml:space="preserve"> </w:t>
      </w:r>
      <w:r w:rsidR="00C15198" w:rsidRPr="00A83E0C">
        <w:fldChar w:fldCharType="begin"/>
      </w:r>
      <w:r w:rsidR="00D10A7E">
        <w:instrText xml:space="preserve"> ADDIN ZOTERO_ITEM CSL_CITATION {"citationID":"HyKS6idD","properties":{"formattedCitation":"[33]","plainCitation":"[33]","noteIndex":0},"citationItems":[{"id":1153,"uris":["http://zotero.org/users/5363772/items/9U93JZAL",["http://zotero.org/users/5363772/items/9U93JZAL"]],"itemData":{"id":1153,"type":"article-journal","abstract":"BACKGROUND: Skeletal metastases represent an underappreciated site of metastasis in patients with pancreatic cancer. Previous reports have estimated the prevalence to range from 5 percent to 20 percent. With the use of gemcitabine and novel targeted agents such as erlotinib, there has been a modest increase in survival in patients with advanced pancreatic cancer. As such, it is anticipated that previously uncommon occurrences such as skeletal metastases will become more frequent. PATIENTS AND METHODS: Retrospective chart review was conducted at two academic institutions to identify pancreatic cancer patients with skeletal metastases over a two-year period. RESULTS: Seven patients were identified from a database of 323 patients (2.2 percent). All patients had advanced disease and had received prior systemic therapy (range: 1-4 lines, median: 2 lines). Approximately half (57.1 percent) of the patients were symptomatic from their skeletal metastases. The most common sites of skeletal metastases were vertebrae (100 percent), hips (57.1 percent), and ribs (57.1 percent). Both blastic and lytic lesions were noted, with a predominance of blastic lesions (71.4 percent). A majority of patients (71.4 percent) received bisphosphonates as part of their care. DISCUSSION: Skeletal metastases are an uncommon but clinically important occurrence in patients with pancreatic cancer. Clinicians caring for patients with pancreatic cancer should be alert regarding skeletal metastases, due to the morbidity it can cause for these patients (e.g., back pain, fractures, etc.).","archive":"PubMed","archive_location":"19325940","container-title":"The Yale journal of biology and medicine","ISSN":"1551-4056","issue":"1","journalAbbreviation":"Yale J Biol Med","language":"eng","note":"publisher: Yale Journal of Biology and Medicine","page":"1-6","title":"Skeletal metastases in pancreatic cancer: a retrospective study and review of the literature","volume":"82","author":[{"family":"Borad","given":"Mitesh J"},{"family":"Saadati","given":"Hamid"},{"family":"Lakshmipathy","given":"Arun"},{"family":"Campbell","given":"Elizabeth"},{"family":"Hopper","given":"Patricia"},{"family":"Jameson","given":"Gayle"},{"family":"Von Hoff","given":"Daniel D"},{"family":"Saif","given":"M Wasif"}],"issued":{"date-parts":[["2009",3]]}}}],"schema":"https://github.com/citation-style-language/schema/raw/master/csl-citation.json"} </w:instrText>
      </w:r>
      <w:r w:rsidR="00C15198" w:rsidRPr="00A83E0C">
        <w:fldChar w:fldCharType="separate"/>
      </w:r>
      <w:r w:rsidR="00D10A7E" w:rsidRPr="00D10A7E">
        <w:t>[33]</w:t>
      </w:r>
      <w:r w:rsidR="00C15198" w:rsidRPr="00A83E0C">
        <w:fldChar w:fldCharType="end"/>
      </w:r>
      <w:r w:rsidR="00DB4127" w:rsidRPr="00A83E0C">
        <w:t>.</w:t>
      </w:r>
    </w:p>
    <w:p w14:paraId="54B22EA8" w14:textId="77777777" w:rsidR="001257AF" w:rsidRPr="00A83E0C" w:rsidRDefault="001257AF" w:rsidP="00DC7BE7">
      <w:pPr>
        <w:pStyle w:val="33"/>
        <w:rPr>
          <w:color w:val="auto"/>
          <w:lang w:val="ru-RU"/>
        </w:rPr>
      </w:pPr>
      <w:r w:rsidRPr="00A83E0C">
        <w:rPr>
          <w:color w:val="auto"/>
          <w:lang w:val="ru-RU"/>
        </w:rPr>
        <w:t xml:space="preserve">Уровень убедительности рекомендаций С (уровень достоверности доказательств </w:t>
      </w:r>
      <w:r w:rsidR="00454216" w:rsidRPr="00A83E0C">
        <w:rPr>
          <w:color w:val="auto"/>
          <w:lang w:val="ru-RU"/>
        </w:rPr>
        <w:t>5</w:t>
      </w:r>
      <w:r w:rsidRPr="00A83E0C">
        <w:rPr>
          <w:color w:val="auto"/>
          <w:lang w:val="ru-RU"/>
        </w:rPr>
        <w:t>)</w:t>
      </w:r>
    </w:p>
    <w:p w14:paraId="52B4CC28" w14:textId="01C1A880" w:rsidR="00DB4127" w:rsidRPr="00A83E0C" w:rsidRDefault="00175ADB" w:rsidP="00537A85">
      <w:pPr>
        <w:pStyle w:val="2"/>
        <w:rPr>
          <w:b/>
        </w:rPr>
      </w:pPr>
      <w:r w:rsidRPr="00A83E0C">
        <w:t xml:space="preserve">Пациентам с раком поджелудочной железы </w:t>
      </w:r>
      <w:r w:rsidRPr="00A83E0C">
        <w:rPr>
          <w:b/>
        </w:rPr>
        <w:t>рекомендуется</w:t>
      </w:r>
      <w:r w:rsidRPr="00A83E0C">
        <w:t xml:space="preserve"> </w:t>
      </w:r>
      <w:r w:rsidR="00F16DED" w:rsidRPr="00A83E0C">
        <w:t>выполнить л</w:t>
      </w:r>
      <w:r w:rsidR="00DB4127" w:rsidRPr="00A83E0C">
        <w:t>апароскопи</w:t>
      </w:r>
      <w:r w:rsidR="00F16DED" w:rsidRPr="00A83E0C">
        <w:t>ю</w:t>
      </w:r>
      <w:r w:rsidR="00DB4127" w:rsidRPr="00A83E0C">
        <w:t xml:space="preserve"> при подозрении на диссеминацию опухоли по брюшине</w:t>
      </w:r>
      <w:r w:rsidR="00C150A8" w:rsidRPr="00A83E0C">
        <w:t xml:space="preserve"> или при невозможности морфологической верификации диагноза другими методами</w:t>
      </w:r>
      <w:r w:rsidR="00CB323C" w:rsidRPr="00A83E0C">
        <w:t xml:space="preserve"> </w:t>
      </w:r>
      <w:r w:rsidR="00C15198" w:rsidRPr="00A83E0C">
        <w:fldChar w:fldCharType="begin"/>
      </w:r>
      <w:r w:rsidR="00D10A7E">
        <w:instrText xml:space="preserve"> ADDIN ZOTERO_ITEM CSL_CITATION {"citationID":"VCqFd07p","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r w:rsidR="00C150A8" w:rsidRPr="00A83E0C">
        <w:rPr>
          <w:b/>
        </w:rPr>
        <w:t>.</w:t>
      </w:r>
    </w:p>
    <w:p w14:paraId="7D08EE4C" w14:textId="77777777" w:rsidR="001257AF" w:rsidRDefault="001257AF" w:rsidP="00DC7BE7">
      <w:pPr>
        <w:pStyle w:val="33"/>
        <w:rPr>
          <w:color w:val="auto"/>
          <w:lang w:val="ru-RU"/>
        </w:rPr>
      </w:pPr>
      <w:r w:rsidRPr="00A83E0C">
        <w:rPr>
          <w:color w:val="auto"/>
          <w:lang w:val="ru-RU"/>
        </w:rPr>
        <w:t xml:space="preserve">Уровень убедительности рекомендаций </w:t>
      </w:r>
      <w:r w:rsidR="00430CC7" w:rsidRPr="00A83E0C">
        <w:rPr>
          <w:color w:val="auto"/>
        </w:rPr>
        <w:t>C</w:t>
      </w:r>
      <w:r w:rsidR="00430CC7" w:rsidRPr="00A83E0C">
        <w:rPr>
          <w:color w:val="auto"/>
          <w:lang w:val="ru-RU"/>
        </w:rPr>
        <w:t xml:space="preserve"> </w:t>
      </w:r>
      <w:r w:rsidRPr="00A83E0C">
        <w:rPr>
          <w:color w:val="auto"/>
          <w:lang w:val="ru-RU"/>
        </w:rPr>
        <w:t xml:space="preserve">(уровень достоверности доказательств </w:t>
      </w:r>
      <w:r w:rsidR="00454216" w:rsidRPr="00A83E0C">
        <w:rPr>
          <w:color w:val="auto"/>
          <w:lang w:val="ru-RU"/>
        </w:rPr>
        <w:t>5</w:t>
      </w:r>
      <w:r w:rsidRPr="00A83E0C">
        <w:rPr>
          <w:color w:val="auto"/>
          <w:lang w:val="ru-RU"/>
        </w:rPr>
        <w:t>)</w:t>
      </w:r>
    </w:p>
    <w:p w14:paraId="61A40E18" w14:textId="010D6619" w:rsidR="008B76C6" w:rsidRPr="004E104D" w:rsidRDefault="008B76C6" w:rsidP="00DC7BE7">
      <w:pPr>
        <w:pStyle w:val="33"/>
        <w:rPr>
          <w:b w:val="0"/>
          <w:bCs/>
          <w:i/>
          <w:iCs/>
          <w:color w:val="auto"/>
          <w:lang w:val="ru-RU"/>
        </w:rPr>
      </w:pPr>
      <w:r w:rsidRPr="004E104D">
        <w:rPr>
          <w:lang w:val="ru-RU"/>
        </w:rPr>
        <w:t>Комментарий:</w:t>
      </w:r>
      <w:r>
        <w:rPr>
          <w:lang w:val="ru-RU"/>
        </w:rPr>
        <w:t xml:space="preserve"> </w:t>
      </w:r>
      <w:r>
        <w:rPr>
          <w:rFonts w:eastAsia="BlissPro-Light"/>
          <w:b w:val="0"/>
          <w:bCs/>
          <w:i/>
          <w:iCs/>
          <w:lang w:val="ru-RU"/>
        </w:rPr>
        <w:t xml:space="preserve">кроме возможности забора биоматериала для морфологической верификации опухоли диагностическая лапароскопия может быть полезна у пациентов, </w:t>
      </w:r>
      <w:r w:rsidRPr="004E104D">
        <w:rPr>
          <w:rFonts w:eastAsia="BlissPro-Light"/>
          <w:b w:val="0"/>
          <w:bCs/>
          <w:i/>
          <w:iCs/>
          <w:lang w:val="ru-RU"/>
        </w:rPr>
        <w:t>имеющих высок</w:t>
      </w:r>
      <w:r>
        <w:rPr>
          <w:rFonts w:eastAsia="BlissPro-Light"/>
          <w:b w:val="0"/>
          <w:bCs/>
          <w:i/>
          <w:iCs/>
          <w:lang w:val="ru-RU"/>
        </w:rPr>
        <w:t>ий</w:t>
      </w:r>
      <w:r w:rsidRPr="004E104D">
        <w:rPr>
          <w:rFonts w:eastAsia="BlissPro-Light"/>
          <w:b w:val="0"/>
          <w:bCs/>
          <w:i/>
          <w:iCs/>
          <w:lang w:val="ru-RU"/>
        </w:rPr>
        <w:t xml:space="preserve"> риск метастатического заболевания</w:t>
      </w:r>
      <w:r>
        <w:rPr>
          <w:rFonts w:eastAsia="BlissPro-Light"/>
          <w:b w:val="0"/>
          <w:bCs/>
          <w:i/>
          <w:iCs/>
          <w:lang w:val="ru-RU"/>
        </w:rPr>
        <w:t>, например,</w:t>
      </w:r>
      <w:r w:rsidRPr="004E104D">
        <w:rPr>
          <w:rFonts w:eastAsia="BlissPro-Light"/>
          <w:b w:val="0"/>
          <w:bCs/>
          <w:i/>
          <w:iCs/>
          <w:lang w:val="ru-RU"/>
        </w:rPr>
        <w:t xml:space="preserve"> уровень СА 19-9 более 500 Ед/мл, метастатическое поражение регионарных лимфоузлов</w:t>
      </w:r>
      <w:r w:rsidR="00FB1F10">
        <w:rPr>
          <w:rFonts w:eastAsia="BlissPro-Light"/>
          <w:b w:val="0"/>
          <w:bCs/>
          <w:i/>
          <w:iCs/>
          <w:lang w:val="ru-RU"/>
        </w:rPr>
        <w:fldChar w:fldCharType="begin"/>
      </w:r>
      <w:r w:rsidR="00D10A7E">
        <w:rPr>
          <w:rFonts w:eastAsia="BlissPro-Light"/>
          <w:b w:val="0"/>
          <w:bCs/>
          <w:i/>
          <w:iCs/>
          <w:lang w:val="ru-RU"/>
        </w:rPr>
        <w:instrText xml:space="preserve"> ADDIN ZOTERO_ITEM CSL_CITATION {"citationID":"NHn8PqgL","properties":{"formattedCitation":"[34]","plainCitation":"[34]","noteIndex":0},"citationItems":[{"id":1262,"uris":["http://zotero.org/users/5363772/items/B43RT6UF"],"itemData":{"id":1262,"type":"article-journal","abstract":"Prompt and accurate staging of pancreatic cancer is essential to distinguish patients to benefit from resection with curative intent and those with unresectable disease. A staging laparoscopy is used preoperatively to identify macroscopic or occult metastases not identified on imaging. This single-institution study aims to evaluate the role of staging laparoscopy in patients with pancreatic adenocarcinoma and its effect on overall survival.","container-title":"World Journal of Surgical Oncology","DOI":"10.1186/s12957-022-02803-y","ISSN":"1477-7819","issue":"1","journalAbbreviation":"World Journal of Surgical Oncology","page":"337","title":"The role of staging laparoscopy in pancreatic adenocarcinoma and its effect on patients’ survival","volume":"20","author":[{"family":"Jambor","given":"Maxwell A."},{"family":"Ashrafizadeh","given":"Amir"},{"family":"Nahm","given":"Christopher B."},{"family":"Clarke","given":"Stephen J."},{"family":"Pavlakis","given":"Nick"},{"family":"Kneebone","given":"Andrew"},{"family":"Hruby","given":"George"},{"family":"Gill","given":"Anthony J."},{"family":"Mittal","given":"Anubhav"},{"family":"Samra","given":"Jaswinder S."}],"issued":{"date-parts":[["2022",10,11]]}}}],"schema":"https://github.com/citation-style-language/schema/raw/master/csl-citation.json"} </w:instrText>
      </w:r>
      <w:r w:rsidR="00FB1F10">
        <w:rPr>
          <w:rFonts w:eastAsia="BlissPro-Light"/>
          <w:b w:val="0"/>
          <w:bCs/>
          <w:i/>
          <w:iCs/>
          <w:lang w:val="ru-RU"/>
        </w:rPr>
        <w:fldChar w:fldCharType="separate"/>
      </w:r>
      <w:r w:rsidR="00D10A7E" w:rsidRPr="00D10A7E">
        <w:rPr>
          <w:lang w:val="ru-RU"/>
        </w:rPr>
        <w:t>[34]</w:t>
      </w:r>
      <w:r w:rsidR="00FB1F10">
        <w:rPr>
          <w:rFonts w:eastAsia="BlissPro-Light"/>
          <w:b w:val="0"/>
          <w:bCs/>
          <w:i/>
          <w:iCs/>
          <w:lang w:val="ru-RU"/>
        </w:rPr>
        <w:fldChar w:fldCharType="end"/>
      </w:r>
      <w:r w:rsidRPr="004E104D">
        <w:rPr>
          <w:rFonts w:eastAsia="BlissPro-Light"/>
          <w:b w:val="0"/>
          <w:bCs/>
          <w:i/>
          <w:iCs/>
          <w:lang w:val="ru-RU"/>
        </w:rPr>
        <w:t xml:space="preserve">. </w:t>
      </w:r>
    </w:p>
    <w:p w14:paraId="5AAADCA8" w14:textId="35D7A3EE" w:rsidR="00DB4127" w:rsidRPr="00A83E0C" w:rsidRDefault="00175ADB" w:rsidP="00537A85">
      <w:pPr>
        <w:pStyle w:val="2"/>
      </w:pPr>
      <w:r w:rsidRPr="00A83E0C">
        <w:t xml:space="preserve">Пациентам с раком поджелудочной железы </w:t>
      </w:r>
      <w:r w:rsidRPr="00A83E0C">
        <w:rPr>
          <w:b/>
        </w:rPr>
        <w:t>рекомендуется</w:t>
      </w:r>
      <w:r w:rsidRPr="00A83E0C">
        <w:t xml:space="preserve"> </w:t>
      </w:r>
      <w:r w:rsidR="00F16DED" w:rsidRPr="00A83E0C">
        <w:t xml:space="preserve">выполнить </w:t>
      </w:r>
      <w:r w:rsidR="00DB4127" w:rsidRPr="00A83E0C">
        <w:t>МРТ или КТ головного мозга с внутривенным контрастированием при подозрении на метастатическое поражение головного мозга</w:t>
      </w:r>
      <w:r w:rsidR="00CB323C" w:rsidRPr="00A83E0C">
        <w:t xml:space="preserve"> </w:t>
      </w:r>
      <w:r w:rsidR="00C15198" w:rsidRPr="00A83E0C">
        <w:fldChar w:fldCharType="begin"/>
      </w:r>
      <w:r w:rsidR="00D10A7E">
        <w:instrText xml:space="preserve"> ADDIN ZOTERO_ITEM CSL_CITATION {"citationID":"A6kV4Xzk","properties":{"formattedCitation":"[35,36]","plainCitation":"[35,36]","noteIndex":0},"citationItems":[{"id":1155,"uris":["http://zotero.org/users/5363772/items/9PWEQTJR",["http://zotero.org/users/5363772/items/9PWEQTJR"]],"itemData":{"id":1155,"type":"article-journal","abstract":"Rationale: \n\nBrain metastases are extremely rare for patients with pancreatic adenocarcinoma due to the poor prognoses. In the present study, we reported 2 cases of pancreatic adenocarcinoma with brain metastases.\n\nPatient concerns:\n\nThe 1st patient was diagnosed asymptomatic brain metastasis by a follow-up brain magnetic resonance imaging (MRI) due to a medical history of subarachnoid hemorrhage. The 2nd patient experienced dizziness, neck pain, and seizure. Computed tomography (CT) was used for the diagnosis of brain metastasis because he was inserted a pacemaker.\n\nDiagnosis:\n\nIn case 1, brain MRI revealed that a solitary brain metastasis 14-mm in size was identified at the cortico-medullary junction in the left frontal lobe. In case 2, brain enhanced CT revealed multiple brain metastases with calcification at the cerebral cortex. Times to develop central nervous system metastasis were 19 months and 33 months, respectively.\n\nInterventions:\n\nThe 1st patient was treated with 45.2 Gy γ-knife irradiation for the solitary brain metastasis, and the 2nd patient was treated with supportive care due to the poor general condition.\n\nOutcomes:\n\nThe prognoses of these 2 patients were 13 months, and 32 days from the diagnosis of brain metastasis. The 1st patient did not experience complication of a γ-knife irradiation and brain metastasis was controlled until death.\n\nLessons:\n\nThe incidence of brain metastases from pancreatic adenocarcinoma is expected to increase due to prolonged survival from improved treatment. Therefore, increased awareness of brain involvement is necessary when neurological disorder is suspected in patients with advanced pancreatic cancer.","container-title":"Medicine","ISSN":"0025-7974","issue":"4","title":"Brain metastasis in pancreatic cancer: Two case reports","URL":"https://journals.lww.com/md-journal/Fulltext/2019/01250/Brain_metastasis_in_pancreatic_cancer__Two_case.52.aspx","volume":"98","author":[{"family":"Sasaki","given":"Takashi"},{"family":"Sato","given":"Tatsuya"},{"family":"Nakai","given":"Yousuke"},{"family":"Sasahira","given":"Naoki"},{"family":"Isayama","given":"Hiroyuki"},{"family":"Koike","given":"Kazuhiko"}],"issued":{"date-parts":[["2019"]]}}},{"id":1156,"uris":["http://zotero.org/users/5363772/items/WNNIPJ8R",["http://zotero.org/users/5363772/items/WNNIPJ8R"]],"itemData":{"id":1156,"type":"article-journal","abstract":"Pancreatic cancer is a fatal disease with a 5-year survival rate below 5%. Most patients are diagnosed at an advanced tumor stage and existence of distant metastases. However, involvement of the central nervous system is rare in pancreatic cancer. We retrospectively analyzed all cases of brain metastases in pancreatic cancer reported to date focusing on patient characteristics, clinical appearance, therapy and survival. Including our own, 12 cases of brain metastases originating from pancreatic cancer were identified. In three patients brain metastases were the first manifestation of pancreatic cancer. All other patients developed brain metastases during their clinical course. In most cases, the disease progressed rapidly and the patients died within weeks or months. However, two patients showed long-term survival. Of note, both patients received resection of the pancreatic cancer as well as curative resection of the metachronous brain metastases. Brain metastases in pancreatic cancer are a rare condition and usually predict a very poor prognosis. However, there is evidence that resection of brain metastases of pancreatic cancer can be immensely beneficial to patient's survival, even with the chance for cure. Therefore, a surgical approach in metastatic pancreatic cancer should be considered in selective cases.","archive":"PubMed","archive_location":"23429199","container-title":"International journal of molecular sciences","DOI":"10.3390/ijms14024163","ISSN":"1422-0067","issue":"2","journalAbbreviation":"Int J Mol Sci","language":"eng","note":"publisher: MDPI","page":"4163-4173","title":"Brain metastasis in pancreatic cancer","volume":"14","author":[{"family":"Lemke","given":"Johannes"},{"family":"Scheele","given":"Jan"},{"family":"Kapapa","given":"Thomas"},{"family":"Wirtz","given":"Christian Rainer"},{"family":"Henne-Bruns","given":"Doris"},{"family":"Kornmann","given":"Marko"}],"issued":{"date-parts":[["2013",2,19]]}}}],"schema":"https://github.com/citation-style-language/schema/raw/master/csl-citation.json"} </w:instrText>
      </w:r>
      <w:r w:rsidR="00C15198" w:rsidRPr="00A83E0C">
        <w:fldChar w:fldCharType="separate"/>
      </w:r>
      <w:r w:rsidR="00D10A7E" w:rsidRPr="00D10A7E">
        <w:t>[35,36]</w:t>
      </w:r>
      <w:r w:rsidR="00C15198" w:rsidRPr="00A83E0C">
        <w:fldChar w:fldCharType="end"/>
      </w:r>
      <w:r w:rsidR="00385052" w:rsidRPr="00A83E0C">
        <w:t>.</w:t>
      </w:r>
    </w:p>
    <w:p w14:paraId="67E00D65" w14:textId="77777777" w:rsidR="001257AF" w:rsidRPr="00A83E0C" w:rsidRDefault="001257AF" w:rsidP="00DC7BE7">
      <w:pPr>
        <w:pStyle w:val="33"/>
        <w:rPr>
          <w:color w:val="auto"/>
          <w:lang w:val="ru-RU"/>
        </w:rPr>
      </w:pPr>
      <w:r w:rsidRPr="00A83E0C">
        <w:rPr>
          <w:color w:val="auto"/>
          <w:lang w:val="ru-RU"/>
        </w:rPr>
        <w:t xml:space="preserve">Уровень убедительности рекомендаций </w:t>
      </w:r>
      <w:r w:rsidR="00430CC7" w:rsidRPr="00A83E0C">
        <w:rPr>
          <w:color w:val="auto"/>
        </w:rPr>
        <w:t>C</w:t>
      </w:r>
      <w:r w:rsidR="00430CC7" w:rsidRPr="00A83E0C">
        <w:rPr>
          <w:color w:val="auto"/>
          <w:lang w:val="ru-RU"/>
        </w:rPr>
        <w:t xml:space="preserve"> </w:t>
      </w:r>
      <w:r w:rsidRPr="00A83E0C">
        <w:rPr>
          <w:color w:val="auto"/>
          <w:lang w:val="ru-RU"/>
        </w:rPr>
        <w:t xml:space="preserve">(уровень достоверности доказательств </w:t>
      </w:r>
      <w:r w:rsidR="00454216" w:rsidRPr="00A83E0C">
        <w:rPr>
          <w:color w:val="auto"/>
          <w:lang w:val="ru-RU"/>
        </w:rPr>
        <w:t>5</w:t>
      </w:r>
      <w:r w:rsidRPr="00A83E0C">
        <w:rPr>
          <w:color w:val="auto"/>
          <w:lang w:val="ru-RU"/>
        </w:rPr>
        <w:t>)</w:t>
      </w:r>
    </w:p>
    <w:p w14:paraId="196EB8E8" w14:textId="70A0FBBB" w:rsidR="004C2565" w:rsidRPr="00A83E0C" w:rsidRDefault="00175ADB" w:rsidP="00537A85">
      <w:pPr>
        <w:pStyle w:val="2"/>
      </w:pPr>
      <w:r w:rsidRPr="00A83E0C">
        <w:t>Пациентам с раком поджелудочной железы р</w:t>
      </w:r>
      <w:r w:rsidR="004C2565" w:rsidRPr="00A83E0C">
        <w:t xml:space="preserve">екомендуется выполнить </w:t>
      </w:r>
      <w:r w:rsidR="009E4163" w:rsidRPr="00A83E0C">
        <w:rPr>
          <w:rFonts w:eastAsia="GalsLightC"/>
        </w:rPr>
        <w:t>электрокардиографию</w:t>
      </w:r>
      <w:r w:rsidR="009E4163" w:rsidRPr="00A83E0C">
        <w:t xml:space="preserve"> (</w:t>
      </w:r>
      <w:r w:rsidR="004C2565" w:rsidRPr="00A83E0C">
        <w:t>ЭКГ</w:t>
      </w:r>
      <w:r w:rsidR="009E4163" w:rsidRPr="00A83E0C">
        <w:t>)</w:t>
      </w:r>
      <w:r w:rsidR="00602917" w:rsidRPr="00A83E0C">
        <w:t xml:space="preserve"> с целью уточнения тактики лечения</w:t>
      </w:r>
      <w:r w:rsidR="00CB323C" w:rsidRPr="00A83E0C">
        <w:t xml:space="preserve"> </w:t>
      </w:r>
      <w:r w:rsidR="00C15198" w:rsidRPr="00A83E0C">
        <w:fldChar w:fldCharType="begin"/>
      </w:r>
      <w:r w:rsidR="00D10A7E">
        <w:instrText xml:space="preserve"> ADDIN ZOTERO_ITEM CSL_CITATION {"citationID":"DqBUMm4C","properties":{"formattedCitation":"[37\\uc0\\u8211{}39]","plainCitation":"[37–39]","noteIndex":0},"citationItems":[{"id":1160,"uris":["http://zotero.org/users/5363772/items/W8K4DB3D",["http://zotero.org/users/5363772/items/W8K4DB3D"]],"itemData":{"id":1160,"type":"article-journal","container-title":"Circulation","DOI":"10.1161/CIRCULATIONAHA.118.033603","issue":"7","journalAbbreviation":"Circulation","note":"publisher: American Heart Association","page":"735-742","title":"Linking Heart Failure to Cancer","volume":"138","author":[{"literal":"Bertero Edoardo"},{"literal":"Canepa Marco"},{"literal":"Maack Christoph"},{"literal":"Ameri Pietro"}],"issued":{"date-parts":[["2018",8,14]]}}},{"id":1158,"uris":["http://zotero.org/users/5363772/items/NHVUH9ZM",["http://zotero.org/users/5363772/items/NHVUH9ZM"]],"itemData":{"id":1158,"type":"article-journal","container-title":"Circulation: Arrhythmia and Electrophysiology","DOI":"10.1161/CIRCEP.117.005443","issue":"8","journalAbbreviation":"Circulation: Arrhythmia and Electrophysiology","note":"publisher: American Heart Association","page":"e005443","title":"Cancer Treatment–Induced Arrhythmias","volume":"10","author":[{"literal":"Buza Vitaly"},{"literal":"Rajagopalan Bharath"},{"literal":"Curtis Anne B."}],"issued":{"date-parts":[["2017",8,1]]}}},{"id":1162,"uris":["http://zotero.org/users/5363772/items/GMYGQ2IS",["http://zotero.org/users/5363772/items/GMYGQ2IS"]],"itemData":{"id":1162,"type":"article-journal","container-title":"Annals of Oncology","DOI":"10.1093/annonc/mds130","ISSN":"0923-7534","issue":"11","note":"publisher: Elsevier","page":"2960-2963","title":"Electrocardiograms (ECGs) in phase I anticancer drug development: the MD Anderson Cancer Center experience with 8518 ECGs","volume":"23","author":[{"family":"Naing","given":"A."},{"family":"Veasey-Rodrigues","given":"H."},{"family":"Hong","given":"D.S."},{"family":"Fu","given":"S."},{"family":"Falchook","given":"G.S."},{"family":"Wheler","given":"J.J."},{"family":"Tsimberidou","given":"A.M."},{"family":"Wen","given":"S."},{"family":"Fessahaye","given":"S.N."},{"family":"Golden","given":"E.C."},{"family":"Aaron","given":"J."},{"family":"Ewer","given":"M.S."},{"family":"Kurzrock","given":"R."}],"issued":{"date-parts":[["2012",11,1]]}}}],"schema":"https://github.com/citation-style-language/schema/raw/master/csl-citation.json"} </w:instrText>
      </w:r>
      <w:r w:rsidR="00C15198" w:rsidRPr="00A83E0C">
        <w:fldChar w:fldCharType="separate"/>
      </w:r>
      <w:r w:rsidR="00D10A7E" w:rsidRPr="00D10A7E">
        <w:t>[37–39]</w:t>
      </w:r>
      <w:r w:rsidR="00C15198" w:rsidRPr="00A83E0C">
        <w:fldChar w:fldCharType="end"/>
      </w:r>
      <w:r w:rsidR="004C2565" w:rsidRPr="00A83E0C">
        <w:t>.</w:t>
      </w:r>
    </w:p>
    <w:p w14:paraId="47B84E42" w14:textId="77777777" w:rsidR="004C2565" w:rsidRPr="00A83E0C" w:rsidRDefault="004C2565" w:rsidP="00DC7BE7">
      <w:pPr>
        <w:pStyle w:val="33"/>
        <w:rPr>
          <w:color w:val="auto"/>
          <w:lang w:val="ru-RU"/>
        </w:rPr>
      </w:pPr>
      <w:r w:rsidRPr="00A83E0C">
        <w:rPr>
          <w:color w:val="auto"/>
          <w:lang w:val="ru-RU"/>
        </w:rPr>
        <w:t xml:space="preserve">Уровень убедительности рекомендаций С (уровень достоверности доказательств </w:t>
      </w:r>
      <w:r w:rsidR="00552781" w:rsidRPr="00A83E0C">
        <w:rPr>
          <w:color w:val="auto"/>
          <w:lang w:val="ru-RU"/>
        </w:rPr>
        <w:t>5</w:t>
      </w:r>
      <w:r w:rsidRPr="00A83E0C">
        <w:rPr>
          <w:color w:val="auto"/>
          <w:lang w:val="ru-RU"/>
        </w:rPr>
        <w:t>)</w:t>
      </w:r>
    </w:p>
    <w:p w14:paraId="049F19BD" w14:textId="77777777" w:rsidR="00DB4127" w:rsidRPr="00A83E0C" w:rsidRDefault="00DB4127" w:rsidP="00DC7BE7">
      <w:pPr>
        <w:pStyle w:val="3"/>
      </w:pPr>
      <w:bookmarkStart w:id="17" w:name="_Toc158632223"/>
      <w:r w:rsidRPr="00A83E0C">
        <w:t xml:space="preserve">2.5 </w:t>
      </w:r>
      <w:r w:rsidR="00CC1108" w:rsidRPr="00A83E0C">
        <w:t>Иные диагностические исследования</w:t>
      </w:r>
      <w:bookmarkEnd w:id="17"/>
    </w:p>
    <w:p w14:paraId="66AB2061" w14:textId="1253ABAF" w:rsidR="002B66D8" w:rsidRPr="00A83E0C" w:rsidRDefault="00175ADB" w:rsidP="00537A85">
      <w:pPr>
        <w:pStyle w:val="2"/>
      </w:pPr>
      <w:r w:rsidRPr="00A83E0C">
        <w:lastRenderedPageBreak/>
        <w:t>Всем пациентам</w:t>
      </w:r>
      <w:r w:rsidR="00FB1F10">
        <w:t>, которым планируется или уже начато системное лечение по поводу</w:t>
      </w:r>
      <w:r w:rsidRPr="00A83E0C">
        <w:t xml:space="preserve"> рак</w:t>
      </w:r>
      <w:r w:rsidR="00FB1F10">
        <w:t>а</w:t>
      </w:r>
      <w:r w:rsidRPr="00A83E0C">
        <w:t xml:space="preserve"> поджелудочной железы</w:t>
      </w:r>
      <w:r w:rsidR="00FB1F10">
        <w:t>,</w:t>
      </w:r>
      <w:r w:rsidRPr="00A83E0C">
        <w:t xml:space="preserve"> р</w:t>
      </w:r>
      <w:r w:rsidR="004E1A29" w:rsidRPr="00A83E0C">
        <w:t xml:space="preserve">екомендуется </w:t>
      </w:r>
      <w:r w:rsidR="00F0619F">
        <w:t>м</w:t>
      </w:r>
      <w:r w:rsidR="00964910" w:rsidRPr="00964910">
        <w:t>олекулярно-генетическое исследование</w:t>
      </w:r>
      <w:r w:rsidR="00F0619F" w:rsidRPr="00110D19">
        <w:rPr>
          <w:sz w:val="22"/>
        </w:rPr>
        <w:t xml:space="preserve"> </w:t>
      </w:r>
      <w:r w:rsidR="00B16CA9" w:rsidRPr="00B16CA9">
        <w:t xml:space="preserve">герминальных </w:t>
      </w:r>
      <w:r w:rsidR="000F6AC1">
        <w:t xml:space="preserve">мутаций в генах </w:t>
      </w:r>
      <w:r w:rsidR="00964910" w:rsidRPr="00964910">
        <w:rPr>
          <w:i/>
          <w:lang w:val="en-US"/>
        </w:rPr>
        <w:t>BRCA</w:t>
      </w:r>
      <w:r w:rsidR="00964910" w:rsidRPr="00964910">
        <w:rPr>
          <w:i/>
        </w:rPr>
        <w:t xml:space="preserve">1, </w:t>
      </w:r>
      <w:r w:rsidR="00964910" w:rsidRPr="00964910">
        <w:rPr>
          <w:i/>
          <w:lang w:val="en-US"/>
        </w:rPr>
        <w:t>BRCA</w:t>
      </w:r>
      <w:r w:rsidR="00964910" w:rsidRPr="00964910">
        <w:rPr>
          <w:i/>
        </w:rPr>
        <w:t xml:space="preserve">2 </w:t>
      </w:r>
      <w:r w:rsidR="00964910" w:rsidRPr="00F46413">
        <w:t>и</w:t>
      </w:r>
      <w:r w:rsidR="00964910" w:rsidRPr="00964910">
        <w:rPr>
          <w:i/>
        </w:rPr>
        <w:t xml:space="preserve"> </w:t>
      </w:r>
      <w:r w:rsidR="00964910" w:rsidRPr="00964910">
        <w:rPr>
          <w:i/>
          <w:lang w:val="en-US"/>
        </w:rPr>
        <w:t>PALB</w:t>
      </w:r>
      <w:r w:rsidR="00964910" w:rsidRPr="00964910">
        <w:rPr>
          <w:i/>
        </w:rPr>
        <w:t>2</w:t>
      </w:r>
      <w:r w:rsidR="00F0619F">
        <w:rPr>
          <w:i/>
        </w:rPr>
        <w:t xml:space="preserve"> </w:t>
      </w:r>
      <w:r w:rsidR="00C15198" w:rsidRPr="00A83E0C">
        <w:fldChar w:fldCharType="begin"/>
      </w:r>
      <w:r w:rsidR="00D10A7E">
        <w:instrText xml:space="preserve"> ADDIN ZOTERO_ITEM CSL_CITATION {"citationID":"EtZDryJ0","properties":{"formattedCitation":"[40,41]","plainCitation":"[40,41]","noteIndex":0},"citationItems":[{"id":1115,"uris":["http://zotero.org/users/5363772/items/K9NLCHA8",["http://zotero.org/users/5363772/items/K9NLCHA8"]],"itemData":{"id":1115,"type":"thesis","event-place":"Москва","genre":"Диссертация на соискание ученой степени доктора медицинских наук","language":"Русский","number-of-pages":"268","publisher-place":"Москва","title":"Консервативное лечение пациентов с местнораспространенным и метастатическим раком поджелудочной железы","author":[{"family":"Покатаев","given":"Илья Анатольевич"}],"issued":{"date-parts":[["2020"]]}}},{"id":244,"uris":["http://zotero.org/users/5363772/items/QEBZ6GDY",["http://zotero.org/users/5363772/items/QEBZ6GDY"]],"itemData":{"id":244,"type":"article-journal","container-title":"Journal of the National Comprehensive Cancer Network : JNCCN","journalAbbreviation":"Journal of the National Comprehensive Cancer Network : JNCCN","page":"9-20","title":"Genetic/familial high-risk assessment: Breast and ovarian, version 2.2017: Featured updates to the NCCN guidelines","volume":"15","author":[{"family":"Daly","given":"Mary"},{"family":"Pilarski","given":"Robert"},{"family":"Berry","given":"Michael"},{"family":"Buys","given":"Saundra"},{"family":"Farmer","given":"Meagan"},{"family":"Friedman","given":"Sue"},{"family":"Garber","given":"Judy"},{"family":"Kauff","given":"Noah"},{"family":"Khan","given":"Sofia"},{"family":"Klein","given":"Catherine"},{"family":"Kohlmann","given":"Wendy"},{"family":"Kurian","given":"Allison"},{"family":"Litton","given":"Jennifer"},{"family":"Madlensky","given":"Lisa"},{"family":"Merajver","given":"Sofia"},{"family":"Offit","given":"Kenneth"},{"family":"Pal","given":"Tuya"},{"family":"Reiser","given":"Gwen"},{"family":"Shannon","given":"Kristen"},{"family":"Darlow","given":"Susan"}],"issued":{"date-parts":[["2017",1,1]]}}}],"schema":"https://github.com/citation-style-language/schema/raw/master/csl-citation.json"} </w:instrText>
      </w:r>
      <w:r w:rsidR="00C15198" w:rsidRPr="00A83E0C">
        <w:fldChar w:fldCharType="separate"/>
      </w:r>
      <w:r w:rsidR="00D10A7E" w:rsidRPr="00D10A7E">
        <w:t>[40,41]</w:t>
      </w:r>
      <w:r w:rsidR="00C15198" w:rsidRPr="00A83E0C">
        <w:fldChar w:fldCharType="end"/>
      </w:r>
      <w:r w:rsidR="002C6F11" w:rsidRPr="00A83E0C">
        <w:t>.</w:t>
      </w:r>
      <w:r w:rsidR="002B66D8" w:rsidRPr="00A83E0C">
        <w:t xml:space="preserve"> </w:t>
      </w:r>
    </w:p>
    <w:p w14:paraId="4E061655" w14:textId="77777777" w:rsidR="00E6610A" w:rsidRPr="00A83E0C" w:rsidRDefault="00E6610A" w:rsidP="00DC7BE7">
      <w:pPr>
        <w:pStyle w:val="33"/>
        <w:rPr>
          <w:color w:val="auto"/>
          <w:lang w:val="ru-RU"/>
        </w:rPr>
      </w:pPr>
      <w:r w:rsidRPr="00A83E0C">
        <w:rPr>
          <w:color w:val="auto"/>
          <w:lang w:val="ru-RU"/>
        </w:rPr>
        <w:t xml:space="preserve">Уровень убедительности рекомендаций </w:t>
      </w:r>
      <w:r w:rsidRPr="00A83E0C">
        <w:rPr>
          <w:color w:val="auto"/>
        </w:rPr>
        <w:t>C</w:t>
      </w:r>
      <w:r w:rsidRPr="00A83E0C">
        <w:rPr>
          <w:color w:val="auto"/>
          <w:lang w:val="ru-RU"/>
        </w:rPr>
        <w:t xml:space="preserve"> (уровень достоверности доказательств </w:t>
      </w:r>
      <w:r w:rsidR="00EE79AF">
        <w:rPr>
          <w:color w:val="auto"/>
          <w:lang w:val="ru-RU"/>
        </w:rPr>
        <w:t>4</w:t>
      </w:r>
      <w:r w:rsidRPr="00A83E0C">
        <w:rPr>
          <w:color w:val="auto"/>
          <w:lang w:val="ru-RU"/>
        </w:rPr>
        <w:t>)</w:t>
      </w:r>
    </w:p>
    <w:p w14:paraId="040F9F4D" w14:textId="77777777" w:rsidR="00131DD9" w:rsidRDefault="002B66D8" w:rsidP="00DC7BE7">
      <w:pPr>
        <w:pStyle w:val="33"/>
        <w:rPr>
          <w:b w:val="0"/>
          <w:i/>
          <w:lang w:val="ru-RU"/>
        </w:rPr>
      </w:pPr>
      <w:r w:rsidRPr="00A83E0C">
        <w:rPr>
          <w:color w:val="auto"/>
          <w:lang w:val="ru-RU"/>
        </w:rPr>
        <w:t xml:space="preserve">Комментарий: </w:t>
      </w:r>
      <w:r w:rsidR="00964910" w:rsidRPr="00964910">
        <w:rPr>
          <w:b w:val="0"/>
          <w:i/>
          <w:lang w:val="ru-RU"/>
        </w:rPr>
        <w:t xml:space="preserve">учитывая частоту выявления мутаций в генах </w:t>
      </w:r>
      <w:r w:rsidR="00964910" w:rsidRPr="00964910">
        <w:rPr>
          <w:b w:val="0"/>
          <w:i/>
        </w:rPr>
        <w:t>BRCA</w:t>
      </w:r>
      <w:r w:rsidR="00964910" w:rsidRPr="00964910">
        <w:rPr>
          <w:b w:val="0"/>
          <w:i/>
          <w:lang w:val="ru-RU"/>
        </w:rPr>
        <w:t xml:space="preserve">1, </w:t>
      </w:r>
      <w:r w:rsidR="00964910" w:rsidRPr="00964910">
        <w:rPr>
          <w:b w:val="0"/>
          <w:i/>
        </w:rPr>
        <w:t>BRCA</w:t>
      </w:r>
      <w:r w:rsidR="00964910" w:rsidRPr="00964910">
        <w:rPr>
          <w:b w:val="0"/>
          <w:i/>
          <w:lang w:val="ru-RU"/>
        </w:rPr>
        <w:t xml:space="preserve">2 и </w:t>
      </w:r>
      <w:r w:rsidR="00964910" w:rsidRPr="00964910">
        <w:rPr>
          <w:b w:val="0"/>
          <w:i/>
        </w:rPr>
        <w:t>PALB</w:t>
      </w:r>
      <w:r w:rsidR="00964910" w:rsidRPr="00964910">
        <w:rPr>
          <w:b w:val="0"/>
          <w:i/>
          <w:lang w:val="ru-RU"/>
        </w:rPr>
        <w:t>2 более 5%, а также существенное влияние данных мутаций на выбор схемы химиотерапии, определение данных мутаций целесообразно всем пациентам</w:t>
      </w:r>
      <w:r w:rsidR="00FB1F10">
        <w:rPr>
          <w:b w:val="0"/>
          <w:i/>
          <w:lang w:val="ru-RU"/>
        </w:rPr>
        <w:t>, являющимся претендентами на лекарственное лечение</w:t>
      </w:r>
      <w:r w:rsidR="00964910" w:rsidRPr="00964910">
        <w:rPr>
          <w:b w:val="0"/>
          <w:i/>
          <w:lang w:val="ru-RU"/>
        </w:rPr>
        <w:t xml:space="preserve">. </w:t>
      </w:r>
    </w:p>
    <w:p w14:paraId="5CBA04F3" w14:textId="0FA606E7" w:rsidR="00B51529" w:rsidRDefault="00131DD9" w:rsidP="00DC7BE7">
      <w:pPr>
        <w:pStyle w:val="33"/>
        <w:rPr>
          <w:b w:val="0"/>
          <w:i/>
          <w:lang w:val="ru-RU"/>
        </w:rPr>
      </w:pPr>
      <w:r>
        <w:rPr>
          <w:b w:val="0"/>
          <w:i/>
          <w:lang w:val="ru-RU"/>
        </w:rPr>
        <w:t xml:space="preserve">Ввиду высокой частоты моноаллельных соматических мутаций, обладающих низкой предиктивной способностью в отношении чувствительности к лекарственным препаратам, оптимальным является тестирование на наличие герминальных мутаций. В случае тестирования опухолевой ткани на данные мутации, в отчете следует указать </w:t>
      </w:r>
      <w:r w:rsidR="00B51529">
        <w:rPr>
          <w:b w:val="0"/>
          <w:i/>
          <w:lang w:val="ru-RU"/>
        </w:rPr>
        <w:t>является ли инактивирующая мутация моноаллель</w:t>
      </w:r>
      <w:r w:rsidR="00C132CA">
        <w:rPr>
          <w:b w:val="0"/>
          <w:i/>
          <w:lang w:val="ru-RU"/>
        </w:rPr>
        <w:t>н</w:t>
      </w:r>
      <w:r w:rsidR="00B51529">
        <w:rPr>
          <w:b w:val="0"/>
          <w:i/>
          <w:lang w:val="ru-RU"/>
        </w:rPr>
        <w:t>ой или биаллельной.</w:t>
      </w:r>
    </w:p>
    <w:p w14:paraId="5A93A6B3" w14:textId="4FD8D282" w:rsidR="002B66D8" w:rsidRDefault="00964910" w:rsidP="00DC7BE7">
      <w:pPr>
        <w:pStyle w:val="33"/>
        <w:rPr>
          <w:color w:val="auto"/>
          <w:lang w:val="ru-RU"/>
        </w:rPr>
      </w:pPr>
      <w:r w:rsidRPr="00964910">
        <w:rPr>
          <w:b w:val="0"/>
          <w:i/>
          <w:lang w:val="ru-RU"/>
        </w:rPr>
        <w:t>Учитывая крайне низкую чувствительность существующих тест-систем на основе ПЦР, следует отдать предпочтение секвенированию</w:t>
      </w:r>
      <w:r w:rsidR="00957EDE">
        <w:rPr>
          <w:b w:val="0"/>
          <w:i/>
          <w:lang w:val="ru-RU"/>
        </w:rPr>
        <w:t xml:space="preserve"> следующего поколения (</w:t>
      </w:r>
      <w:r w:rsidR="00957EDE">
        <w:rPr>
          <w:b w:val="0"/>
          <w:i/>
        </w:rPr>
        <w:t>NGS</w:t>
      </w:r>
      <w:r w:rsidRPr="00964910">
        <w:rPr>
          <w:b w:val="0"/>
          <w:i/>
          <w:lang w:val="ru-RU"/>
        </w:rPr>
        <w:t xml:space="preserve">). </w:t>
      </w:r>
      <w:r w:rsidR="00FB1F10" w:rsidRPr="004E104D">
        <w:rPr>
          <w:rFonts w:eastAsia="BlissPro-Light"/>
          <w:b w:val="0"/>
          <w:bCs/>
          <w:i/>
          <w:iCs/>
          <w:lang w:val="ru-RU"/>
        </w:rPr>
        <w:t xml:space="preserve">При невозможности секвенирования лаборатория должна использовать тест-систему на основе ПЦР, зарегистрированную для выявления мутаций при раке поджелудочной железы, что связано с наибольшей вероятностью выявления мутации в гене </w:t>
      </w:r>
      <w:r w:rsidR="00FB1F10" w:rsidRPr="004E104D">
        <w:rPr>
          <w:rFonts w:eastAsia="BlissPro-Light"/>
          <w:b w:val="0"/>
          <w:bCs/>
          <w:i/>
          <w:iCs/>
        </w:rPr>
        <w:t>BRCA</w:t>
      </w:r>
      <w:r w:rsidR="00FB1F10" w:rsidRPr="004E104D">
        <w:rPr>
          <w:rFonts w:eastAsia="BlissPro-Light"/>
          <w:b w:val="0"/>
          <w:bCs/>
          <w:i/>
          <w:iCs/>
          <w:lang w:val="ru-RU"/>
        </w:rPr>
        <w:t>2</w:t>
      </w:r>
      <w:r w:rsidR="003350C1">
        <w:rPr>
          <w:rFonts w:eastAsia="BlissPro-Light"/>
          <w:b w:val="0"/>
          <w:bCs/>
          <w:i/>
          <w:iCs/>
          <w:lang w:val="ru-RU"/>
        </w:rPr>
        <w:fldChar w:fldCharType="begin"/>
      </w:r>
      <w:r w:rsidR="00D10A7E">
        <w:rPr>
          <w:rFonts w:eastAsia="BlissPro-Light"/>
          <w:b w:val="0"/>
          <w:bCs/>
          <w:i/>
          <w:iCs/>
          <w:lang w:val="ru-RU"/>
        </w:rPr>
        <w:instrText xml:space="preserve"> ADDIN ZOTERO_ITEM CSL_CITATION {"citationID":"dV12reav","properties":{"formattedCitation":"[42]","plainCitation":"[42]","noteIndex":0},"citationItems":[{"id":1260,"uris":["http://zotero.org/users/5363772/items/JAVFCWDE"],"itemData":{"id":1260,"type":"article-journal","abstract":"Background:\n              Mutations in homologous recombination (HR) and Fanconi anemia (FA) genes may predispose to pancreatic cancer (PC) and enable the prediction of sensitivity to platinum-based chemotherapy. FOLFIRINOX is a standard treatment option for non-selected PC patients and could be effective due to undiagnosed DNA repair deficiency. Here, we aimed to determine the frequency of mutations in genes involved in the HR and FA pathways, evaluate their clinical implications, and determine the objective response rate (ORR), progression-free survival (PFS), and overall survival (OS) of PC patients treated with platinum.\n            \n            \n              Methods:\n              We performed targeted DNA sequencing of 30 genes ( ABRAXAS1, ATM, ATR, BARD1, BLM, BRCA1, BRCA2, BRIP1, CDKN2A, CHEK1, CHEK2, FANCC, FANCF, FANCG, FANCI, FANCL, FANCM, MRE11A, NBN, PALB2, PTEN, RAD50, RAD51C, RAD51D, RAD52, RAD54B, RBBP8, RINT1, SLX4, and XRCC2) for 543 PC patients.\n            \n            \n              Results:\n              In BRCA/PALB2-mutated patients with advanced PC (33 patients, 6.1%), the PFS and OS were higher for first-line platinum therapy than for non-platinum therapy [PFS: HR = 0.28, 95% confidence interval (CI) = 0.10–0.81, p = 0.02; OS: HR = 0.31, 95% CI = 0.08–1.16, p = 0.08]. Among 93 patients (17.1%) with mutations in other HR/FA genes, no statistically significant difference in PFS and OS was observed between first-line platinum therapy and non-platinum therapy (PFS: HR = 0.83, 95% CI = 0.43–1.62, p = 0.59; OS: HR = 0.58, 95% CI = 0.28–1.22, p = 0.15). For patients with early PC, no prognostic value was observed for BRCA1/2, PALB2, or other HR/FA genes mutations. Moreover, a personal history of breast, ovarian, pancreatic, or prostate cancer was identified as the only independent predictor of the risk of BRCA/PALB2 mutations (HR = 5.83, 95% CI = 2.16–15.73, p &lt; 0.01).\n            \n            \n              Conclusion:\n              Mutations in the BRCA1/2 and PALB2 genes increase the sensitivity of PC to platinum agents. Thus, alterations in these genes in PC patients must be determined prior to anticancer therapy.","container-title":"Therapeutic Advances in Medical Oncology","DOI":"10.1177/17588359221083050","ISSN":"1758-8359, 1758-8359","journalAbbreviation":"Ther Adv Med Oncol","language":"en","page":"175883592210830","source":"DOI.org (Crossref)","title":"Platinum-based chemotherapy for pancreatic cancer: impact of mutations in the homologous recombination repair and Fanconi anemia genes","title-short":"Platinum-based chemotherapy for pancreatic cancer","volume":"14","author":[{"family":"Emelyanova","given":"Marina"},{"family":"Pudova","given":"Elena"},{"family":"Khomich","given":"Darya"},{"family":"Krasnov","given":"George"},{"family":"Popova","given":"Anna"},{"family":"Abramov","given":"Ivan"},{"family":"Mikhailovich","given":"Vladimir"},{"family":"Filipenko","given":"Maxim"},{"family":"Menshikova","given":"Sofia"},{"family":"Tjulandin","given":"Sergey"},{"family":"Pokataev","given":"Ilya"}],"issued":{"date-parts":[["2022",1]]}}}],"schema":"https://github.com/citation-style-language/schema/raw/master/csl-citation.json"} </w:instrText>
      </w:r>
      <w:r w:rsidR="003350C1">
        <w:rPr>
          <w:rFonts w:eastAsia="BlissPro-Light"/>
          <w:b w:val="0"/>
          <w:bCs/>
          <w:i/>
          <w:iCs/>
          <w:lang w:val="ru-RU"/>
        </w:rPr>
        <w:fldChar w:fldCharType="separate"/>
      </w:r>
      <w:r w:rsidR="00D10A7E" w:rsidRPr="00D10A7E">
        <w:t>[42]</w:t>
      </w:r>
      <w:r w:rsidR="003350C1">
        <w:rPr>
          <w:rFonts w:eastAsia="BlissPro-Light"/>
          <w:b w:val="0"/>
          <w:bCs/>
          <w:i/>
          <w:iCs/>
          <w:lang w:val="ru-RU"/>
        </w:rPr>
        <w:fldChar w:fldCharType="end"/>
      </w:r>
      <w:r w:rsidR="00FB1F10">
        <w:rPr>
          <w:b w:val="0"/>
          <w:i/>
          <w:lang w:val="ru-RU"/>
        </w:rPr>
        <w:t xml:space="preserve">. </w:t>
      </w:r>
    </w:p>
    <w:p w14:paraId="4B06FABE" w14:textId="58C48439" w:rsidR="00FB1F10" w:rsidRDefault="00FB1F10" w:rsidP="003350C1">
      <w:pPr>
        <w:pStyle w:val="2"/>
      </w:pPr>
      <w:r w:rsidRPr="003350C1">
        <w:t xml:space="preserve">Всем пациентам, которым планируется или уже начато системное лечение по поводу </w:t>
      </w:r>
      <w:r w:rsidR="002B6310">
        <w:t xml:space="preserve">метастатического </w:t>
      </w:r>
      <w:r w:rsidRPr="003350C1">
        <w:t>рака поджелудочной железы, рекомендуется молекулярно-генетическое исследование</w:t>
      </w:r>
      <w:r w:rsidRPr="003350C1">
        <w:rPr>
          <w:sz w:val="22"/>
        </w:rPr>
        <w:t xml:space="preserve"> </w:t>
      </w:r>
      <w:r w:rsidRPr="003350C1">
        <w:t>мутаций в ген</w:t>
      </w:r>
      <w:r>
        <w:t>е</w:t>
      </w:r>
      <w:r w:rsidRPr="003350C1">
        <w:t xml:space="preserve"> </w:t>
      </w:r>
      <w:r w:rsidRPr="009B2C29">
        <w:rPr>
          <w:i/>
          <w:iCs/>
        </w:rPr>
        <w:t>KRAS</w:t>
      </w:r>
      <w:r w:rsidRPr="009B2C29">
        <w:t xml:space="preserve"> </w:t>
      </w:r>
      <w:r w:rsidR="009B2C29" w:rsidRPr="009B2C29">
        <w:t xml:space="preserve">(с указанием локализации конкретной мутации) </w:t>
      </w:r>
      <w:r>
        <w:t>и иммуногистохимическое исследование на микросателлитную нестабильность (MSI) в</w:t>
      </w:r>
      <w:r w:rsidRPr="003350C1">
        <w:t xml:space="preserve"> опухолевой ткани</w:t>
      </w:r>
      <w:r w:rsidR="00C132CA">
        <w:t>.</w:t>
      </w:r>
    </w:p>
    <w:p w14:paraId="1E5574FE" w14:textId="0DE510C8" w:rsidR="009B2C29" w:rsidRDefault="003350C1" w:rsidP="00D81F0C">
      <w:pPr>
        <w:pStyle w:val="33"/>
        <w:rPr>
          <w:b w:val="0"/>
          <w:bCs/>
          <w:i/>
          <w:iCs/>
          <w:lang w:val="ru-RU"/>
        </w:rPr>
      </w:pPr>
      <w:r w:rsidRPr="00A83E0C">
        <w:rPr>
          <w:lang w:val="ru-RU"/>
        </w:rPr>
        <w:t>Комментарий:</w:t>
      </w:r>
      <w:r w:rsidRPr="004E104D">
        <w:rPr>
          <w:lang w:val="ru-RU"/>
        </w:rPr>
        <w:t xml:space="preserve"> </w:t>
      </w:r>
      <w:r w:rsidR="00D81F0C" w:rsidRPr="004E104D">
        <w:rPr>
          <w:b w:val="0"/>
          <w:bCs/>
          <w:i/>
          <w:iCs/>
          <w:lang w:val="ru-RU"/>
        </w:rPr>
        <w:t xml:space="preserve">около </w:t>
      </w:r>
      <w:r w:rsidR="00AE38A7">
        <w:rPr>
          <w:b w:val="0"/>
          <w:bCs/>
          <w:i/>
          <w:iCs/>
          <w:lang w:val="ru-RU"/>
        </w:rPr>
        <w:t>80-</w:t>
      </w:r>
      <w:r w:rsidR="00D81F0C" w:rsidRPr="004E104D">
        <w:rPr>
          <w:b w:val="0"/>
          <w:bCs/>
          <w:i/>
          <w:iCs/>
          <w:lang w:val="ru-RU"/>
        </w:rPr>
        <w:t xml:space="preserve">90% карцином поджелудочной железы имеют мутации в гене </w:t>
      </w:r>
      <w:r w:rsidR="00D81F0C" w:rsidRPr="004E104D">
        <w:rPr>
          <w:b w:val="0"/>
          <w:bCs/>
          <w:i/>
          <w:iCs/>
        </w:rPr>
        <w:t>KRAS</w:t>
      </w:r>
      <w:r w:rsidR="00D81F0C" w:rsidRPr="004E104D">
        <w:rPr>
          <w:b w:val="0"/>
          <w:bCs/>
          <w:i/>
          <w:iCs/>
          <w:lang w:val="ru-RU"/>
        </w:rPr>
        <w:t xml:space="preserve">, что указывает на минимальный шанс выявления терапевтически значимого биомаркера. С другой стороны отсутствие мутации в гене </w:t>
      </w:r>
      <w:r w:rsidR="00D81F0C" w:rsidRPr="004E104D">
        <w:rPr>
          <w:b w:val="0"/>
          <w:bCs/>
          <w:i/>
          <w:iCs/>
        </w:rPr>
        <w:t>KRAS</w:t>
      </w:r>
      <w:r w:rsidR="00D81F0C" w:rsidRPr="004E104D">
        <w:rPr>
          <w:b w:val="0"/>
          <w:bCs/>
          <w:i/>
          <w:iCs/>
          <w:lang w:val="ru-RU"/>
        </w:rPr>
        <w:t xml:space="preserve"> свидетельствует о целесообразности дальнейшего тестирования на другие терапевтически значимые биомаркеры, например, </w:t>
      </w:r>
      <w:r w:rsidR="00D81F0C" w:rsidRPr="004E104D">
        <w:rPr>
          <w:rFonts w:eastAsia="BlissPro-Light"/>
          <w:b w:val="0"/>
          <w:bCs/>
          <w:i/>
          <w:iCs/>
          <w:lang w:val="ru-RU"/>
        </w:rPr>
        <w:t xml:space="preserve">альтерации </w:t>
      </w:r>
      <w:r w:rsidR="00D81F0C" w:rsidRPr="004E104D">
        <w:rPr>
          <w:rFonts w:eastAsia="BlissPro-Light"/>
          <w:b w:val="0"/>
          <w:bCs/>
          <w:i/>
          <w:iCs/>
        </w:rPr>
        <w:t>BRAF</w:t>
      </w:r>
      <w:r w:rsidR="00D81F0C" w:rsidRPr="004E104D">
        <w:rPr>
          <w:rFonts w:eastAsia="BlissPro-Light"/>
          <w:b w:val="0"/>
          <w:bCs/>
          <w:i/>
          <w:iCs/>
          <w:lang w:val="ru-RU"/>
        </w:rPr>
        <w:t xml:space="preserve">, мутации </w:t>
      </w:r>
      <w:r w:rsidR="00D81F0C" w:rsidRPr="004E104D">
        <w:rPr>
          <w:rFonts w:eastAsia="BlissPro-Light"/>
          <w:b w:val="0"/>
          <w:bCs/>
          <w:i/>
          <w:iCs/>
        </w:rPr>
        <w:t>EGFR</w:t>
      </w:r>
      <w:r w:rsidR="00D81F0C" w:rsidRPr="004E104D">
        <w:rPr>
          <w:rFonts w:eastAsia="BlissPro-Light"/>
          <w:b w:val="0"/>
          <w:bCs/>
          <w:i/>
          <w:iCs/>
          <w:lang w:val="ru-RU"/>
        </w:rPr>
        <w:t xml:space="preserve">, транслокацию </w:t>
      </w:r>
      <w:r w:rsidR="00D81F0C" w:rsidRPr="004E104D">
        <w:rPr>
          <w:rFonts w:eastAsia="BlissPro-Light"/>
          <w:b w:val="0"/>
          <w:bCs/>
          <w:i/>
          <w:iCs/>
        </w:rPr>
        <w:t>ALK</w:t>
      </w:r>
      <w:r w:rsidR="00D81F0C" w:rsidRPr="004E104D">
        <w:rPr>
          <w:rFonts w:eastAsia="BlissPro-Light"/>
          <w:b w:val="0"/>
          <w:bCs/>
          <w:i/>
          <w:iCs/>
          <w:lang w:val="ru-RU"/>
        </w:rPr>
        <w:t xml:space="preserve">, </w:t>
      </w:r>
      <w:r w:rsidR="00D81F0C" w:rsidRPr="004E104D">
        <w:rPr>
          <w:rFonts w:eastAsia="BlissPro-Light"/>
          <w:b w:val="0"/>
          <w:bCs/>
          <w:i/>
          <w:iCs/>
        </w:rPr>
        <w:t>NTRK</w:t>
      </w:r>
      <w:r w:rsidR="00D81F0C" w:rsidRPr="004E104D">
        <w:rPr>
          <w:rFonts w:eastAsia="BlissPro-Light"/>
          <w:b w:val="0"/>
          <w:bCs/>
          <w:i/>
          <w:iCs/>
          <w:lang w:val="ru-RU"/>
        </w:rPr>
        <w:t xml:space="preserve">, </w:t>
      </w:r>
      <w:r w:rsidR="00D81F0C" w:rsidRPr="004E104D">
        <w:rPr>
          <w:rFonts w:eastAsia="BlissPro-Light"/>
          <w:b w:val="0"/>
          <w:bCs/>
          <w:i/>
          <w:iCs/>
        </w:rPr>
        <w:t>ROS</w:t>
      </w:r>
      <w:r w:rsidR="00D81F0C" w:rsidRPr="004E104D">
        <w:rPr>
          <w:rFonts w:eastAsia="BlissPro-Light"/>
          <w:b w:val="0"/>
          <w:bCs/>
          <w:i/>
          <w:iCs/>
          <w:lang w:val="ru-RU"/>
        </w:rPr>
        <w:t>1, слияние гена (</w:t>
      </w:r>
      <w:r w:rsidR="00D81F0C" w:rsidRPr="004E104D">
        <w:rPr>
          <w:rFonts w:eastAsia="BlissPro-Light"/>
          <w:b w:val="0"/>
          <w:bCs/>
          <w:i/>
          <w:iCs/>
        </w:rPr>
        <w:t>fusion</w:t>
      </w:r>
      <w:r w:rsidR="00D81F0C" w:rsidRPr="004E104D">
        <w:rPr>
          <w:rFonts w:eastAsia="BlissPro-Light"/>
          <w:b w:val="0"/>
          <w:bCs/>
          <w:i/>
          <w:iCs/>
          <w:lang w:val="ru-RU"/>
        </w:rPr>
        <w:t xml:space="preserve">) </w:t>
      </w:r>
      <w:r w:rsidR="00D81F0C" w:rsidRPr="004E104D">
        <w:rPr>
          <w:rFonts w:eastAsia="BlissPro-Light"/>
          <w:b w:val="0"/>
          <w:bCs/>
          <w:i/>
          <w:iCs/>
        </w:rPr>
        <w:t>NRG</w:t>
      </w:r>
      <w:r w:rsidR="00D81F0C" w:rsidRPr="004E104D">
        <w:rPr>
          <w:rFonts w:eastAsia="BlissPro-Light"/>
          <w:b w:val="0"/>
          <w:bCs/>
          <w:i/>
          <w:iCs/>
          <w:lang w:val="ru-RU"/>
        </w:rPr>
        <w:t xml:space="preserve">1, гиперэкспрессию/амплификацию </w:t>
      </w:r>
      <w:r w:rsidR="00D81F0C" w:rsidRPr="004E104D">
        <w:rPr>
          <w:rFonts w:eastAsia="BlissPro-Light"/>
          <w:b w:val="0"/>
          <w:bCs/>
          <w:i/>
          <w:iCs/>
        </w:rPr>
        <w:t>HER</w:t>
      </w:r>
      <w:r w:rsidR="00D81F0C" w:rsidRPr="004E104D">
        <w:rPr>
          <w:rFonts w:eastAsia="BlissPro-Light"/>
          <w:b w:val="0"/>
          <w:bCs/>
          <w:i/>
          <w:iCs/>
          <w:lang w:val="ru-RU"/>
        </w:rPr>
        <w:t>2/</w:t>
      </w:r>
      <w:r w:rsidR="00D81F0C" w:rsidRPr="004E104D">
        <w:rPr>
          <w:rFonts w:eastAsia="BlissPro-Light"/>
          <w:b w:val="0"/>
          <w:bCs/>
          <w:i/>
          <w:iCs/>
        </w:rPr>
        <w:t>neu</w:t>
      </w:r>
      <w:r w:rsidR="00D81F0C">
        <w:rPr>
          <w:rFonts w:eastAsia="BlissPro-Light"/>
          <w:b w:val="0"/>
          <w:bCs/>
          <w:i/>
          <w:iCs/>
        </w:rPr>
        <w:fldChar w:fldCharType="begin"/>
      </w:r>
      <w:r w:rsidR="00D10A7E">
        <w:rPr>
          <w:rFonts w:eastAsia="BlissPro-Light"/>
          <w:b w:val="0"/>
          <w:bCs/>
          <w:i/>
          <w:iCs/>
          <w:lang w:val="ru-RU"/>
        </w:rPr>
        <w:instrText xml:space="preserve"> ADDIN ZOTERO_ITEM CSL_CITATION {"citationID":"wEnNAPpA","properties":{"formattedCitation":"[43,44]","plainCitation":"[43,44]","noteIndex":0},"citationItems":[{"id":29,"uris":["http://zotero.org/users/5363772/items/KXLW83YX"],"itemData":{"id":29,"type":"article-journal","abstract":"191Background: Up to 17% of PDAs harbor mutations in the DDR pathway. However, the purely prognostic relevance of these mutations is unclear. Furthermore, outcomes in response to platinum-based therapies in PDA pts harboring mutations in a broad range of DDR genes, particularly beyond BRCA1/2 and PALB2, remain unexplored. Methods: We evaluated PDA pts enrolled in the KYT registry for whom we collected cancer related exome sequencing and clinical outcomes. Pts were categorized as resected and advanced (LAPC and metastatic pts), and tumor genomic profiles were categorized as DDR mutated (DDRmut) based on the presence of pathogenic alterations in BRCA1/2, PALB2 (Group 1), ATM, ATR, ATRX (Group 2), or BAP1, BARD1, BRIP1, CHEK1/2, RAD50/51/51B, or FANCA/C/D2/E/F/G/L (Group 3). Tumors harboring no DDR mutations were labelled DDR proficient (pDDR). Median overall survival (OS) was measured from the date of diagnosis until death. Results: The OS was similar in all resected pts, irrespective of exposure to platinum therapy (see Table). However, for the pts with advanced disease, OS was significantly longer for DDRmut vs. pDDR pts, particularly in the platinum-treated group; but no such difference was identified in the platinum-naïve pts. Detailed outcomes for the 3 Groups will be presented, but in general the OS in pts with mutations in all 3 DDRmut Groups was greater than for the pDDR pts; but again this difference was lost in the platinum-naïve pts. Conclusions: Advanced DDRmut pts have an improved OS when treated with platinums, compared to pDDR pts. But, in the absence of platinum-based therapy, there is no OS difference observed in DDRmut vs. pDDR pts, suggesting that DDR status has no pure prognostic value. These findings support the need to test all pts with advanced PDA, to ensure that DDRmut pts are treated with platinum-based therapy. ResectedAdvancedGroup (n)OS (y)P valueGroup (n)OS (y)P valueAll (545)2.95All (515)1.31DDRmut vs. pDDRDDRmut (87)3.34NSDDRmut (87)1.620.005pDDR (458)2.88pDDR (428)1.26Prior PlatinumTreatedTreatedDDRmut4.53NSDDRmut2.370.00008pDDR3.13pDDR1.44NaïveNaïveDDRmut2.22NSDDRmut1.08NSpDDR2.2pDDR1.08","container-title":"Journal of Clinical Oncology","DOI":"10.1200/JCO.2019.37.4_suppl.191","ISSN":"0732-183X","issue":"4_suppl","journalAbbreviation":"JCO","page":"191-191","title":"Outcomes in pancreatic adenocarcinoma (PDA) patients (pts) with genetic alterations in DNA damage repair (DDR) pathways: Results from the Know Your Tumor (KYT) program.","volume":"37","author":[{"family":"Pishvaian","given":"Michael J."},{"family":"Blais","given":"Edik Matthew"},{"family":"Brody","given":"Jonathan Robert"},{"family":"Sohal","given":"Davendra"},{"family":"Hendifar","given":"Andrew Eugene"},{"family":"Chung","given":"Vincent"},{"family":"Mikhail","given":"Sameh"},{"family":"Rahib","given":"Lola"},{"family":"Lyons","given":"Emily"},{"family":"Tibbetts","given":"Lisa"},{"family":"Madhavan","given":"Subha"},{"family":"Matrisian","given":"Lynn McCormick"},{"family":"Petricoin","given":"Emanuel"}],"issued":{"date-parts":[["2019",1,29]]}}},{"id":1297,"uris":["http://zotero.org/users/5363772/items/ZAWYYDZA"],"itemData":{"id":1297,"type":"article-journal","abstract":"Summary\nBackground\nAbout 25% of pancreatic cancers harbour actionable molecular alterations, defined as molecular alterations for which there is clinical or strong preclinical evidence of a predictive benefit from a specific therapy. The Know Your Tumor (KYT) programme includes US patients with pancreatic cancer and enables patients to undergo commercially available multi-omic profiling to provide molecularly tailored therapy options and clinical trial recommendations. We sought to determine whether patients with pancreatic cancer whose tumours harboured such actionable molecular alterations and who received molecularly matched therapy had a longer median overall survival than similar patients who did not receive molecularly matched therapy.\nMethods\nIn this retrospective analysis, treatment history and longitudinal survival outcomes were analysed in patients aged 18 years or older with biopsy-confirmed pancreatic cancer of any stage, enrolled in the KYT programme and who received molecular testing results. Since the timing of KYT enrolment varied for each patient, the primary outcome measurement of median overall survival was calculated from the initial diagnosis of advanced disease until death. We compared median overall survival in patients with actionable mutations who were treated with a matched therapy versus those who were not treated with a matched therapy.\nFindings\nOf 1856 patients with pancreatic cancer who were referred to the KYT programme between June 16, 2014, and March 31, 2019, 1082 (58%) patients received personalised reports based on their molecular testing results. Actionable molecular alterations were identified in 282 (26%) of 1082 samples. Among 677 patients for whom outcomes were available, 189 had actionable molecular alterations. With a median follow-up of 383 days (IQR 214–588), those patients with actionable molecular alterations who received a matched therapy (n=46) had significantly longer median overall survival than did those patients who only received unmatched therapies (n=143; 2·58 years [95% CI 2·39 to not reached] vs 1·51 years [1·33–1·87]; hazard ratio 0·42 [95% CI 0·26–0·68], p=0·0004). The 46 patients who received a matched therapy also had significantly longer overall survival than the 488 patients who did not have an actionable molecular alteration (2·58 years [95% CI 2·39 to not reached] vs 1·32 years [1·25–1·47]; HR 0·34 [95% CI 0·22–0·53], p&lt;0·0001). However, median overall survival did not differ between the patients who received unmatched therapy and those without an actionable molecular alteration (HR 0·82 [95% CI 0·64–1·04], p=0·10).\nInterpretation\nThese real-world outcomes suggest that the adoption of precision medicine can have a substantial effect on survival in patients with pancreatic cancer, and that molecularly guided treatments targeting oncogenic drivers and the DNA damage response and repair pathway warrant further prospective evaluation.\nFunding\nPancreatic Cancer Action Network and Perthera.","container-title":"The Lancet Oncology","DOI":"10.1016/S1470-2045(20)30074-7","ISSN":"1470-2045","issue":"4","journalAbbreviation":"The Lancet Oncology","page":"508-518","title":"Overall survival in patients with pancreatic cancer receiving matched therapies following molecular profiling: a retrospective analysis of the Know Your Tumor registry trial","volume":"21","author":[{"family":"Pishvaian","given":"Michael J"},{"family":"Blais","given":"Edik M"},{"family":"Brody","given":"Jonathan R"},{"family":"Lyons","given":"Emily"},{"family":"DeArbeloa","given":"Patricia"},{"family":"Hendifar","given":"Andrew"},{"family":"Mikhail","given":"Sam"},{"family":"Chung","given":"Vincent"},{"family":"Sahai","given":"Vaibhav"},{"family":"Sohal","given":"Davendra P S"},{"family":"Bellakbira","given":"Sara"},{"family":"Thach","given":"Dzung"},{"family":"Rahib","given":"Lola"},{"family":"Madhavan","given":"Subha"},{"family":"Matrisian","given":"Lynn M"},{"family":"Petricoin","given":"Emanuel F"}],"issued":{"date-parts":[["2020",4,1]]}}}],"schema":"https://github.com/citation-style-language/schema/raw/master/csl-citation.json"} </w:instrText>
      </w:r>
      <w:r w:rsidR="00D81F0C">
        <w:rPr>
          <w:rFonts w:eastAsia="BlissPro-Light"/>
          <w:b w:val="0"/>
          <w:bCs/>
          <w:i/>
          <w:iCs/>
        </w:rPr>
        <w:fldChar w:fldCharType="separate"/>
      </w:r>
      <w:r w:rsidR="00D10A7E" w:rsidRPr="00D54042">
        <w:rPr>
          <w:lang w:val="ru-RU"/>
        </w:rPr>
        <w:t>[43,44]</w:t>
      </w:r>
      <w:r w:rsidR="00D81F0C">
        <w:rPr>
          <w:rFonts w:eastAsia="BlissPro-Light"/>
          <w:b w:val="0"/>
          <w:bCs/>
          <w:i/>
          <w:iCs/>
        </w:rPr>
        <w:fldChar w:fldCharType="end"/>
      </w:r>
      <w:r w:rsidR="00D81F0C" w:rsidRPr="004E104D">
        <w:rPr>
          <w:rFonts w:eastAsia="BlissPro-Light"/>
          <w:b w:val="0"/>
          <w:bCs/>
          <w:i/>
          <w:iCs/>
          <w:lang w:val="ru-RU"/>
        </w:rPr>
        <w:t>.</w:t>
      </w:r>
      <w:r w:rsidR="00D81F0C" w:rsidRPr="004E104D">
        <w:rPr>
          <w:b w:val="0"/>
          <w:bCs/>
          <w:i/>
          <w:iCs/>
          <w:lang w:val="ru-RU"/>
        </w:rPr>
        <w:t xml:space="preserve"> </w:t>
      </w:r>
    </w:p>
    <w:p w14:paraId="64EBE139" w14:textId="79283959" w:rsidR="003350C1" w:rsidRPr="003F15DA" w:rsidRDefault="00D81F0C" w:rsidP="00D81F0C">
      <w:pPr>
        <w:pStyle w:val="33"/>
        <w:rPr>
          <w:rFonts w:eastAsia="BlissPro-Light"/>
          <w:b w:val="0"/>
          <w:bCs/>
          <w:i/>
          <w:iCs/>
          <w:sz w:val="28"/>
          <w:szCs w:val="28"/>
          <w:lang w:val="ru-RU"/>
        </w:rPr>
      </w:pPr>
      <w:r>
        <w:rPr>
          <w:b w:val="0"/>
          <w:bCs/>
          <w:i/>
          <w:iCs/>
          <w:lang w:val="ru-RU"/>
        </w:rPr>
        <w:t>Выя</w:t>
      </w:r>
      <w:r w:rsidR="003350C1" w:rsidRPr="004E104D">
        <w:rPr>
          <w:b w:val="0"/>
          <w:bCs/>
          <w:i/>
          <w:iCs/>
          <w:lang w:val="ru-RU"/>
        </w:rPr>
        <w:t xml:space="preserve">вление </w:t>
      </w:r>
      <w:r w:rsidR="003350C1" w:rsidRPr="004E104D">
        <w:rPr>
          <w:b w:val="0"/>
          <w:bCs/>
          <w:i/>
          <w:iCs/>
        </w:rPr>
        <w:t>MSI</w:t>
      </w:r>
      <w:r w:rsidR="003350C1" w:rsidRPr="004E104D">
        <w:rPr>
          <w:b w:val="0"/>
          <w:bCs/>
          <w:i/>
          <w:iCs/>
          <w:lang w:val="ru-RU"/>
        </w:rPr>
        <w:t xml:space="preserve"> </w:t>
      </w:r>
      <w:r w:rsidR="009B2C29">
        <w:rPr>
          <w:b w:val="0"/>
          <w:bCs/>
          <w:i/>
          <w:iCs/>
          <w:lang w:val="ru-RU"/>
        </w:rPr>
        <w:t>фенотипа</w:t>
      </w:r>
      <w:r w:rsidR="003350C1" w:rsidRPr="004E104D">
        <w:rPr>
          <w:b w:val="0"/>
          <w:bCs/>
          <w:i/>
          <w:iCs/>
          <w:lang w:val="ru-RU"/>
        </w:rPr>
        <w:t xml:space="preserve"> в опухоли встречается менее чем в 1% случаев</w:t>
      </w:r>
      <w:r>
        <w:rPr>
          <w:b w:val="0"/>
          <w:bCs/>
          <w:i/>
          <w:iCs/>
          <w:lang w:val="ru-RU"/>
        </w:rPr>
        <w:t xml:space="preserve"> и не </w:t>
      </w:r>
      <w:r w:rsidR="00EC66B7">
        <w:rPr>
          <w:b w:val="0"/>
          <w:bCs/>
          <w:i/>
          <w:iCs/>
          <w:lang w:val="ru-RU"/>
        </w:rPr>
        <w:t>зависит</w:t>
      </w:r>
      <w:r>
        <w:rPr>
          <w:b w:val="0"/>
          <w:bCs/>
          <w:i/>
          <w:iCs/>
          <w:lang w:val="ru-RU"/>
        </w:rPr>
        <w:t xml:space="preserve"> от статуса </w:t>
      </w:r>
      <w:r>
        <w:rPr>
          <w:b w:val="0"/>
          <w:bCs/>
          <w:i/>
          <w:iCs/>
        </w:rPr>
        <w:t>KRAS</w:t>
      </w:r>
      <w:r w:rsidRPr="004E104D">
        <w:rPr>
          <w:b w:val="0"/>
          <w:bCs/>
          <w:i/>
          <w:iCs/>
          <w:lang w:val="ru-RU"/>
        </w:rPr>
        <w:t xml:space="preserve"> </w:t>
      </w:r>
      <w:r w:rsidR="003350C1" w:rsidRPr="004E104D">
        <w:rPr>
          <w:b w:val="0"/>
          <w:bCs/>
          <w:i/>
          <w:iCs/>
          <w:lang w:val="ru-RU"/>
        </w:rPr>
        <w:fldChar w:fldCharType="begin"/>
      </w:r>
      <w:r w:rsidR="00D10A7E">
        <w:rPr>
          <w:b w:val="0"/>
          <w:bCs/>
          <w:i/>
          <w:iCs/>
          <w:lang w:val="ru-RU"/>
        </w:rPr>
        <w:instrText xml:space="preserve"> ADDIN ZOTERO_ITEM CSL_CITATION {"citationID":"S078cb4y","properties":{"formattedCitation":"[45]","plainCitation":"[45]","noteIndex":0},"citationItems":[{"id":359,"uris":["http://zotero.org/users/5363772/items/VTNJ95LT",["http://zotero.org/users/5363772/items/VTNJ95LT"]],"itemData":{"id":359,"type":"article-journal","abstract":"Purpose: Immune checkpoint inhibition has been shown to generate profound and durable responses in mismatch repair deficient (MMR-D) solid tumors and has elicited interest in detection tools and strategies to guide therapeutic decision-making. Herein we address questions on the appropriate screening, detection methods, patient selection, and initiation of therapy for MMR-D pancreatic ductal adenocarcinoma (PDAC) and assess the utility of next-generation sequencing (NGS) in providing additional prognostic and predictive information for MMR-D PDAC.Experimental Design: Archival and prospectively acquired samples and matched normal DNA from N = 833 PDAC cases were analyzed using a hybridization capture-based, NGS assay designed to perform targeted deep sequencing of all exons and selected introns of 341 to 468 cancer-associated genes. A computational program using NGS data derived the MSI status from the tumor-normal paired genome sequencing data. Available germline testing, IHC, and microsatellite instability (MSI) PCR results were reviewed to assess and confirm MMR-D and MSI status.Results: MMR-D in PDAC is a rare event among PDAC patients (7/833), occurring at a frequency of 0.8%. Loss of MMR protein expression by IHC, high mutational load, and elevated MSIsensor scores were correlated with MMR-D PDAC. All 7 MMR-D PDAC patients in the study were found to have Lynch syndrome. Four (57%) of the MMR-D patients treated with immune checkpoint blockade had treatment benefit (1 complete response, 2 partial responses, 1 stable disease).Conclusions: An integrated approach of germline testing and somatic analyses of tumor tissues in advanced PDAC using NGS may help guide future development of immune and molecularly directed therapies in PDAC patients. Clin Cancer Res; 24(6); 1326-36. ©2018 AACR.","archive":"PubMed","archive_location":"29367431","container-title":"Clinical cancer research : an official journal of the American Association for Cancer Research","DOI":"10.1158/1078-0432.CCR-17-3099","ISSN":"1078-0432","issue":"6","journalAbbreviation":"Clin Cancer Res","language":"eng","page":"1326-1336","title":"Evaluating Mismatch Repair Deficiency in Pancreatic Adenocarcinoma: Challenges and Recommendations","volume":"24","author":[{"family":"Hu","given":"Zishuo I"},{"family":"Shia","given":"Jinru"},{"family":"Stadler","given":"Zsofia K"},{"family":"Varghese","given":"Anna M"},{"family":"Capanu","given":"Marinela"},{"family":"Salo-Mullen","given":"Erin"},{"family":"Lowery","given":"Maeve A"},{"family":"Diaz","given":"Luis A","suffix":"Jr"},{"family":"Mandelker","given":"Diana"},{"family":"Yu","given":"Kenneth H"},{"family":"Zervoudakis","given":"Alice"},{"family":"Kelsen","given":"David P"},{"family":"Iacobuzio-Donahue","given":"Christine A"},{"family":"Klimstra","given":"David S"},{"family":"Saltz","given":"Leonard B"},{"family":"Sahin","given":"Ibrahim H"},{"family":"O'Reilly","given":"Eileen M"}],"issued":{"date-parts":[["2018",3,15]]}}}],"schema":"https://github.com/citation-style-language/schema/raw/master/csl-citation.json"} </w:instrText>
      </w:r>
      <w:r w:rsidR="003350C1" w:rsidRPr="004E104D">
        <w:rPr>
          <w:b w:val="0"/>
          <w:bCs/>
          <w:i/>
          <w:iCs/>
          <w:lang w:val="ru-RU"/>
        </w:rPr>
        <w:fldChar w:fldCharType="separate"/>
      </w:r>
      <w:r w:rsidR="00D10A7E" w:rsidRPr="00D54042">
        <w:rPr>
          <w:lang w:val="ru-RU"/>
        </w:rPr>
        <w:t>[45]</w:t>
      </w:r>
      <w:r w:rsidR="003350C1" w:rsidRPr="004E104D">
        <w:rPr>
          <w:b w:val="0"/>
          <w:bCs/>
          <w:i/>
          <w:iCs/>
          <w:lang w:val="ru-RU"/>
        </w:rPr>
        <w:fldChar w:fldCharType="end"/>
      </w:r>
      <w:r w:rsidR="003350C1" w:rsidRPr="004E104D">
        <w:rPr>
          <w:b w:val="0"/>
          <w:bCs/>
          <w:i/>
          <w:iCs/>
          <w:lang w:val="ru-RU"/>
        </w:rPr>
        <w:t xml:space="preserve">. </w:t>
      </w:r>
      <w:r w:rsidR="00C132CA">
        <w:rPr>
          <w:b w:val="0"/>
          <w:bCs/>
          <w:i/>
          <w:iCs/>
          <w:lang w:val="ru-RU"/>
        </w:rPr>
        <w:t xml:space="preserve">Вероятность выявления </w:t>
      </w:r>
      <w:r w:rsidR="00C132CA">
        <w:rPr>
          <w:b w:val="0"/>
          <w:bCs/>
          <w:i/>
          <w:iCs/>
        </w:rPr>
        <w:t>MSI</w:t>
      </w:r>
      <w:r w:rsidR="00C132CA" w:rsidRPr="00C132CA">
        <w:rPr>
          <w:b w:val="0"/>
          <w:bCs/>
          <w:i/>
          <w:iCs/>
          <w:lang w:val="ru-RU"/>
        </w:rPr>
        <w:t>-</w:t>
      </w:r>
      <w:r w:rsidR="00C132CA">
        <w:rPr>
          <w:b w:val="0"/>
          <w:bCs/>
          <w:i/>
          <w:iCs/>
        </w:rPr>
        <w:t>H</w:t>
      </w:r>
      <w:r w:rsidR="00C132CA" w:rsidRPr="00C132CA">
        <w:rPr>
          <w:b w:val="0"/>
          <w:bCs/>
          <w:i/>
          <w:iCs/>
          <w:lang w:val="ru-RU"/>
        </w:rPr>
        <w:t xml:space="preserve"> </w:t>
      </w:r>
      <w:r w:rsidR="00C132CA">
        <w:rPr>
          <w:b w:val="0"/>
          <w:bCs/>
          <w:i/>
          <w:iCs/>
          <w:lang w:val="ru-RU"/>
        </w:rPr>
        <w:t xml:space="preserve">фенотипа существенно повышается в случае наличия моноаллельных мутаций в генах </w:t>
      </w:r>
      <w:r w:rsidR="00C132CA">
        <w:rPr>
          <w:b w:val="0"/>
          <w:bCs/>
          <w:i/>
          <w:iCs/>
        </w:rPr>
        <w:t>BRCA</w:t>
      </w:r>
      <w:r w:rsidR="00C132CA" w:rsidRPr="00C132CA">
        <w:rPr>
          <w:b w:val="0"/>
          <w:bCs/>
          <w:i/>
          <w:iCs/>
          <w:lang w:val="ru-RU"/>
        </w:rPr>
        <w:t xml:space="preserve">, </w:t>
      </w:r>
      <w:r w:rsidR="004034C1">
        <w:rPr>
          <w:b w:val="0"/>
          <w:bCs/>
          <w:i/>
          <w:iCs/>
          <w:lang w:val="ru-RU"/>
        </w:rPr>
        <w:t xml:space="preserve">а также мутаций </w:t>
      </w:r>
      <w:r w:rsidR="00C132CA">
        <w:rPr>
          <w:b w:val="0"/>
          <w:bCs/>
          <w:i/>
          <w:iCs/>
        </w:rPr>
        <w:t>CHEK</w:t>
      </w:r>
      <w:r w:rsidR="00C132CA" w:rsidRPr="00C132CA">
        <w:rPr>
          <w:b w:val="0"/>
          <w:bCs/>
          <w:i/>
          <w:iCs/>
          <w:lang w:val="ru-RU"/>
        </w:rPr>
        <w:t>1</w:t>
      </w:r>
      <w:r w:rsidR="004034C1" w:rsidRPr="004034C1">
        <w:rPr>
          <w:b w:val="0"/>
          <w:bCs/>
          <w:i/>
          <w:iCs/>
          <w:lang w:val="ru-RU"/>
        </w:rPr>
        <w:t xml:space="preserve"> </w:t>
      </w:r>
      <w:r w:rsidR="004034C1">
        <w:rPr>
          <w:b w:val="0"/>
          <w:bCs/>
          <w:i/>
          <w:iCs/>
          <w:lang w:val="ru-RU"/>
        </w:rPr>
        <w:fldChar w:fldCharType="begin"/>
      </w:r>
      <w:r w:rsidR="004034C1">
        <w:rPr>
          <w:b w:val="0"/>
          <w:bCs/>
          <w:i/>
          <w:iCs/>
          <w:lang w:val="ru-RU"/>
        </w:rPr>
        <w:instrText xml:space="preserve"> ADDIN ZOTERO_ITEM CSL_CITATION {"citationID":"LCpqZGkB","properties":{"formattedCitation":"[46]","plainCitation":"[46]","noteIndex":0},"citationItems":[{"id":1466,"uris":["http://zotero.org/users/5363772/items/G9XYPZ3B"],"itemData":{"id":1466,"type":"article-journal","abstract":"PURPOSE\n              To examine the overlap of homologous recombination deficiency (HRD) and microsatellite instability high (MSI-H) status, and to dissect driver versus bystander status of BRCA1/2 mutations ( BRCAm) in this context.\n            \n            \n              METHODS\n              A pan-cancer comprehensive genomic profiling cohort (n = 213,199) was examined for overlap between BRCAm and MSI-H status. BRCA1/2 variant zygosity was examined and correlated with MSI-H status, tumor mutational burden, and genome-wide loss of heterozygosity (gLOH). Clinical histories of two patients with prostate cancer with co-occurring BRCAm and MSI-H are described.\n            \n            \n              RESULTS\n              HRD and MSI-H phenotypes were generally mutually exclusive events ( P &lt; .001). BRCAm that co-occurred together with high tumor mutational burden or MSI-H were predominantly monoallelic bystander alterations. In breast, ovarian, and pancreatic cancers, very few BRCAm occurred in the context of MSI-H; however, in prostate cancer, 12.8% of BRCA1 and 3.4% of BRCA2 alterations co-occurred with MSI-H. In these BRCA-associated cancers, co-occurring BRCAm were generally monoallelic and were not associated with elevated gLOH. Two patients with prostate cancer with co-occurring BRCAm and MSI-H showed resistance to poly (ADP-ribose) polymerase inhibition but sensitivity to subsequent anti–programmed cell death protein 1 therapy.\n            \n            \n              CONCLUSION\n              MSI-H status and HRD are generally mutually exclusive phenomena across cancer types, but may rarely co-occur, especially in prostate cancer. Although MSI-H samples had a higher BRCAm prevalence relative to microsatellite-stable tumors, these BRCA1/2 mutations were generally monoallelic and were not associated with elevated gLOH. Our findings suggest that most BRCAm coexisting with microsatellite instability are likely bystander events that may not result in sensitivity to poly (ADP-ribose) polymerase inhibitors.","container-title":"JCO Precision Oncology","DOI":"10.1200/PO.21.00531","ISSN":"2473-4284","issue":"6","journalAbbreviation":"JCO Precision Oncology","language":"en","page":"e2100531","source":"DOI.org (Crossref)","title":"PARP Inhibitor Insensitivity to &lt;i&gt;BRCA1/2&lt;/i&gt; Monoallelic Mutations in Microsatellite Instability-High Cancers","author":[{"family":"Sokol","given":"Ethan S."},{"family":"Jin","given":"Dexter X."},{"family":"Fine","given":"Alexander"},{"family":"Trabucco","given":"Sally E."},{"family":"Maund","given":"Sophia"},{"family":"Frampton","given":"Garrett"},{"family":"Molinero","given":"Luciana"},{"family":"Antonarakis","given":"Emmanuel S."}],"issued":{"date-parts":[["2022",6]]}}}],"schema":"https://github.com/citation-style-language/schema/raw/master/csl-citation.json"} </w:instrText>
      </w:r>
      <w:r w:rsidR="004034C1">
        <w:rPr>
          <w:b w:val="0"/>
          <w:bCs/>
          <w:i/>
          <w:iCs/>
          <w:lang w:val="ru-RU"/>
        </w:rPr>
        <w:fldChar w:fldCharType="separate"/>
      </w:r>
      <w:r w:rsidR="004034C1" w:rsidRPr="004034C1">
        <w:rPr>
          <w:lang w:val="ru-RU"/>
        </w:rPr>
        <w:t>[46]</w:t>
      </w:r>
      <w:r w:rsidR="004034C1">
        <w:rPr>
          <w:b w:val="0"/>
          <w:bCs/>
          <w:i/>
          <w:iCs/>
          <w:lang w:val="ru-RU"/>
        </w:rPr>
        <w:fldChar w:fldCharType="end"/>
      </w:r>
      <w:r w:rsidR="004034C1">
        <w:rPr>
          <w:b w:val="0"/>
          <w:bCs/>
          <w:i/>
          <w:iCs/>
          <w:lang w:val="ru-RU"/>
        </w:rPr>
        <w:t xml:space="preserve">. </w:t>
      </w:r>
      <w:r w:rsidR="009B2C29">
        <w:rPr>
          <w:b w:val="0"/>
          <w:bCs/>
          <w:i/>
          <w:iCs/>
          <w:lang w:val="ru-RU"/>
        </w:rPr>
        <w:t xml:space="preserve">Следует помнить, что генетически доказанный синдром Линча не означает </w:t>
      </w:r>
      <w:r w:rsidR="009B2C29">
        <w:rPr>
          <w:b w:val="0"/>
          <w:bCs/>
          <w:i/>
          <w:iCs/>
          <w:lang w:val="ru-RU"/>
        </w:rPr>
        <w:lastRenderedPageBreak/>
        <w:t>обязательно</w:t>
      </w:r>
      <w:r w:rsidR="003F15DA">
        <w:rPr>
          <w:b w:val="0"/>
          <w:bCs/>
          <w:i/>
          <w:iCs/>
          <w:lang w:val="ru-RU"/>
        </w:rPr>
        <w:t>го</w:t>
      </w:r>
      <w:r w:rsidR="009B2C29">
        <w:rPr>
          <w:b w:val="0"/>
          <w:bCs/>
          <w:i/>
          <w:iCs/>
          <w:lang w:val="ru-RU"/>
        </w:rPr>
        <w:t xml:space="preserve"> наличи</w:t>
      </w:r>
      <w:r w:rsidR="003F15DA">
        <w:rPr>
          <w:b w:val="0"/>
          <w:bCs/>
          <w:i/>
          <w:iCs/>
          <w:lang w:val="ru-RU"/>
        </w:rPr>
        <w:t>я</w:t>
      </w:r>
      <w:r w:rsidR="009B2C29">
        <w:rPr>
          <w:b w:val="0"/>
          <w:bCs/>
          <w:i/>
          <w:iCs/>
          <w:lang w:val="ru-RU"/>
        </w:rPr>
        <w:t xml:space="preserve"> </w:t>
      </w:r>
      <w:r w:rsidR="009B2C29">
        <w:rPr>
          <w:b w:val="0"/>
          <w:bCs/>
          <w:i/>
          <w:iCs/>
        </w:rPr>
        <w:t>MSI</w:t>
      </w:r>
      <w:r w:rsidR="009B2C29">
        <w:rPr>
          <w:b w:val="0"/>
          <w:bCs/>
          <w:i/>
          <w:iCs/>
          <w:lang w:val="ru-RU"/>
        </w:rPr>
        <w:t>-H в карциноме поджелудочной железы</w:t>
      </w:r>
      <w:r w:rsidR="003F15DA">
        <w:rPr>
          <w:b w:val="0"/>
          <w:bCs/>
          <w:i/>
          <w:iCs/>
          <w:lang w:val="ru-RU"/>
        </w:rPr>
        <w:t xml:space="preserve">. Опухолевый материал всех пациентов с синдромом Линча должен быть протестирован на </w:t>
      </w:r>
      <w:r w:rsidR="003F15DA">
        <w:rPr>
          <w:b w:val="0"/>
          <w:bCs/>
          <w:i/>
          <w:iCs/>
        </w:rPr>
        <w:t>MSI</w:t>
      </w:r>
      <w:r w:rsidR="003F15DA" w:rsidRPr="003F15DA">
        <w:rPr>
          <w:b w:val="0"/>
          <w:bCs/>
          <w:i/>
          <w:iCs/>
          <w:lang w:val="ru-RU"/>
        </w:rPr>
        <w:t>-</w:t>
      </w:r>
      <w:r w:rsidR="003F15DA">
        <w:rPr>
          <w:b w:val="0"/>
          <w:bCs/>
          <w:i/>
          <w:iCs/>
          <w:lang w:val="ru-RU"/>
        </w:rPr>
        <w:t xml:space="preserve">фенотип. </w:t>
      </w:r>
    </w:p>
    <w:p w14:paraId="6D6F097A" w14:textId="07A5E5E2" w:rsidR="004E1A29" w:rsidRPr="00A83E0C" w:rsidRDefault="00175ADB" w:rsidP="00537A85">
      <w:pPr>
        <w:pStyle w:val="2"/>
      </w:pPr>
      <w:r w:rsidRPr="00A83E0C">
        <w:t xml:space="preserve">Пациентам с раком поджелудочной железы </w:t>
      </w:r>
      <w:r w:rsidR="00964910" w:rsidRPr="00964910">
        <w:t>рекомендуется</w:t>
      </w:r>
      <w:r w:rsidRPr="00A83E0C">
        <w:t xml:space="preserve"> </w:t>
      </w:r>
      <w:r w:rsidR="00F40A1C" w:rsidRPr="00A83E0C">
        <w:t>проводить</w:t>
      </w:r>
      <w:r w:rsidR="00D35431" w:rsidRPr="00A83E0C">
        <w:t xml:space="preserve"> патолого-анатомическое исследование </w:t>
      </w:r>
      <w:r w:rsidR="00F40A1C" w:rsidRPr="00A83E0C">
        <w:t xml:space="preserve">удаленного опухолевого препарата </w:t>
      </w:r>
      <w:r w:rsidR="00D35431" w:rsidRPr="00A83E0C">
        <w:t>поджелудочной железы (в том числе, с применением иммуногистохимических методов)</w:t>
      </w:r>
      <w:r w:rsidR="00602917" w:rsidRPr="00A83E0C">
        <w:t xml:space="preserve"> для определения прогноза и дальнейшей тактики лечения</w:t>
      </w:r>
      <w:r w:rsidR="00CB323C" w:rsidRPr="00A83E0C">
        <w:t xml:space="preserve"> </w:t>
      </w:r>
      <w:r w:rsidR="00C15198" w:rsidRPr="00A83E0C">
        <w:fldChar w:fldCharType="begin"/>
      </w:r>
      <w:r w:rsidR="00D10A7E">
        <w:instrText xml:space="preserve"> ADDIN ZOTERO_ITEM CSL_CITATION {"citationID":"n9kWwHgO","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r w:rsidR="004E1A29" w:rsidRPr="00A83E0C">
        <w:t>.</w:t>
      </w:r>
    </w:p>
    <w:p w14:paraId="57CB6F1A" w14:textId="77777777" w:rsidR="008C17CA" w:rsidRPr="00A83E0C" w:rsidRDefault="002E4556" w:rsidP="004E1A29">
      <w:pPr>
        <w:pStyle w:val="33"/>
        <w:rPr>
          <w:color w:val="auto"/>
          <w:lang w:val="ru-RU"/>
        </w:rPr>
      </w:pPr>
      <w:r w:rsidRPr="00A83E0C">
        <w:rPr>
          <w:color w:val="auto"/>
          <w:lang w:val="ru-RU"/>
        </w:rPr>
        <w:t xml:space="preserve">Уровень убедительности рекомендаций </w:t>
      </w:r>
      <w:r w:rsidR="004708A5" w:rsidRPr="00A83E0C">
        <w:rPr>
          <w:color w:val="auto"/>
          <w:lang w:val="ru-RU"/>
        </w:rPr>
        <w:t xml:space="preserve">С </w:t>
      </w:r>
      <w:r w:rsidRPr="00A83E0C">
        <w:rPr>
          <w:color w:val="auto"/>
          <w:lang w:val="ru-RU"/>
        </w:rPr>
        <w:t xml:space="preserve">(уровень достоверности доказательств </w:t>
      </w:r>
      <w:r w:rsidR="004708A5" w:rsidRPr="00A83E0C">
        <w:rPr>
          <w:color w:val="auto"/>
          <w:lang w:val="ru-RU"/>
        </w:rPr>
        <w:t>5</w:t>
      </w:r>
      <w:r w:rsidRPr="00A83E0C">
        <w:rPr>
          <w:color w:val="auto"/>
          <w:lang w:val="ru-RU"/>
        </w:rPr>
        <w:t>)</w:t>
      </w:r>
    </w:p>
    <w:p w14:paraId="327213EF" w14:textId="77777777" w:rsidR="004E1A29" w:rsidRPr="006B67DD" w:rsidRDefault="004E1A29" w:rsidP="009A75E4">
      <w:pPr>
        <w:pStyle w:val="33"/>
        <w:rPr>
          <w:i/>
          <w:color w:val="auto"/>
          <w:lang w:val="ru-RU"/>
        </w:rPr>
      </w:pPr>
      <w:r w:rsidRPr="00A83E0C">
        <w:rPr>
          <w:color w:val="auto"/>
          <w:lang w:val="ru-RU"/>
        </w:rPr>
        <w:t>Комментарий</w:t>
      </w:r>
      <w:r w:rsidRPr="00A83E0C">
        <w:rPr>
          <w:b w:val="0"/>
          <w:color w:val="auto"/>
          <w:lang w:val="ru-RU"/>
        </w:rPr>
        <w:t>:</w:t>
      </w:r>
      <w:r w:rsidRPr="00A83E0C">
        <w:rPr>
          <w:color w:val="auto"/>
          <w:lang w:val="ru-RU"/>
        </w:rPr>
        <w:t xml:space="preserve"> </w:t>
      </w:r>
      <w:r w:rsidRPr="006B67DD">
        <w:rPr>
          <w:b w:val="0"/>
          <w:i/>
          <w:color w:val="auto"/>
          <w:lang w:val="ru-RU"/>
        </w:rPr>
        <w:t xml:space="preserve">при этом в </w:t>
      </w:r>
      <w:r w:rsidR="008C3ECA" w:rsidRPr="006B67DD">
        <w:rPr>
          <w:b w:val="0"/>
          <w:i/>
          <w:color w:val="auto"/>
          <w:lang w:val="ru-RU"/>
        </w:rPr>
        <w:t xml:space="preserve">патолого-анатомическом заключении </w:t>
      </w:r>
      <w:r w:rsidRPr="006B67DD">
        <w:rPr>
          <w:b w:val="0"/>
          <w:i/>
          <w:color w:val="auto"/>
          <w:lang w:val="ru-RU"/>
        </w:rPr>
        <w:t>рекомендуется отразить следующие параметры:</w:t>
      </w:r>
    </w:p>
    <w:p w14:paraId="5D738958" w14:textId="0066312F" w:rsidR="004E1A29" w:rsidRPr="006B67DD" w:rsidRDefault="00A56F61" w:rsidP="00D53AF7">
      <w:pPr>
        <w:pStyle w:val="af0"/>
        <w:numPr>
          <w:ilvl w:val="0"/>
          <w:numId w:val="30"/>
        </w:numPr>
        <w:spacing w:line="360" w:lineRule="auto"/>
        <w:ind w:left="357" w:hanging="357"/>
        <w:rPr>
          <w:i/>
          <w:lang w:val="ru-RU"/>
        </w:rPr>
      </w:pPr>
      <w:r w:rsidRPr="006B67DD">
        <w:rPr>
          <w:i/>
          <w:lang w:val="ru-RU"/>
        </w:rPr>
        <w:t xml:space="preserve">расстояние от края резекции до </w:t>
      </w:r>
      <w:r w:rsidR="0095136D" w:rsidRPr="006B67DD">
        <w:rPr>
          <w:i/>
          <w:lang w:val="ru-RU"/>
        </w:rPr>
        <w:t>опухоли</w:t>
      </w:r>
      <w:r w:rsidR="004E1A29" w:rsidRPr="006B67DD">
        <w:rPr>
          <w:i/>
          <w:lang w:val="ru-RU"/>
        </w:rPr>
        <w:t>;</w:t>
      </w:r>
    </w:p>
    <w:p w14:paraId="3468E6C9" w14:textId="77777777" w:rsidR="004E1A29" w:rsidRPr="006B67DD" w:rsidRDefault="004E1A29" w:rsidP="00D53AF7">
      <w:pPr>
        <w:pStyle w:val="af0"/>
        <w:numPr>
          <w:ilvl w:val="0"/>
          <w:numId w:val="30"/>
        </w:numPr>
        <w:spacing w:line="360" w:lineRule="auto"/>
        <w:ind w:left="357" w:hanging="357"/>
        <w:rPr>
          <w:i/>
        </w:rPr>
      </w:pPr>
      <w:r w:rsidRPr="006B67DD">
        <w:rPr>
          <w:i/>
          <w:lang w:val="ru-RU"/>
        </w:rPr>
        <w:t>р</w:t>
      </w:r>
      <w:r w:rsidRPr="006B67DD">
        <w:rPr>
          <w:i/>
        </w:rPr>
        <w:t>азмеры опухоли;</w:t>
      </w:r>
    </w:p>
    <w:p w14:paraId="376A837D" w14:textId="1DCAC357" w:rsidR="004E1A29" w:rsidRPr="006B67DD" w:rsidRDefault="004E1A29" w:rsidP="00D53AF7">
      <w:pPr>
        <w:pStyle w:val="af0"/>
        <w:numPr>
          <w:ilvl w:val="0"/>
          <w:numId w:val="30"/>
        </w:numPr>
        <w:spacing w:line="360" w:lineRule="auto"/>
        <w:ind w:left="357" w:hanging="357"/>
        <w:rPr>
          <w:i/>
        </w:rPr>
      </w:pPr>
      <w:r w:rsidRPr="006B67DD">
        <w:rPr>
          <w:i/>
          <w:lang w:val="ru-RU"/>
        </w:rPr>
        <w:t>г</w:t>
      </w:r>
      <w:r w:rsidRPr="006B67DD">
        <w:rPr>
          <w:i/>
        </w:rPr>
        <w:t>истологическ</w:t>
      </w:r>
      <w:r w:rsidR="0095136D" w:rsidRPr="006B67DD">
        <w:rPr>
          <w:i/>
          <w:lang w:val="ru-RU"/>
        </w:rPr>
        <w:t>ий тип опухоли</w:t>
      </w:r>
      <w:r w:rsidRPr="006B67DD">
        <w:rPr>
          <w:i/>
        </w:rPr>
        <w:t>;</w:t>
      </w:r>
    </w:p>
    <w:p w14:paraId="0C431D6B" w14:textId="77777777" w:rsidR="004E1A29" w:rsidRPr="006B67DD" w:rsidRDefault="004E1A29" w:rsidP="00D53AF7">
      <w:pPr>
        <w:pStyle w:val="af0"/>
        <w:numPr>
          <w:ilvl w:val="0"/>
          <w:numId w:val="30"/>
        </w:numPr>
        <w:spacing w:line="360" w:lineRule="auto"/>
        <w:ind w:left="357" w:hanging="357"/>
        <w:rPr>
          <w:i/>
        </w:rPr>
      </w:pPr>
      <w:r w:rsidRPr="006B67DD">
        <w:rPr>
          <w:i/>
          <w:lang w:val="ru-RU"/>
        </w:rPr>
        <w:t>с</w:t>
      </w:r>
      <w:r w:rsidRPr="006B67DD">
        <w:rPr>
          <w:i/>
        </w:rPr>
        <w:t>тепень дифференцировки опухоли;</w:t>
      </w:r>
    </w:p>
    <w:p w14:paraId="05CC3E88" w14:textId="77777777" w:rsidR="00B86BF1" w:rsidRPr="006B67DD" w:rsidRDefault="004E1A29" w:rsidP="00D53AF7">
      <w:pPr>
        <w:pStyle w:val="af0"/>
        <w:numPr>
          <w:ilvl w:val="0"/>
          <w:numId w:val="30"/>
        </w:numPr>
        <w:spacing w:line="360" w:lineRule="auto"/>
        <w:ind w:left="357" w:hanging="357"/>
        <w:rPr>
          <w:i/>
          <w:lang w:val="ru-RU"/>
        </w:rPr>
      </w:pPr>
      <w:r w:rsidRPr="006B67DD">
        <w:rPr>
          <w:i/>
          <w:lang w:val="ru-RU"/>
        </w:rPr>
        <w:t>указание общего числа исследованных и поражённых лимфоузлов;</w:t>
      </w:r>
    </w:p>
    <w:p w14:paraId="0787A4C7" w14:textId="77CED2ED" w:rsidR="004E1A29" w:rsidRPr="006B67DD" w:rsidRDefault="004E1A29" w:rsidP="00D53AF7">
      <w:pPr>
        <w:pStyle w:val="af0"/>
        <w:numPr>
          <w:ilvl w:val="0"/>
          <w:numId w:val="30"/>
        </w:numPr>
        <w:spacing w:line="360" w:lineRule="auto"/>
        <w:ind w:left="357" w:hanging="357"/>
        <w:rPr>
          <w:i/>
          <w:lang w:val="ru-RU"/>
        </w:rPr>
      </w:pPr>
      <w:r w:rsidRPr="006B67DD">
        <w:rPr>
          <w:i/>
          <w:lang w:val="ru-RU"/>
        </w:rPr>
        <w:t>наличие поражения краев резекции (</w:t>
      </w:r>
      <w:r w:rsidR="0095136D" w:rsidRPr="006B67DD">
        <w:rPr>
          <w:i/>
          <w:lang w:val="ru-RU"/>
        </w:rPr>
        <w:t>подвергаются исследованию край резекции в зоне прилегания верхней брыжеечной артерии (связка крючковидного отростка), задняя поверхность, венозный край резекции, край резекции поджелудочной железы, край резекции общего желчного протока, передняя поверхность поджелудочной железы)</w:t>
      </w:r>
      <w:r w:rsidR="00B86BF1" w:rsidRPr="006B67DD">
        <w:rPr>
          <w:i/>
          <w:lang w:val="ru-RU"/>
        </w:rPr>
        <w:t>;</w:t>
      </w:r>
    </w:p>
    <w:p w14:paraId="79C910B3" w14:textId="77777777" w:rsidR="004E1A29" w:rsidRPr="006B67DD" w:rsidRDefault="004E1A29" w:rsidP="00D53AF7">
      <w:pPr>
        <w:pStyle w:val="af0"/>
        <w:numPr>
          <w:ilvl w:val="0"/>
          <w:numId w:val="30"/>
        </w:numPr>
        <w:spacing w:line="360" w:lineRule="auto"/>
        <w:ind w:left="357" w:hanging="357"/>
        <w:rPr>
          <w:i/>
          <w:lang w:val="ru-RU"/>
        </w:rPr>
      </w:pPr>
      <w:r w:rsidRPr="006B67DD">
        <w:rPr>
          <w:i/>
          <w:lang w:val="ru-RU"/>
        </w:rPr>
        <w:t xml:space="preserve">наличие лимфоваскулярной, </w:t>
      </w:r>
      <w:r w:rsidR="000144B8" w:rsidRPr="006B67DD">
        <w:rPr>
          <w:i/>
          <w:lang w:val="ru-RU"/>
        </w:rPr>
        <w:t xml:space="preserve">экстра- и интрапанкреатической </w:t>
      </w:r>
      <w:r w:rsidRPr="006B67DD">
        <w:rPr>
          <w:i/>
          <w:lang w:val="ru-RU"/>
        </w:rPr>
        <w:t>периневральной инвазии (отрицательный результат также должен быть констатирован);</w:t>
      </w:r>
    </w:p>
    <w:p w14:paraId="31929BE3" w14:textId="1F146016" w:rsidR="000144B8" w:rsidRPr="006B67DD" w:rsidRDefault="000144B8" w:rsidP="00D53AF7">
      <w:pPr>
        <w:pStyle w:val="af0"/>
        <w:numPr>
          <w:ilvl w:val="0"/>
          <w:numId w:val="30"/>
        </w:numPr>
        <w:spacing w:line="360" w:lineRule="auto"/>
        <w:ind w:left="357" w:hanging="357"/>
        <w:rPr>
          <w:i/>
          <w:lang w:val="ru-RU"/>
        </w:rPr>
      </w:pPr>
      <w:r w:rsidRPr="006B67DD">
        <w:rPr>
          <w:i/>
          <w:lang w:val="ru-RU"/>
        </w:rPr>
        <w:t xml:space="preserve">наличие инвазии стенки двенадцатиперстной кишки, интрапанкреатической части </w:t>
      </w:r>
      <w:r w:rsidR="0095136D" w:rsidRPr="006B67DD">
        <w:rPr>
          <w:i/>
          <w:lang w:val="ru-RU"/>
        </w:rPr>
        <w:t>общего желчного протока</w:t>
      </w:r>
      <w:r w:rsidRPr="006B67DD">
        <w:rPr>
          <w:i/>
          <w:lang w:val="ru-RU"/>
        </w:rPr>
        <w:t>;</w:t>
      </w:r>
    </w:p>
    <w:p w14:paraId="60732CDA" w14:textId="77777777" w:rsidR="000144B8" w:rsidRPr="006B67DD" w:rsidRDefault="000144B8" w:rsidP="00D53AF7">
      <w:pPr>
        <w:pStyle w:val="af0"/>
        <w:numPr>
          <w:ilvl w:val="0"/>
          <w:numId w:val="30"/>
        </w:numPr>
        <w:spacing w:line="360" w:lineRule="auto"/>
        <w:ind w:left="357" w:hanging="357"/>
        <w:rPr>
          <w:i/>
          <w:lang w:val="ru-RU"/>
        </w:rPr>
      </w:pPr>
      <w:r w:rsidRPr="006B67DD">
        <w:rPr>
          <w:i/>
          <w:lang w:val="ru-RU"/>
        </w:rPr>
        <w:t>наличие инвазии стенки воротной вены и</w:t>
      </w:r>
      <w:r w:rsidR="00E43263" w:rsidRPr="006B67DD">
        <w:rPr>
          <w:i/>
          <w:lang w:val="ru-RU"/>
        </w:rPr>
        <w:t>/или</w:t>
      </w:r>
      <w:r w:rsidRPr="006B67DD">
        <w:rPr>
          <w:i/>
          <w:lang w:val="ru-RU"/>
        </w:rPr>
        <w:t xml:space="preserve"> верхней брыжеечной вены в случае их резекции (с указанием глубины);</w:t>
      </w:r>
    </w:p>
    <w:p w14:paraId="3D8C9BC9" w14:textId="7C816A9D" w:rsidR="004E1A29" w:rsidRDefault="004E1A29" w:rsidP="00D53AF7">
      <w:pPr>
        <w:pStyle w:val="af0"/>
        <w:numPr>
          <w:ilvl w:val="0"/>
          <w:numId w:val="30"/>
        </w:numPr>
        <w:spacing w:line="360" w:lineRule="auto"/>
        <w:ind w:left="357" w:hanging="357"/>
        <w:rPr>
          <w:i/>
          <w:lang w:val="ru-RU"/>
        </w:rPr>
      </w:pPr>
      <w:r w:rsidRPr="006B67DD">
        <w:rPr>
          <w:i/>
          <w:lang w:val="ru-RU"/>
        </w:rPr>
        <w:t>степень регрессии опухоли в случае предоперационной терапии</w:t>
      </w:r>
      <w:r w:rsidR="00CB323C" w:rsidRPr="006B67DD">
        <w:rPr>
          <w:i/>
          <w:lang w:val="ru-RU"/>
        </w:rPr>
        <w:t xml:space="preserve"> </w:t>
      </w:r>
      <w:r w:rsidR="00C15198" w:rsidRPr="00A83E0C">
        <w:rPr>
          <w:i/>
          <w:lang w:val="ru-RU"/>
        </w:rPr>
        <w:fldChar w:fldCharType="begin"/>
      </w:r>
      <w:r w:rsidR="004034C1">
        <w:rPr>
          <w:i/>
          <w:lang w:val="ru-RU"/>
        </w:rPr>
        <w:instrText xml:space="preserve"> ADDIN ZOTERO_ITEM CSL_CITATION {"citationID":"5oeU9SYU","properties":{"formattedCitation":"[8,47]","plainCitation":"[8,47]","noteIndex":0},"citationItems":[{"id":226,"uris":["http://zotero.org/users/5363772/items/E43NLQI2",["http://zotero.org/users/5363772/items/E43NLQI2"]],"itemData":{"id":226,"type":"article-journal","abstract":"Pancreatic cancer (PC) continues to rank among the most lethal cancers. The consistent increase in incidence and mortality has made it the seventh leading cause of cancer-associated deaths globally and the third in the United States. The biggest challenge in combating PC is our insufficient understanding of the molecular mechanism(s) underlying its complex biology. Studies during the last several years have helped identify several putative factors and events, both genetic and epigenetic, as well as some deregulated signaling pathways, with implications in PC onset and progression. In this review article, we make an effort to summarize our current understanding of molecular and cellular events involved in the pathogenesis of pancreatic malignancy. Specifically, we provide up-to-date information on the genetic and epigenetic changes that occur during the initiation and progression of PC and their functional involvement in the pathogenic processes. We also discuss the impact of the tumor microenvironment on the molecular landscape of PC and its role in aggressive disease progression. It is envisioned that a better understanding of these molecular factors and the mechanisms of their actions can help unravel novel diagnostic and prognostic biomarkers and can also be exploited for future targeted therapies.","archive":"PubMed","archive_location":"28383487","container-title":"International journal of molecular sciences","DOI":"10.3390/ijms18040779","ISSN":"1422-0067","issue":"4","journalAbbreviation":"Int J Mol Sci","language":"eng","page":"779","title":"Molecular Drivers of Pancreatic Cancer Pathogenesis: Looking Inward to Move Forward","volume":"18","author":[{"family":"Khan","given":"Mohammad Aslam Aslam"},{"family":"Azim","given":"Shafquat"},{"family":"Zubair","given":"Haseeb"},{"family":"Bhardwaj","given":"Arun"},{"family":"Patel","given":"Girijesh Kumar"},{"family":"Khushman","given":"Moh'd"},{"family":"Singh","given":"Seema"},{"family":"Singh","given":"Ajay Pratap"}],"issued":{"date-parts":[["2017",4,6]]}}},{"id":317,"uris":["http://zotero.org/users/5363772/items/LUBF97M2",["http://zotero.org/users/5363772/items/LUBF97M2"]],"itemData":{"id":317,"type":"article-journal","abstract":"PURPOSE: Even with the development of new biopsy methods, diagnosis of pancreatic cancer is sometimes without histological evidence. The aim of our study is to find out the status of pancreatic cancer patients who are diagnosed without pathologic confirm and the prognostic value of pathologic diagnosis. METHODS: We identified 52,759 pancreatic adenocarcinoma patients from the Surveillance, Epidemiology, and End RESULTS (SEER) database. Logistic regression model was used to identify factors relating to no pathologic diagnosis. Multivariable Cox regression model identified potential prognostic factors. All statistical tests were two-sided. RESULTS: There were 6206 (11.76%) patients without pathologic diagnosis. Older age, reported from nursing/convalescent home/hospice or physician's office/private medical practitioner, early year of diagnosis, larger tumor size, pancreatic head cancer, unmarried patients, uninsured and stage I disease all contributed to no pathologic diagnosis. Median cause specific-survival for patients with and without pathologic diagnosis were 7.72 and 3.52 months, respectively. The HR for pathologic diagnosis was 0.92 (95% CI: 0.89-0.95), P&lt;0.001. CONCLUSIONS: Pathologic diagnosis was an independent prognostic factor for pancreatic adenocarcinoma patients. New diagnostic methods are needed to get the pathologic diagnosis.","archive":"PubMed","archive_location":"27076851","container-title":"Journal of Cancer","DOI":"10.7150/jca.14185","ISSN":"1837-9664","issue":"6","journalAbbreviation":"J Cancer","language":"eng","page":"694-701","title":"Pathologic Diagnosis of Pancreatic Adenocarcinoma in the United States: Its Status and Prognostic Value","volume":"7","author":[{"family":"Qiu","given":"Miaozhen"},{"family":"Qiu","given":"Huijuan"},{"family":"Jin","given":"Ying"},{"family":"Wei","given":"Xiaoli"},{"family":"Zhou","given":"Yixin"},{"family":"Wang","given":"Zixian"},{"family":"Wang","given":"Deshen"},{"family":"Ren","given":"Chao"},{"family":"Luo","given":"Huiyan"},{"family":"Wang","given":"Feng"},{"family":"Zhang","given":"Dongsheng"},{"family":"Wang","given":"Fenghua"},{"family":"Li","given":"Yuhong"},{"family":"Yang","given":"Dajun"},{"family":"Xu","given":"Ruihua"}],"issued":{"date-parts":[["2016",3,26]]}}}],"schema":"https://github.com/citation-style-language/schema/raw/master/csl-citation.json"} </w:instrText>
      </w:r>
      <w:r w:rsidR="00C15198" w:rsidRPr="00A83E0C">
        <w:rPr>
          <w:i/>
          <w:lang w:val="ru-RU"/>
        </w:rPr>
        <w:fldChar w:fldCharType="separate"/>
      </w:r>
      <w:r w:rsidR="004034C1" w:rsidRPr="004034C1">
        <w:t>[8,47]</w:t>
      </w:r>
      <w:r w:rsidR="00C15198" w:rsidRPr="00A83E0C">
        <w:rPr>
          <w:i/>
          <w:lang w:val="ru-RU"/>
        </w:rPr>
        <w:fldChar w:fldCharType="end"/>
      </w:r>
      <w:r w:rsidRPr="00A83E0C">
        <w:rPr>
          <w:i/>
          <w:lang w:val="ru-RU"/>
        </w:rPr>
        <w:t>.</w:t>
      </w:r>
    </w:p>
    <w:p w14:paraId="4C16A00D" w14:textId="302B44C3" w:rsidR="002D7C1E" w:rsidRPr="002D7C1E" w:rsidRDefault="002D7C1E" w:rsidP="002D7C1E">
      <w:pPr>
        <w:pStyle w:val="33"/>
        <w:rPr>
          <w:b w:val="0"/>
          <w:i/>
          <w:color w:val="auto"/>
          <w:lang w:val="ru-RU"/>
        </w:rPr>
      </w:pPr>
      <w:r w:rsidRPr="002D7C1E">
        <w:rPr>
          <w:b w:val="0"/>
          <w:i/>
          <w:color w:val="auto"/>
          <w:lang w:val="ru-RU"/>
        </w:rPr>
        <w:t>В настоящее время существует множество шкал оценки терапевтического эффекта после проведенной неоадъювантной химиотерапии - The College of American Pathologists (CAP), MD Anderson (MDA), Evans’ criteria, The Japanese Society (JPS), Area of residual tumor (ART)</w:t>
      </w:r>
      <w:r>
        <w:rPr>
          <w:b w:val="0"/>
          <w:i/>
          <w:color w:val="auto"/>
          <w:lang w:val="ru-RU"/>
        </w:rPr>
        <w:t xml:space="preserve">. </w:t>
      </w:r>
      <w:r w:rsidRPr="002D7C1E">
        <w:rPr>
          <w:b w:val="0"/>
          <w:i/>
          <w:color w:val="auto"/>
          <w:lang w:val="ru-RU"/>
        </w:rPr>
        <w:t>Наиболее удобной и воспроизводимой является шкала CAP (version Panc.Exo_4.2.0.2.REL_CAPC), согласно которой терапевтический эффект оценивается следующим образом:</w:t>
      </w:r>
    </w:p>
    <w:p w14:paraId="1B06EE96" w14:textId="77777777" w:rsidR="002D7C1E" w:rsidRPr="002D7C1E" w:rsidRDefault="002D7C1E" w:rsidP="002D7C1E">
      <w:pPr>
        <w:pStyle w:val="33"/>
        <w:rPr>
          <w:b w:val="0"/>
          <w:i/>
          <w:color w:val="auto"/>
          <w:lang w:val="ru-RU"/>
        </w:rPr>
      </w:pPr>
      <w:r w:rsidRPr="002D7C1E">
        <w:rPr>
          <w:b w:val="0"/>
          <w:i/>
          <w:color w:val="auto"/>
          <w:lang w:val="ru-RU"/>
        </w:rPr>
        <w:t xml:space="preserve"> (Score 0)- клетки аденокарциномы отсутствуют). Полный терапевтический эффект.</w:t>
      </w:r>
    </w:p>
    <w:p w14:paraId="73FBBE7D" w14:textId="77777777" w:rsidR="002D7C1E" w:rsidRPr="002D7C1E" w:rsidRDefault="002D7C1E" w:rsidP="002D7C1E">
      <w:pPr>
        <w:pStyle w:val="33"/>
        <w:rPr>
          <w:b w:val="0"/>
          <w:i/>
          <w:color w:val="auto"/>
          <w:lang w:val="ru-RU"/>
        </w:rPr>
      </w:pPr>
      <w:r w:rsidRPr="002D7C1E">
        <w:rPr>
          <w:b w:val="0"/>
          <w:i/>
          <w:color w:val="auto"/>
          <w:lang w:val="ru-RU"/>
        </w:rPr>
        <w:lastRenderedPageBreak/>
        <w:t xml:space="preserve"> (Score 1) – присутствуют единичные клетки и группы клеток остаточной аденокарциномы– выраженный терапевтический эффект</w:t>
      </w:r>
    </w:p>
    <w:p w14:paraId="1BC7C4FD" w14:textId="77777777" w:rsidR="002D7C1E" w:rsidRPr="002D7C1E" w:rsidRDefault="002D7C1E" w:rsidP="002D7C1E">
      <w:pPr>
        <w:pStyle w:val="33"/>
        <w:rPr>
          <w:b w:val="0"/>
          <w:i/>
          <w:color w:val="auto"/>
          <w:lang w:val="ru-RU"/>
        </w:rPr>
      </w:pPr>
      <w:r w:rsidRPr="002D7C1E">
        <w:rPr>
          <w:b w:val="0"/>
          <w:i/>
          <w:color w:val="auto"/>
          <w:lang w:val="ru-RU"/>
        </w:rPr>
        <w:t>Score 2 – выявляется остаточная опухоль с признаками регрессии с наличием как единичных, так и групп клеток аденокарциномы -частичный терапевтический эффект</w:t>
      </w:r>
    </w:p>
    <w:p w14:paraId="59DCCFE3" w14:textId="4AD869C6" w:rsidR="002D7C1E" w:rsidRPr="00E04487" w:rsidRDefault="002D7C1E" w:rsidP="002D7C1E">
      <w:pPr>
        <w:pStyle w:val="33"/>
        <w:rPr>
          <w:b w:val="0"/>
          <w:i/>
          <w:color w:val="auto"/>
          <w:lang w:val="ru-RU"/>
        </w:rPr>
      </w:pPr>
      <w:r w:rsidRPr="002D7C1E">
        <w:rPr>
          <w:b w:val="0"/>
          <w:i/>
          <w:color w:val="auto"/>
          <w:lang w:val="ru-RU"/>
        </w:rPr>
        <w:t>Score 3- остаточная опухоль без признаков терапевтического ответа</w:t>
      </w:r>
      <w:r w:rsidR="0079503E">
        <w:rPr>
          <w:b w:val="0"/>
          <w:i/>
          <w:color w:val="auto"/>
          <w:lang w:val="ru-RU"/>
        </w:rPr>
        <w:fldChar w:fldCharType="begin"/>
      </w:r>
      <w:r w:rsidR="004034C1">
        <w:rPr>
          <w:b w:val="0"/>
          <w:i/>
          <w:color w:val="auto"/>
          <w:lang w:val="ru-RU"/>
        </w:rPr>
        <w:instrText xml:space="preserve"> ADDIN ZOTERO_ITEM CSL_CITATION {"citationID":"hJOnwt9h","properties":{"formattedCitation":"[48]","plainCitation":"[48]","noteIndex":0},"citationItems":[{"id":1465,"uris":["http://zotero.org/users/5363772/items/Z4MHILK7"],"itemData":{"id":1465,"type":"webpage","container-title":"American Colledge of pathlogists","language":"eng","title":"Protocol for the Examination of Specimens From Patients With Carcinoma of the Pancreas","URL":"https://www.cap.org","accessed":{"date-parts":[["2024",3,7]]},"issued":{"date-parts":[["2017",6]]}}}],"schema":"https://github.com/citation-style-language/schema/raw/master/csl-citation.json"} </w:instrText>
      </w:r>
      <w:r w:rsidR="0079503E">
        <w:rPr>
          <w:b w:val="0"/>
          <w:i/>
          <w:color w:val="auto"/>
          <w:lang w:val="ru-RU"/>
        </w:rPr>
        <w:fldChar w:fldCharType="separate"/>
      </w:r>
      <w:r w:rsidR="004034C1" w:rsidRPr="004034C1">
        <w:rPr>
          <w:lang w:val="ru-RU"/>
        </w:rPr>
        <w:t>[48]</w:t>
      </w:r>
      <w:r w:rsidR="0079503E">
        <w:rPr>
          <w:b w:val="0"/>
          <w:i/>
          <w:color w:val="auto"/>
          <w:lang w:val="ru-RU"/>
        </w:rPr>
        <w:fldChar w:fldCharType="end"/>
      </w:r>
      <w:r w:rsidR="0079503E" w:rsidRPr="0079503E">
        <w:rPr>
          <w:b w:val="0"/>
          <w:i/>
          <w:color w:val="auto"/>
          <w:lang w:val="ru-RU"/>
        </w:rPr>
        <w:t>.</w:t>
      </w:r>
    </w:p>
    <w:p w14:paraId="564139C5" w14:textId="77777777" w:rsidR="007630F8" w:rsidRPr="00A83E0C" w:rsidRDefault="00993CEF" w:rsidP="000B3A53">
      <w:pPr>
        <w:pStyle w:val="1"/>
      </w:pPr>
      <w:bookmarkStart w:id="18" w:name="_Toc158632224"/>
      <w:r w:rsidRPr="00A83E0C">
        <w:lastRenderedPageBreak/>
        <w:t>3</w:t>
      </w:r>
      <w:r w:rsidR="007630F8" w:rsidRPr="00A83E0C">
        <w:t xml:space="preserve">. </w:t>
      </w:r>
      <w:r w:rsidR="00CC1108" w:rsidRPr="00A83E0C">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8"/>
    </w:p>
    <w:p w14:paraId="33931A55" w14:textId="5F5134F7" w:rsidR="003F15DA" w:rsidRPr="003F15DA" w:rsidRDefault="00681A2B" w:rsidP="003F15DA">
      <w:pPr>
        <w:pStyle w:val="a4"/>
        <w:spacing w:line="360" w:lineRule="auto"/>
        <w:rPr>
          <w:sz w:val="24"/>
          <w:szCs w:val="24"/>
          <w:lang w:val="ru-RU"/>
        </w:rPr>
      </w:pPr>
      <w:r w:rsidRPr="003F15DA">
        <w:rPr>
          <w:sz w:val="24"/>
          <w:szCs w:val="24"/>
          <w:lang w:val="ru-RU"/>
        </w:rPr>
        <w:t>Назначение и применение лекарственных препаратов, указанных в клинической рекомендации, направлено на обеспечение пациента клинически эффективной и безопасной медицинской помощью,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r w:rsidR="003F15DA" w:rsidRPr="003F15DA">
        <w:rPr>
          <w:sz w:val="24"/>
          <w:szCs w:val="24"/>
          <w:lang w:val="ru-RU"/>
        </w:rPr>
        <w:t xml:space="preserve"> Отклонения от инструкции должны быть оправданы клинической ситуацией и подтверждены решением врачебной комиссии медицинской организации. Смена режимов химиотерапия, изменения доз препаратов в схеме не подразумевает обязательного проведения для этого онкологического консилиума </w:t>
      </w:r>
      <w:r w:rsidR="003F15DA">
        <w:rPr>
          <w:sz w:val="24"/>
          <w:szCs w:val="24"/>
          <w:lang w:val="ru-RU"/>
        </w:rPr>
        <w:t>и</w:t>
      </w:r>
      <w:r w:rsidR="003F15DA" w:rsidRPr="003F15DA">
        <w:rPr>
          <w:sz w:val="24"/>
          <w:szCs w:val="24"/>
          <w:lang w:val="ru-RU"/>
        </w:rPr>
        <w:t xml:space="preserve"> может определяться лечащим врачом.</w:t>
      </w:r>
    </w:p>
    <w:p w14:paraId="2E91A12A" w14:textId="77777777" w:rsidR="008C17CA" w:rsidRPr="00A83E0C" w:rsidRDefault="008C17CA" w:rsidP="008C17CA">
      <w:pPr>
        <w:pStyle w:val="3"/>
        <w:rPr>
          <w:i/>
          <w:lang w:val="ru-RU"/>
        </w:rPr>
      </w:pPr>
      <w:bookmarkStart w:id="19" w:name="_Toc158632225"/>
      <w:r w:rsidRPr="00A83E0C">
        <w:rPr>
          <w:lang w:val="ru-RU"/>
        </w:rPr>
        <w:t>3.1 Хирургическое лечение</w:t>
      </w:r>
      <w:bookmarkEnd w:id="19"/>
      <w:r w:rsidRPr="00A83E0C">
        <w:rPr>
          <w:lang w:val="ru-RU"/>
        </w:rPr>
        <w:t xml:space="preserve"> </w:t>
      </w:r>
    </w:p>
    <w:p w14:paraId="23E09CC7" w14:textId="76D851EC" w:rsidR="00C54958" w:rsidRPr="00A83E0C" w:rsidRDefault="00175ADB" w:rsidP="00537A85">
      <w:pPr>
        <w:pStyle w:val="2"/>
      </w:pPr>
      <w:r w:rsidRPr="00A83E0C">
        <w:t>У пациентов с резектабельным раком</w:t>
      </w:r>
      <w:r w:rsidR="002B37D7" w:rsidRPr="00A83E0C">
        <w:t xml:space="preserve"> </w:t>
      </w:r>
      <w:r w:rsidR="00496781" w:rsidRPr="00A83E0C">
        <w:t>поджелудочной железы I</w:t>
      </w:r>
      <w:r w:rsidR="002B37D7" w:rsidRPr="00A83E0C">
        <w:t>–III стадий (Т</w:t>
      </w:r>
      <w:r w:rsidR="00496781" w:rsidRPr="00A83E0C">
        <w:rPr>
          <w:vertAlign w:val="subscript"/>
        </w:rPr>
        <w:t>1-3</w:t>
      </w:r>
      <w:r w:rsidR="002B37D7" w:rsidRPr="00A83E0C">
        <w:t>N</w:t>
      </w:r>
      <w:r w:rsidR="00496781" w:rsidRPr="00A83E0C">
        <w:rPr>
          <w:vertAlign w:val="subscript"/>
        </w:rPr>
        <w:t>0-1</w:t>
      </w:r>
      <w:r w:rsidR="002B37D7" w:rsidRPr="00A83E0C">
        <w:t>M</w:t>
      </w:r>
      <w:r w:rsidR="00496781" w:rsidRPr="00A83E0C">
        <w:rPr>
          <w:vertAlign w:val="subscript"/>
        </w:rPr>
        <w:t>0</w:t>
      </w:r>
      <w:r w:rsidR="002B37D7" w:rsidRPr="00A83E0C">
        <w:t xml:space="preserve">) </w:t>
      </w:r>
      <w:r w:rsidR="002B37D7" w:rsidRPr="00A83E0C">
        <w:rPr>
          <w:b/>
        </w:rPr>
        <w:t>рекомендуется</w:t>
      </w:r>
      <w:r w:rsidR="002B37D7" w:rsidRPr="00A83E0C">
        <w:t xml:space="preserve"> </w:t>
      </w:r>
      <w:r w:rsidR="008E267B">
        <w:t>комбинированное лечение, включающее операцию и адъювантную химиотерапию</w:t>
      </w:r>
      <w:r w:rsidR="00CB323C" w:rsidRPr="00A83E0C">
        <w:t xml:space="preserve"> </w:t>
      </w:r>
      <w:r w:rsidR="00C15198" w:rsidRPr="00A83E0C">
        <w:fldChar w:fldCharType="begin"/>
      </w:r>
      <w:r w:rsidR="004034C1">
        <w:instrText xml:space="preserve"> ADDIN ZOTERO_ITEM CSL_CITATION {"citationID":"5U01kSYA","properties":{"formattedCitation":"[49\\uc0\\u8211{}54]","plainCitation":"[49–54]","noteIndex":0},"citationItems":[{"id":246,"uris":["http://zotero.org/users/5363772/items/58BATDXW",["http://zotero.org/users/5363772/items/58BATDXW"]],"itemData":{"id":246,"type":"article-journal","issue":"8","journalAbbreviation":"Хирургия. Журнал им. Н.И. Пирогова","page":"41-46","title":"Гепатопанкреатодуоденальная резекция - есть ли перспективы?","author":[{"family":"Патютко","given":"Юрий Иванович"}],"issued":{"date-parts":[["2011"]]}}},{"id":247,"uris":["http://zotero.org/users/5363772/items/9NTVB74N",["http://zotero.org/users/5363772/items/9NTVB74N"]],"itemData":{"id":247,"type":"article-journal","issue":"2","journalAbbreviation":"Хирургия. Журнал им. Н.И. Пирогова","page":"70-73","title":"Проксимальная и дистальная резекция поджелудочной железы с сохранением тела","author":[{"family":"Патютко","given":"Юрий Иванович"}],"issued":{"date-parts":[["2012"]]}}},{"id":1044,"uris":["http://zotero.org/users/5363772/items/4KLSZG4H",["http://zotero.org/users/5363772/items/4KLSZG4H"]],"itemData":{"id":1044,"type":"article-journal","abstract":"189Background: Despite improvements of postoperative adjuvant therapy for resected pancreatic ductal adenocarcinoma (PDAC), its prognosis remains poor. A randomized controlled trial has begun to compare neoadjuvant chemotherapy using gemcitabine and S1 (NAC-GS) with upfront surgery (Up-S) for patients with PDAC planned resection. Methods: Patients were enrolled after the diagnosis of resectable PDAC with histological confirmation. They were randomly assigned as either NAC-GS or Up-S. In NAC-GS, gemcitabine was provided at a dose of 1 g/m2 on day 1 and 8 and oral S-1 was administered at a dose of 40 mg/m2 twice daily on 1-14 days. Patients received 2 cycles of this regimen. S-1 adjuvant for 6 months was administered for the patients with curative resection and fully recovered within 10 weeks after surgery in both arms. The primary endpoint for the phase III part was overall survival (OS); secondary endpoints included adverse events, resection rate, recurrence-free survival, residual tumor status, nodal metastases, and tumor marker kinetics. The target sample size required 163 patients (α-error 0.05; power 0.8) in each arm. The trial was conducted by the Health Labor Sciences Research Grant (H22-009) of Japan and registered with the UMIN Clinical Trials Registry as UMIN000009634. Results: From January 2013 to January 2016, 364 patients were enrolled in 57 centers (182 to NAC-GS and 182 to Up-S). Of these, two were excluded because of ineligibility, therefore 182 patients in NAC-GS and 180 in Up-S constituted the ITT analysis-set. The median OS was 36.7 months in NAC-GS and 26.6 months in Up-S; HR 0.72 (95% confidential interval 0.55-0.94; p=0.015 [stratified log-rank test]). Grade 3 or 4 adverse events frequently (72.8%) observed in NAC-GS were leukopenia or neutropenia. However, the resection rate, R0 resection rate, and morbidity of the operation were equivalent in the two groups. There was no perioperative mortality in either group. Conclusions: This phase III study demonstrated the significant survival benefits of NAC-GS treatment. Therefore, the results indicated that neoadjuvant chemotherapy could be a new standard for patients with resectable PDAC. Clinical trial information: UMIN000009634.","container-title":"Journal of Clinical Oncology","DOI":"10.1200/JCO.2019.37.4_suppl.189","ISSN":"0732-183X","issue":"4_suppl","journalAbbreviation":"JCO","page":"189-189","title":"Randomized phase II/III trial of neoadjuvant chemotherapy with gemcitabine and S-1 versus upfront surgery for resectable pancreatic cancer (Prep-02/JSAP-05).","volume":"37","author":[{"family":"Unno","given":"Michiaki"},{"family":"Motoi","given":"Fuyuhiko"},{"family":"Matsuyama","given":"Yutaka"},{"family":"Satoi","given":"Sohei"},{"family":"Matsumoto","given":"Ippei"},{"family":"Aosasa","given":"Suefumi"},{"family":"Shirakawa","given":"Hirofumi"},{"family":"Wada","given":"Keita"},{"family":"Fujii","given":"Tsutomu"},{"family":"Yoshitomi","given":"Hideyuki"},{"family":"Takahashi","given":"Shinichiro"},{"family":"Sho","given":"Masayuki"},{"family":"Ueno","given":"Hideki"},{"family":"Kosuge","given":"Tomoo"}],"issued":{"date-parts":[["2019",1,29]]}}},{"id":414,"uris":["http://zotero.org/users/5363772/items/4REXEDW5",["http://zotero.org/users/5363772/items/4REXEDW5"]],"itemData":{"id":414,"type":"article-journal","abstract":"LBA4002Background: Standard of care for patients with (borderline) resectable pancreatic adenocarcinoma is resection followed by adjuvant chemotherapy. Previous studies suggest a benefit of neoadjuvant treatment. We conducted a multicenter phase III randomized controlled trial to evaluate the effect of preoperative chemoradiotherapy. Methods: Patients with (borderline) resectable pancreatic cancer, pathologically confirmed, were randomized between immediate surgery (arm A) and preoperative chemoradiotherapy (arm B), both followed by adjuvant chemotherapy. The preoperative chemoradiotherapy consisted of 15 times of 2.4 Gray (Gy) combined with gemcitabine, 1,000 mg/m2 on days 1, 8 and 15, preceded and followed by a cycle of gemcitabine. Primary endpoint was overall survival (OS), secondary endpoints were (R0) resection rate, disease free survival (DFS), distant metastases free interval (DMFI), locoregional recurrence free interval (LRFI) and toxicity. Accrual was completed between April 23, 2013 and July 25, 2017. Results: In total, 246 patients were included in the intention-to-treat analysis (127 patients in arm A and 119 in arm B). Currently, 142 of the 176 needed events for the primary outcome are observed. OS was significantly better in arm B (median 13.5 vs. 17.1 months; HR 0.71; p = 0.047). This was also the case for R0 resection rate (31% vs. 65%, p = &lt; 0.001), DFS (median 7.9 vs. 11.2 months; HR 0.67; p = 0.010), DMFI (median 10.2 vs 17.1 months; HR 0.63; p = 0.012) and LRFI (median 11.8 vs not reached; HR 0.47; p &lt; 0.001). Resection rates were 72% (91/127) in arm A vs. 62% (74/119) in arm B (p = 0.15). No significant difference was observed in grade ≥ 3 adverse events between both groups (p = 0.17). A subgroup analysis of patients who actually underwent a resection was performed which showed a median OS of 16.8 and 29.9 months respectively (p &lt; 0.001). Conclusion: Our preliminary data show that preoperative chemoradiotherapy significantly improves outcome in (borderline) resectable pancreatic cancer compared to immediate surgery. Updated results will be presented at the meeting. Clinical trial information: NTR3709.","container-title":"Journal of Clinical Oncology","DOI":"10.1200/JCO.2018.36.18_suppl.LBA4002","ISSN":"0732-183X","issue":"18_suppl","journalAbbreviation":"JCO","page":"LBA4002-LBA4002","title":"Preoperative chemoradiotherapy versus immediate surgery for resectable and borderline resectable pancreatic cancer (PREOPANC-1): A randomized, controlled, multicenter phase III trial.","volume":"36","author":[{"family":"Van Tienhoven","given":"Geertjan"},{"family":"Versteijne","given":"Eva"},{"family":"Suker","given":"Mustafa"},{"family":"Groothuis","given":"Karin B.C."},{"family":"Busch","given":"Olivier R."},{"family":"Bonsing","given":"Bert A."},{"family":"Hingh","given":"Ignace H.J.T.","non-dropping-particle":"de"},{"family":"Festen","given":"Sebastiaan"},{"family":"Patijn","given":"Gijs A."},{"family":"Vos-Geelen","given":"Judith","non-dropping-particle":"de"},{"family":"Zwinderman","given":"Aeilko H."},{"family":"Punt","given":"Cornelis J. A."},{"family":"Eijck","given":"Casper H.J.","non-dropping-particle":"van"}],"issued":{"date-parts":[["2018",6,7]]}}},{"id":442,"uris":["http://zotero.org/users/5363772/items/NVCB6RMU",["http://zotero.org/users/5363772/items/NVCB6RMU"]],"itemData":{"id":442,"type":"article-journal","abstract":"Background Pancreatic ductal adenocarcinoma are known to metastasise early and a rationale exists for the investigation of preoperative chemotherapy in patients with resectable disease. We aimed to assess the role of combination chemotherapy in this setting in the PACT-15 trial.","container-title":"The Lancet Gastroenterology &amp; Hepatology","DOI":"10.1016/S2468-1253(18)30081-5","ISSN":"24681253","issue":"6","journalAbbreviation":"The Lancet Gastroenterology &amp; Hepatology","language":"en","page":"413-423","source":"DOI.org (Crossref)","title":"Safety and efficacy of preoperative or postoperative chemotherapy for resectable pancreatic adenocarcinoma (PACT-15): a randomised, open-label, phase 2–3 trial","title-short":"Safety and efficacy of preoperative or postoperative chemotherapy for resectable pancreatic adenocarcinoma (PACT-15)","volume":"3","author":[{"family":"Reni","given":"Michele"},{"family":"Balzano","given":"Gianpaolo"},{"family":"Zanon","given":"Silvia"},{"family":"Zerbi","given":"Alessandro"},{"family":"Rimassa","given":"Lorenza"},{"family":"Castoldi","given":"Renato"},{"family":"Pinelli","given":"Domenico"},{"family":"Mosconi","given":"Stefania"},{"family":"Doglioni","given":"Claudio"},{"family":"Chiaravalli","given":"Marta"},{"family":"Pircher","given":"Chiara"},{"family":"Arcidiacono","given":"Paolo Giorgio"},{"family":"Torri","given":"Valter"},{"family":"Maggiora","given":"Paola"},{"family":"Ceraulo","given":"Domenica"},{"family":"Falconi","given":"Massimo"},{"family":"Gianni","given":"Luca"}],"issued":{"date-parts":[["2018",6]]}}},{"id":248,"uris":["http://zotero.org/users/5363772/items/TQ2LP52H",["http://zotero.org/users/5363772/items/TQ2LP52H"]],"itemData":{"id":248,"type":"article-journal","abstract":"Objective. The incidence of pancreatic cancer is estimated to be 48,960 in 2015 in the US and projected to become the second and third leading causes of cancer-related deaths by 2030. The mean costs in 2015 may be assumed to be $79,800 per patient and for each resection $164,100. Attempt is made to evaluate the results over the last 80 years, the number of survivors, and the overall survival percentage. Methods. Altogether 1230 papers have been found which deal with resections and reveal survival information. Only 621 of these report 5-year survivors. Reservation about surgery was first expressed in 1964 and five-year survival of nonresected survivors is well documented. Results. The survival percentage depends not only on the number of survivors but also on the subset from which it is calculated. Since the 1980s the papers have mainly reported the number of resections and survival as actuarial percentages, with or without the actual number of survivors being reported. The actuarial percentage is on average 2.75 higher. Detailed information on the original group (TN), number of resections, and actual number of survivors is reported in only 10.6% of the papers. Repetition occurs when the patients from a certain year are reported several times from the same institution or include survivors from many institutions or countries. Each 5-year survivor may be reported several times. Conclusion. Assuming a 10% resection rate and correcting for repetitions and the life table percentage the overall actual survival rate is hardly more than 0.3%.","archive":"PubMed","archive_location":"27847403","container-title":"HPB surgery : a world journal of hepatic, pancreatic and biliary surgery","DOI":"10.1155/2016/6839687","ISSN":"0894-8569","journalAbbreviation":"HPB Surg","language":"eng","page":"6839687-6839687","title":"Pancreatic Cancer: 80 Years of Surgery-Percentage and Repetitions","volume":"2016","author":[{"family":"Gudjonsson","given":"Birgir"}],"issued":{"date-parts":[["2016"]]}}}],"schema":"https://github.com/citation-style-language/schema/raw/master/csl-citation.json"} </w:instrText>
      </w:r>
      <w:r w:rsidR="00C15198" w:rsidRPr="00A83E0C">
        <w:fldChar w:fldCharType="separate"/>
      </w:r>
      <w:r w:rsidR="004034C1" w:rsidRPr="004034C1">
        <w:t>[49–54]</w:t>
      </w:r>
      <w:r w:rsidR="00C15198" w:rsidRPr="00A83E0C">
        <w:fldChar w:fldCharType="end"/>
      </w:r>
      <w:r w:rsidR="00F04F32" w:rsidRPr="00A83E0C">
        <w:t>.</w:t>
      </w:r>
    </w:p>
    <w:p w14:paraId="7AEB53EF" w14:textId="77777777" w:rsidR="00496781" w:rsidRPr="00A83E0C" w:rsidRDefault="00496781" w:rsidP="00DC7BE7">
      <w:pPr>
        <w:pStyle w:val="33"/>
        <w:rPr>
          <w:color w:val="auto"/>
          <w:lang w:val="ru-RU"/>
        </w:rPr>
      </w:pPr>
      <w:r w:rsidRPr="00A83E0C">
        <w:rPr>
          <w:color w:val="auto"/>
          <w:lang w:val="ru-RU"/>
        </w:rPr>
        <w:t xml:space="preserve">Уровень </w:t>
      </w:r>
      <w:r w:rsidR="00A63848" w:rsidRPr="00A83E0C">
        <w:rPr>
          <w:color w:val="auto"/>
          <w:lang w:val="ru-RU"/>
        </w:rPr>
        <w:t xml:space="preserve">убедительности рекомендаций </w:t>
      </w:r>
      <w:r w:rsidR="001534B3" w:rsidRPr="00A83E0C">
        <w:rPr>
          <w:color w:val="auto"/>
        </w:rPr>
        <w:t>B</w:t>
      </w:r>
      <w:r w:rsidR="001534B3" w:rsidRPr="00A83E0C">
        <w:rPr>
          <w:color w:val="auto"/>
          <w:lang w:val="ru-RU"/>
        </w:rPr>
        <w:t xml:space="preserve"> </w:t>
      </w:r>
      <w:r w:rsidRPr="00A83E0C">
        <w:rPr>
          <w:color w:val="auto"/>
          <w:lang w:val="ru-RU"/>
        </w:rPr>
        <w:t>(уровень достоверности</w:t>
      </w:r>
      <w:r w:rsidR="00A63848" w:rsidRPr="00A83E0C">
        <w:rPr>
          <w:color w:val="auto"/>
          <w:lang w:val="ru-RU"/>
        </w:rPr>
        <w:t xml:space="preserve"> доказательств </w:t>
      </w:r>
      <w:r w:rsidR="00964910" w:rsidRPr="00964910">
        <w:rPr>
          <w:color w:val="auto"/>
          <w:lang w:val="ru-RU"/>
        </w:rPr>
        <w:t>2</w:t>
      </w:r>
      <w:r w:rsidRPr="00A83E0C">
        <w:rPr>
          <w:color w:val="auto"/>
          <w:lang w:val="ru-RU"/>
        </w:rPr>
        <w:t>)</w:t>
      </w:r>
    </w:p>
    <w:p w14:paraId="30FFE944" w14:textId="1A26A7B0" w:rsidR="004E1A29" w:rsidRPr="00A83E0C" w:rsidRDefault="004E1A29" w:rsidP="00DC7BE7">
      <w:pPr>
        <w:pStyle w:val="33"/>
        <w:rPr>
          <w:color w:val="auto"/>
          <w:lang w:val="ru-RU"/>
        </w:rPr>
      </w:pPr>
      <w:r w:rsidRPr="00A83E0C">
        <w:rPr>
          <w:color w:val="auto"/>
          <w:lang w:val="ru-RU"/>
        </w:rPr>
        <w:t xml:space="preserve">Комментарий: </w:t>
      </w:r>
      <w:r w:rsidR="00964910" w:rsidRPr="00964910">
        <w:rPr>
          <w:b w:val="0"/>
          <w:i/>
          <w:lang w:val="ru-RU"/>
        </w:rPr>
        <w:t xml:space="preserve">при резектабельном РПЖ </w:t>
      </w:r>
      <w:r w:rsidR="00EC66B7">
        <w:rPr>
          <w:b w:val="0"/>
          <w:i/>
          <w:lang w:val="ru-RU"/>
        </w:rPr>
        <w:t xml:space="preserve">(см. таблицу 2) </w:t>
      </w:r>
      <w:r w:rsidR="00964910" w:rsidRPr="00964910">
        <w:rPr>
          <w:b w:val="0"/>
          <w:i/>
          <w:lang w:val="ru-RU"/>
        </w:rPr>
        <w:t>рекомендуется на первом этапе проведение хирурги</w:t>
      </w:r>
      <w:r w:rsidR="00F46413">
        <w:rPr>
          <w:b w:val="0"/>
          <w:i/>
          <w:lang w:val="ru-RU"/>
        </w:rPr>
        <w:t>ческого лечения. Альтернативным</w:t>
      </w:r>
      <w:r w:rsidR="00964910" w:rsidRPr="00964910">
        <w:rPr>
          <w:b w:val="0"/>
          <w:i/>
          <w:lang w:val="ru-RU"/>
        </w:rPr>
        <w:t xml:space="preserve"> вариантом</w:t>
      </w:r>
      <w:r w:rsidR="00EC66B7">
        <w:rPr>
          <w:b w:val="0"/>
          <w:i/>
          <w:lang w:val="ru-RU"/>
        </w:rPr>
        <w:t xml:space="preserve">, актуальным прежде всего </w:t>
      </w:r>
      <w:r w:rsidR="00EC66B7" w:rsidRPr="004E104D">
        <w:rPr>
          <w:rFonts w:eastAsia="BlissPro-Light"/>
          <w:b w:val="0"/>
          <w:bCs/>
          <w:i/>
          <w:iCs/>
          <w:lang w:val="ru-RU"/>
        </w:rPr>
        <w:t xml:space="preserve">при клинических ситуациях, подходящих под рентгенологические критерии резектабельного процесса, но имеющих признаки высокого риска метастатического заболевания, например, уровень СА 19-9 более 500 Ед/мл, метастатическое поражение регионарных </w:t>
      </w:r>
      <w:r w:rsidR="00EC66B7" w:rsidRPr="003F15DA">
        <w:rPr>
          <w:rFonts w:eastAsia="BlissPro-Light"/>
          <w:b w:val="0"/>
          <w:bCs/>
          <w:i/>
          <w:iCs/>
          <w:lang w:val="ru-RU"/>
        </w:rPr>
        <w:t>лимфоузлов</w:t>
      </w:r>
      <w:r w:rsidR="003F15DA" w:rsidRPr="003F15DA">
        <w:rPr>
          <w:rFonts w:eastAsia="BlissPro-Light"/>
          <w:b w:val="0"/>
          <w:bCs/>
          <w:i/>
          <w:iCs/>
          <w:lang w:val="ru-RU"/>
        </w:rPr>
        <w:t xml:space="preserve"> (при исключении отдаленного метастазирования по данным диагностической лапароскопии или ПЭТ/КТ)</w:t>
      </w:r>
      <w:r w:rsidR="00EC66B7" w:rsidRPr="003F15DA">
        <w:rPr>
          <w:rFonts w:eastAsia="BlissPro-Light"/>
          <w:b w:val="0"/>
          <w:bCs/>
          <w:i/>
          <w:iCs/>
          <w:lang w:val="ru-RU"/>
        </w:rPr>
        <w:t>, является</w:t>
      </w:r>
      <w:r w:rsidR="00EC66B7" w:rsidRPr="00EC66B7">
        <w:rPr>
          <w:b w:val="0"/>
          <w:i/>
          <w:lang w:val="ru-RU"/>
        </w:rPr>
        <w:t xml:space="preserve"> </w:t>
      </w:r>
      <w:r w:rsidR="00EC66B7" w:rsidRPr="00964910">
        <w:rPr>
          <w:b w:val="0"/>
          <w:i/>
          <w:lang w:val="ru-RU"/>
        </w:rPr>
        <w:t>периоперационная химиотерапия длительностью 2-</w:t>
      </w:r>
      <w:r w:rsidR="002B6310">
        <w:rPr>
          <w:b w:val="0"/>
          <w:i/>
          <w:lang w:val="ru-RU"/>
        </w:rPr>
        <w:t>4</w:t>
      </w:r>
      <w:r w:rsidR="00EC66B7" w:rsidRPr="00964910">
        <w:rPr>
          <w:b w:val="0"/>
          <w:i/>
          <w:lang w:val="ru-RU"/>
        </w:rPr>
        <w:t xml:space="preserve"> месяца до операции и </w:t>
      </w:r>
      <w:r w:rsidR="002B6310">
        <w:rPr>
          <w:b w:val="0"/>
          <w:i/>
          <w:lang w:val="ru-RU"/>
        </w:rPr>
        <w:t>2</w:t>
      </w:r>
      <w:r w:rsidR="00EC66B7" w:rsidRPr="00964910">
        <w:rPr>
          <w:b w:val="0"/>
          <w:i/>
          <w:lang w:val="ru-RU"/>
        </w:rPr>
        <w:t>-4 месяца после нее</w:t>
      </w:r>
      <w:r w:rsidR="002B6310">
        <w:rPr>
          <w:b w:val="0"/>
          <w:i/>
          <w:lang w:val="ru-RU"/>
        </w:rPr>
        <w:t xml:space="preserve"> (</w:t>
      </w:r>
      <w:r w:rsidR="00AE38A7">
        <w:rPr>
          <w:b w:val="0"/>
          <w:i/>
          <w:lang w:val="ru-RU"/>
        </w:rPr>
        <w:t xml:space="preserve">суммарно 6 месяцев терапии, </w:t>
      </w:r>
      <w:r w:rsidR="002B6310">
        <w:rPr>
          <w:b w:val="0"/>
          <w:i/>
          <w:lang w:val="ru-RU"/>
        </w:rPr>
        <w:t>таблица 4)</w:t>
      </w:r>
      <w:r w:rsidR="00EC66B7" w:rsidRPr="004E104D">
        <w:rPr>
          <w:rFonts w:eastAsia="BlissPro-Light"/>
          <w:sz w:val="28"/>
          <w:szCs w:val="28"/>
          <w:lang w:val="ru-RU"/>
        </w:rPr>
        <w:t xml:space="preserve">. </w:t>
      </w:r>
    </w:p>
    <w:p w14:paraId="64A4AFD7" w14:textId="4FF358C8" w:rsidR="00D1632F" w:rsidRPr="00A83E0C" w:rsidRDefault="00F46413" w:rsidP="00537A85">
      <w:pPr>
        <w:pStyle w:val="2"/>
      </w:pPr>
      <w:r>
        <w:t>У пациентов с</w:t>
      </w:r>
      <w:r w:rsidR="00A7410A" w:rsidRPr="00A83E0C">
        <w:t xml:space="preserve"> </w:t>
      </w:r>
      <w:r w:rsidR="007E72C9" w:rsidRPr="00A83E0C">
        <w:t xml:space="preserve">погранично </w:t>
      </w:r>
      <w:r w:rsidR="00A7410A" w:rsidRPr="00A83E0C">
        <w:t>резектабельн</w:t>
      </w:r>
      <w:r w:rsidR="00175ADB" w:rsidRPr="00A83E0C">
        <w:t>ы</w:t>
      </w:r>
      <w:r w:rsidR="00A7410A" w:rsidRPr="00A83E0C">
        <w:t>м и нерезектабельн</w:t>
      </w:r>
      <w:r w:rsidR="00175ADB" w:rsidRPr="00A83E0C">
        <w:t>ы</w:t>
      </w:r>
      <w:r w:rsidR="00A7410A" w:rsidRPr="00A83E0C">
        <w:t>м рак</w:t>
      </w:r>
      <w:r w:rsidR="00175ADB" w:rsidRPr="00A83E0C">
        <w:t>ом</w:t>
      </w:r>
      <w:r w:rsidR="00A7410A" w:rsidRPr="00A83E0C">
        <w:t xml:space="preserve"> поджелудочной железы (Т</w:t>
      </w:r>
      <w:r w:rsidR="00A7410A" w:rsidRPr="00A83E0C">
        <w:rPr>
          <w:vertAlign w:val="subscript"/>
        </w:rPr>
        <w:t>3-4</w:t>
      </w:r>
      <w:r w:rsidR="00A7410A" w:rsidRPr="00A83E0C">
        <w:t>N</w:t>
      </w:r>
      <w:r w:rsidR="00A7410A" w:rsidRPr="00A83E0C">
        <w:rPr>
          <w:vertAlign w:val="subscript"/>
        </w:rPr>
        <w:t>0-1</w:t>
      </w:r>
      <w:r w:rsidR="00A7410A" w:rsidRPr="00A83E0C">
        <w:t>M</w:t>
      </w:r>
      <w:r w:rsidR="00A7410A" w:rsidRPr="00A83E0C">
        <w:rPr>
          <w:vertAlign w:val="subscript"/>
        </w:rPr>
        <w:t>0</w:t>
      </w:r>
      <w:r w:rsidR="00A7410A" w:rsidRPr="00A83E0C">
        <w:t xml:space="preserve">) </w:t>
      </w:r>
      <w:r w:rsidR="00A7410A" w:rsidRPr="00A83E0C">
        <w:rPr>
          <w:b/>
        </w:rPr>
        <w:t>рекомендуется</w:t>
      </w:r>
      <w:r w:rsidR="00A7410A" w:rsidRPr="00A83E0C">
        <w:t xml:space="preserve"> </w:t>
      </w:r>
      <w:r w:rsidR="008332C8" w:rsidRPr="00A83E0C">
        <w:t xml:space="preserve">проводить предоперационную и индукционную химиотерапию соответственно, а в последующем </w:t>
      </w:r>
      <w:r w:rsidR="00A7410A" w:rsidRPr="00A83E0C">
        <w:t xml:space="preserve">направлять пациентов в </w:t>
      </w:r>
      <w:r w:rsidR="00A7410A" w:rsidRPr="00A83E0C">
        <w:lastRenderedPageBreak/>
        <w:t>крупные центры</w:t>
      </w:r>
      <w:r w:rsidR="007E72C9" w:rsidRPr="00A83E0C">
        <w:t xml:space="preserve">, обладающие большим опытом лечения </w:t>
      </w:r>
      <w:r w:rsidR="008332C8" w:rsidRPr="00A83E0C">
        <w:t>данного заболевания</w:t>
      </w:r>
      <w:r w:rsidR="00992C98" w:rsidRPr="00A83E0C">
        <w:t>,</w:t>
      </w:r>
      <w:r w:rsidR="007E72C9" w:rsidRPr="00A83E0C">
        <w:t xml:space="preserve"> </w:t>
      </w:r>
      <w:r w:rsidR="00A7410A" w:rsidRPr="00A83E0C">
        <w:t xml:space="preserve">для повторной оценки </w:t>
      </w:r>
      <w:r w:rsidR="000144B8" w:rsidRPr="00A83E0C">
        <w:t>резектабельности</w:t>
      </w:r>
      <w:r w:rsidR="00CB323C" w:rsidRPr="00A83E0C">
        <w:t xml:space="preserve"> </w:t>
      </w:r>
      <w:r w:rsidR="00C15198" w:rsidRPr="00A83E0C">
        <w:fldChar w:fldCharType="begin"/>
      </w:r>
      <w:r w:rsidR="004034C1">
        <w:instrText xml:space="preserve"> ADDIN ZOTERO_ITEM CSL_CITATION {"citationID":"RWBZ65Eh","properties":{"formattedCitation":"[55]","plainCitation":"[55]","noteIndex":0},"citationItems":[{"id":250,"uris":["http://zotero.org/users/5363772/items/YZWR6IVP",["http://zotero.org/users/5363772/items/YZWR6IVP"]],"itemData":{"id":250,"type":"article-journal","issue":"3","journalAbbreviation":"Вестник хирургической гастроэнтерологии","page":"21-32","title":"Резекция сосудов в хирургии рака поджелудочной железы","author":[{"family":"Патютко","given":"Юрий Иванович"}],"issued":{"date-parts":[["2012"]]}}}],"schema":"https://github.com/citation-style-language/schema/raw/master/csl-citation.json"} </w:instrText>
      </w:r>
      <w:r w:rsidR="00C15198" w:rsidRPr="00A83E0C">
        <w:fldChar w:fldCharType="separate"/>
      </w:r>
      <w:r w:rsidR="004034C1" w:rsidRPr="004034C1">
        <w:t>[55]</w:t>
      </w:r>
      <w:r w:rsidR="00C15198" w:rsidRPr="00A83E0C">
        <w:fldChar w:fldCharType="end"/>
      </w:r>
      <w:r w:rsidR="00A7410A" w:rsidRPr="00A83E0C">
        <w:t xml:space="preserve">. </w:t>
      </w:r>
    </w:p>
    <w:p w14:paraId="1CFAB8A7" w14:textId="77777777" w:rsidR="00744190" w:rsidRPr="00A83E0C" w:rsidRDefault="001F58F6" w:rsidP="00DC7BE7">
      <w:pPr>
        <w:pStyle w:val="33"/>
        <w:rPr>
          <w:color w:val="auto"/>
          <w:lang w:val="ru-RU"/>
        </w:rPr>
      </w:pPr>
      <w:r w:rsidRPr="00A83E0C">
        <w:rPr>
          <w:color w:val="auto"/>
          <w:lang w:val="ru-RU"/>
        </w:rPr>
        <w:t>Уровен</w:t>
      </w:r>
      <w:r w:rsidR="00A63848" w:rsidRPr="00A83E0C">
        <w:rPr>
          <w:color w:val="auto"/>
          <w:lang w:val="ru-RU"/>
        </w:rPr>
        <w:t xml:space="preserve">ь убедительности рекомендаций </w:t>
      </w:r>
      <w:r w:rsidR="004708A5" w:rsidRPr="00A83E0C">
        <w:rPr>
          <w:color w:val="auto"/>
          <w:lang w:val="ru-RU"/>
        </w:rPr>
        <w:t xml:space="preserve">С </w:t>
      </w:r>
      <w:r w:rsidRPr="00A83E0C">
        <w:rPr>
          <w:color w:val="auto"/>
          <w:lang w:val="ru-RU"/>
        </w:rPr>
        <w:t>(уровень</w:t>
      </w:r>
      <w:r w:rsidR="00A63848" w:rsidRPr="00A83E0C">
        <w:rPr>
          <w:color w:val="auto"/>
          <w:lang w:val="ru-RU"/>
        </w:rPr>
        <w:t xml:space="preserve"> достоверности доказательств </w:t>
      </w:r>
      <w:r w:rsidR="004708A5" w:rsidRPr="00A83E0C">
        <w:rPr>
          <w:color w:val="auto"/>
          <w:lang w:val="ru-RU"/>
        </w:rPr>
        <w:t>5</w:t>
      </w:r>
      <w:r w:rsidRPr="00A83E0C">
        <w:rPr>
          <w:color w:val="auto"/>
          <w:lang w:val="ru-RU"/>
        </w:rPr>
        <w:t>)</w:t>
      </w:r>
    </w:p>
    <w:p w14:paraId="5874873F" w14:textId="4EC85019" w:rsidR="004E567D" w:rsidRPr="004E104D" w:rsidRDefault="0063449B" w:rsidP="004E104D">
      <w:pPr>
        <w:ind w:firstLine="567"/>
        <w:rPr>
          <w:i/>
          <w:lang w:val="ru-RU"/>
        </w:rPr>
      </w:pPr>
      <w:r w:rsidRPr="001B65D7">
        <w:rPr>
          <w:b/>
          <w:lang w:val="ru-RU"/>
        </w:rPr>
        <w:t>Комментарий</w:t>
      </w:r>
      <w:r w:rsidRPr="001B65D7">
        <w:rPr>
          <w:lang w:val="ru-RU"/>
        </w:rPr>
        <w:t xml:space="preserve">: </w:t>
      </w:r>
      <w:r w:rsidR="00E37CD1" w:rsidRPr="008D1426">
        <w:rPr>
          <w:i/>
          <w:iCs/>
          <w:lang w:val="ru-RU"/>
        </w:rPr>
        <w:t xml:space="preserve">Обязательна морфологическая верификация при начале с лекарственного лечения. </w:t>
      </w:r>
      <w:r w:rsidR="004E567D" w:rsidRPr="00964910">
        <w:rPr>
          <w:i/>
          <w:lang w:val="ru-RU"/>
        </w:rPr>
        <w:t>Режимы предоперационной</w:t>
      </w:r>
      <w:r w:rsidR="004E567D" w:rsidRPr="001B65D7">
        <w:rPr>
          <w:lang w:val="ru-RU"/>
        </w:rPr>
        <w:t xml:space="preserve"> и индукционной</w:t>
      </w:r>
      <w:r w:rsidR="004E567D" w:rsidRPr="00964910">
        <w:rPr>
          <w:i/>
          <w:lang w:val="ru-RU"/>
        </w:rPr>
        <w:t xml:space="preserve"> химиотерапии представлены в таблице 4. </w:t>
      </w:r>
      <w:r w:rsidR="004E567D" w:rsidRPr="00B707F2">
        <w:rPr>
          <w:i/>
          <w:lang w:val="ru-RU"/>
        </w:rPr>
        <w:t xml:space="preserve">Предпочтительными режимами (при отсутствии противопоказаний) являются </w:t>
      </w:r>
      <w:r w:rsidR="004E567D" w:rsidRPr="00B707F2">
        <w:rPr>
          <w:i/>
        </w:rPr>
        <w:t>FOLFIRINOX</w:t>
      </w:r>
      <w:r w:rsidR="004E567D" w:rsidRPr="00B707F2">
        <w:rPr>
          <w:i/>
          <w:lang w:val="ru-RU"/>
        </w:rPr>
        <w:t xml:space="preserve"> или комбинации #гемцитабина** и # паклитаксел+альбумин</w:t>
      </w:r>
      <w:r w:rsidR="004E567D">
        <w:rPr>
          <w:i/>
          <w:lang w:val="ru-RU"/>
        </w:rPr>
        <w:t>а</w:t>
      </w:r>
      <w:r w:rsidR="004E567D" w:rsidRPr="00B707F2">
        <w:rPr>
          <w:i/>
          <w:lang w:val="ru-RU"/>
        </w:rPr>
        <w:t xml:space="preserve">. При наличии </w:t>
      </w:r>
      <w:r w:rsidR="004E567D" w:rsidRPr="00F46413">
        <w:rPr>
          <w:i/>
          <w:lang w:val="ru-RU"/>
        </w:rPr>
        <w:t xml:space="preserve">у пациентов мутаций в генах BRCA или PALB2, оптимальным является применение комбинации FOLFIRINOX или комбинации #гемцитабина** с соединениями платины. </w:t>
      </w:r>
      <w:r w:rsidR="004E567D" w:rsidRPr="00964910">
        <w:rPr>
          <w:i/>
          <w:lang w:val="ru-RU"/>
        </w:rPr>
        <w:t>Начало лечения с химиотерапии сопряжено с необходимостью биопсии опухоли для морфологической верификации диагноза и выполнения желчеразгрузочных процедур</w:t>
      </w:r>
      <w:r w:rsidR="004E567D">
        <w:fldChar w:fldCharType="begin"/>
      </w:r>
      <w:r w:rsidR="004034C1">
        <w:rPr>
          <w:lang w:val="ru-RU"/>
        </w:rPr>
        <w:instrText xml:space="preserve"> ADDIN ZOTERO_ITEM CSL_CITATION {"citationID":"yKalQshC","properties":{"formattedCitation":"[56,57]","plainCitation":"[56,57]","noteIndex":0},"citationItems":[{"id":1042,"uris":["http://zotero.org/users/5363772/items/BV7SBHAI"],"itemData":{"id":1042,"type":"article-journal","abstract":"189Background: Despite improvements of postoperative adjuvant therapy for resected pancreatic ductal adenocarcinoma (PDAC), its prognosis remains poor. A randomized controlled trial has begun to compare neoadjuvant chemotherapy using gemcitabine and S1 (NAC-GS) with upfront surgery (Up-S) for patients with PDAC planned resection. Methods: Patients were enrolled after the diagnosis of resectable PDAC with histological confirmation. They were randomly assigned as either NAC-GS or Up-S. In NAC-GS, gemcitabine was provided at a dose of 1 g/m2 on day 1 and 8 and oral S-1 was administered at a dose of 40 mg/m2 twice daily on 1-14 days. Patients received 2 cycles of this regimen. S-1 adjuvant for 6 months was administered for the patients with curative resection and fully recovered within 10 weeks after surgery in both arms. The primary endpoint for the phase III part was overall survival (OS); secondary endpoints included adverse events, resection rate, recurrence-free survival, residual tumor status, nodal metastases, and tumor marker kinetics. The target sample size required 163 patients (α-error 0.05; power 0.8) in each arm. The trial was conducted by the Health Labor Sciences Research Grant (H22-009) of Japan and registered with the UMIN Clinical Trials Registry as UMIN000009634. Results: From January 2013 to January 2016, 364 patients were enrolled in 57 centers (182 to NAC-GS and 182 to Up-S). Of these, two were excluded because of ineligibility, therefore 182 patients in NAC-GS and 180 in Up-S constituted the ITT analysis-set. The median OS was 36.7 months in NAC-GS and 26.6 months in Up-S; HR 0.72 (95% confidential interval 0.55-0.94; p=0.015 [stratified log-rank test]). Grade 3 or 4 adverse events frequently (72.8%) observed in NAC-GS were leukopenia or neutropenia. However, the resection rate, R0 resection rate, and morbidity of the operation were equivalent in the two groups. There was no perioperative mortality in either group. Conclusions: This phase III study demonstrated the significant survival benefits of NAC-GS treatment. Therefore, the results indicated that neoadjuvant chemotherapy could be a new standard for patients with resectable PDAC. Clinical trial information: UMIN000009634.","container-title":"Journal of Clinical Oncology","DOI":"10.1200/JCO.2019.37.4_suppl.189","ISSN":"0732-183X","issue":"4_suppl","journalAbbreviation":"JCO","page":"189-189","title":"Randomized phase II/III trial of neoadjuvant chemotherapy with gemcitabine and S-1 versus upfront surgery for resectable pancreatic cancer (Prep-02/JSAP-05).","volume":"37","author":[{"family":"Unno","given":"Michiaki"},{"family":"Motoi","given":"Fuyuhiko"},{"family":"Matsuyama","given":"Yutaka"},{"family":"Satoi","given":"Sohei"},{"family":"Matsumoto","given":"Ippei"},{"family":"Aosasa","given":"Suefumi"},{"family":"Shirakawa","given":"Hirofumi"},{"family":"Wada","given":"Keita"},{"family":"Fujii","given":"Tsutomu"},{"family":"Yoshitomi","given":"Hideyuki"},{"family":"Takahashi","given":"Shinichiro"},{"family":"Sho","given":"Masayuki"},{"family":"Ueno","given":"Hideki"},{"family":"Kosuge","given":"Tomoo"}],"issued":{"date-parts":[["2019",1,29]]}}},{"id":1247,"uris":["http://zotero.org/users/5363772/items/V37TYD4W"],"itemData":{"id":1247,"type":"article-journal","abstract":"4505Background: Patients with borderline resectable pancreatic cancer have poor survival and low resection rates. Neoadjuvant therapy may improve the outcome for these patients. The aim of this trial was to determine the feasibility and efficacy of a comparison of immediate surgery versus neoadjuvant GEMCAP or FOLFIRINOX or CRT. Methods: Eligible patients with NCCN defined borderline resectable (following central review of the baseline CT scan) and biopsy proven pancreatic cancer were randomised (stratified by centre) to receive immediate surgery, or neoadjuvant therapy of either 2 cycles of GEMCAP, or 4 cycles of FOLFIRINOX or 50.4Gy capecitabine-based CRT in 28 daily fractions over 5 ½ weeks. Patients were restaged at 4-6 weeks and underwent surgical exploration if still borderline resectable. Resected patients received adjuvant therapy. Follow up was 12 months. There was quality assurance of surgery and CRT. Primary endpoints were recruitment rate and resection rate (R1/R0). Secondary endpoints included overall survival and toxicity. A target of 90 patients was set to determine feasibility and resection rates. Rates will be presented as point estimates and survival compared across treatment arms using a log-rank test. Analyses will be on an ITT basis. Results: Between August 2014 and December 2018, 90 patients were randomised with 88 included in the full analysis set (32 immediate surgery, 20 GEMCAP, 20 FOLFIRINOX, 16 CRT). Median age was 63 years, 44% were men. WHO performance status was 0 and 1 in 45% and 55% respectively. Median CA19-9 was 603 kU/L at baseline. 44 (79%) patients completed neoadjuvant therapy. Recruitment rate was 21 patients per year. Resection rate was 62% for immediate surgery and 55% for neoadjuvant therapy (p=0.668). R0 resection rate on resected patients was 15% and 23% respectively (p=0.721). One year survival rate was 40% [95% CI, 26% ? 62%] for immediate surgery and 77% [95%CI, 66% - 89%] for neoadjuvant therapy. Log-rank analysis showed an HR=0.27 [95% CI, 0.13 ? 0.55]; ?2 (1) = 14.91, P&lt;0.001. 9 out of the 51 neoadjuvant patients included in the safety set reported 12 serious adverse events of grade 3 or above. Conclusions: There was no difference in resection rate between arms, however neoadjuvant therapy had a significant survival benefit compared with immediate surgery. Clinical trial information: 89500674.","container-title":"Journal of Clinical Oncology","DOI":"10.1200/JCO.2020.38.15_suppl.4505","ISSN":"0732-183X","issue":"15_suppl","journalAbbreviation":"JCO","note":"publisher: Wolters Kluwer","page":"4505-4505","title":"ESPAC-5F: Four-arm, prospective, multicenter, international randomized phase II trial of immediate surgery compared with neoadjuvant gemcitabine plus capecitabine (GEMCAP) or FOLFIRINOX or chemoradiotherapy (CRT) in patients with borderline resectable pancreatic cancer.","volume":"38","author":[{"family":"Ghaneh","given":"Paula"},{"family":"Palmer","given":"Daniel H."},{"family":"Cicconi","given":"Silvia"},{"family":"Halloran","given":"Christopher"},{"family":"Psarelli","given":"Eftychia Eirini"},{"family":"Rawcliffe","given":"Charlotte Louise"},{"family":"Sripadam","given":"Rajaram"},{"family":"Mukherjee","given":"Somnath"},{"family":"Wadsley","given":"Jonathan"},{"family":"Al-Mukhtar","given":"Ahmed"},{"family":"Jiao","given":"Long R."},{"family":"Wasan","given":"Harpreet Singh"},{"family":"Carter","given":"Ross"},{"family":"Graham","given":"Janet Shirley"},{"family":"Ammad","given":"Farooq"},{"family":"Evans","given":"Jonathan"},{"family":"Tjaden","given":"Christine"},{"family":"Hackert","given":"Thilo"},{"family":"Buchler","given":"Markus W."},{"family":"Neoptolemos","given":"John P."}],"issued":{"date-parts":[["2020",5,20]]}}}],"schema":"https://github.com/citation-style-language/schema/raw/master/csl-citation.json"} </w:instrText>
      </w:r>
      <w:r w:rsidR="004E567D">
        <w:fldChar w:fldCharType="separate"/>
      </w:r>
      <w:r w:rsidR="004034C1" w:rsidRPr="004034C1">
        <w:rPr>
          <w:lang w:val="ru-RU"/>
        </w:rPr>
        <w:t>[56,57]</w:t>
      </w:r>
      <w:r w:rsidR="004E567D">
        <w:fldChar w:fldCharType="end"/>
      </w:r>
      <w:r w:rsidR="004E567D" w:rsidRPr="004E104D">
        <w:rPr>
          <w:lang w:val="ru-RU"/>
        </w:rPr>
        <w:t>.</w:t>
      </w:r>
      <w:r w:rsidR="008C61CE" w:rsidRPr="004E104D">
        <w:rPr>
          <w:lang w:val="ru-RU"/>
        </w:rPr>
        <w:t xml:space="preserve"> </w:t>
      </w:r>
      <w:r w:rsidR="008C61CE" w:rsidRPr="004E104D">
        <w:rPr>
          <w:rFonts w:eastAsia="BlissPro-Light"/>
          <w:i/>
          <w:iCs/>
          <w:lang w:val="ru-RU"/>
        </w:rPr>
        <w:t xml:space="preserve">Длительность индукционной химиотерапии при погранично резектабельном и нерезектабельном процессе составляет 12-18 недель. В случае сохранения нерезектабельного процесса и отсутствия нарастания эффекта после окончания 16-18 нед. индукционной химиотерапии рекомендуется продолжение ранее начатого режима лечения (при его хорошей переносимости) либо проведение поддерживающей химиотерапии (например, монотерапии фторпиримидиновым производным, если до этого пациент получал </w:t>
      </w:r>
      <w:r w:rsidR="008C61CE" w:rsidRPr="004E104D">
        <w:rPr>
          <w:rFonts w:eastAsia="BlissPro-Light"/>
          <w:i/>
          <w:iCs/>
        </w:rPr>
        <w:t>FOLFIRINOX</w:t>
      </w:r>
      <w:r w:rsidR="008C61CE" w:rsidRPr="004E104D">
        <w:rPr>
          <w:rFonts w:eastAsia="BlissPro-Light"/>
          <w:i/>
          <w:iCs/>
          <w:lang w:val="ru-RU"/>
        </w:rPr>
        <w:t>). Доказательств преимущества какой</w:t>
      </w:r>
      <w:r w:rsidR="008C61CE" w:rsidRPr="004E104D">
        <w:rPr>
          <w:rFonts w:eastAsia="BlissPro-Light"/>
          <w:i/>
          <w:iCs/>
          <w:lang w:val="ru-RU"/>
        </w:rPr>
        <w:noBreakHyphen/>
        <w:t>либо тактики на момент составления рекомендаций нет.</w:t>
      </w:r>
      <w:r w:rsidR="008C61CE">
        <w:rPr>
          <w:rFonts w:eastAsia="BlissPro-Light"/>
          <w:i/>
          <w:iCs/>
          <w:lang w:val="ru-RU"/>
        </w:rPr>
        <w:t xml:space="preserve"> </w:t>
      </w:r>
      <w:r w:rsidR="008C61CE" w:rsidRPr="004E104D">
        <w:rPr>
          <w:rFonts w:eastAsia="BlissPro-Light"/>
          <w:i/>
          <w:iCs/>
          <w:lang w:val="ru-RU"/>
        </w:rPr>
        <w:t>Рекомендуемая суммарная продолжительность химиотерапии с учетом индукционного и поддерживающего этапов должна составлять не менее 6 мес. Применение химиотерапии более 6 мес. (например, до прогрессирования опухоли) также является возможной опцией ввиду отсутствия клинических исследований, посвященных изучению оптимальной длительности ХТ в этой группе пациентов. Решение о продолжении ХТ до прогрессирования должно приниматься с учетом динамики эффекта и переносимости данного лечения.</w:t>
      </w:r>
    </w:p>
    <w:p w14:paraId="598AA792" w14:textId="3C998A0E" w:rsidR="0063449B" w:rsidRPr="00A83E0C" w:rsidRDefault="004E567D" w:rsidP="008878EB">
      <w:pPr>
        <w:pStyle w:val="aff2"/>
      </w:pPr>
      <w:r>
        <w:t>К</w:t>
      </w:r>
      <w:r w:rsidR="0063449B" w:rsidRPr="00A83E0C">
        <w:t>ритерии резектабельности рака поджелудочной железы изложены в таблице 2.</w:t>
      </w:r>
    </w:p>
    <w:p w14:paraId="374B8220" w14:textId="01E2D38F" w:rsidR="0063449B" w:rsidRDefault="0063449B" w:rsidP="008878EB">
      <w:pPr>
        <w:pStyle w:val="aff2"/>
      </w:pPr>
      <w:r w:rsidRPr="00A83E0C">
        <w:t>Таблица 2.</w:t>
      </w:r>
      <w:r w:rsidRPr="00A83E0C">
        <w:rPr>
          <w:b/>
        </w:rPr>
        <w:t xml:space="preserve"> </w:t>
      </w:r>
      <w:r w:rsidRPr="00A83E0C">
        <w:t>Оценка резектабельности неметастатического рака поджелудочной железы</w:t>
      </w:r>
      <w:r w:rsidR="00C15198" w:rsidRPr="00A83E0C">
        <w:fldChar w:fldCharType="begin"/>
      </w:r>
      <w:r w:rsidR="004034C1">
        <w:instrText xml:space="preserve"> ADDIN ZOTERO_ITEM CSL_CITATION {"citationID":"z49jH22U","properties":{"formattedCitation":"[58]","plainCitation":"[58]","noteIndex":0},"citationItems":[{"id":1298,"uris":["http://zotero.org/users/5363772/items/ET3Z5D24"],"itemData":{"id":1298,"type":"document","language":"en","publisher":"NCCN.org","title":"NCCN Clinical Practice Guidelines in Oncology. Pancreatic Adenocarcinoma","URL":"https://www.nccn.org/guidelines","author":[{"family":"Tempero","given":"M.A."},{"family":"Malafa","given":"M.P."},{"family":"Benson","given":"Al.B."}],"accessed":{"date-parts":[["2023",9,19]]},"issued":{"date-parts":[["2023"]]}}}],"schema":"https://github.com/citation-style-language/schema/raw/master/csl-citation.json"} </w:instrText>
      </w:r>
      <w:r w:rsidR="00C15198" w:rsidRPr="00A83E0C">
        <w:fldChar w:fldCharType="separate"/>
      </w:r>
      <w:r w:rsidR="004034C1" w:rsidRPr="004034C1">
        <w:t>[58]</w:t>
      </w:r>
      <w:r w:rsidR="00C15198" w:rsidRPr="00A83E0C">
        <w:fldChar w:fldCharType="end"/>
      </w:r>
    </w:p>
    <w:tbl>
      <w:tblPr>
        <w:tblW w:w="9418" w:type="dxa"/>
        <w:tblInd w:w="-5" w:type="dxa"/>
        <w:tblLayout w:type="fixed"/>
        <w:tblCellMar>
          <w:left w:w="57" w:type="dxa"/>
          <w:right w:w="57" w:type="dxa"/>
        </w:tblCellMar>
        <w:tblLook w:val="0000" w:firstRow="0" w:lastRow="0" w:firstColumn="0" w:lastColumn="0" w:noHBand="0" w:noVBand="0"/>
      </w:tblPr>
      <w:tblGrid>
        <w:gridCol w:w="1419"/>
        <w:gridCol w:w="4455"/>
        <w:gridCol w:w="3544"/>
      </w:tblGrid>
      <w:tr w:rsidR="008C61CE" w14:paraId="458F8634" w14:textId="77777777" w:rsidTr="00AE34CC">
        <w:trPr>
          <w:trHeight w:val="375"/>
        </w:trPr>
        <w:tc>
          <w:tcPr>
            <w:tcW w:w="1419" w:type="dxa"/>
            <w:tcBorders>
              <w:left w:val="single" w:sz="4" w:space="0" w:color="000000"/>
              <w:bottom w:val="single" w:sz="8" w:space="0" w:color="000000"/>
              <w:right w:val="single" w:sz="4" w:space="0" w:color="000000"/>
            </w:tcBorders>
            <w:vAlign w:val="center"/>
          </w:tcPr>
          <w:p w14:paraId="7B01FFF7" w14:textId="77777777" w:rsidR="008C61CE" w:rsidRDefault="008C61CE" w:rsidP="004E104D">
            <w:pPr>
              <w:widowControl w:val="0"/>
              <w:ind w:firstLine="0"/>
              <w:rPr>
                <w:b/>
              </w:rPr>
            </w:pPr>
            <w:r>
              <w:rPr>
                <w:b/>
              </w:rPr>
              <w:t>Статус резектабельности</w:t>
            </w:r>
          </w:p>
        </w:tc>
        <w:tc>
          <w:tcPr>
            <w:tcW w:w="4455" w:type="dxa"/>
            <w:tcBorders>
              <w:top w:val="single" w:sz="4" w:space="0" w:color="000000"/>
              <w:left w:val="single" w:sz="4" w:space="0" w:color="000000"/>
              <w:bottom w:val="single" w:sz="8" w:space="0" w:color="000000"/>
              <w:right w:val="single" w:sz="4" w:space="0" w:color="000000"/>
            </w:tcBorders>
            <w:vAlign w:val="center"/>
          </w:tcPr>
          <w:p w14:paraId="16C59D58" w14:textId="77777777" w:rsidR="008C61CE" w:rsidRDefault="008C61CE" w:rsidP="004E104D">
            <w:pPr>
              <w:widowControl w:val="0"/>
              <w:ind w:firstLine="0"/>
              <w:jc w:val="center"/>
              <w:rPr>
                <w:b/>
              </w:rPr>
            </w:pPr>
            <w:r>
              <w:rPr>
                <w:b/>
              </w:rPr>
              <w:t>Артерия</w:t>
            </w:r>
          </w:p>
          <w:p w14:paraId="36320120" w14:textId="77777777" w:rsidR="008C61CE" w:rsidRDefault="008C61CE" w:rsidP="004E104D">
            <w:pPr>
              <w:widowControl w:val="0"/>
              <w:ind w:firstLine="0"/>
              <w:jc w:val="center"/>
              <w:rPr>
                <w:b/>
              </w:rPr>
            </w:pPr>
          </w:p>
        </w:tc>
        <w:tc>
          <w:tcPr>
            <w:tcW w:w="3544" w:type="dxa"/>
            <w:tcBorders>
              <w:top w:val="single" w:sz="4" w:space="0" w:color="000000"/>
              <w:left w:val="single" w:sz="4" w:space="0" w:color="000000"/>
              <w:bottom w:val="single" w:sz="8" w:space="0" w:color="000000"/>
              <w:right w:val="single" w:sz="4" w:space="0" w:color="000000"/>
            </w:tcBorders>
            <w:vAlign w:val="center"/>
          </w:tcPr>
          <w:p w14:paraId="3761FF65" w14:textId="77777777" w:rsidR="008C61CE" w:rsidRDefault="008C61CE" w:rsidP="004E104D">
            <w:pPr>
              <w:widowControl w:val="0"/>
              <w:ind w:firstLine="0"/>
              <w:jc w:val="center"/>
              <w:rPr>
                <w:b/>
              </w:rPr>
            </w:pPr>
            <w:r>
              <w:rPr>
                <w:b/>
              </w:rPr>
              <w:t>Вена</w:t>
            </w:r>
          </w:p>
        </w:tc>
      </w:tr>
      <w:tr w:rsidR="008C61CE" w:rsidRPr="0060277C" w14:paraId="6868EA02" w14:textId="77777777" w:rsidTr="00AE34CC">
        <w:trPr>
          <w:trHeight w:val="1388"/>
        </w:trPr>
        <w:tc>
          <w:tcPr>
            <w:tcW w:w="1419" w:type="dxa"/>
            <w:tcBorders>
              <w:top w:val="single" w:sz="8" w:space="0" w:color="000000"/>
              <w:left w:val="single" w:sz="4" w:space="0" w:color="000000"/>
              <w:bottom w:val="single" w:sz="4" w:space="0" w:color="000000"/>
              <w:right w:val="single" w:sz="4" w:space="0" w:color="000000"/>
            </w:tcBorders>
            <w:vAlign w:val="center"/>
          </w:tcPr>
          <w:p w14:paraId="2E1C61CB" w14:textId="77777777" w:rsidR="008C61CE" w:rsidRDefault="008C61CE" w:rsidP="004E104D">
            <w:pPr>
              <w:widowControl w:val="0"/>
              <w:ind w:firstLine="0"/>
            </w:pPr>
            <w:r>
              <w:rPr>
                <w:b/>
              </w:rPr>
              <w:lastRenderedPageBreak/>
              <w:t>Резектабельный</w:t>
            </w:r>
          </w:p>
        </w:tc>
        <w:tc>
          <w:tcPr>
            <w:tcW w:w="4455" w:type="dxa"/>
            <w:tcBorders>
              <w:top w:val="single" w:sz="8" w:space="0" w:color="000000"/>
              <w:left w:val="single" w:sz="4" w:space="0" w:color="000000"/>
              <w:bottom w:val="single" w:sz="4" w:space="0" w:color="000000"/>
              <w:right w:val="single" w:sz="4" w:space="0" w:color="000000"/>
            </w:tcBorders>
            <w:vAlign w:val="center"/>
          </w:tcPr>
          <w:p w14:paraId="11E0679D" w14:textId="77777777" w:rsidR="008C61CE" w:rsidRPr="004E104D" w:rsidRDefault="008C61CE" w:rsidP="004E104D">
            <w:pPr>
              <w:widowControl w:val="0"/>
              <w:ind w:firstLine="0"/>
              <w:rPr>
                <w:lang w:val="ru-RU"/>
              </w:rPr>
            </w:pPr>
            <w:r w:rsidRPr="004E104D">
              <w:rPr>
                <w:lang w:val="ru-RU"/>
              </w:rPr>
              <w:t>Нет контакта с артерией [чревный ствол (ЧС), верхняя брыжеечная артерия (ВБА) или общая печеночная артерия (ОПА)]</w:t>
            </w:r>
          </w:p>
        </w:tc>
        <w:tc>
          <w:tcPr>
            <w:tcW w:w="3544" w:type="dxa"/>
            <w:tcBorders>
              <w:top w:val="single" w:sz="8" w:space="0" w:color="000000"/>
              <w:left w:val="single" w:sz="4" w:space="0" w:color="000000"/>
              <w:bottom w:val="single" w:sz="4" w:space="0" w:color="000000"/>
              <w:right w:val="single" w:sz="4" w:space="0" w:color="000000"/>
            </w:tcBorders>
            <w:vAlign w:val="center"/>
          </w:tcPr>
          <w:p w14:paraId="68F3B4B8" w14:textId="77777777" w:rsidR="008C61CE" w:rsidRPr="004E104D" w:rsidRDefault="008C61CE" w:rsidP="004E104D">
            <w:pPr>
              <w:widowControl w:val="0"/>
              <w:ind w:firstLine="0"/>
              <w:rPr>
                <w:lang w:val="ru-RU"/>
              </w:rPr>
            </w:pPr>
            <w:r w:rsidRPr="004E104D">
              <w:rPr>
                <w:lang w:val="ru-RU"/>
              </w:rPr>
              <w:t>Отсутствие контакта опухоли с верхней брыжеечной (ВБВ) или воротной веной (ВВ) или контакт ≤180° без нарушения контура вены.</w:t>
            </w:r>
          </w:p>
        </w:tc>
      </w:tr>
      <w:tr w:rsidR="008C61CE" w:rsidRPr="0060277C" w14:paraId="706A83B0" w14:textId="77777777" w:rsidTr="00AE34CC">
        <w:trPr>
          <w:trHeight w:val="1393"/>
        </w:trPr>
        <w:tc>
          <w:tcPr>
            <w:tcW w:w="1419" w:type="dxa"/>
            <w:tcBorders>
              <w:top w:val="single" w:sz="4" w:space="0" w:color="000000"/>
              <w:left w:val="single" w:sz="4" w:space="0" w:color="000000"/>
              <w:bottom w:val="single" w:sz="4" w:space="0" w:color="000000"/>
              <w:right w:val="single" w:sz="4" w:space="0" w:color="000000"/>
            </w:tcBorders>
            <w:vAlign w:val="center"/>
          </w:tcPr>
          <w:p w14:paraId="1BE62F89" w14:textId="77777777" w:rsidR="008C61CE" w:rsidRDefault="008C61CE" w:rsidP="004E104D">
            <w:pPr>
              <w:widowControl w:val="0"/>
              <w:ind w:firstLine="0"/>
            </w:pPr>
            <w:r>
              <w:rPr>
                <w:b/>
              </w:rPr>
              <w:t>Погранично резектабельный</w:t>
            </w:r>
          </w:p>
        </w:tc>
        <w:tc>
          <w:tcPr>
            <w:tcW w:w="4455" w:type="dxa"/>
            <w:tcBorders>
              <w:top w:val="single" w:sz="4" w:space="0" w:color="000000"/>
              <w:left w:val="single" w:sz="4" w:space="0" w:color="000000"/>
              <w:bottom w:val="single" w:sz="4" w:space="0" w:color="000000"/>
              <w:right w:val="single" w:sz="4" w:space="0" w:color="000000"/>
            </w:tcBorders>
            <w:vAlign w:val="center"/>
          </w:tcPr>
          <w:p w14:paraId="68BA6851"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u w:val="single"/>
                <w:lang w:val="ru-RU"/>
              </w:rPr>
            </w:pPr>
            <w:r w:rsidRPr="004E104D">
              <w:rPr>
                <w:color w:val="202124"/>
                <w:u w:val="single"/>
                <w:lang w:val="ru-RU"/>
              </w:rPr>
              <w:t>Головка поджелудочной железы/крючковидный отросток:</w:t>
            </w:r>
          </w:p>
          <w:p w14:paraId="5240EB8D"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lang w:val="ru-RU"/>
              </w:rPr>
            </w:pPr>
            <w:r w:rsidRPr="004E104D">
              <w:rPr>
                <w:color w:val="202124"/>
                <w:lang w:val="ru-RU"/>
              </w:rPr>
              <w:t>• Контакт солидной опухоли с ОПА без распространения на ЧС или бифуркацию ОПА, обеспечивающие безопасную и полную резекцию и реконструкцию.</w:t>
            </w:r>
          </w:p>
          <w:p w14:paraId="1F99714B"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lang w:val="ru-RU"/>
              </w:rPr>
            </w:pPr>
            <w:r w:rsidRPr="004E104D">
              <w:rPr>
                <w:color w:val="202124"/>
                <w:lang w:val="ru-RU"/>
              </w:rPr>
              <w:t>• Контакт солидной опухоли с ВБА ≤180°.</w:t>
            </w:r>
          </w:p>
          <w:p w14:paraId="5C9C0164"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lang w:val="ru-RU"/>
              </w:rPr>
            </w:pPr>
            <w:r w:rsidRPr="004E104D">
              <w:rPr>
                <w:color w:val="202124"/>
                <w:lang w:val="ru-RU"/>
              </w:rPr>
              <w:t>• Контакт солидной опухоли с атипично расположенными сосудами (например, добавочная правая печеночная артерия, варианты отхождения правой или общей печеночной  артерии); при этом наличие и степень контакта с опухолью следует отметить, если он присутствует, так как это может повлиять на план операции.</w:t>
            </w:r>
          </w:p>
          <w:p w14:paraId="67EE4D8A"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u w:val="single"/>
                <w:lang w:val="ru-RU"/>
              </w:rPr>
            </w:pPr>
            <w:r w:rsidRPr="004E104D">
              <w:rPr>
                <w:color w:val="202124"/>
                <w:u w:val="single"/>
                <w:lang w:val="ru-RU"/>
              </w:rPr>
              <w:t>Тело/хвост поджелудочной железы:</w:t>
            </w:r>
          </w:p>
          <w:p w14:paraId="3C219CC5"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ru-RU"/>
              </w:rPr>
            </w:pPr>
            <w:r w:rsidRPr="004E104D">
              <w:rPr>
                <w:color w:val="202124"/>
                <w:lang w:val="ru-RU"/>
              </w:rPr>
              <w:t>• Контакт солидной опухоли с ЧС ≤180°.</w:t>
            </w:r>
          </w:p>
        </w:tc>
        <w:tc>
          <w:tcPr>
            <w:tcW w:w="3544" w:type="dxa"/>
            <w:tcBorders>
              <w:top w:val="single" w:sz="4" w:space="0" w:color="000000"/>
              <w:left w:val="single" w:sz="4" w:space="0" w:color="000000"/>
              <w:bottom w:val="single" w:sz="4" w:space="0" w:color="000000"/>
              <w:right w:val="single" w:sz="4" w:space="0" w:color="000000"/>
            </w:tcBorders>
            <w:vAlign w:val="center"/>
          </w:tcPr>
          <w:p w14:paraId="70881225" w14:textId="77777777" w:rsidR="008C61CE" w:rsidRPr="004E104D" w:rsidRDefault="008C61CE" w:rsidP="004E104D">
            <w:pPr>
              <w:widowControl w:val="0"/>
              <w:ind w:firstLine="0"/>
              <w:rPr>
                <w:lang w:val="ru-RU"/>
              </w:rPr>
            </w:pPr>
            <w:r w:rsidRPr="004E104D">
              <w:rPr>
                <w:lang w:val="ru-RU"/>
              </w:rPr>
              <w:t>Контакт солидной опухоли с ВБВ или ВВ &gt;180°, контакт ≤180° с неровностью контура вены или тромбозом вены, но с подходящими сосудами проксимальнее и дистальнее места вовлечения, позволяющими выполнить безопасную и полную резекцию и реконструкцию вены.</w:t>
            </w:r>
          </w:p>
          <w:p w14:paraId="2F2D1AD1" w14:textId="77777777" w:rsidR="008C61CE" w:rsidRPr="004E104D" w:rsidRDefault="008C61CE" w:rsidP="004E104D">
            <w:pPr>
              <w:widowControl w:val="0"/>
              <w:ind w:firstLine="0"/>
              <w:rPr>
                <w:lang w:val="ru-RU"/>
              </w:rPr>
            </w:pPr>
            <w:r w:rsidRPr="004E104D">
              <w:rPr>
                <w:lang w:val="ru-RU"/>
              </w:rPr>
              <w:t>• Контакт солидной опухоли с нижней полой веной (НПВ).</w:t>
            </w:r>
          </w:p>
        </w:tc>
      </w:tr>
      <w:tr w:rsidR="008C61CE" w:rsidRPr="0060277C" w14:paraId="107C2A18" w14:textId="77777777" w:rsidTr="00AE34CC">
        <w:trPr>
          <w:trHeight w:val="698"/>
        </w:trPr>
        <w:tc>
          <w:tcPr>
            <w:tcW w:w="1419" w:type="dxa"/>
            <w:tcBorders>
              <w:top w:val="single" w:sz="4" w:space="0" w:color="000000"/>
              <w:left w:val="single" w:sz="4" w:space="0" w:color="000000"/>
              <w:bottom w:val="single" w:sz="4" w:space="0" w:color="000000"/>
              <w:right w:val="single" w:sz="4" w:space="0" w:color="000000"/>
            </w:tcBorders>
            <w:vAlign w:val="center"/>
          </w:tcPr>
          <w:p w14:paraId="414AE6E1" w14:textId="77777777" w:rsidR="008C61CE" w:rsidRDefault="008C61CE" w:rsidP="004E104D">
            <w:pPr>
              <w:widowControl w:val="0"/>
              <w:ind w:firstLine="0"/>
            </w:pPr>
            <w:r>
              <w:rPr>
                <w:b/>
                <w:color w:val="000000"/>
              </w:rPr>
              <w:t>Местнораспростра-ненный</w:t>
            </w:r>
          </w:p>
        </w:tc>
        <w:tc>
          <w:tcPr>
            <w:tcW w:w="4455" w:type="dxa"/>
            <w:tcBorders>
              <w:top w:val="single" w:sz="4" w:space="0" w:color="000000"/>
              <w:left w:val="single" w:sz="4" w:space="0" w:color="000000"/>
              <w:bottom w:val="single" w:sz="4" w:space="0" w:color="000000"/>
              <w:right w:val="single" w:sz="4" w:space="0" w:color="000000"/>
            </w:tcBorders>
            <w:vAlign w:val="center"/>
          </w:tcPr>
          <w:p w14:paraId="71882DF6" w14:textId="77777777" w:rsidR="008C61CE" w:rsidRPr="004E104D" w:rsidRDefault="008C61CE" w:rsidP="004E1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02124"/>
                <w:u w:val="single"/>
                <w:lang w:val="ru-RU"/>
              </w:rPr>
            </w:pPr>
            <w:r w:rsidRPr="004E104D">
              <w:rPr>
                <w:color w:val="202124"/>
                <w:u w:val="single"/>
                <w:lang w:val="ru-RU"/>
              </w:rPr>
              <w:t>Головка поджелудочной железы/крючковидный отросток:</w:t>
            </w:r>
          </w:p>
          <w:p w14:paraId="1058299C" w14:textId="77777777" w:rsidR="008C61CE" w:rsidRPr="004E104D" w:rsidRDefault="008C61CE" w:rsidP="004E104D">
            <w:pPr>
              <w:pStyle w:val="HTML0"/>
              <w:spacing w:line="360" w:lineRule="auto"/>
              <w:rPr>
                <w:rStyle w:val="y2iqfc"/>
                <w:rFonts w:ascii="Times New Roman" w:hAnsi="Times New Roman" w:cs="Times New Roman"/>
                <w:color w:val="202124"/>
                <w:sz w:val="22"/>
                <w:szCs w:val="22"/>
              </w:rPr>
            </w:pPr>
            <w:r w:rsidRPr="003161E3">
              <w:rPr>
                <w:rStyle w:val="y2iqfc"/>
                <w:rFonts w:ascii="Times New Roman" w:hAnsi="Times New Roman" w:cs="Times New Roman"/>
                <w:color w:val="202124"/>
                <w:sz w:val="22"/>
                <w:szCs w:val="22"/>
              </w:rPr>
              <w:t xml:space="preserve">• Контакт солидной опухоли &gt;180° с </w:t>
            </w:r>
            <w:r>
              <w:rPr>
                <w:rStyle w:val="y2iqfc"/>
                <w:rFonts w:ascii="Times New Roman" w:hAnsi="Times New Roman" w:cs="Times New Roman"/>
                <w:color w:val="202124"/>
                <w:sz w:val="22"/>
                <w:szCs w:val="22"/>
              </w:rPr>
              <w:t>ВБА или ЧС</w:t>
            </w:r>
            <w:r w:rsidRPr="003161E3">
              <w:rPr>
                <w:rStyle w:val="y2iqfc"/>
                <w:rFonts w:ascii="Times New Roman" w:hAnsi="Times New Roman" w:cs="Times New Roman"/>
                <w:color w:val="202124"/>
                <w:sz w:val="22"/>
                <w:szCs w:val="22"/>
              </w:rPr>
              <w:t>.</w:t>
            </w:r>
          </w:p>
          <w:p w14:paraId="2141073D" w14:textId="77777777" w:rsidR="008C61CE" w:rsidRPr="003161E3" w:rsidRDefault="008C61CE" w:rsidP="004E104D">
            <w:pPr>
              <w:pStyle w:val="HTML0"/>
              <w:spacing w:line="360" w:lineRule="auto"/>
              <w:rPr>
                <w:rStyle w:val="y2iqfc"/>
                <w:rFonts w:ascii="Times New Roman" w:hAnsi="Times New Roman" w:cs="Times New Roman"/>
                <w:color w:val="202124"/>
                <w:sz w:val="22"/>
                <w:szCs w:val="22"/>
                <w:u w:val="single"/>
              </w:rPr>
            </w:pPr>
            <w:r w:rsidRPr="003161E3">
              <w:rPr>
                <w:rStyle w:val="y2iqfc"/>
                <w:rFonts w:ascii="Times New Roman" w:hAnsi="Times New Roman" w:cs="Times New Roman"/>
                <w:color w:val="202124"/>
                <w:sz w:val="22"/>
                <w:szCs w:val="22"/>
                <w:u w:val="single"/>
              </w:rPr>
              <w:t>Тело/хвост поджелудочной железы:</w:t>
            </w:r>
          </w:p>
          <w:p w14:paraId="56BF602A" w14:textId="77777777" w:rsidR="008C61CE" w:rsidRPr="003161E3" w:rsidRDefault="008C61CE" w:rsidP="004E104D">
            <w:pPr>
              <w:pStyle w:val="HTML0"/>
              <w:spacing w:line="360" w:lineRule="auto"/>
              <w:rPr>
                <w:rStyle w:val="y2iqfc"/>
                <w:rFonts w:ascii="Times New Roman" w:hAnsi="Times New Roman" w:cs="Times New Roman"/>
                <w:color w:val="202124"/>
                <w:sz w:val="22"/>
                <w:szCs w:val="22"/>
              </w:rPr>
            </w:pPr>
            <w:r w:rsidRPr="003161E3">
              <w:rPr>
                <w:rStyle w:val="y2iqfc"/>
                <w:rFonts w:ascii="Times New Roman" w:hAnsi="Times New Roman" w:cs="Times New Roman"/>
                <w:color w:val="202124"/>
                <w:sz w:val="22"/>
                <w:szCs w:val="22"/>
              </w:rPr>
              <w:t xml:space="preserve">• Контакт солидной опухоли &gt;180° с </w:t>
            </w:r>
            <w:r>
              <w:rPr>
                <w:rStyle w:val="y2iqfc"/>
                <w:rFonts w:ascii="Times New Roman" w:hAnsi="Times New Roman" w:cs="Times New Roman"/>
                <w:color w:val="202124"/>
                <w:sz w:val="22"/>
                <w:szCs w:val="22"/>
              </w:rPr>
              <w:t>ВБА</w:t>
            </w:r>
            <w:r w:rsidRPr="003161E3">
              <w:rPr>
                <w:rStyle w:val="y2iqfc"/>
                <w:rFonts w:ascii="Times New Roman" w:hAnsi="Times New Roman" w:cs="Times New Roman"/>
                <w:color w:val="202124"/>
                <w:sz w:val="22"/>
                <w:szCs w:val="22"/>
              </w:rPr>
              <w:t xml:space="preserve"> или </w:t>
            </w:r>
            <w:r>
              <w:rPr>
                <w:rStyle w:val="y2iqfc"/>
                <w:rFonts w:ascii="Times New Roman" w:hAnsi="Times New Roman" w:cs="Times New Roman"/>
                <w:color w:val="202124"/>
                <w:sz w:val="22"/>
                <w:szCs w:val="22"/>
              </w:rPr>
              <w:t>ЧС</w:t>
            </w:r>
            <w:r w:rsidRPr="003161E3">
              <w:rPr>
                <w:rStyle w:val="y2iqfc"/>
                <w:rFonts w:ascii="Times New Roman" w:hAnsi="Times New Roman" w:cs="Times New Roman"/>
                <w:color w:val="202124"/>
                <w:sz w:val="22"/>
                <w:szCs w:val="22"/>
              </w:rPr>
              <w:t>.</w:t>
            </w:r>
          </w:p>
          <w:p w14:paraId="06D8FD29" w14:textId="77777777" w:rsidR="008C61CE" w:rsidRPr="003161E3" w:rsidRDefault="008C61CE" w:rsidP="004E104D">
            <w:pPr>
              <w:pStyle w:val="HTML0"/>
              <w:spacing w:line="360" w:lineRule="auto"/>
              <w:rPr>
                <w:rFonts w:ascii="Times New Roman" w:hAnsi="Times New Roman" w:cs="Times New Roman"/>
                <w:color w:val="202124"/>
                <w:sz w:val="22"/>
                <w:szCs w:val="22"/>
              </w:rPr>
            </w:pPr>
            <w:r w:rsidRPr="003161E3">
              <w:rPr>
                <w:rStyle w:val="y2iqfc"/>
                <w:rFonts w:ascii="Times New Roman" w:hAnsi="Times New Roman" w:cs="Times New Roman"/>
                <w:color w:val="202124"/>
                <w:sz w:val="22"/>
                <w:szCs w:val="22"/>
              </w:rPr>
              <w:t xml:space="preserve">• Контакт солидной опухоли с </w:t>
            </w:r>
            <w:r>
              <w:rPr>
                <w:rStyle w:val="y2iqfc"/>
                <w:rFonts w:ascii="Times New Roman" w:hAnsi="Times New Roman" w:cs="Times New Roman"/>
                <w:color w:val="202124"/>
                <w:sz w:val="22"/>
                <w:szCs w:val="22"/>
              </w:rPr>
              <w:t>ЧС</w:t>
            </w:r>
            <w:r w:rsidRPr="003161E3">
              <w:rPr>
                <w:rStyle w:val="y2iqfc"/>
                <w:rFonts w:ascii="Times New Roman" w:hAnsi="Times New Roman" w:cs="Times New Roman"/>
                <w:color w:val="202124"/>
                <w:sz w:val="22"/>
                <w:szCs w:val="22"/>
              </w:rPr>
              <w:t xml:space="preserve"> и вовлечение аорты</w:t>
            </w:r>
            <w:r>
              <w:rPr>
                <w:rStyle w:val="y2iqfc"/>
                <w:rFonts w:ascii="Times New Roman" w:hAnsi="Times New Roman" w:cs="Times New Roman"/>
                <w:color w:val="202124"/>
                <w:sz w:val="22"/>
                <w:szCs w:val="22"/>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74AF76" w14:textId="77777777" w:rsidR="008C61CE" w:rsidRPr="004E104D" w:rsidRDefault="008C61CE" w:rsidP="004E104D">
            <w:pPr>
              <w:widowControl w:val="0"/>
              <w:ind w:firstLine="0"/>
              <w:rPr>
                <w:lang w:val="ru-RU"/>
              </w:rPr>
            </w:pPr>
            <w:r w:rsidRPr="004E104D">
              <w:rPr>
                <w:lang w:val="ru-RU"/>
              </w:rPr>
              <w:t>Отсутствие перспектив реконструкции ВБВ/ВВ из-за вовлечения опухоли или окклюзии (из-за опухоли или тромба).</w:t>
            </w:r>
          </w:p>
        </w:tc>
      </w:tr>
    </w:tbl>
    <w:p w14:paraId="1D096A35" w14:textId="2C464C75" w:rsidR="00007821" w:rsidRPr="00A83E0C" w:rsidRDefault="00007821" w:rsidP="00537A85">
      <w:pPr>
        <w:pStyle w:val="2"/>
      </w:pPr>
      <w:r w:rsidRPr="00A83E0C">
        <w:t xml:space="preserve">Если при операции по поводу рака головки поджелудочной железы </w:t>
      </w:r>
      <w:r w:rsidR="00175ADB" w:rsidRPr="00A83E0C">
        <w:t xml:space="preserve">у пациента </w:t>
      </w:r>
      <w:r w:rsidRPr="00A83E0C">
        <w:t xml:space="preserve">процесс </w:t>
      </w:r>
      <w:r w:rsidRPr="003D423D">
        <w:t>признается нерезектабельным</w:t>
      </w:r>
      <w:r w:rsidR="00492D09" w:rsidRPr="003D423D">
        <w:t>,</w:t>
      </w:r>
      <w:r w:rsidR="00BB0989" w:rsidRPr="003D423D">
        <w:t xml:space="preserve"> и есть угроза </w:t>
      </w:r>
      <w:r w:rsidR="00156EB8" w:rsidRPr="003D423D">
        <w:t xml:space="preserve">развития </w:t>
      </w:r>
      <w:r w:rsidR="00BB0989" w:rsidRPr="003D423D">
        <w:t>кишечной непроходимости и/или механической желтухи</w:t>
      </w:r>
      <w:r w:rsidR="00156EB8" w:rsidRPr="003D423D">
        <w:t xml:space="preserve"> в ближайшие сроки</w:t>
      </w:r>
      <w:r w:rsidRPr="003D423D">
        <w:t xml:space="preserve">, </w:t>
      </w:r>
      <w:r w:rsidRPr="003D423D">
        <w:rPr>
          <w:b/>
        </w:rPr>
        <w:t xml:space="preserve">рекомендуется </w:t>
      </w:r>
      <w:r w:rsidRPr="003D423D">
        <w:lastRenderedPageBreak/>
        <w:t xml:space="preserve">выполнить формирование обходных анастомозов для профилактики механической желтухи и </w:t>
      </w:r>
      <w:r w:rsidR="00AE38A7" w:rsidRPr="003D423D">
        <w:t>гастростаза</w:t>
      </w:r>
      <w:r w:rsidR="00CB323C" w:rsidRPr="003D423D">
        <w:t xml:space="preserve"> </w:t>
      </w:r>
      <w:r w:rsidR="00C15198" w:rsidRPr="003D423D">
        <w:fldChar w:fldCharType="begin"/>
      </w:r>
      <w:r w:rsidR="00D10A7E">
        <w:instrText xml:space="preserve"> ADDIN ZOTERO_ITEM CSL_CITATION {"citationID":"4QIdQF0d","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3D423D">
        <w:fldChar w:fldCharType="separate"/>
      </w:r>
      <w:r w:rsidR="00D10A7E" w:rsidRPr="00D10A7E">
        <w:t>[19,21]</w:t>
      </w:r>
      <w:r w:rsidR="00C15198" w:rsidRPr="003D423D">
        <w:fldChar w:fldCharType="end"/>
      </w:r>
      <w:r w:rsidR="00054FE0" w:rsidRPr="003D423D">
        <w:t>.</w:t>
      </w:r>
    </w:p>
    <w:p w14:paraId="0D3C4155" w14:textId="77777777" w:rsidR="00007821" w:rsidRPr="00A83E0C" w:rsidRDefault="00007821" w:rsidP="00DC7BE7">
      <w:pPr>
        <w:rPr>
          <w:b/>
          <w:lang w:val="ru-RU"/>
        </w:rPr>
      </w:pPr>
      <w:r w:rsidRPr="00A83E0C">
        <w:rPr>
          <w:b/>
          <w:lang w:val="ru-RU"/>
        </w:rPr>
        <w:t>Урове</w:t>
      </w:r>
      <w:r w:rsidR="00A63848" w:rsidRPr="00A83E0C">
        <w:rPr>
          <w:b/>
          <w:lang w:val="ru-RU"/>
        </w:rPr>
        <w:t>нь убедительности рекомендаций</w:t>
      </w:r>
      <w:r w:rsidRPr="00A83E0C">
        <w:rPr>
          <w:b/>
          <w:lang w:val="ru-RU"/>
        </w:rPr>
        <w:t xml:space="preserve"> С (уровен</w:t>
      </w:r>
      <w:r w:rsidR="00A63848" w:rsidRPr="00A83E0C">
        <w:rPr>
          <w:b/>
          <w:lang w:val="ru-RU"/>
        </w:rPr>
        <w:t xml:space="preserve">ь достоверности доказательств </w:t>
      </w:r>
      <w:r w:rsidR="004708A5" w:rsidRPr="00A83E0C">
        <w:rPr>
          <w:b/>
          <w:lang w:val="ru-RU"/>
        </w:rPr>
        <w:t>5</w:t>
      </w:r>
      <w:r w:rsidRPr="00A83E0C">
        <w:rPr>
          <w:b/>
          <w:lang w:val="ru-RU"/>
        </w:rPr>
        <w:t>)</w:t>
      </w:r>
    </w:p>
    <w:p w14:paraId="5BA317B2" w14:textId="5CB41F4D" w:rsidR="00F64951" w:rsidRPr="00A83E0C" w:rsidRDefault="009E10EC" w:rsidP="00537A85">
      <w:pPr>
        <w:pStyle w:val="2"/>
      </w:pPr>
      <w:r w:rsidRPr="00A83E0C">
        <w:t xml:space="preserve">В случае </w:t>
      </w:r>
      <w:r w:rsidR="008332C8" w:rsidRPr="00A83E0C">
        <w:t>тяжелых сопутствующих заболеваний</w:t>
      </w:r>
      <w:r w:rsidR="00A46574">
        <w:t xml:space="preserve"> у пациентов с неметастатическим раком поджелудочной железы</w:t>
      </w:r>
      <w:r w:rsidRPr="00A83E0C">
        <w:t xml:space="preserve">, </w:t>
      </w:r>
      <w:r w:rsidR="00F924E3" w:rsidRPr="00A83E0C">
        <w:t>исключающ</w:t>
      </w:r>
      <w:r w:rsidR="00F924E3">
        <w:t>их</w:t>
      </w:r>
      <w:r w:rsidR="00F924E3" w:rsidRPr="00A83E0C">
        <w:t xml:space="preserve"> </w:t>
      </w:r>
      <w:r w:rsidRPr="00A83E0C">
        <w:t>выполнение оперативного вмешательства</w:t>
      </w:r>
      <w:r w:rsidR="00492D09" w:rsidRPr="00A83E0C">
        <w:t>,</w:t>
      </w:r>
      <w:r w:rsidRPr="00A83E0C" w:rsidDel="009E10EC">
        <w:rPr>
          <w:rFonts w:eastAsia="GalsLightC"/>
        </w:rPr>
        <w:t xml:space="preserve"> </w:t>
      </w:r>
      <w:r w:rsidR="00CD2745" w:rsidRPr="00A83E0C">
        <w:rPr>
          <w:b/>
        </w:rPr>
        <w:t xml:space="preserve">рекомендуется </w:t>
      </w:r>
      <w:r w:rsidR="00CD2745" w:rsidRPr="00A83E0C">
        <w:t>прове</w:t>
      </w:r>
      <w:r w:rsidR="00B312A6" w:rsidRPr="00A83E0C">
        <w:t>де</w:t>
      </w:r>
      <w:r w:rsidR="00CD2745" w:rsidRPr="00A83E0C">
        <w:t xml:space="preserve">ние паллиативного </w:t>
      </w:r>
      <w:r w:rsidR="00355C90" w:rsidRPr="00A83E0C">
        <w:t xml:space="preserve">лекарственного </w:t>
      </w:r>
      <w:r w:rsidR="00CD2745" w:rsidRPr="00A83E0C">
        <w:t>лечения</w:t>
      </w:r>
      <w:r w:rsidR="00054FE0" w:rsidRPr="00A83E0C">
        <w:t>,</w:t>
      </w:r>
      <w:r w:rsidR="00CD2745" w:rsidRPr="00A83E0C">
        <w:t xml:space="preserve"> </w:t>
      </w:r>
      <w:r w:rsidR="00054FE0" w:rsidRPr="00A83E0C">
        <w:t xml:space="preserve">миниинвазивных процедур (например, </w:t>
      </w:r>
      <w:r w:rsidR="009E4337" w:rsidRPr="00A83E0C">
        <w:rPr>
          <w:rFonts w:eastAsia="GalsLightC"/>
        </w:rPr>
        <w:t>чрескожная чреспеченочная холангиостомия</w:t>
      </w:r>
      <w:r w:rsidR="009E4337" w:rsidRPr="00A83E0C">
        <w:t xml:space="preserve"> </w:t>
      </w:r>
      <w:r w:rsidR="00054FE0" w:rsidRPr="00A83E0C">
        <w:t>ЧЧХС, стентирование общего желчного протока, стентирование двенадцатиперстной кишки) для купирования симптомов желтухи или высокой тонкокишечной непроходимости</w:t>
      </w:r>
      <w:r w:rsidR="004E1A29" w:rsidRPr="00A83E0C">
        <w:t>, а также</w:t>
      </w:r>
      <w:r w:rsidR="00F64951" w:rsidRPr="00A83E0C">
        <w:t xml:space="preserve"> </w:t>
      </w:r>
      <w:r w:rsidR="00CD2745" w:rsidRPr="00A83E0C">
        <w:t>симптоматической терапии</w:t>
      </w:r>
      <w:r w:rsidR="00CB323C" w:rsidRPr="00A83E0C">
        <w:t xml:space="preserve"> </w:t>
      </w:r>
      <w:r w:rsidR="00C15198" w:rsidRPr="00A83E0C">
        <w:fldChar w:fldCharType="begin"/>
      </w:r>
      <w:r w:rsidR="00D10A7E">
        <w:instrText xml:space="preserve"> ADDIN ZOTERO_ITEM CSL_CITATION {"citationID":"bjUicGl7","properties":{"formattedCitation":"[19,21]","plainCitation":"[19,21]","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fldChar w:fldCharType="separate"/>
      </w:r>
      <w:r w:rsidR="00D10A7E" w:rsidRPr="00D10A7E">
        <w:t>[19,21]</w:t>
      </w:r>
      <w:r w:rsidR="00C15198" w:rsidRPr="00A83E0C">
        <w:fldChar w:fldCharType="end"/>
      </w:r>
      <w:r w:rsidR="00054FE0" w:rsidRPr="00A83E0C">
        <w:t>.</w:t>
      </w:r>
    </w:p>
    <w:p w14:paraId="1AD0DBE3" w14:textId="77777777" w:rsidR="00C54958" w:rsidRPr="00A83E0C" w:rsidRDefault="00C54958" w:rsidP="00DC7BE7">
      <w:pPr>
        <w:pStyle w:val="33"/>
        <w:rPr>
          <w:color w:val="auto"/>
          <w:lang w:val="ru-RU"/>
        </w:rPr>
      </w:pPr>
      <w:r w:rsidRPr="00A83E0C">
        <w:rPr>
          <w:color w:val="auto"/>
          <w:lang w:val="ru-RU"/>
        </w:rPr>
        <w:t>Урове</w:t>
      </w:r>
      <w:r w:rsidR="00A63848" w:rsidRPr="00A83E0C">
        <w:rPr>
          <w:color w:val="auto"/>
          <w:lang w:val="ru-RU"/>
        </w:rPr>
        <w:t>нь убедительности рекомендаций</w:t>
      </w:r>
      <w:r w:rsidRPr="00A83E0C">
        <w:rPr>
          <w:color w:val="auto"/>
          <w:lang w:val="ru-RU"/>
        </w:rPr>
        <w:t xml:space="preserve"> </w:t>
      </w:r>
      <w:r w:rsidR="00075008" w:rsidRPr="00A83E0C">
        <w:rPr>
          <w:color w:val="auto"/>
        </w:rPr>
        <w:t>C</w:t>
      </w:r>
      <w:r w:rsidRPr="00A83E0C">
        <w:rPr>
          <w:color w:val="auto"/>
          <w:lang w:val="ru-RU"/>
        </w:rPr>
        <w:t xml:space="preserve"> (уровен</w:t>
      </w:r>
      <w:r w:rsidR="00A63848" w:rsidRPr="00A83E0C">
        <w:rPr>
          <w:color w:val="auto"/>
          <w:lang w:val="ru-RU"/>
        </w:rPr>
        <w:t xml:space="preserve">ь достоверности доказательств </w:t>
      </w:r>
      <w:r w:rsidR="004708A5" w:rsidRPr="00A83E0C">
        <w:rPr>
          <w:color w:val="auto"/>
          <w:lang w:val="ru-RU"/>
        </w:rPr>
        <w:t>5</w:t>
      </w:r>
      <w:r w:rsidRPr="00A83E0C">
        <w:rPr>
          <w:color w:val="auto"/>
          <w:lang w:val="ru-RU"/>
        </w:rPr>
        <w:t>)</w:t>
      </w:r>
    </w:p>
    <w:p w14:paraId="59904D3C" w14:textId="5EF48E94" w:rsidR="008E19FC" w:rsidRPr="00300001" w:rsidRDefault="00F64951" w:rsidP="00AB423C">
      <w:pPr>
        <w:pStyle w:val="aff2"/>
        <w:ind w:firstLine="708"/>
      </w:pPr>
      <w:r w:rsidRPr="00A83E0C">
        <w:rPr>
          <w:b/>
          <w:i w:val="0"/>
        </w:rPr>
        <w:t>Комментарии</w:t>
      </w:r>
      <w:r w:rsidRPr="00A83E0C">
        <w:t xml:space="preserve">: </w:t>
      </w:r>
      <w:r w:rsidR="008878EB" w:rsidRPr="00A83E0C">
        <w:t>р</w:t>
      </w:r>
      <w:r w:rsidR="00625FD8" w:rsidRPr="00A83E0C">
        <w:t xml:space="preserve">ешение о </w:t>
      </w:r>
      <w:r w:rsidR="004727E7" w:rsidRPr="00A83E0C">
        <w:t>невозможности</w:t>
      </w:r>
      <w:r w:rsidR="00625FD8" w:rsidRPr="00A83E0C">
        <w:t xml:space="preserve"> хирургическо</w:t>
      </w:r>
      <w:r w:rsidR="004727E7" w:rsidRPr="00A83E0C">
        <w:t>го</w:t>
      </w:r>
      <w:r w:rsidR="00625FD8" w:rsidRPr="00A83E0C">
        <w:t xml:space="preserve"> лечени</w:t>
      </w:r>
      <w:r w:rsidR="004727E7" w:rsidRPr="00A83E0C">
        <w:t>я</w:t>
      </w:r>
      <w:r w:rsidR="00625FD8" w:rsidRPr="00A83E0C">
        <w:t xml:space="preserve"> может приниматься только на </w:t>
      </w:r>
      <w:r w:rsidR="00300001">
        <w:t xml:space="preserve">онкологическом </w:t>
      </w:r>
      <w:r w:rsidR="00625FD8" w:rsidRPr="00A83E0C">
        <w:t xml:space="preserve">консилиуме с участием </w:t>
      </w:r>
      <w:r w:rsidR="006937EE">
        <w:t>врачей-специалистов по проведению различных видов противоопухолевого лечения (хирургического, лекарственного, радиотерапевтического)</w:t>
      </w:r>
      <w:r w:rsidR="006937EE" w:rsidRPr="00A83E0C">
        <w:t xml:space="preserve"> </w:t>
      </w:r>
      <w:r w:rsidR="006937EE">
        <w:t>и</w:t>
      </w:r>
      <w:r w:rsidR="00300001">
        <w:t xml:space="preserve"> приглашением для участия в консилиуме </w:t>
      </w:r>
      <w:r w:rsidR="00F571FD" w:rsidRPr="00A83E0C">
        <w:t>врача-</w:t>
      </w:r>
      <w:r w:rsidR="00075008" w:rsidRPr="00A83E0C">
        <w:t xml:space="preserve">терапевта, </w:t>
      </w:r>
      <w:r w:rsidR="00F571FD" w:rsidRPr="00A83E0C">
        <w:t>врача-</w:t>
      </w:r>
      <w:r w:rsidR="00075008" w:rsidRPr="00A83E0C">
        <w:t>анестезиолога</w:t>
      </w:r>
      <w:r w:rsidR="00F571FD" w:rsidRPr="00A83E0C">
        <w:t>-</w:t>
      </w:r>
      <w:r w:rsidR="00625FD8" w:rsidRPr="00A83E0C">
        <w:t xml:space="preserve">реаниматолога. </w:t>
      </w:r>
    </w:p>
    <w:p w14:paraId="0FEFD25D" w14:textId="43BDF6A2" w:rsidR="00C661AD" w:rsidRPr="00A83E0C" w:rsidRDefault="00175ADB" w:rsidP="00537A85">
      <w:pPr>
        <w:pStyle w:val="2"/>
      </w:pPr>
      <w:r w:rsidRPr="00A83E0C">
        <w:t xml:space="preserve">У пациентов с </w:t>
      </w:r>
      <w:r w:rsidR="00ED7DC5" w:rsidRPr="00A83E0C">
        <w:t>локализаци</w:t>
      </w:r>
      <w:r w:rsidRPr="00A83E0C">
        <w:t>ей</w:t>
      </w:r>
      <w:r w:rsidR="00ED7DC5" w:rsidRPr="00A83E0C">
        <w:t xml:space="preserve"> </w:t>
      </w:r>
      <w:r w:rsidR="00E43263" w:rsidRPr="00A83E0C">
        <w:t>образования</w:t>
      </w:r>
      <w:r w:rsidR="00ED7DC5" w:rsidRPr="00A83E0C">
        <w:t xml:space="preserve"> в </w:t>
      </w:r>
      <w:r w:rsidR="00C661AD" w:rsidRPr="00A83E0C">
        <w:t xml:space="preserve">головке поджелудочной железы </w:t>
      </w:r>
      <w:r w:rsidR="00C661AD" w:rsidRPr="00A83E0C">
        <w:rPr>
          <w:b/>
        </w:rPr>
        <w:t>рекомендуется</w:t>
      </w:r>
      <w:r w:rsidR="00C661AD" w:rsidRPr="00A83E0C">
        <w:t xml:space="preserve"> </w:t>
      </w:r>
      <w:r w:rsidR="00F924E3" w:rsidRPr="00A83E0C">
        <w:t>выполн</w:t>
      </w:r>
      <w:r w:rsidR="00F924E3">
        <w:t>и</w:t>
      </w:r>
      <w:r w:rsidR="00F924E3" w:rsidRPr="00A83E0C">
        <w:t xml:space="preserve">ть </w:t>
      </w:r>
      <w:r w:rsidR="00C661AD" w:rsidRPr="00A83E0C">
        <w:t>гастропанкреатодуоденальную резекцию</w:t>
      </w:r>
      <w:r w:rsidR="00CB323C" w:rsidRPr="00A83E0C">
        <w:t xml:space="preserve"> </w:t>
      </w:r>
      <w:r w:rsidR="00C15198" w:rsidRPr="00A83E0C">
        <w:fldChar w:fldCharType="begin"/>
      </w:r>
      <w:r w:rsidR="004034C1">
        <w:instrText xml:space="preserve"> ADDIN ZOTERO_ITEM CSL_CITATION {"citationID":"GgybTfn6","properties":{"formattedCitation":"[21,49]","plainCitation":"[21,49]","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246,"uris":["http://zotero.org/users/5363772/items/58BATDXW",["http://zotero.org/users/5363772/items/58BATDXW"]],"itemData":{"id":246,"type":"article-journal","issue":"8","journalAbbreviation":"Хирургия. Журнал им. Н.И. Пирогова","page":"41-46","title":"Гепатопанкреатодуоденальная резекция - есть ли перспективы?","author":[{"family":"Патютко","given":"Юрий Иванович"}],"issued":{"date-parts":[["2011"]]}}}],"schema":"https://github.com/citation-style-language/schema/raw/master/csl-citation.json"} </w:instrText>
      </w:r>
      <w:r w:rsidR="00C15198" w:rsidRPr="00A83E0C">
        <w:fldChar w:fldCharType="separate"/>
      </w:r>
      <w:r w:rsidR="004034C1" w:rsidRPr="004034C1">
        <w:t>[21,49]</w:t>
      </w:r>
      <w:r w:rsidR="00C15198" w:rsidRPr="00A83E0C">
        <w:fldChar w:fldCharType="end"/>
      </w:r>
      <w:r w:rsidR="00291FB8" w:rsidRPr="00A83E0C">
        <w:t>.</w:t>
      </w:r>
    </w:p>
    <w:p w14:paraId="7E65EBE9" w14:textId="77777777" w:rsidR="00380D29" w:rsidRPr="00A83E0C" w:rsidRDefault="00380D29" w:rsidP="00724815">
      <w:pPr>
        <w:pStyle w:val="33"/>
        <w:rPr>
          <w:color w:val="auto"/>
          <w:lang w:val="ru-RU"/>
        </w:rPr>
      </w:pPr>
      <w:r w:rsidRPr="00A83E0C">
        <w:rPr>
          <w:color w:val="auto"/>
          <w:lang w:val="ru-RU"/>
        </w:rPr>
        <w:t>Уровень</w:t>
      </w:r>
      <w:r w:rsidRPr="00A83E0C">
        <w:rPr>
          <w:b w:val="0"/>
          <w:color w:val="auto"/>
          <w:lang w:val="ru-RU"/>
        </w:rPr>
        <w:t xml:space="preserve"> </w:t>
      </w:r>
      <w:r w:rsidRPr="00A83E0C">
        <w:rPr>
          <w:color w:val="auto"/>
          <w:lang w:val="ru-RU"/>
        </w:rPr>
        <w:t>убедительности р</w:t>
      </w:r>
      <w:r w:rsidR="00A63848" w:rsidRPr="00A83E0C">
        <w:rPr>
          <w:color w:val="auto"/>
          <w:lang w:val="ru-RU"/>
        </w:rPr>
        <w:t>екомендаций</w:t>
      </w:r>
      <w:r w:rsidRPr="00A83E0C">
        <w:rPr>
          <w:color w:val="auto"/>
          <w:lang w:val="ru-RU"/>
        </w:rPr>
        <w:t xml:space="preserve"> </w:t>
      </w:r>
      <w:r w:rsidR="004708A5" w:rsidRPr="00A83E0C">
        <w:rPr>
          <w:color w:val="auto"/>
          <w:lang w:val="ru-RU"/>
        </w:rPr>
        <w:t xml:space="preserve">С </w:t>
      </w:r>
      <w:r w:rsidR="00447D88" w:rsidRPr="00A83E0C">
        <w:rPr>
          <w:color w:val="auto"/>
          <w:lang w:val="ru-RU"/>
        </w:rPr>
        <w:t>(уровен</w:t>
      </w:r>
      <w:r w:rsidR="00A63848" w:rsidRPr="00A83E0C">
        <w:rPr>
          <w:color w:val="auto"/>
          <w:lang w:val="ru-RU"/>
        </w:rPr>
        <w:t xml:space="preserve">ь достоверности доказательств </w:t>
      </w:r>
      <w:r w:rsidR="00964910" w:rsidRPr="00964910">
        <w:rPr>
          <w:color w:val="auto"/>
          <w:lang w:val="ru-RU"/>
        </w:rPr>
        <w:t>4</w:t>
      </w:r>
      <w:r w:rsidR="00447D88" w:rsidRPr="00A83E0C">
        <w:rPr>
          <w:color w:val="auto"/>
          <w:lang w:val="ru-RU"/>
        </w:rPr>
        <w:t>)</w:t>
      </w:r>
    </w:p>
    <w:p w14:paraId="27183757" w14:textId="77777777" w:rsidR="006E6613" w:rsidRPr="00A83E0C" w:rsidRDefault="00C661AD" w:rsidP="00221CEC">
      <w:pPr>
        <w:pStyle w:val="aff2"/>
        <w:ind w:firstLine="708"/>
      </w:pPr>
      <w:r w:rsidRPr="00A83E0C">
        <w:rPr>
          <w:b/>
          <w:i w:val="0"/>
        </w:rPr>
        <w:t>Комментарий</w:t>
      </w:r>
      <w:r w:rsidRPr="00A83E0C">
        <w:t xml:space="preserve">: </w:t>
      </w:r>
      <w:r w:rsidR="007413B5" w:rsidRPr="00A83E0C">
        <w:t>стандартный объем лимфодиссекции предполагает удаление следующих лимфатических узлов: надпилорические и подпилорические лимфатические узлы, лимфоузлы по ходу печеночной артерии и чревного ствола с его ветвями, лимфоузлы вдоль общего желчного протока, лимфоузлы вокруг пузырного протока, ретропанкреатические лимфоузлы, лимфоузлы по нижнему краю головки поджелудочной железы, лимфоузлы по правой полуокружности верхней брыжеечной артерии, лимфоузлы по верхнему краю головки поджелудочной железы. П</w:t>
      </w:r>
      <w:r w:rsidRPr="00A83E0C">
        <w:t xml:space="preserve">ри </w:t>
      </w:r>
      <w:r w:rsidR="009E10EC" w:rsidRPr="00A83E0C">
        <w:t>отсут</w:t>
      </w:r>
      <w:r w:rsidR="00492D09" w:rsidRPr="00A83E0C">
        <w:t>ст</w:t>
      </w:r>
      <w:r w:rsidR="009E10EC" w:rsidRPr="00A83E0C">
        <w:t xml:space="preserve">вии </w:t>
      </w:r>
      <w:r w:rsidR="007413B5" w:rsidRPr="00A83E0C">
        <w:t>опухолевой инвазии</w:t>
      </w:r>
      <w:r w:rsidR="008332C8" w:rsidRPr="00A83E0C">
        <w:t xml:space="preserve"> магистральных сосудов</w:t>
      </w:r>
      <w:r w:rsidR="008332C8" w:rsidRPr="00A83E0C" w:rsidDel="009E10EC">
        <w:t xml:space="preserve"> </w:t>
      </w:r>
      <w:r w:rsidRPr="00A83E0C">
        <w:t xml:space="preserve">и достаточном опыте хирурга возможно выполнение операции лапароскопическим доступом. </w:t>
      </w:r>
    </w:p>
    <w:p w14:paraId="670FDB72" w14:textId="51C4838F" w:rsidR="00C661AD" w:rsidRPr="00A83E0C" w:rsidRDefault="00175ADB" w:rsidP="00537A85">
      <w:pPr>
        <w:pStyle w:val="2"/>
      </w:pPr>
      <w:r w:rsidRPr="00A83E0C">
        <w:t xml:space="preserve">У пациентов с </w:t>
      </w:r>
      <w:r w:rsidR="00C661AD" w:rsidRPr="00A83E0C">
        <w:t>локализаци</w:t>
      </w:r>
      <w:r w:rsidRPr="00A83E0C">
        <w:t>ей</w:t>
      </w:r>
      <w:r w:rsidR="00C661AD" w:rsidRPr="00A83E0C">
        <w:t xml:space="preserve"> </w:t>
      </w:r>
      <w:r w:rsidR="004E3A8F" w:rsidRPr="00A83E0C">
        <w:t>карциномы</w:t>
      </w:r>
      <w:r w:rsidR="00C661AD" w:rsidRPr="00A83E0C">
        <w:t xml:space="preserve"> в теле или хвосте поджелудочной железы </w:t>
      </w:r>
      <w:r w:rsidR="00C661AD" w:rsidRPr="00A83E0C">
        <w:rPr>
          <w:b/>
        </w:rPr>
        <w:t>рекомендуется</w:t>
      </w:r>
      <w:r w:rsidR="00C661AD" w:rsidRPr="00A83E0C">
        <w:t xml:space="preserve"> выполнять дистальную субтотальную резекцию поджелудочной железы, включающую удаление тела, хвоста железы, а также селезенки</w:t>
      </w:r>
      <w:r w:rsidR="00CB323C" w:rsidRPr="00A83E0C">
        <w:t xml:space="preserve"> </w:t>
      </w:r>
      <w:r w:rsidR="00C15198" w:rsidRPr="00A83E0C">
        <w:fldChar w:fldCharType="begin"/>
      </w:r>
      <w:r w:rsidR="004034C1">
        <w:instrText xml:space="preserve"> ADDIN ZOTERO_ITEM CSL_CITATION {"citationID":"Xh0vz1FF","properties":{"formattedCitation":"[21,50]","plainCitation":"[21,50]","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247,"uris":["http://zotero.org/users/5363772/items/9NTVB74N",["http://zotero.org/users/5363772/items/9NTVB74N"]],"itemData":{"id":247,"type":"article-journal","issue":"2","journalAbbreviation":"Хирургия. Журнал им. Н.И. Пирогова","page":"70-73","title":"Проксимальная и дистальная резекция поджелудочной железы с сохранением тела","author":[{"family":"Патютко","given":"Юрий Иванович"}],"issued":{"date-parts":[["2012"]]}}}],"schema":"https://github.com/citation-style-language/schema/raw/master/csl-citation.json"} </w:instrText>
      </w:r>
      <w:r w:rsidR="00C15198" w:rsidRPr="00A83E0C">
        <w:fldChar w:fldCharType="separate"/>
      </w:r>
      <w:r w:rsidR="004034C1" w:rsidRPr="004034C1">
        <w:t>[21,50]</w:t>
      </w:r>
      <w:r w:rsidR="00C15198" w:rsidRPr="00A83E0C">
        <w:fldChar w:fldCharType="end"/>
      </w:r>
      <w:r w:rsidR="00C661AD" w:rsidRPr="00A83E0C">
        <w:t>.</w:t>
      </w:r>
    </w:p>
    <w:p w14:paraId="66629242" w14:textId="77777777" w:rsidR="00C661AD" w:rsidRPr="00A83E0C" w:rsidRDefault="00C661AD" w:rsidP="00DC7BE7">
      <w:pPr>
        <w:pStyle w:val="33"/>
        <w:rPr>
          <w:color w:val="auto"/>
          <w:lang w:val="ru-RU"/>
        </w:rPr>
      </w:pPr>
      <w:r w:rsidRPr="00A83E0C">
        <w:rPr>
          <w:color w:val="auto"/>
          <w:lang w:val="ru-RU"/>
        </w:rPr>
        <w:lastRenderedPageBreak/>
        <w:t>Урове</w:t>
      </w:r>
      <w:r w:rsidR="00E17300" w:rsidRPr="00A83E0C">
        <w:rPr>
          <w:color w:val="auto"/>
          <w:lang w:val="ru-RU"/>
        </w:rPr>
        <w:t>нь убедительности рекомендаций</w:t>
      </w:r>
      <w:r w:rsidR="00453A71" w:rsidRPr="00A83E0C">
        <w:rPr>
          <w:color w:val="auto"/>
          <w:lang w:val="ru-RU"/>
        </w:rPr>
        <w:t xml:space="preserve"> </w:t>
      </w:r>
      <w:r w:rsidR="004708A5" w:rsidRPr="00A83E0C">
        <w:rPr>
          <w:color w:val="auto"/>
          <w:lang w:val="ru-RU"/>
        </w:rPr>
        <w:t xml:space="preserve">С </w:t>
      </w:r>
      <w:r w:rsidRPr="00A83E0C">
        <w:rPr>
          <w:color w:val="auto"/>
          <w:lang w:val="ru-RU"/>
        </w:rPr>
        <w:t>(урове</w:t>
      </w:r>
      <w:r w:rsidR="00A63848" w:rsidRPr="00A83E0C">
        <w:rPr>
          <w:color w:val="auto"/>
          <w:lang w:val="ru-RU"/>
        </w:rPr>
        <w:t>нь достоверности доказательств</w:t>
      </w:r>
      <w:r w:rsidRPr="00A83E0C">
        <w:rPr>
          <w:color w:val="auto"/>
          <w:lang w:val="ru-RU"/>
        </w:rPr>
        <w:t xml:space="preserve"> </w:t>
      </w:r>
      <w:r w:rsidR="00964910" w:rsidRPr="00964910">
        <w:rPr>
          <w:color w:val="auto"/>
          <w:lang w:val="ru-RU"/>
        </w:rPr>
        <w:t>4</w:t>
      </w:r>
      <w:r w:rsidRPr="00A83E0C">
        <w:rPr>
          <w:color w:val="auto"/>
          <w:lang w:val="ru-RU"/>
        </w:rPr>
        <w:t>)</w:t>
      </w:r>
    </w:p>
    <w:p w14:paraId="6E91D2C1" w14:textId="74431794" w:rsidR="006E6613" w:rsidRDefault="00C661AD" w:rsidP="00221CEC">
      <w:pPr>
        <w:ind w:firstLine="708"/>
        <w:rPr>
          <w:i/>
          <w:lang w:val="ru-RU"/>
        </w:rPr>
      </w:pPr>
      <w:r w:rsidRPr="00A83E0C">
        <w:rPr>
          <w:b/>
          <w:lang w:val="ru-RU"/>
        </w:rPr>
        <w:t>Комментарий</w:t>
      </w:r>
      <w:r w:rsidRPr="00A83E0C">
        <w:rPr>
          <w:lang w:val="ru-RU"/>
        </w:rPr>
        <w:t xml:space="preserve">: </w:t>
      </w:r>
      <w:r w:rsidRPr="00A83E0C">
        <w:rPr>
          <w:i/>
          <w:lang w:val="ru-RU"/>
        </w:rPr>
        <w:t xml:space="preserve">при технической возможности и достаточном опыте </w:t>
      </w:r>
      <w:r w:rsidR="00F571FD" w:rsidRPr="00A83E0C">
        <w:rPr>
          <w:i/>
          <w:lang w:val="ru-RU"/>
        </w:rPr>
        <w:t>врача-</w:t>
      </w:r>
      <w:r w:rsidR="00300001">
        <w:rPr>
          <w:i/>
          <w:lang w:val="ru-RU"/>
        </w:rPr>
        <w:t xml:space="preserve"> онколога</w:t>
      </w:r>
      <w:r w:rsidRPr="00A83E0C">
        <w:rPr>
          <w:i/>
          <w:lang w:val="ru-RU"/>
        </w:rPr>
        <w:t xml:space="preserve"> возможно выполнение операции лапароскопическим доступом. </w:t>
      </w:r>
      <w:r w:rsidR="00032D20" w:rsidRPr="00A83E0C">
        <w:rPr>
          <w:i/>
          <w:lang w:val="ru-RU"/>
        </w:rPr>
        <w:t>Р</w:t>
      </w:r>
      <w:r w:rsidRPr="00A83E0C">
        <w:rPr>
          <w:i/>
          <w:lang w:val="ru-RU"/>
        </w:rPr>
        <w:t>екомендовано удаление следующих групп лимфозулов: лимфоузлы ворот селезенки, лимфоузлы вдоль селезеночной артерии, лимфоузлы по ни</w:t>
      </w:r>
      <w:r w:rsidR="000A3C3A">
        <w:rPr>
          <w:i/>
          <w:lang w:val="ru-RU"/>
        </w:rPr>
        <w:t xml:space="preserve">жнему краю поджелудочной железы, </w:t>
      </w:r>
      <w:r w:rsidR="000A3C3A" w:rsidRPr="000A3C3A">
        <w:rPr>
          <w:i/>
          <w:lang w:val="ru-RU"/>
        </w:rPr>
        <w:t>вдоль общей печеной артерии и чревного ствола, расположенные вдоль левой полуокружности верхней брыжеечной артерии, средние ободочные лимфоузлы вдоль одноименной артерии.</w:t>
      </w:r>
    </w:p>
    <w:p w14:paraId="7C43974C" w14:textId="3E3996ED" w:rsidR="00E92D2C" w:rsidRPr="00E92D2C" w:rsidRDefault="00E92D2C" w:rsidP="00221CEC">
      <w:pPr>
        <w:ind w:firstLine="708"/>
        <w:rPr>
          <w:i/>
          <w:iCs/>
          <w:shd w:val="clear" w:color="auto" w:fill="FFFFFF"/>
          <w:lang w:val="ru-RU"/>
        </w:rPr>
      </w:pPr>
      <w:r w:rsidRPr="004E104D">
        <w:rPr>
          <w:i/>
          <w:iCs/>
          <w:lang w:val="ru-RU"/>
        </w:rPr>
        <w:t xml:space="preserve">Операция </w:t>
      </w:r>
      <w:r w:rsidRPr="004E104D">
        <w:rPr>
          <w:i/>
          <w:iCs/>
        </w:rPr>
        <w:t>Appleby</w:t>
      </w:r>
      <w:r w:rsidRPr="004E104D">
        <w:rPr>
          <w:i/>
          <w:iCs/>
          <w:lang w:val="ru-RU"/>
        </w:rPr>
        <w:t xml:space="preserve"> возможна только в специализированных клиниках с участием специалистов, имеющих опыт подобных вмешательств, на фоне стабилизации или частичного клинического ответа на предоперационную терапию.</w:t>
      </w:r>
    </w:p>
    <w:p w14:paraId="6B4F1BB7" w14:textId="3F6AB6BB" w:rsidR="00C661AD" w:rsidRPr="00A83E0C" w:rsidRDefault="00175ADB" w:rsidP="00537A85">
      <w:pPr>
        <w:pStyle w:val="2"/>
      </w:pPr>
      <w:r w:rsidRPr="00A83E0C">
        <w:t xml:space="preserve">У пациентов с </w:t>
      </w:r>
      <w:r w:rsidR="00007821" w:rsidRPr="00A83E0C">
        <w:t>поражени</w:t>
      </w:r>
      <w:r w:rsidRPr="00A83E0C">
        <w:t>ем</w:t>
      </w:r>
      <w:r w:rsidR="00007821" w:rsidRPr="00A83E0C">
        <w:t xml:space="preserve"> </w:t>
      </w:r>
      <w:r w:rsidR="004E3A8F" w:rsidRPr="00A83E0C">
        <w:t xml:space="preserve">карциномой </w:t>
      </w:r>
      <w:r w:rsidR="00007821" w:rsidRPr="00A83E0C">
        <w:t>всех отделов поджелудочной железы</w:t>
      </w:r>
      <w:r w:rsidR="00720589" w:rsidRPr="00A83E0C">
        <w:t xml:space="preserve"> </w:t>
      </w:r>
      <w:r w:rsidR="00007821" w:rsidRPr="00A83E0C">
        <w:rPr>
          <w:b/>
        </w:rPr>
        <w:t>рекомендуется</w:t>
      </w:r>
      <w:r w:rsidR="00007821" w:rsidRPr="00A83E0C">
        <w:t xml:space="preserve"> выполнить тотальную панкреатэктомию</w:t>
      </w:r>
      <w:r w:rsidR="00F40A1C" w:rsidRPr="00A83E0C">
        <w:t xml:space="preserve"> для увеличения выживаемости пациентов</w:t>
      </w:r>
      <w:r w:rsidR="00CB323C" w:rsidRPr="00A83E0C">
        <w:t xml:space="preserve"> </w:t>
      </w:r>
      <w:r w:rsidR="00C15198" w:rsidRPr="00A83E0C">
        <w:fldChar w:fldCharType="begin"/>
      </w:r>
      <w:r w:rsidR="004034C1">
        <w:instrText xml:space="preserve"> ADDIN ZOTERO_ITEM CSL_CITATION {"citationID":"6VUjia5k","properties":{"formattedCitation":"[21,59]","plainCitation":"[21,59]","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252,"uris":["http://zotero.org/users/5363772/items/HJ4V43ZE",["http://zotero.org/users/5363772/items/HJ4V43ZE"]],"itemData":{"id":252,"type":"article-journal","issue":"9","journalAbbreviation":"Хирургия. Журнал им. Н.И. Пирогова.","page":"13-20","title":"Тотальная панкреатэктомия при опухолевом поражении поджелудочной железы","author":[{"family":"Патютко","given":"Юрий Иванович"}],"issued":{"date-parts":[["2016"]]}}}],"schema":"https://github.com/citation-style-language/schema/raw/master/csl-citation.json"} </w:instrText>
      </w:r>
      <w:r w:rsidR="00C15198" w:rsidRPr="00A83E0C">
        <w:fldChar w:fldCharType="separate"/>
      </w:r>
      <w:r w:rsidR="004034C1" w:rsidRPr="004034C1">
        <w:t>[21,59]</w:t>
      </w:r>
      <w:r w:rsidR="00C15198" w:rsidRPr="00A83E0C">
        <w:fldChar w:fldCharType="end"/>
      </w:r>
      <w:r w:rsidR="00007821" w:rsidRPr="00A83E0C">
        <w:t>.</w:t>
      </w:r>
    </w:p>
    <w:p w14:paraId="54E72102" w14:textId="77777777" w:rsidR="00007821" w:rsidRPr="00A83E0C" w:rsidRDefault="00007821"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4708A5" w:rsidRPr="00A83E0C">
        <w:rPr>
          <w:color w:val="auto"/>
          <w:lang w:val="ru-RU"/>
        </w:rPr>
        <w:t xml:space="preserve">С </w:t>
      </w:r>
      <w:r w:rsidRPr="00A83E0C">
        <w:rPr>
          <w:color w:val="auto"/>
          <w:lang w:val="ru-RU"/>
        </w:rPr>
        <w:t xml:space="preserve">(уровень достоверности доказательств </w:t>
      </w:r>
      <w:r w:rsidR="00964910" w:rsidRPr="00964910">
        <w:rPr>
          <w:color w:val="auto"/>
          <w:lang w:val="ru-RU"/>
        </w:rPr>
        <w:t>4</w:t>
      </w:r>
      <w:r w:rsidRPr="00A83E0C">
        <w:rPr>
          <w:color w:val="auto"/>
          <w:lang w:val="ru-RU"/>
        </w:rPr>
        <w:t>)</w:t>
      </w:r>
    </w:p>
    <w:p w14:paraId="41EA285C" w14:textId="64D9A3A6" w:rsidR="006E6613" w:rsidRPr="00A83E0C" w:rsidRDefault="00175ADB" w:rsidP="00537A85">
      <w:pPr>
        <w:pStyle w:val="2"/>
      </w:pPr>
      <w:r w:rsidRPr="00A83E0C">
        <w:t>Пациентам с раком поджелудочной железы п</w:t>
      </w:r>
      <w:r w:rsidR="005D277E" w:rsidRPr="00A83E0C">
        <w:t xml:space="preserve">ри отсутствии медицинских противопоказаний </w:t>
      </w:r>
      <w:r w:rsidR="00AE0659" w:rsidRPr="00A83E0C">
        <w:t xml:space="preserve">при хирургическом вмешательстве </w:t>
      </w:r>
      <w:r w:rsidR="008C3ECA" w:rsidRPr="00A83E0C">
        <w:rPr>
          <w:b/>
        </w:rPr>
        <w:t>рекомендуется</w:t>
      </w:r>
      <w:r w:rsidR="005D277E" w:rsidRPr="00A83E0C">
        <w:t xml:space="preserve"> профилактика инфекционных осложнений антибактериальными лекарственными препаратами</w:t>
      </w:r>
      <w:r w:rsidR="00CB323C" w:rsidRPr="00A83E0C">
        <w:t xml:space="preserve"> </w:t>
      </w:r>
      <w:r w:rsidR="00C15198" w:rsidRPr="00A83E0C">
        <w:fldChar w:fldCharType="begin"/>
      </w:r>
      <w:r w:rsidR="004034C1">
        <w:instrText xml:space="preserve"> ADDIN ZOTERO_ITEM CSL_CITATION {"citationID":"fcxBiX1B","properties":{"formattedCitation":"[60]","plainCitation":"[60]","noteIndex":0},"citationItems":[{"id":1069,"uris":["http://zotero.org/users/5363772/items/WFF34GCL",["http://zotero.org/users/5363772/items/WFF34GCL"]],"itemData":{"id":1069,"type":"article-journal","abstract":"Background\n              . Bile contamination from the digestive tract is a well-known risk factor for postoperative complications. Despite the literature concerning prevalence of bacterobilia and fungobilia in patients with biliary pathologies, there are no specific recommendations for perioperative antimicrobial coverage for biliary/pancreatic procedures. We evaluated the effect of at least 72 hours of perioperative broad spectrum antibiotic coverage on outcomes of pancreaticoduodenectomy (PD).\n              Materials and Methods\n              . A retrospective review of all patients at Case Medical Center of Case Western Reserve University undergoing PD procedure, from 2006 to 2011, was performed (\n              \n                n\n                =\n                122\n              \n              ). Perioperative data including demographics, comorbidities, biliary instrumentation, antibiotic coverage, culture results, and postoperative outcomes were analyzed. Propensity score matching method was used to match the patients according to duration of antibiotic coverage into two groups: 72 hours (A72) and 24 hours (A24).\n              Results\n              . Longer broad spectrum antibiotic coverage in group A72 resulted in significantly less surgical site infections after PD, compared to routine 24 hours of perioperative antibiotics in group A24. This study did not reveal a statistically significant decrease in postoperative fungal infections in patients receiving preoperative antifungals.\n              Conclusion\n              . Prolonged perioperative antibiotic therapy in conjunction with intraoperative bile cultures decreases the short-term infectious complications of PD, with no significant increase in\n              Clostridium difficile\n              colitis incidence.","container-title":"HPB Surgery","DOI":"10.1155/2016/3031749","ISSN":"0894-8569, 1607-8462","journalAbbreviation":"HPB Surgery","language":"en","page":"1-6","source":"DOI.org (Crossref)","title":"Extended Perioperative Antibiotic Coverage in Conjunction with Intraoperative Bile Cultures Decreases Infectious Complications after Pancreaticoduodenectomy","volume":"2016","author":[{"family":"Fathi","given":"Amir H."},{"family":"Jackson","given":"Terence"},{"family":"Barati","given":"Mehdi"},{"family":"Eghbalieh","given":"Babak"},{"family":"Siegel","given":"Kelly A."},{"family":"Siegel","given":"Christopher T."}],"issued":{"date-parts":[["2016",4,11]]}}}],"schema":"https://github.com/citation-style-language/schema/raw/master/csl-citation.json"} </w:instrText>
      </w:r>
      <w:r w:rsidR="00C15198" w:rsidRPr="00A83E0C">
        <w:fldChar w:fldCharType="separate"/>
      </w:r>
      <w:r w:rsidR="004034C1" w:rsidRPr="004034C1">
        <w:t>[60]</w:t>
      </w:r>
      <w:r w:rsidR="00C15198" w:rsidRPr="00A83E0C">
        <w:fldChar w:fldCharType="end"/>
      </w:r>
      <w:r w:rsidR="00AE0659" w:rsidRPr="00A83E0C">
        <w:t>.</w:t>
      </w:r>
    </w:p>
    <w:p w14:paraId="4F1B3B12" w14:textId="77777777" w:rsidR="00AE0659" w:rsidRPr="00A83E0C" w:rsidRDefault="00AE0659" w:rsidP="00AE0659">
      <w:pPr>
        <w:pStyle w:val="33"/>
        <w:rPr>
          <w:color w:val="auto"/>
          <w:lang w:val="ru-RU"/>
        </w:rPr>
      </w:pPr>
      <w:r w:rsidRPr="00A83E0C">
        <w:rPr>
          <w:color w:val="auto"/>
          <w:lang w:val="ru-RU"/>
        </w:rPr>
        <w:t xml:space="preserve">Уровень убедительности рекомендаций </w:t>
      </w:r>
      <w:r w:rsidR="004708A5" w:rsidRPr="00A83E0C">
        <w:rPr>
          <w:color w:val="auto"/>
          <w:lang w:val="ru-RU"/>
        </w:rPr>
        <w:t xml:space="preserve">С </w:t>
      </w:r>
      <w:r w:rsidRPr="00A83E0C">
        <w:rPr>
          <w:color w:val="auto"/>
          <w:lang w:val="ru-RU"/>
        </w:rPr>
        <w:t xml:space="preserve">(уровень достоверности доказательств </w:t>
      </w:r>
      <w:r w:rsidR="004708A5" w:rsidRPr="00A83E0C">
        <w:rPr>
          <w:color w:val="auto"/>
          <w:lang w:val="ru-RU"/>
        </w:rPr>
        <w:t>4</w:t>
      </w:r>
      <w:r w:rsidRPr="00A83E0C">
        <w:rPr>
          <w:color w:val="auto"/>
          <w:lang w:val="ru-RU"/>
        </w:rPr>
        <w:t>)</w:t>
      </w:r>
    </w:p>
    <w:p w14:paraId="62B5FFB9" w14:textId="77777777" w:rsidR="00AE0659" w:rsidRDefault="003D1956" w:rsidP="00DC7BE7">
      <w:pPr>
        <w:pStyle w:val="33"/>
        <w:rPr>
          <w:b w:val="0"/>
          <w:i/>
          <w:lang w:val="ru-RU"/>
        </w:rPr>
      </w:pPr>
      <w:r w:rsidRPr="00A83E0C">
        <w:rPr>
          <w:lang w:val="ru-RU"/>
        </w:rPr>
        <w:t>Комментарий</w:t>
      </w:r>
      <w:r w:rsidR="00AE0659" w:rsidRPr="00A83E0C">
        <w:rPr>
          <w:lang w:val="ru-RU"/>
        </w:rPr>
        <w:t xml:space="preserve">: </w:t>
      </w:r>
      <w:r w:rsidRPr="00A83E0C">
        <w:rPr>
          <w:b w:val="0"/>
          <w:i/>
          <w:lang w:val="ru-RU"/>
        </w:rPr>
        <w:t>выбор противомикробных препаратов лечащий врач должен определять для каждого пациента индивидуально с учетом его особенностей</w:t>
      </w:r>
    </w:p>
    <w:p w14:paraId="140215A8" w14:textId="1E324EFF" w:rsidR="00E53644" w:rsidRDefault="00E53644" w:rsidP="001B65D7">
      <w:pPr>
        <w:pStyle w:val="2"/>
      </w:pPr>
      <w:r w:rsidRPr="001B65D7">
        <w:t xml:space="preserve">Пациентам с раком поджелудочной железы </w:t>
      </w:r>
      <w:r w:rsidR="005E496E">
        <w:t>после</w:t>
      </w:r>
      <w:r w:rsidR="005E496E" w:rsidRPr="00570B13">
        <w:t xml:space="preserve"> хирургическо</w:t>
      </w:r>
      <w:r w:rsidR="005E496E">
        <w:t>го</w:t>
      </w:r>
      <w:r w:rsidR="005E496E" w:rsidRPr="00570B13">
        <w:t xml:space="preserve"> вмешательств</w:t>
      </w:r>
      <w:r w:rsidR="005E496E">
        <w:t>а</w:t>
      </w:r>
      <w:r w:rsidR="005E496E" w:rsidRPr="00570B13">
        <w:t xml:space="preserve"> </w:t>
      </w:r>
      <w:r w:rsidRPr="001B65D7">
        <w:t xml:space="preserve">при отсутствии медицинских противопоказаний </w:t>
      </w:r>
      <w:r w:rsidRPr="001860B2">
        <w:rPr>
          <w:b/>
        </w:rPr>
        <w:t>рекомендуется</w:t>
      </w:r>
      <w:r w:rsidRPr="00E53644">
        <w:t xml:space="preserve"> </w:t>
      </w:r>
      <w:r w:rsidR="005E496E">
        <w:t>заместительная ферментативная терапия, а также контроль и коррекция глюкозы крови</w:t>
      </w:r>
      <w:r w:rsidR="001B65D7">
        <w:fldChar w:fldCharType="begin"/>
      </w:r>
      <w:r w:rsidR="004034C1">
        <w:instrText xml:space="preserve"> ADDIN ZOTERO_ITEM CSL_CITATION {"citationID":"DB0VCQzi","properties":{"formattedCitation":"[61\\uc0\\u8211{}63]","plainCitation":"[61–63]","noteIndex":0},"citationItems":[{"id":1308,"uris":["http://zotero.org/users/5363772/items/PWBETN69"],"itemData":{"id":1308,"type":"article-journal","abstract":"Introduction  Pancreatic exocrine insufficiency is a finding in many conditions, predominantly affecting those with chronic pancreatitis, pancreatic cancer and acute necrotising pancreatitis. Patients with pancreatic exocrine insufficiency can experience gastrointestinal symptoms, maldigestion, malnutrition and adverse effects on quality of life and even survival. There is a need for readily accessible, pragmatic advice for healthcare professionals on the management of pancreatic exocrine insufficiency. Methods and analysis  A review of the literature was conducted by a multidisciplinary panel of experts in pancreatology, and recommendations for clinical practice were produced and the strength of the evidence graded. Consensus voting by 48 pancreatic specialists from across the UK took place at the 2019 Annual Meeting of the Pancreatic Society of Great Britain and Ireland annual scientific meeting. Results  Recommendations for clinical practice in the diagnosis, initial management, patient education and long term follow up were developed. All recommendations achieved over 85% consensus and are included within these comprehensive guidelines.","container-title":"BMJ Open Gastroenterology","DOI":"10.1136/bmjgast-2021-000643","ISSN":"2054-4774","issue":"1","journalAbbreviation":"BMJ Open Gastroenterol","language":"en","page":"e000643","source":"DOI.org (Crossref)","title":"Consensus for the management of pancreatic exocrine insufficiency: UK practical guidelines","title-short":"Consensus for the management of pancreatic exocrine insufficiency","volume":"8","author":[{"family":"Phillips","given":"Mary E"},{"family":"Hopper","given":"Andrew D"},{"family":"Leeds","given":"John S"},{"family":"Roberts","given":"Keith J"},{"family":"McGeeney","given":"Laura"},{"family":"Duggan","given":"Sinead N"},{"family":"Kumar","given":"Rajesh"}],"issued":{"date-parts":[["2021",6]]}}},{"id":1305,"uris":["http://zotero.org/users/5363772/items/WU6EVEV7"],"itemData":{"id":1305,"type":"article-journal","abstract":"Pancreatic exocrine insufﬁciency (PEI) is a common condition in patients with pancreatic cancer (PC). PEI can be due to the tumor, which, if located in the head, causes obstruction of the pancreatic duct with subsequent atrophy of the pancreatic parenchyma, or it can be the consequence of pancreatic surgical resection. The standard treatment of PEI is pancreatic enzyme replacement therapy (PERT). Clinical data to support the use of PERT in PC are however limited. There are very few randomized clinical trials that evaluated PERT in PC. Most data come from observational studies. Despite this limited clinical evidence, PERT treatment for PEI is an essential part of supportive therapy to ensure optimal nutritional status in PC patients who will receive surgery, neoadjuvant/adjuvant or palliative treatment. The objective of this review is to increase the awareness about PEI in PC patients and to provide expert recommendations on the use of PERT in resected, borderline resectable and unresectable patients, based on clinical experience and literature review.","container-title":"ESMO Open","DOI":"10.1016/j.esmoop.2022.100386","ISSN":"20597029","issue":"1","journalAbbreviation":"ESMO Open","language":"en","page":"100386","source":"DOI.org (Crossref)","title":"Expert opinion on management of pancreatic exocrine insufficiency in pancreatic cancer","volume":"7","author":[{"family":"Roeyen","given":"G."},{"family":"Berrevoet","given":"F."},{"family":"Borbath","given":"I."},{"family":"Geboes","given":"K."},{"family":"Peeters","given":"M."},{"family":"Topal","given":"B."},{"family":"Van Cutsem","given":"E."},{"family":"Van Laethem","given":"J.-L."}],"issued":{"date-parts":[["2022",2]]}}},{"id":1306,"uris":["http://zotero.org/users/5363772/items/95XMDC69"],"itemData":{"id":1306,"type":"article-journal","abstract":"Background: Pancreatic cancer is the fourth leading cause of cancer mortality. Most patients are diagnosed with advanced pancreatic cancer, either at locally advanced or metastatic stages, and have a high rate of malnutrition and weight loss which are associated with poor outcomes. Pancreatic exocrine insufficiency is one of the causes of malnutrition and weight loss in these patients. The prevalence and clinical consequences of pancreatic exocrine insufficiency in advanced pancreatic cancer are poorly investigated with heterogeneous results. We sought to determine the prevalence and clinical consequences of pancreatic exocrine insufficiency and the effect of pancreatic enzyme replacement therapy in patients with advanced pancreatic cancer by systematic review and meta-analysis.\nMethods: Scopus, Medline, and Embase were searched for cohort studies or randomised clinical trials reporting pancreatic exocrine insufficiency and/or the effect of pancreatic enzyme replacement therapy in patients with advanced pancreatic cancer. We considered pancreatic exocrine insufficiency as an abnormal result on direct and/ or indirect pancreatic exocrine function tests. Pancreatic enzyme replacement therapy was evaluated by its effect on survival and quality of life in patients with advanced pancreatic cancer.\nResults: A total of 11 studies were included; seven studies reported the prevalence of pancreatic exocrine insufficiency and seven the effect of pancreatic enzyme replacement therapy in advanced pancreatic cancer. The pooled prevalence of pancreatic exocrine insufficiency in advanced pancreatic cancer was 72% (95% confidence interval: 55–86%), being significantly higher when tumours were located in the pancreatic head (relative risk ¼ 3.36, 1.07–10.54; p ¼ 0.04) six studies investigated the impact of pancreatic enzyme replacement therapy on survival/quality of life. Pancreatic enzyme replacement therapy was associated with 3.8 months (95% confidence interval: 1.37–6.19) survival benefit. Patients receiving pancreatic enzyme replacement therapy had a trend towards a better quality of life.\nConclusions The prevalence of pancreatic exocrine insufficiency in advanced pancreatic cancer is substantial and its treatment can improve the outcomes of these patients.","container-title":"United European Gastroenterology Journal","DOI":"10.1177/2050640620938987","ISSN":"2050-6406, 2050-6414","issue":"9","journalAbbreviation":"UEG Journal","language":"en",</w:instrText>
      </w:r>
      <w:r w:rsidR="004034C1">
        <w:rPr>
          <w:rFonts w:hint="eastAsia"/>
        </w:rPr>
        <w:instrText>"page":"1115-1125","source":"DOI.org (Crossref)","title":"Pancreatic exocrine insufficiency and pancreatic enzyme replacement therapy in patients with advanced pancreatic cancer: A systematic review and meta</w:instrText>
      </w:r>
      <w:r w:rsidR="004034C1">
        <w:rPr>
          <w:rFonts w:hint="eastAsia"/>
        </w:rPr>
        <w:instrText>‐</w:instrText>
      </w:r>
      <w:r w:rsidR="004034C1">
        <w:rPr>
          <w:rFonts w:hint="eastAsia"/>
        </w:rPr>
        <w:instrText>analysis","title-short":"Pancreatic exocrine in</w:instrText>
      </w:r>
      <w:r w:rsidR="004034C1">
        <w:instrText xml:space="preserve">sufficiency and pancreatic enzyme replacement therapy in patients with advanced pancreatic cancer","volume":"8","author":[{"family":"De La Iglesia","given":"Daniel"},{"family":"Avci","given":"Bartu"},{"family":"Kiriukova","given":"Mariia"},{"family":"Panic","given":"Nikola"},{"family":"Bozhychko","given":"Maryana"},{"family":"Sandru","given":"Vasile"},{"family":"De Madaria","given":"Enrique"},{"family":"Capurso","given":"Gabriele"}],"issued":{"date-parts":[["2020",11]]}}}],"schema":"https://github.com/citation-style-language/schema/raw/master/csl-citation.json"} </w:instrText>
      </w:r>
      <w:r w:rsidR="001B65D7">
        <w:fldChar w:fldCharType="separate"/>
      </w:r>
      <w:r w:rsidR="004034C1" w:rsidRPr="004034C1">
        <w:t>[61–63]</w:t>
      </w:r>
      <w:r w:rsidR="001B65D7">
        <w:fldChar w:fldCharType="end"/>
      </w:r>
    </w:p>
    <w:p w14:paraId="7D71E14A" w14:textId="26295FB5" w:rsidR="001B65D7" w:rsidRDefault="001B65D7" w:rsidP="001B65D7">
      <w:pPr>
        <w:ind w:firstLine="567"/>
        <w:rPr>
          <w:rFonts w:eastAsia="MS Mincho"/>
          <w:b/>
          <w:color w:val="303030"/>
          <w:shd w:val="clear" w:color="auto" w:fill="FFFFFF"/>
          <w:lang w:val="ru-RU"/>
        </w:rPr>
      </w:pPr>
      <w:r>
        <w:rPr>
          <w:lang w:val="ru-RU"/>
        </w:rPr>
        <w:t xml:space="preserve">Комментарий: </w:t>
      </w:r>
      <w:r w:rsidRPr="004E104D">
        <w:rPr>
          <w:rFonts w:eastAsia="BlissPro-Light"/>
          <w:i/>
          <w:iCs/>
          <w:lang w:val="ru-RU"/>
        </w:rPr>
        <w:t xml:space="preserve">частота ферментативной недостаточности составляет 36-100% после резекции поджелудочной железы. Терапия ферментативной недостаточности рекомендуется всем пациентам после операции при отсутствии противопоказаний и должна быть направлена на ее коррекцию даже при отсутствии лабораторного подтверждения диагноза. Стартовая доза заместительной ферментативной терапии (ЗФТ) включает 40000-50000 Ед липазы во время приема пищи и 25000 Ед во время перекусов. В дальнейшем доза препарата может быть изменена в индивидуальном </w:t>
      </w:r>
      <w:r w:rsidRPr="004E104D">
        <w:rPr>
          <w:rFonts w:eastAsia="BlissPro-Light"/>
          <w:i/>
          <w:iCs/>
          <w:lang w:val="ru-RU"/>
        </w:rPr>
        <w:lastRenderedPageBreak/>
        <w:t>порядке. Чаще всего необходимая доза липазы после тотальной панкреатэктомии существенно выше указанной начальной дозы. Более подробная информация по ЗФТ представлена в разделе 3.3.</w:t>
      </w:r>
      <w:r>
        <w:rPr>
          <w:rFonts w:eastAsia="MS Mincho"/>
          <w:b/>
          <w:color w:val="303030"/>
          <w:shd w:val="clear" w:color="auto" w:fill="FFFFFF"/>
          <w:lang w:val="ru-RU"/>
        </w:rPr>
        <w:t xml:space="preserve"> </w:t>
      </w:r>
    </w:p>
    <w:p w14:paraId="2FF158D4" w14:textId="0488C66D" w:rsidR="00666523" w:rsidRPr="004E104D" w:rsidRDefault="00666523" w:rsidP="004E104D">
      <w:pPr>
        <w:ind w:firstLine="567"/>
        <w:rPr>
          <w:rFonts w:eastAsia="BlissPro-Light"/>
          <w:bCs/>
          <w:i/>
          <w:iCs/>
          <w:lang w:val="ru-RU"/>
        </w:rPr>
      </w:pPr>
      <w:r w:rsidRPr="004E104D">
        <w:rPr>
          <w:rFonts w:eastAsia="BlissPro-Light"/>
          <w:bCs/>
          <w:i/>
          <w:iCs/>
          <w:lang w:val="ru-RU"/>
        </w:rPr>
        <w:t xml:space="preserve">Вторичное нарушение метаболизма глюкозы на фоне рака поджелудочной железы получило название панкреатогенного сахарного диабета (3с типа). Данное осложнение ассоциировано с риском прогрессирования, </w:t>
      </w:r>
      <w:r w:rsidR="003D423D">
        <w:rPr>
          <w:rFonts w:eastAsia="BlissPro-Light"/>
          <w:bCs/>
          <w:i/>
          <w:iCs/>
          <w:lang w:val="ru-RU"/>
        </w:rPr>
        <w:t>неблагоприятным</w:t>
      </w:r>
      <w:r w:rsidRPr="004E104D">
        <w:rPr>
          <w:rFonts w:eastAsia="BlissPro-Light"/>
          <w:bCs/>
          <w:i/>
          <w:iCs/>
          <w:lang w:val="ru-RU"/>
        </w:rPr>
        <w:t xml:space="preserve"> прогнозом, увеличивает риски токсичности лекарственного лечения и требует коррекции у эндокринолога. </w:t>
      </w:r>
    </w:p>
    <w:p w14:paraId="276E5A55" w14:textId="14DCBC7C" w:rsidR="001B65D7" w:rsidRPr="004E104D" w:rsidRDefault="001B65D7" w:rsidP="001B65D7">
      <w:pPr>
        <w:pStyle w:val="33"/>
        <w:rPr>
          <w:lang w:val="ru-RU"/>
        </w:rPr>
      </w:pPr>
    </w:p>
    <w:p w14:paraId="7B204268" w14:textId="77777777" w:rsidR="00247119" w:rsidRDefault="003D1956" w:rsidP="00DC7BE7">
      <w:pPr>
        <w:pStyle w:val="3"/>
        <w:rPr>
          <w:lang w:val="ru-RU"/>
        </w:rPr>
      </w:pPr>
      <w:bookmarkStart w:id="20" w:name="_Toc158632226"/>
      <w:r w:rsidRPr="00A83E0C">
        <w:rPr>
          <w:lang w:val="ru-RU"/>
        </w:rPr>
        <w:t>3.2 Консервативное лечение</w:t>
      </w:r>
      <w:bookmarkEnd w:id="20"/>
    </w:p>
    <w:p w14:paraId="35ED3E54" w14:textId="6612C48A" w:rsidR="00424786" w:rsidRPr="003D423D" w:rsidRDefault="00424786" w:rsidP="004E104D">
      <w:pPr>
        <w:pStyle w:val="4"/>
        <w:rPr>
          <w:bCs/>
          <w:color w:val="auto"/>
          <w:lang w:val="ru-RU"/>
        </w:rPr>
      </w:pPr>
      <w:r w:rsidRPr="003D423D">
        <w:rPr>
          <w:rFonts w:ascii="Times New Roman" w:hAnsi="Times New Roman" w:cs="Times New Roman"/>
          <w:b/>
          <w:bCs/>
          <w:i w:val="0"/>
          <w:iCs w:val="0"/>
          <w:color w:val="auto"/>
          <w:lang w:val="ru-RU"/>
        </w:rPr>
        <w:t xml:space="preserve">3.2.1. Периоперационная и адъювантная терапия </w:t>
      </w:r>
    </w:p>
    <w:p w14:paraId="1FA086B2" w14:textId="35B1FBC0" w:rsidR="00957EDE" w:rsidRPr="000F1840" w:rsidRDefault="00957EDE" w:rsidP="00537A85">
      <w:pPr>
        <w:pStyle w:val="2"/>
        <w:rPr>
          <w:sz w:val="20"/>
          <w:szCs w:val="20"/>
        </w:rPr>
      </w:pPr>
      <w:r>
        <w:rPr>
          <w:color w:val="000000"/>
        </w:rPr>
        <w:t xml:space="preserve">У пациентов </w:t>
      </w:r>
      <w:r w:rsidR="000F1840">
        <w:rPr>
          <w:color w:val="000000"/>
        </w:rPr>
        <w:t xml:space="preserve">с </w:t>
      </w:r>
      <w:r>
        <w:rPr>
          <w:color w:val="000000"/>
        </w:rPr>
        <w:t xml:space="preserve">раком </w:t>
      </w:r>
      <w:r w:rsidR="000F1840">
        <w:rPr>
          <w:color w:val="000000"/>
        </w:rPr>
        <w:t>поджелудочной</w:t>
      </w:r>
      <w:r>
        <w:rPr>
          <w:color w:val="000000"/>
        </w:rPr>
        <w:t xml:space="preserve"> железы рекомендуется проведение противоопухолевой лекарственной терапии в соответствие с общими принципами, изложенными в «Практических рекомендациях по общим вопросам проведения противоопухолевой лекарственной терапии» Российского общества клинической онкологии</w:t>
      </w:r>
      <w:r w:rsidR="001E4AC9">
        <w:rPr>
          <w:color w:val="000000"/>
        </w:rPr>
        <w:t xml:space="preserve"> </w:t>
      </w:r>
      <w:r w:rsidR="00C15198">
        <w:rPr>
          <w:color w:val="000000"/>
        </w:rPr>
        <w:fldChar w:fldCharType="begin"/>
      </w:r>
      <w:r w:rsidR="00FB1F10">
        <w:rPr>
          <w:color w:val="000000"/>
        </w:rPr>
        <w:instrText xml:space="preserve"> ADDIN ZOTERO_ITEM CSL_CITATION {"citationID":"n2Fexxac","properties":{"formattedCitation":"[13]","plainCitation":"[13]","noteIndex":0},"citationItems":[{"id":1124,"uris":["http://zotero.org/users/5363772/items/2299ARDD",["http://zotero.org/users/5363772/items/2299ARDD"]],"itemData":{"id":1124,"type":"article-journal","DOI":"10.18027 / 2224 5057 2020 10 3s2–01","issue":"3s2","journalAbbreviation":"Злокачественные опухоли. Практические рекомендации RUSSCO","language":"Русский","title":"Практические рекомендации по общим принципам проведения противоопухолевой лекарственной терапии","volume":"10","author":[{"family":"Трякин","given":"Алексей"},{"family":"Бесова","given":"Наталья"},{"family":"Волков","given":"Никита"}],"issued":{"date-parts":[["2020"]]}}}],"schema":"https://github.com/citation-style-language/schema/raw/master/csl-citation.json"} </w:instrText>
      </w:r>
      <w:r w:rsidR="00C15198">
        <w:rPr>
          <w:color w:val="000000"/>
        </w:rPr>
        <w:fldChar w:fldCharType="separate"/>
      </w:r>
      <w:r w:rsidR="00FB1F10" w:rsidRPr="00FB1F10">
        <w:t>[13]</w:t>
      </w:r>
      <w:r w:rsidR="00C15198">
        <w:rPr>
          <w:color w:val="000000"/>
        </w:rPr>
        <w:fldChar w:fldCharType="end"/>
      </w:r>
      <w:r w:rsidR="001E4AC9">
        <w:rPr>
          <w:color w:val="000000"/>
        </w:rPr>
        <w:t>.</w:t>
      </w:r>
      <w:r w:rsidR="000F1840">
        <w:rPr>
          <w:color w:val="000000"/>
        </w:rPr>
        <w:t xml:space="preserve"> </w:t>
      </w:r>
    </w:p>
    <w:p w14:paraId="6C5C1854" w14:textId="77777777" w:rsidR="00964910" w:rsidRPr="00F117DF" w:rsidRDefault="00964910" w:rsidP="00964910">
      <w:pPr>
        <w:pStyle w:val="33"/>
        <w:rPr>
          <w:b w:val="0"/>
          <w:lang w:val="ru-RU"/>
        </w:rPr>
      </w:pPr>
      <w:r w:rsidRPr="00964910">
        <w:rPr>
          <w:lang w:val="ru-RU"/>
        </w:rPr>
        <w:t xml:space="preserve">Уровень убедительности рекомендаций </w:t>
      </w:r>
      <w:r w:rsidR="000F1840" w:rsidRPr="00A83E0C">
        <w:t>C</w:t>
      </w:r>
      <w:r w:rsidRPr="00964910">
        <w:rPr>
          <w:lang w:val="ru-RU"/>
        </w:rPr>
        <w:t xml:space="preserve"> (уровень достоверности доказательств 5)</w:t>
      </w:r>
    </w:p>
    <w:p w14:paraId="241E3B2A" w14:textId="477841A9" w:rsidR="00A311AF" w:rsidRPr="00A83E0C" w:rsidRDefault="00175ADB" w:rsidP="00537A85">
      <w:pPr>
        <w:pStyle w:val="2"/>
      </w:pPr>
      <w:r w:rsidRPr="00A83E0C">
        <w:t xml:space="preserve">У </w:t>
      </w:r>
      <w:r w:rsidRPr="007D33A2">
        <w:t>пациентов</w:t>
      </w:r>
      <w:r w:rsidRPr="00A83E0C">
        <w:t xml:space="preserve"> с </w:t>
      </w:r>
      <w:r w:rsidR="004E1A29" w:rsidRPr="00A83E0C">
        <w:t>погранично</w:t>
      </w:r>
      <w:r w:rsidR="00A311AF" w:rsidRPr="00A83E0C">
        <w:t xml:space="preserve"> </w:t>
      </w:r>
      <w:r w:rsidRPr="00A83E0C">
        <w:t xml:space="preserve">резектабельным раком </w:t>
      </w:r>
      <w:r w:rsidR="00A311AF" w:rsidRPr="00A83E0C">
        <w:t xml:space="preserve">поджелудочной железы </w:t>
      </w:r>
      <w:r w:rsidR="003F42F0" w:rsidRPr="00A83E0C">
        <w:t>(Т</w:t>
      </w:r>
      <w:r w:rsidR="003F42F0" w:rsidRPr="00A83E0C">
        <w:rPr>
          <w:vertAlign w:val="subscript"/>
        </w:rPr>
        <w:t>3-4</w:t>
      </w:r>
      <w:r w:rsidR="003F42F0" w:rsidRPr="00A83E0C">
        <w:t>N</w:t>
      </w:r>
      <w:r w:rsidR="003F42F0" w:rsidRPr="00A83E0C">
        <w:rPr>
          <w:vertAlign w:val="subscript"/>
        </w:rPr>
        <w:t>0-1</w:t>
      </w:r>
      <w:r w:rsidR="003F42F0" w:rsidRPr="00A83E0C">
        <w:t>M</w:t>
      </w:r>
      <w:r w:rsidR="003F42F0" w:rsidRPr="00A83E0C">
        <w:rPr>
          <w:vertAlign w:val="subscript"/>
        </w:rPr>
        <w:t>0</w:t>
      </w:r>
      <w:r w:rsidR="003F42F0" w:rsidRPr="00A83E0C">
        <w:t xml:space="preserve">) </w:t>
      </w:r>
      <w:r w:rsidR="00A311AF" w:rsidRPr="00A83E0C">
        <w:rPr>
          <w:b/>
        </w:rPr>
        <w:t>рекомендуется</w:t>
      </w:r>
      <w:r w:rsidR="00A311AF" w:rsidRPr="00A83E0C">
        <w:t xml:space="preserve"> проведение предоперационной химиотерапии с последующей оценкой результатов; при отсутствии отрицательной динамики рекомендуется выполнение операции</w:t>
      </w:r>
      <w:r w:rsidR="0094680A" w:rsidRPr="00A83E0C">
        <w:t xml:space="preserve"> </w:t>
      </w:r>
      <w:r w:rsidR="00C15198" w:rsidRPr="00A83E0C">
        <w:fldChar w:fldCharType="begin"/>
      </w:r>
      <w:r w:rsidR="004034C1">
        <w:instrText xml:space="preserve"> ADDIN ZOTERO_ITEM CSL_CITATION {"citationID":"NPBh7uSi","properties":{"formattedCitation":"[64]","plainCitation":"[64]","noteIndex":0},"citationItems":[{"id":253,"uris":["http://zotero.org/users/5363772/items/UIYBIAMJ",["http://zotero.org/users/5363772/items/UIYBIAMJ"]],"itemData":{"id":253,"type":"article-journal","issue":"4(спецвыпуск 1)","page":"20-25","title":"Место химиотерапии в лечении локализованного рака поджелудочной железы","volume":"21","author":[{"family":"Базин","given":"Игорь"},{"family":"Покатаев","given":"Илья"}],"issued":{"date-parts":[["2016"]]}}}],"schema":"https://github.com/citation-style-language/schema/raw/master/csl-citation.json"} </w:instrText>
      </w:r>
      <w:r w:rsidR="00C15198" w:rsidRPr="00A83E0C">
        <w:fldChar w:fldCharType="separate"/>
      </w:r>
      <w:r w:rsidR="004034C1" w:rsidRPr="004034C1">
        <w:t>[64]</w:t>
      </w:r>
      <w:r w:rsidR="00C15198" w:rsidRPr="00A83E0C">
        <w:fldChar w:fldCharType="end"/>
      </w:r>
      <w:r w:rsidR="00A311AF" w:rsidRPr="00A83E0C">
        <w:t xml:space="preserve">. </w:t>
      </w:r>
    </w:p>
    <w:p w14:paraId="36D07C6C" w14:textId="77777777" w:rsidR="00A311AF" w:rsidRPr="00A83E0C" w:rsidRDefault="00A311AF" w:rsidP="00DC7BE7">
      <w:pPr>
        <w:pStyle w:val="33"/>
        <w:rPr>
          <w:color w:val="auto"/>
          <w:lang w:val="ru-RU"/>
        </w:rPr>
      </w:pPr>
      <w:r w:rsidRPr="00A83E0C">
        <w:rPr>
          <w:color w:val="auto"/>
          <w:lang w:val="ru-RU"/>
        </w:rPr>
        <w:t xml:space="preserve">Уровень убедительности рекомендаций </w:t>
      </w:r>
      <w:r w:rsidR="0094680A" w:rsidRPr="00A83E0C">
        <w:rPr>
          <w:color w:val="auto"/>
        </w:rPr>
        <w:t>C</w:t>
      </w:r>
      <w:r w:rsidRPr="00A83E0C">
        <w:rPr>
          <w:color w:val="auto"/>
          <w:lang w:val="ru-RU"/>
        </w:rPr>
        <w:t xml:space="preserve"> (уровень достоверности доказательств </w:t>
      </w:r>
      <w:r w:rsidR="0094680A" w:rsidRPr="00A83E0C">
        <w:rPr>
          <w:color w:val="auto"/>
          <w:lang w:val="ru-RU"/>
        </w:rPr>
        <w:t>5</w:t>
      </w:r>
      <w:r w:rsidRPr="00A83E0C">
        <w:rPr>
          <w:color w:val="auto"/>
          <w:lang w:val="ru-RU"/>
        </w:rPr>
        <w:t>)</w:t>
      </w:r>
    </w:p>
    <w:p w14:paraId="7741FD9E" w14:textId="2306D621" w:rsidR="00964910" w:rsidRPr="006E65D2" w:rsidRDefault="00964910" w:rsidP="00964910">
      <w:pPr>
        <w:ind w:firstLine="567"/>
        <w:rPr>
          <w:i/>
          <w:lang w:val="ru-RU"/>
        </w:rPr>
      </w:pPr>
      <w:r w:rsidRPr="00964910">
        <w:rPr>
          <w:b/>
          <w:lang w:val="ru-RU"/>
        </w:rPr>
        <w:t>Комментарий</w:t>
      </w:r>
      <w:r w:rsidRPr="00964910">
        <w:rPr>
          <w:lang w:val="ru-RU"/>
        </w:rPr>
        <w:t xml:space="preserve">: </w:t>
      </w:r>
      <w:r w:rsidRPr="00964910">
        <w:rPr>
          <w:i/>
          <w:lang w:val="ru-RU"/>
        </w:rPr>
        <w:t xml:space="preserve">основным методом предоперационной терапии является химиотерапия. Режимы химиотерапии аналогичны изложенным для лечения метастатического рака (таблица 4). Предпочтительными режимами (при отсутствии противопоказаний) являются </w:t>
      </w:r>
      <w:r w:rsidRPr="00964910">
        <w:rPr>
          <w:i/>
        </w:rPr>
        <w:t>FOLFIRINOX</w:t>
      </w:r>
      <w:r w:rsidR="001F159F">
        <w:rPr>
          <w:i/>
          <w:lang w:val="ru-RU"/>
        </w:rPr>
        <w:t xml:space="preserve"> или комбинации </w:t>
      </w:r>
      <w:r w:rsidR="008A230B" w:rsidRPr="00A83E0C">
        <w:rPr>
          <w:i/>
          <w:lang w:val="ru-RU"/>
        </w:rPr>
        <w:t>#гемцитабина** и #паклитаксел+альбумин</w:t>
      </w:r>
      <w:r w:rsidR="00235892">
        <w:rPr>
          <w:i/>
          <w:lang w:val="ru-RU"/>
        </w:rPr>
        <w:t>а</w:t>
      </w:r>
      <w:r w:rsidRPr="00964910">
        <w:rPr>
          <w:i/>
          <w:lang w:val="ru-RU"/>
        </w:rPr>
        <w:t>.</w:t>
      </w:r>
      <w:r w:rsidR="001F159F">
        <w:rPr>
          <w:i/>
          <w:lang w:val="ru-RU"/>
        </w:rPr>
        <w:t xml:space="preserve"> При наличии </w:t>
      </w:r>
      <w:r w:rsidR="001F159F" w:rsidRPr="001E4AC9">
        <w:rPr>
          <w:i/>
          <w:lang w:val="ru-RU"/>
        </w:rPr>
        <w:t xml:space="preserve">у пациентов мутаций в генах </w:t>
      </w:r>
      <w:r w:rsidRPr="001E4AC9">
        <w:rPr>
          <w:i/>
          <w:lang w:val="ru-RU"/>
        </w:rPr>
        <w:t>BRCA</w:t>
      </w:r>
      <w:r w:rsidR="001F159F" w:rsidRPr="001E4AC9">
        <w:rPr>
          <w:i/>
          <w:lang w:val="ru-RU"/>
        </w:rPr>
        <w:t xml:space="preserve"> или PALB2, оптимальным является применение комбинации </w:t>
      </w:r>
      <w:r w:rsidRPr="001E4AC9">
        <w:rPr>
          <w:i/>
          <w:lang w:val="ru-RU"/>
        </w:rPr>
        <w:t>FOLFIRINOX</w:t>
      </w:r>
      <w:r w:rsidR="001F159F" w:rsidRPr="001E4AC9">
        <w:rPr>
          <w:i/>
          <w:lang w:val="ru-RU"/>
        </w:rPr>
        <w:t xml:space="preserve"> или комбинации </w:t>
      </w:r>
      <w:r w:rsidRPr="001E4AC9">
        <w:rPr>
          <w:i/>
          <w:lang w:val="ru-RU"/>
        </w:rPr>
        <w:t>#</w:t>
      </w:r>
      <w:r w:rsidR="001F159F" w:rsidRPr="001E4AC9">
        <w:rPr>
          <w:i/>
          <w:lang w:val="ru-RU"/>
        </w:rPr>
        <w:t>гемцитабина</w:t>
      </w:r>
      <w:r w:rsidRPr="001E4AC9">
        <w:rPr>
          <w:i/>
          <w:lang w:val="ru-RU"/>
        </w:rPr>
        <w:t>**</w:t>
      </w:r>
      <w:r w:rsidR="001F159F" w:rsidRPr="001E4AC9">
        <w:rPr>
          <w:i/>
          <w:lang w:val="ru-RU"/>
        </w:rPr>
        <w:t xml:space="preserve"> с </w:t>
      </w:r>
      <w:r w:rsidR="00576568" w:rsidRPr="001E4AC9">
        <w:rPr>
          <w:i/>
          <w:lang w:val="ru-RU"/>
        </w:rPr>
        <w:t>соединениями</w:t>
      </w:r>
      <w:r w:rsidR="001F159F" w:rsidRPr="001E4AC9">
        <w:rPr>
          <w:i/>
          <w:lang w:val="ru-RU"/>
        </w:rPr>
        <w:t xml:space="preserve"> платины. </w:t>
      </w:r>
      <w:r w:rsidR="001F159F">
        <w:rPr>
          <w:i/>
          <w:lang w:val="ru-RU"/>
        </w:rPr>
        <w:t xml:space="preserve">При выборе режима </w:t>
      </w:r>
      <w:r w:rsidRPr="00964910">
        <w:rPr>
          <w:i/>
          <w:lang w:val="ru-RU"/>
        </w:rPr>
        <w:t>химиотерапии</w:t>
      </w:r>
      <w:r w:rsidR="001F159F">
        <w:rPr>
          <w:i/>
          <w:lang w:val="ru-RU"/>
        </w:rPr>
        <w:t xml:space="preserve"> следует учитывать следующие данные: общее состояние пациента, возраст, наличие осложнений опухолевого процесса и серьезных сопутствующих заболеваний.</w:t>
      </w:r>
      <w:r w:rsidRPr="00964910">
        <w:rPr>
          <w:lang w:val="ru-RU"/>
        </w:rPr>
        <w:t xml:space="preserve"> </w:t>
      </w:r>
      <w:r w:rsidR="006E65D2" w:rsidRPr="006E65D2">
        <w:rPr>
          <w:i/>
          <w:iCs/>
          <w:lang w:val="ru-RU"/>
        </w:rPr>
        <w:t>П</w:t>
      </w:r>
      <w:r w:rsidR="006E65D2" w:rsidRPr="006E65D2">
        <w:rPr>
          <w:i/>
          <w:iCs/>
          <w:color w:val="000000"/>
          <w:lang w:val="ru-RU"/>
        </w:rPr>
        <w:t>ациентам старше 70 лет</w:t>
      </w:r>
      <w:r w:rsidR="006E65D2" w:rsidRPr="006E65D2">
        <w:rPr>
          <w:b/>
          <w:bCs/>
          <w:i/>
          <w:iCs/>
          <w:color w:val="000000"/>
          <w:lang w:val="ru-RU"/>
        </w:rPr>
        <w:t xml:space="preserve"> </w:t>
      </w:r>
      <w:r w:rsidR="006E65D2" w:rsidRPr="006E65D2">
        <w:rPr>
          <w:i/>
          <w:iCs/>
          <w:color w:val="000000"/>
          <w:lang w:val="ru-RU"/>
        </w:rPr>
        <w:t>желательно проведение комплексной гериатрической оценки (</w:t>
      </w:r>
      <w:r w:rsidR="006E65D2">
        <w:rPr>
          <w:i/>
          <w:iCs/>
          <w:color w:val="000000"/>
        </w:rPr>
        <w:t>mycarg</w:t>
      </w:r>
      <w:r w:rsidR="006E65D2" w:rsidRPr="006E65D2">
        <w:rPr>
          <w:i/>
          <w:iCs/>
          <w:color w:val="000000"/>
          <w:lang w:val="ru-RU"/>
        </w:rPr>
        <w:t>.</w:t>
      </w:r>
      <w:r w:rsidR="006E65D2">
        <w:rPr>
          <w:i/>
          <w:iCs/>
          <w:color w:val="000000"/>
        </w:rPr>
        <w:t>org</w:t>
      </w:r>
      <w:r w:rsidR="006E65D2" w:rsidRPr="006E65D2">
        <w:rPr>
          <w:i/>
          <w:iCs/>
          <w:color w:val="000000"/>
          <w:lang w:val="ru-RU"/>
        </w:rPr>
        <w:t xml:space="preserve">), для понимания </w:t>
      </w:r>
      <w:r w:rsidR="006E65D2" w:rsidRPr="006E65D2">
        <w:rPr>
          <w:i/>
          <w:iCs/>
          <w:color w:val="000000"/>
          <w:lang w:val="ru-RU"/>
        </w:rPr>
        <w:lastRenderedPageBreak/>
        <w:t>рисков развития осложнений 3-5 степени при применении комбинаций препаратов и необходимости коррекции доз препаратов, что позволит повысить качество жизни данных пациентов и преемственность проводимого лечения</w:t>
      </w:r>
      <w:r w:rsidR="006E65D2">
        <w:rPr>
          <w:i/>
          <w:iCs/>
          <w:color w:val="000000"/>
          <w:lang w:val="ru-RU"/>
        </w:rPr>
        <w:t>.</w:t>
      </w:r>
    </w:p>
    <w:p w14:paraId="39AB940E" w14:textId="549BB0B7" w:rsidR="00A311AF" w:rsidRPr="00A83E0C" w:rsidRDefault="009362D7" w:rsidP="00537A85">
      <w:pPr>
        <w:pStyle w:val="2"/>
      </w:pPr>
      <w:r w:rsidRPr="00A83E0C">
        <w:t>У пациентов с</w:t>
      </w:r>
      <w:r w:rsidR="00A311AF" w:rsidRPr="00A83E0C">
        <w:t xml:space="preserve"> нерезектабельн</w:t>
      </w:r>
      <w:r w:rsidRPr="00A83E0C">
        <w:t>ы</w:t>
      </w:r>
      <w:r w:rsidR="00A311AF" w:rsidRPr="00A83E0C">
        <w:t>м рак</w:t>
      </w:r>
      <w:r w:rsidRPr="00A83E0C">
        <w:t>ом</w:t>
      </w:r>
      <w:r w:rsidR="00A311AF" w:rsidRPr="00A83E0C">
        <w:t xml:space="preserve"> поджелудочной железы </w:t>
      </w:r>
      <w:r w:rsidR="003F42F0" w:rsidRPr="00A83E0C">
        <w:t>(Т</w:t>
      </w:r>
      <w:r w:rsidR="003F42F0" w:rsidRPr="00A83E0C">
        <w:rPr>
          <w:vertAlign w:val="subscript"/>
        </w:rPr>
        <w:t>3-4</w:t>
      </w:r>
      <w:r w:rsidR="003F42F0" w:rsidRPr="00A83E0C">
        <w:t>N</w:t>
      </w:r>
      <w:r w:rsidR="003F42F0" w:rsidRPr="00A83E0C">
        <w:rPr>
          <w:vertAlign w:val="subscript"/>
        </w:rPr>
        <w:t>0-1</w:t>
      </w:r>
      <w:r w:rsidR="003F42F0" w:rsidRPr="00A83E0C">
        <w:t>M</w:t>
      </w:r>
      <w:r w:rsidR="003F42F0" w:rsidRPr="00A83E0C">
        <w:rPr>
          <w:vertAlign w:val="subscript"/>
        </w:rPr>
        <w:t>0</w:t>
      </w:r>
      <w:r w:rsidR="003F42F0" w:rsidRPr="00A83E0C">
        <w:t xml:space="preserve">) </w:t>
      </w:r>
      <w:r w:rsidR="008C3ECA" w:rsidRPr="00A83E0C">
        <w:rPr>
          <w:b/>
        </w:rPr>
        <w:t>рекомендуется</w:t>
      </w:r>
      <w:r w:rsidR="00A311AF" w:rsidRPr="00A83E0C">
        <w:t xml:space="preserve"> проведение индукционной терапии с последующей повторной оценкой резектабельности</w:t>
      </w:r>
      <w:r w:rsidR="00CB323C" w:rsidRPr="00A83E0C">
        <w:t xml:space="preserve"> </w:t>
      </w:r>
      <w:r w:rsidR="00C15198" w:rsidRPr="00A83E0C">
        <w:fldChar w:fldCharType="begin"/>
      </w:r>
      <w:r w:rsidR="004034C1">
        <w:instrText xml:space="preserve"> ADDIN ZOTERO_ITEM CSL_CITATION {"citationID":"XQSkMGgv","properties":{"formattedCitation":"[64\\uc0\\u8211{}67]","plainCitation":"[64–67]","noteIndex":0},"citationItems":[{"id":253,"uris":["http://zotero.org/users/5363772/items/UIYBIAMJ",["http://zotero.org/users/5363772/items/UIYBIAMJ"]],"itemData":{"id":253,"type":"article-journal","issue":"4(спецвыпуск 1)","page":"20-25","title":"Место химиотерапии в лечении локализованного рака поджелудочной железы","volume":"21","author":[{"family":"Базин","given":"Игорь"},{"family":"Покатаев","given":"Илья"}],"issued":{"date-parts":[["2016"]]}}},{"id":254,"uris":["http://zotero.org/users/5363772/items/W6KWRPTU",["http://zotero.org/users/5363772/items/W6KWRPTU"]],"itemData":{"id":254,"type":"article-journal","abstract":"The most accepted treatment for locally advanced pancreatic cancer is chemoradiotherapy. However, indications to and results of pancreatic resections after chemoradiation are not yet defined.","container-title":"Annals of Surgical Oncology","DOI":"10.1245/s10434-006-9032-x","ISSN":"1534-4681","issue":"9","journalAbbreviation":"Annals of Surgical Oncology","page":"1201-1208","title":"Pancreatic Resections after Chemoradiotherapy for Locally Advanced Ductal Adenocarcinoma: Analysis of Perioperative Outcome and Survival","volume":"13","author":[{"family":"Massucco","given":"Paolo"},{"family":"Capussotti","given":"Lorenzo"},{"family":"Magnino","given":"Antonella"},{"family":"Sperti","given":"Elisa"},{"family":"Gatti","given":"Marco"},{"family":"Muratore","given":"Andrea"},{"family":"Sgotto","given":"Enrico"},{"family":"Gabriele","given":"Pietro"},{"family":"Aglietta","given":"Massimo"}],"issued":{"date-parts":[["2006",9,1]]}}},{"id":937,"uris":["http://zotero.org/users/5363772/items/U983XFYV",["http://zotero.org/users/5363772/items/U983XFYV"]],"itemData":{"id":937,"type":"article-journal","abstract":"Abstract\n            \n              Background\n              The optimal preoperative treatment for LAPC is unknown. This first prospective, randomised trial was designed to compare the efficacy and safety of nab-Paclitaxel and Gemcitabine (nPG) with Fluorouracil, Leucovorin, Irinotecan, Oxaliplatin (FOLFIRINOX) as induction chemotherapy in LAPC.\n            \n            \n              Methods\n              In this open-label, randomised, two-arm, phase 2 trial, treatment-naive patients (pts) with histologically/cytologically proven non-resectable LAPC were recruited from 33 German centres. After two cycles of nPG induction pts without progressive disease or unacceptable adverse events were randomly allocated (1:1) to receive either two additional cycles of nPG or four cycles of sequential un-modified sqFOLFIRINOX. Secondary resectability was assessed by surgical exploration in all pts with at least stable disease (SD) after completion of induction chemotherapy. The primary endpoint was conversion rate (R0/R1 resection). Secondary endpoints included overall survival (OS) and safety.\n            \n            \n              Results\n              168 pts were registered and 130 were randomly allocated (64 to nPG and 66 to sqFOLFIRINOX). Disease control rate (DCR) after randomization was 82.3% in the nPG group and 75.0% % in the sqFOLFIRINOX group. Surgical exploration was performed in 62.5% of randomized pts in the nPG group and 63.6% in the sqFOLFIRINOX group. The conversion rate as primary endpoint was 30.6% in the nPG group and 45.0% in the sqFOLFIRINOX group (Odds ratio 0.54; 95% CI, 0.26 to 1.13; P = 0.135). At a median follow-up of 12.9 months, the median overall survival was 17.2 months in the nPG group and 22.5 months in the sqFOLFIRINOX group (adjusted Hazard ratio 0.73; 95% CI, 0.42 to 1.28; P = 0.268). Among all intention-to-treat pts (N = 165) conversion was associated with significant improved overall survival (27.4 vs. 14.2 months; P = 0.0035). Adverse events of ≥ grade 3 occurred in 54.7% of the patients in the the nPG group and in 53.0% of those in the in the sqFOLFIRINOX group.\n            \n            \n              Conclusions\n              Secondary resection after 4 months of induction combination chemotherapy followed by surgical exploration is feasible in about a third of pts with LAPC and associated with prolonged survival.\n            \n            \n              Clinical trial identification\n              NCT02125136; 2013-004796-12.\n            \n            \n              Legal entity responsible for the study\n              AIO-Studien-gGmbH.\n            \n            \n              Funding\n              Celgene.\n            \n            \n              Disclosure\n              V. Kunzmann: Advisory / Consultancy, Research grant / Funding (institution): Celgene; Honoraria (institution): Servier; Advisory / Consultancy, Research grant / Funding (institution): AstraZeneca. H. Algül: Honoraria (self): Celgene; Honoraria (self): Servier; Research grant / Funding (self): Chugai. E. Goekkurt: Advisory / Consultancy: BMS; Advisory / Consultancy: MSD; Advisory / Consultancy: Merck; Advisory / Consultancy: Roche; Advisory / Consultancy: Sanofi; Travel / Accommodation / Expenses: Servier. U.M. Martens: Advisory / Consultancy, Travel / Accommodation / Expenses: Celgene; Advisory / Consultancy, Travel / Accommodation / Expenses: Amgen; Advisory / Consultancy: Roche. D. Waldschmidt: Advisory / Consultancy, Travel / Accommodation / Expenses: Celgene. U. Pelzer: Advisory / Consultancy, Research grant / Funding (institution): Celgene. J. Siveke: Advisory / Consultancy, Research grant / Funding (self), Travel / Accommodation / Expenses: Celgene; Research grant / Funding (self), Travel / Accommodation / Expenses: BMS; Travel / Accommodation / Expenses: Roche. F. Kullmann: Advisory / Consultancy, Travel / Accommodation / Expenses: Celgene. S. Boeck: Honoraria (self), Advisory / Consultancy, Research grant / Funding (institution): Celgene. T.J. Ettrich: Research grant / Funding (institution): Shire; Speaker Bureau / Expert testimony: Celgene; Advisory / Consultancy, Speaker Bureau / Expert testimony: Sanofi; Advisory / Consultancy, Speaker Bureau / Expert testimony: BMS; Travel / Accommodation / Expenses: Ipsen. All other authors have declared no conflicts of interest.","container-title":"Annals of Oncology","DOI":"10.1093/annonc/mdz247","ISSN":"0923-7534, 1569-8041","issue":"Supplement_5","language":"en","page":"mdz247","source":"DOI.org (Crossref)","title":"671OConversion rate in locally advanced pancreatic cancer (LAPC) after nab-paclitaxel/gemcitabine- or FOLFIRINOX-based induction chemotherapy (NEOLAP): Final results of a multicenter randomised phase II AIO trial","title-short":"671OConversion rate in locally advanced pancreatic cancer (LAPC) after nab-paclitaxel/gemcitabine- or FOLFIRINOX-based induction chemotherapy (NEOLAP)","volume":"30","author":[{"family":"Kunzmann","given":"V"},{"family":"Algül","given":"H"},{"family":"Goekkurt","given":"E"},{"family":"Siegler","given":"G M"},{"family":"Martens","given":"U M"},{"family":"Waldschmidt","given":"D"},{"family":"Pelzer","given":"U"},{"family":"Hennes","given":"E"},{"family":"Fuchs","given":"M"},{"family":"Siveke","given":"J"},{"family":"Kullmann","given":"F"},{"family":"Boeck","given":"S"},{"family":"Ettrich","given":"T J"},{"family":"Ferenczy","given":"P"},{"family":"Keller","given":"R"},{"family":"Germer","given":"C-T"},{"family":"Stein","given":"H"},{"family":"Hartlapp","given":"I"},{"family":"Klein","given":"I"},{"family":"Heinemann","given":"V"}],"issued":{"date-parts":[["2019",10,1]]}}},{"id":412,"uris":["http://zotero.org/users/5363772/items/FLM4HGCI",["http://zotero.org/users/5363772/items/FLM4HGCI"]],"itemData":{"id":412,"type":"article-journal","abstract":"BACKGROUND: FOLFIRINOX prolongs survival in patients with metastatic pancreatic cancer and may also benefit patients with locally advanced pancreatic cancer (LAPC). Furthermore, it may downstage a proportion of LAPC into (borderline) resectable disease, however data are lacking. This review assessed outcomes after FOLFIRINOX-based therapy in LAPC. METHODS: The PubMed, EMBASE and Cochrane library databases were systematically searched for studies published to 31 August 2015. Primary outcome was the (R0) resection rate. RESULTS: Fourteen studies involving 365 patients with LAPC were included; three studies administered a modified FOLFIRINOX regimen. Of all patients, 57 % (n = 208) received radiotherapy. The pooled resection rate was 28 % (n = 103, 77 % R0), with a perioperative mortality of 3 % (n = 2), and median overall survival ranged from 8.9 to 25.0 months. Survival data after resection were scarce, with only one study reporting a median overall survival of 24.9 months in 28 patients. A complete pathologic response was found in 6 of 85 (7 %) resected specimens. Dose reductions were described in up to 65 % of patients, grade 3-4 toxicity occurred in 23 % (n = 51) of patients, and 2 % (n = 5) had to discontinue treatment. Data of patients treated solely with FOLFIRINOX, without additional radiotherapy, were available from 292 patients: resection rate was 12 % (n = 29, 70 % R0), with 15.7 months median overall survival and 19 % (n = 34) grade 3-4 toxicity. CONCLUSIONS: Outcomes after FOLFIRINOX-based therapy in patients with LAPC seem very promising but further prospective studies are needed, especially with regard to survival after resection.","archive":"PubMed","archive_location":"27370653","container-title":"Annals of surgical oncology","DOI":"10.1245/s10434-016-5373-2","ISSN":"1534-4681","issue":"13","journalAbbreviation":"Ann Surg Oncol","language":"eng","page":"4352-4360","title":"Systematic Review of Resection Rates and Clinical Outcomes After FOLFIRINOX-Based Treatment in Patients with Locally Advanced Pancreatic Cancer","volume":"23","author":[{"family":"Rombouts","given":"Steffi J"},{"family":"Walma","given":"Marieke S"},{"family":"Vogel","given":"Jantien A"},{"family":"Rijssen","given":"Lennart B","non-dropping-particle":"van"},{"family":"Wilmink","given":"Johanna W"},{"family":"Mohammad","given":"Nadia Haj"},{"family":"Santvoort","given":"Hjalmar C","non-dropping-particle":"van"},{"family":"Molenaar","given":"I Quintus"},{"family":"Besselink","given":"Marc G"}],"issued":{"date-parts":[["2016",12]]}}}],"schema":"https://github.com/citation-style-language/schema/raw/master/csl-citation.json"} </w:instrText>
      </w:r>
      <w:r w:rsidR="00C15198" w:rsidRPr="00A83E0C">
        <w:fldChar w:fldCharType="separate"/>
      </w:r>
      <w:r w:rsidR="004034C1" w:rsidRPr="004034C1">
        <w:t>[64–67]</w:t>
      </w:r>
      <w:r w:rsidR="00C15198" w:rsidRPr="00A83E0C">
        <w:fldChar w:fldCharType="end"/>
      </w:r>
      <w:r w:rsidR="00A311AF" w:rsidRPr="00A83E0C">
        <w:t>.</w:t>
      </w:r>
    </w:p>
    <w:p w14:paraId="065BA818" w14:textId="77777777" w:rsidR="00A311AF" w:rsidRPr="00A83E0C" w:rsidRDefault="00A311AF" w:rsidP="00DC7BE7">
      <w:pPr>
        <w:pStyle w:val="33"/>
        <w:rPr>
          <w:color w:val="auto"/>
          <w:lang w:val="ru-RU"/>
        </w:rPr>
      </w:pPr>
      <w:r w:rsidRPr="00A83E0C">
        <w:rPr>
          <w:color w:val="auto"/>
          <w:lang w:val="ru-RU"/>
        </w:rPr>
        <w:t xml:space="preserve">Уровень убедительности рекомендаций - </w:t>
      </w:r>
      <w:r w:rsidR="006F5B46" w:rsidRPr="00A83E0C">
        <w:rPr>
          <w:color w:val="auto"/>
        </w:rPr>
        <w:t>C</w:t>
      </w:r>
      <w:r w:rsidR="00B80E0E" w:rsidRPr="00A83E0C">
        <w:rPr>
          <w:color w:val="auto"/>
          <w:lang w:val="ru-RU"/>
        </w:rPr>
        <w:t xml:space="preserve"> </w:t>
      </w:r>
      <w:r w:rsidRPr="00A83E0C">
        <w:rPr>
          <w:color w:val="auto"/>
          <w:lang w:val="ru-RU"/>
        </w:rPr>
        <w:t xml:space="preserve">(уровень достоверности доказательств - </w:t>
      </w:r>
      <w:r w:rsidR="006F5B46" w:rsidRPr="00A83E0C">
        <w:rPr>
          <w:color w:val="auto"/>
          <w:lang w:val="ru-RU"/>
        </w:rPr>
        <w:t>4</w:t>
      </w:r>
      <w:r w:rsidRPr="00A83E0C">
        <w:rPr>
          <w:color w:val="auto"/>
          <w:lang w:val="ru-RU"/>
        </w:rPr>
        <w:t>)</w:t>
      </w:r>
    </w:p>
    <w:p w14:paraId="054C4D61" w14:textId="77777777" w:rsidR="006E6613" w:rsidRPr="00A83E0C" w:rsidRDefault="00A311AF" w:rsidP="00221CEC">
      <w:pPr>
        <w:pStyle w:val="af0"/>
        <w:tabs>
          <w:tab w:val="left" w:pos="284"/>
          <w:tab w:val="left" w:pos="426"/>
        </w:tabs>
        <w:spacing w:line="360" w:lineRule="auto"/>
        <w:ind w:left="0"/>
        <w:rPr>
          <w:i/>
          <w:lang w:val="ru-RU"/>
        </w:rPr>
      </w:pPr>
      <w:r w:rsidRPr="00A83E0C">
        <w:rPr>
          <w:b/>
          <w:lang w:val="ru-RU"/>
        </w:rPr>
        <w:t>Комментарий</w:t>
      </w:r>
      <w:r w:rsidRPr="00A83E0C">
        <w:rPr>
          <w:lang w:val="ru-RU"/>
        </w:rPr>
        <w:t xml:space="preserve">: </w:t>
      </w:r>
      <w:r w:rsidR="003F42F0" w:rsidRPr="00A83E0C">
        <w:rPr>
          <w:i/>
          <w:lang w:val="ru-RU"/>
        </w:rPr>
        <w:t xml:space="preserve">основным методом индукционной терапии является химиотерапия. Режимы химиотерапии аналогичны изложенным для лечения метастатического рака (таблица </w:t>
      </w:r>
      <w:r w:rsidR="00421E47" w:rsidRPr="00A83E0C">
        <w:rPr>
          <w:i/>
          <w:lang w:val="ru-RU"/>
        </w:rPr>
        <w:t>4</w:t>
      </w:r>
      <w:r w:rsidR="003F42F0" w:rsidRPr="00A83E0C">
        <w:rPr>
          <w:i/>
          <w:lang w:val="ru-RU"/>
        </w:rPr>
        <w:t xml:space="preserve">). </w:t>
      </w:r>
      <w:r w:rsidR="008A230B" w:rsidRPr="00DD2F70">
        <w:rPr>
          <w:i/>
          <w:lang w:val="ru-RU"/>
        </w:rPr>
        <w:t xml:space="preserve">Предпочтительными режимами (при отсутствии противопоказаний) являются </w:t>
      </w:r>
      <w:r w:rsidR="008A230B" w:rsidRPr="00DD2F70">
        <w:rPr>
          <w:i/>
        </w:rPr>
        <w:t>FOLFIRINOX</w:t>
      </w:r>
      <w:r w:rsidR="008A230B" w:rsidRPr="00DD2F70">
        <w:rPr>
          <w:i/>
          <w:lang w:val="ru-RU"/>
        </w:rPr>
        <w:t xml:space="preserve"> или комбинации </w:t>
      </w:r>
      <w:r w:rsidR="008A230B" w:rsidRPr="00A83E0C">
        <w:rPr>
          <w:i/>
          <w:lang w:val="ru-RU"/>
        </w:rPr>
        <w:t>#гемцитабина** и #паклитаксел+альбумин</w:t>
      </w:r>
      <w:r w:rsidR="00235892">
        <w:rPr>
          <w:i/>
          <w:lang w:val="ru-RU"/>
        </w:rPr>
        <w:t>а</w:t>
      </w:r>
      <w:r w:rsidR="008A230B" w:rsidRPr="00DD2F70">
        <w:rPr>
          <w:i/>
          <w:lang w:val="ru-RU"/>
        </w:rPr>
        <w:t xml:space="preserve">. При наличии </w:t>
      </w:r>
      <w:r w:rsidR="008A230B" w:rsidRPr="001E4AC9">
        <w:rPr>
          <w:i/>
          <w:lang w:val="ru-RU"/>
        </w:rPr>
        <w:t xml:space="preserve">у пациентов мутаций в генах BRCA или PALB2, оптимальным является применение комбинации FOLFIRINOX или комбинации </w:t>
      </w:r>
      <w:r w:rsidR="001F159F" w:rsidRPr="001E4AC9">
        <w:rPr>
          <w:i/>
          <w:lang w:val="ru-RU"/>
        </w:rPr>
        <w:t>#</w:t>
      </w:r>
      <w:r w:rsidR="008A230B" w:rsidRPr="001E4AC9">
        <w:rPr>
          <w:i/>
          <w:lang w:val="ru-RU"/>
        </w:rPr>
        <w:t>гемцитабина</w:t>
      </w:r>
      <w:r w:rsidR="001F159F" w:rsidRPr="001E4AC9">
        <w:rPr>
          <w:i/>
          <w:lang w:val="ru-RU"/>
        </w:rPr>
        <w:t>**</w:t>
      </w:r>
      <w:r w:rsidR="008A230B" w:rsidRPr="001E4AC9">
        <w:rPr>
          <w:i/>
          <w:lang w:val="ru-RU"/>
        </w:rPr>
        <w:t xml:space="preserve"> с </w:t>
      </w:r>
      <w:r w:rsidR="00576568" w:rsidRPr="001E4AC9">
        <w:rPr>
          <w:i/>
          <w:lang w:val="ru-RU"/>
        </w:rPr>
        <w:t>соединениями</w:t>
      </w:r>
      <w:r w:rsidR="008A230B" w:rsidRPr="001E4AC9">
        <w:rPr>
          <w:i/>
          <w:lang w:val="ru-RU"/>
        </w:rPr>
        <w:t xml:space="preserve"> платины. </w:t>
      </w:r>
      <w:r w:rsidR="008A230B" w:rsidRPr="00DD2F70">
        <w:rPr>
          <w:i/>
          <w:lang w:val="ru-RU"/>
        </w:rPr>
        <w:t>При выборе режима химиотерапии следует учитывать следующие данные: общее состояние пациента, возраст, наличие осложнений опухолевого процесса и серьезных сопутствующих заболеваний</w:t>
      </w:r>
      <w:r w:rsidR="001F159F" w:rsidRPr="001F159F">
        <w:rPr>
          <w:i/>
          <w:lang w:val="ru-RU"/>
        </w:rPr>
        <w:t xml:space="preserve">. </w:t>
      </w:r>
    </w:p>
    <w:p w14:paraId="5B413F9A" w14:textId="52C57690" w:rsidR="008A230B" w:rsidRPr="008A230B" w:rsidRDefault="00224F21" w:rsidP="008A230B">
      <w:pPr>
        <w:ind w:firstLine="567"/>
        <w:rPr>
          <w:i/>
          <w:lang w:val="ru-RU"/>
        </w:rPr>
      </w:pPr>
      <w:r w:rsidRPr="00A83E0C">
        <w:rPr>
          <w:i/>
          <w:lang w:val="ru-RU"/>
        </w:rPr>
        <w:t>Длительность индукционной химиотерапии определяется достижением резектабельности. Рекомендуется оценивать эффект по КТ или МРТ каждые 6-8 недель. В случае отсутствия прогрессирования при первой оценке эффекта (уменьшение опухоли или стабилизация</w:t>
      </w:r>
      <w:r w:rsidR="001537BF" w:rsidRPr="00A83E0C">
        <w:rPr>
          <w:i/>
          <w:lang w:val="ru-RU"/>
        </w:rPr>
        <w:t xml:space="preserve"> по критериям </w:t>
      </w:r>
      <w:r w:rsidR="001537BF" w:rsidRPr="00A83E0C">
        <w:rPr>
          <w:i/>
        </w:rPr>
        <w:t>RECIST</w:t>
      </w:r>
      <w:r w:rsidR="001537BF" w:rsidRPr="00A83E0C">
        <w:rPr>
          <w:i/>
          <w:lang w:val="ru-RU"/>
        </w:rPr>
        <w:t xml:space="preserve"> 1.1 (приложение Г2)</w:t>
      </w:r>
      <w:r w:rsidRPr="00A83E0C">
        <w:rPr>
          <w:i/>
          <w:lang w:val="ru-RU"/>
        </w:rPr>
        <w:t xml:space="preserve">) </w:t>
      </w:r>
      <w:r w:rsidR="00696718" w:rsidRPr="00A83E0C">
        <w:rPr>
          <w:i/>
          <w:lang w:val="ru-RU"/>
        </w:rPr>
        <w:t>рекомендуется</w:t>
      </w:r>
      <w:r w:rsidRPr="00A83E0C">
        <w:rPr>
          <w:i/>
          <w:lang w:val="ru-RU"/>
        </w:rPr>
        <w:t xml:space="preserve"> продолжить химиотерапию. В случае отсутствия положительной динамики опухолевого процесса по данным двух последних изображений </w:t>
      </w:r>
      <w:r w:rsidR="001F159F" w:rsidRPr="001F159F">
        <w:rPr>
          <w:i/>
          <w:lang w:val="ru-RU"/>
        </w:rPr>
        <w:t>следует рассмотреть возможность выполнения радикальной операции</w:t>
      </w:r>
      <w:r w:rsidR="006E65D2">
        <w:rPr>
          <w:i/>
          <w:lang w:val="ru-RU"/>
        </w:rPr>
        <w:t xml:space="preserve"> в случае достижения резектебальности</w:t>
      </w:r>
      <w:r w:rsidR="001F159F" w:rsidRPr="001F159F">
        <w:rPr>
          <w:i/>
          <w:lang w:val="ru-RU"/>
        </w:rPr>
        <w:t xml:space="preserve">. </w:t>
      </w:r>
    </w:p>
    <w:p w14:paraId="7131EE14" w14:textId="0701F074" w:rsidR="00964910" w:rsidRPr="00964910" w:rsidRDefault="00964910" w:rsidP="00964910">
      <w:pPr>
        <w:ind w:firstLine="567"/>
        <w:rPr>
          <w:i/>
          <w:lang w:val="ru-RU"/>
        </w:rPr>
      </w:pPr>
      <w:r w:rsidRPr="00964910">
        <w:rPr>
          <w:i/>
          <w:lang w:val="ru-RU"/>
        </w:rPr>
        <w:t>В случае сохранения нерезектабельного процесса и отсутствия нарастания эффекта после окончания 16</w:t>
      </w:r>
      <w:r w:rsidR="00666523">
        <w:rPr>
          <w:i/>
          <w:lang w:val="ru-RU"/>
        </w:rPr>
        <w:t>-18</w:t>
      </w:r>
      <w:r w:rsidRPr="00964910">
        <w:rPr>
          <w:i/>
          <w:lang w:val="ru-RU"/>
        </w:rPr>
        <w:t xml:space="preserve"> нед</w:t>
      </w:r>
      <w:r w:rsidR="000F1840">
        <w:rPr>
          <w:i/>
          <w:lang w:val="ru-RU"/>
        </w:rPr>
        <w:t>ель</w:t>
      </w:r>
      <w:r w:rsidRPr="00964910">
        <w:rPr>
          <w:i/>
          <w:lang w:val="ru-RU"/>
        </w:rPr>
        <w:t xml:space="preserve"> индукционной химиотерапии рекомендуется продолжение ранее начатого режима химиотерапии (при его хорошей переносимости) либо проведение поддерживающей химиотерапии (например, монотерапии #</w:t>
      </w:r>
      <w:r w:rsidR="00576568">
        <w:rPr>
          <w:i/>
          <w:lang w:val="ru-RU"/>
        </w:rPr>
        <w:t>фторурацилом</w:t>
      </w:r>
      <w:r w:rsidRPr="00964910">
        <w:rPr>
          <w:i/>
          <w:lang w:val="ru-RU"/>
        </w:rPr>
        <w:t>**</w:t>
      </w:r>
      <w:r w:rsidR="00576568">
        <w:rPr>
          <w:i/>
          <w:lang w:val="ru-RU"/>
        </w:rPr>
        <w:t>/</w:t>
      </w:r>
      <w:r w:rsidRPr="00964910">
        <w:rPr>
          <w:i/>
          <w:lang w:val="ru-RU"/>
        </w:rPr>
        <w:t>#</w:t>
      </w:r>
      <w:r w:rsidR="00576568">
        <w:rPr>
          <w:i/>
          <w:lang w:val="ru-RU"/>
        </w:rPr>
        <w:t>капецитабином</w:t>
      </w:r>
      <w:r w:rsidRPr="00964910">
        <w:rPr>
          <w:i/>
          <w:lang w:val="ru-RU"/>
        </w:rPr>
        <w:t xml:space="preserve">**, если до этого пациент получал FOLFIRINOX). Доказательств преимущества </w:t>
      </w:r>
      <w:r w:rsidR="000F1840">
        <w:rPr>
          <w:i/>
          <w:lang w:val="ru-RU"/>
        </w:rPr>
        <w:t>одного из этих подходов</w:t>
      </w:r>
      <w:r w:rsidRPr="00964910">
        <w:rPr>
          <w:i/>
          <w:lang w:val="ru-RU"/>
        </w:rPr>
        <w:t xml:space="preserve"> нет.</w:t>
      </w:r>
    </w:p>
    <w:p w14:paraId="23876E21" w14:textId="77777777" w:rsidR="006E6613" w:rsidRPr="00A83E0C" w:rsidRDefault="00224F21" w:rsidP="00221CEC">
      <w:pPr>
        <w:tabs>
          <w:tab w:val="left" w:pos="284"/>
          <w:tab w:val="left" w:pos="426"/>
        </w:tabs>
        <w:rPr>
          <w:i/>
          <w:lang w:val="ru-RU"/>
        </w:rPr>
      </w:pPr>
      <w:r w:rsidRPr="00A83E0C">
        <w:rPr>
          <w:i/>
          <w:lang w:val="ru-RU"/>
        </w:rPr>
        <w:t xml:space="preserve">Рекомендуемая суммарная продолжительность химиотерапии с учетом индукционного и поддерживающего этапов должна составлять не менее 6 месяцев. Применение </w:t>
      </w:r>
      <w:r w:rsidR="00724815" w:rsidRPr="00A83E0C">
        <w:rPr>
          <w:i/>
          <w:lang w:val="ru-RU"/>
        </w:rPr>
        <w:t>химиотерапии</w:t>
      </w:r>
      <w:r w:rsidRPr="00A83E0C">
        <w:rPr>
          <w:i/>
          <w:lang w:val="ru-RU"/>
        </w:rPr>
        <w:t xml:space="preserve"> более 6 месяцев (например, до прогрессирования опухоли) также является оправданной опцией ввиду отсутствия клинических исследований, </w:t>
      </w:r>
      <w:r w:rsidRPr="00A83E0C">
        <w:rPr>
          <w:i/>
          <w:lang w:val="ru-RU"/>
        </w:rPr>
        <w:lastRenderedPageBreak/>
        <w:t xml:space="preserve">посвященных вопросу оптимальной длительности химиотерапии в этой группе пациентов. Решение о продолжении </w:t>
      </w:r>
      <w:r w:rsidR="00724815" w:rsidRPr="00A83E0C">
        <w:rPr>
          <w:i/>
          <w:lang w:val="ru-RU"/>
        </w:rPr>
        <w:t>химиотерапии</w:t>
      </w:r>
      <w:r w:rsidRPr="00A83E0C">
        <w:rPr>
          <w:i/>
          <w:lang w:val="ru-RU"/>
        </w:rPr>
        <w:t xml:space="preserve"> до прогрессирования должно приниматься с учетом динамики эффекта и переносимости данного лечения.</w:t>
      </w:r>
    </w:p>
    <w:p w14:paraId="1F2F9126" w14:textId="18AE4B8A" w:rsidR="00CF5557" w:rsidRPr="009E29CD" w:rsidRDefault="003F42F0" w:rsidP="009E29CD">
      <w:pPr>
        <w:pStyle w:val="aff2"/>
      </w:pPr>
      <w:r w:rsidRPr="00A83E0C">
        <w:t>Роль лучевой терапии в рамках индукционной терапии рака поджелудочной железы окончательно не определена</w:t>
      </w:r>
      <w:r w:rsidR="009E29CD">
        <w:t xml:space="preserve">. </w:t>
      </w:r>
      <w:r w:rsidR="009E29CD" w:rsidRPr="00E01049">
        <w:rPr>
          <w:rFonts w:eastAsia="BlissPro-Light"/>
          <w:szCs w:val="24"/>
        </w:rPr>
        <w:t>Опубликованные рандомизированные исследования не поддерживают ее использование как при погранично резектабельном (исследование ALIANCE A021501, ESPAC5f), так и при нерезектабельном раке (исследовани</w:t>
      </w:r>
      <w:r w:rsidR="00B16CA9">
        <w:rPr>
          <w:rFonts w:eastAsia="BlissPro-Light"/>
          <w:szCs w:val="24"/>
        </w:rPr>
        <w:t>я</w:t>
      </w:r>
      <w:r w:rsidR="009E29CD" w:rsidRPr="00E01049">
        <w:rPr>
          <w:rFonts w:eastAsia="BlissPro-Light"/>
          <w:szCs w:val="24"/>
        </w:rPr>
        <w:t xml:space="preserve"> LAP 07, CONCKO 007). На настоящий момент применение лучевой терапии по данным показаниям не рекомендуется вне рамок клинических исследований</w:t>
      </w:r>
      <w:r w:rsidR="009E29CD" w:rsidRPr="00E01049">
        <w:rPr>
          <w:rFonts w:eastAsia="BlissPro-Light"/>
          <w:i w:val="0"/>
        </w:rPr>
        <w:fldChar w:fldCharType="begin"/>
      </w:r>
      <w:r w:rsidR="004034C1">
        <w:rPr>
          <w:rFonts w:eastAsia="BlissPro-Light"/>
          <w:szCs w:val="24"/>
        </w:rPr>
        <w:instrText xml:space="preserve"> ADDIN ZOTERO_ITEM CSL_CITATION {"citationID":"CPqORIoY","properties":{"formattedCitation":"[57,68\\uc0\\u8211{}70]","plainCitation":"[57,68–70]","noteIndex":0},"citationItems":[{"id":1247,"uris":["http://zotero.org/users/5363772/items/V37TYD4W"],"itemData":{"id":1247,"type":"article-journal","abstract":"4505Background: Patients with borderline resectable pancreatic cancer have poor survival and low resection rates. Neoadjuvant therapy may improve the outcome for these patients. The aim of this trial was to determine the feasibility and efficacy of a comparison of immediate surgery versus neoadjuvant GEMCAP or FOLFIRINOX or CRT. Methods: Eligible patients with NCCN defined borderline resectable (following central review of the baseline CT scan) and biopsy proven pancreatic cancer were randomised (stratified by centre) to receive immediate surgery, or neoadjuvant therapy of either 2 cycles of GEMCAP, or 4 cycles of FOLFIRINOX or 50.4Gy capecitabine-based CRT in 28 daily fractions over 5 ½ weeks. Patients were restaged at 4-6 weeks and underwent surgical exploration if still borderline resectable. Resected patients received adjuvant therapy. Follow up was 12 months. There was quality assurance of surgery and CRT. Primary endpoints were recruitment rate and resection rate (R1/R0). Secondary endpoints included overall survival and toxicity. A target of 90 patients was set to determine feasibility and resection rates. Rates will be presented as point estimates and survival compared across treatment arms using a log-rank test. Analyses will be on an ITT basis. Results: Between August 2014 and December 2018, 90 patients were randomised with 88 included in the full analysis set (32 immediate surgery, 20 GEMCAP, 20 FOLFIRINOX, 16 CRT). Median age was 63 years, 44% were men. WHO performance status was 0 and 1 in 45% and 55% respectively. Median CA19-9 was 603 kU/L at baseline. 44 (79%) patients completed neoadjuvant therapy. Recruitment rate was 21 patients per year. Resection rate was 62% for immediate surgery and 55% for neoadjuvant therapy (p=0.668). R0 resection rate on resected patients was 15% and 23% respectively (p=0.721). One year survival rate was 40% [95% CI, 26% ? 62%] for immediate surgery and 77% [95%CI, 66% - 89%] for neoadjuvant therapy. Log-rank analysis showed an HR=0.27 [95% CI, 0.13 ? 0.55]; ?2 (1) = 14.91, P&lt;0.001. 9 out of the 51 neoadjuvant patients included in the safety set reported 12 serious adverse events of grade 3 or above. Conclusions: There was no difference in resection rate between arms, however neoadjuvant therapy had a significant survival benefit compared with immediate surgery. Clinical trial information: 89500674.","container-title":"Journal of Clinical Oncology","DOI":"10.1200/JCO.2020.38.15_suppl.4505","ISSN":"0732-183X","issue":"15_suppl","journalAbbreviation":"JCO","note":"publisher: Wolters Kluwer","page":"4505-4505","title":"ESPAC-5F: Four-arm, prospective, multicenter, international randomized phase II trial of immediate surgery compared with neoadjuvant gemcitabine plus capecitabine (GEMCAP) or FOLFIRINOX or chemoradiotherapy (CRT) in patients with borderline resectable pancreatic cancer.","volume":"38","author":[{"family":"Ghaneh","given":"Paula"},{"family":"Palmer","given":"Daniel H."},{"family":"Cicconi","given":"Silvia"},{"family":"Halloran","given":"Christopher"},{"family":"Psarelli","given":"Eftychia Eirini"},{"family":"Rawcliffe","given":"Charlotte Louise"},{"family":"Sripadam","given":"Rajaram"},{"family":"Mukherjee","given":"Somnath"},{"family":"Wadsley","given":"Jonathan"},{"family":"Al-Mukhtar","given":"Ahmed"},{"family":"Jiao","given":"Long R."},{"family":"Wasan","given":"Harpreet Singh"},{"family":"Carter","given":"Ross"},{"family":"Graham","given":"Janet Shirley"},{"family":"Ammad","given":"Farooq"},{"family":"Evans","given":"Jonathan"},{"family":"Tjaden","given":"Christine"},{"family":"Hackert","given":"Thilo"},{"family":"Buchler","given":"Markus W."},{"family":"Neoptolemos","given":"John P."}],"issued":{"date-parts":[["2020",5,20]]}}},{"id":402,"uris":["http://zotero.org/users/5363772/items/YB53QKLF"],"itemData":{"id":402,"type":"article-journal","abstract":"In locally advanced pancreatic cancer, the role of chemoradiotherapy is controversial and the efficacy of erlotinib is unknown.To assess whether chemoradiotherapy improves overall survival of patients with locally advanced pancreatic cancer controlled after 4 months of gemcitabine-based induction chemotherapy and to assess the effect of erlotinib on survival.In LAP07, an international, open-label, phase 3 randomized trial, 449 patients were enrolled between 2008 and 2011. Follow-up ended in February 2013.In the first randomization, 223 patients received 1000 mg/m2 weekly of gemcitabine alone and 219 patients received 1000 mg/m2 of gemcitabine plus 100 mg/d of erlotinib. In the second randomization involving patients with progression-free disease after 4 months, 136 patients received 2 months of the same chemotherapy and 133 underwent chemoradiotherapy (54 Gy plus capecitabine).The primary outcome was overall survival from the date of the first randomization. Secondary outcomes were the effect of erlotinib and quality assurance of radiotherapy on overall survival, progression-free survival of gemcitabine-erlotinib and erlotinib maintenance with gemcitabine alone at the second randomization, and toxic effects.A total of 442 of the 449 patients (232 men; median age, 63.3 years) enrolled underwent the first randomization. Of these, 269 underwent the second randomization. Interim analysis was performed when 221 patients died (109 in the chemoradiotherapy group and 112 in the chemotherapy group), reaching the early stopping boundaries for futility. With a median follow-up of 36.7 months, the median overall survival from the date of the first randomization was not significantly different between chemotherapy at 16.5 months (95% CI, 14.5-18.5 months) and chemoradiotherapy at 15.2 months (95% CI, 13.9-17.3 months; hazard ratio [HR], 1.03; 95% CI, 0.79-1.34; P = .83). Median overall survival from the date of the first randomization for the 223 patients receiving gemcitabine was 13.6 months (95% CI, 12.3-15.3 months) and was 11.9 months (95% CI, 10.4-13.5 months) for the 219 patients receiving gemcitabine plus erlotinib (HR, 1.19; 95% CI, 0.97-1.45; P = .09; 188 deaths vs 191 deaths). Chemoradiotherapy was associated with decreased local progression (32% vs 46%, P = .03) and no increase in grade 3 to 4 toxicity, except for nausea.In this open-label, randomized trial involving patients with locally advanced pancreatic cancer with disease controlled after 4 months of induction chemotherapy, there was no significant difference in overall survival with chemoradiotherapy compared with chemotherapy alone and there was no significant difference in overall survival with gemcitabine compared with gemcitabine plus erlotinib used as maintenance therapy.clinicaltrials.gov Identifier: NCT00634725","container-title":"JAMA","DOI":"10.1001/jama.2016.4324","ISSN":"0098-7484","issue":"17","journalAbbreviation":"JAMA","page":"1844-1853","title":"Effect of Chemoradiotherapy vs Chemotherapy on Survival in Patients With Locally Advanced Pancreatic Cancer Controlled After 4 Months of Gemcitabine With or Without Erlotinib: The LAP07 Randomized Clinical Trial","volume":"315","author":[{"family":"Hammel","given":"Pascal"},{"family":"Huguet","given":"Florence"},{"family":"Laethem","given":"Jean-Luc","non-dropping-particle":"van"},{"family":"Goldstein","given":"David"},{"family":"Glimelius","given":"Bengt"},{"family":"Artru","given":"Pascal"},{"family":"Borbath","given":"Ivan"},{"family":"Bouché","given":"Olivier"},{"family":"Shannon","given":"Jenny"},{"family":"André","given":"Thierry"},{"family":"Mineur","given":"Laurent"},{"family":"Chibaudel","given":"Benoist"},{"family":"Bonnetain","given":"Franck"},{"family":"Louvet","given":"Christophe"}],"issued":{"date-parts":[["2016",5,3]]}}},{"id":1255,"uris":["http://zotero.org/users/5363772/items/EAL2EHLI"],"itemData":{"id":1255,"type":"article-journal","abstract":"4008Background: Chemotherapy (CT) is the standard of care in nonresectable locally advanced pancreatic cancer. The CONKO-007 trial studied the role of sequential CT and chemoradiotherapy (CRT). Methods: In this randomized multicenter phase III trial resectability was judged by an independent surgical board. Patients (pts) received induction chemotherapy (IC) for 3 months (3 cycles gemcitabine (Gem, 1000 mg/m² d1, 8, 15, q4w) or FOLFIRINOX (6 cycles, q2w)). After IC pts without progression were randomized to either continuing CT for another 3 months or receiving CRT (cumulative dose of 50.4Gy, single dose 1.8Gy + Gem 300 mg/m² weekly, followed by 1 cycle of Gem 1000 mg/m² at d1, 8, 15). The primary endpoint of the study was overall survival (OS) since the begin of IC. Determination of sample size calculated 590 pts to be randomized. Due to the exclusion of pts with progressive disease after IC a total of 830 pts should be enrolled. Due to delayed patient accrual the primary endpoint was changed to R0 resection rate resulting in an estimated sample size of 525 pts. Results: Between 04/2013 and 02/2021 a total of 525 pts were enrolled in 47 sites. 402 pts received IC with FOLFIRINOX and 93 pts with Gem. After IC 190 pts were excluded due to progression or toxicity, 335 were randomized, their median FU was 16 months. Hematological toxicities were significantly increased in the CRT arm, non-hematological toxicities were comparable. R0 CRM- resection rate and pCR rate was significantly higher in the CRT arm. R1-resections occurred significantly more often in the CT arm. Median progression-free survival (PFS) (HR 0.919, 95% CI 0.702-1.203, p=0.540) and OS (HR 0.964, 95% CI 0.760-1.225, p=0.766) did not differ significantly in both arms, whereas the PFS rate tended to be higher in the CRT arm after 2 years. OS rates for CRM- R0 surgery with 87.5. ± 0.05% (1y) and 67.2 ± 0.05% (2y) were significantly higher (p&lt;0.01) than for CRM+ R0 surgery with 66.7 ± 0.15% (1y) and 41.2 ± 0.1% (2y) as well as for patients without or incomplete surgery with 68.5 ± 0.03% (1y) and 26.4 ± 0.03% (2y). Conclusions: The addition of radiotherapy after IC improves the R0 CRM - resection and pCR rate without significant change in R0 resection rate (primary endpoint). Pts with R0 CRM - resections had a better prognosis compared to patients with either R0 CRM+ or incomplete or without surgery. However, this effect on resectability did not translate into a statistically significant PFS or OS benefit in the whole cohort. Clinical trial information: NCT01827553. CTCRTpTotal (n)167168Surgery (n)60 (35.9%)61 (36.3 %)1.000R030 (18.0%)42 (25.0%)0.1433R0 CRM ? (n)15 (9.0%)33 (19.6%)0.0015R0 CRM + (n)15 (9.0%)9 (5.4%)0.1777R1 (n)16 (9.6%)5 (3.0%)0.0085pCR (n)010 (6.0%)0.00131-yr PFS rates59.0 ± 0.04%56.3 ± 0.04%2-yr PFS rates17.5 ± 0.04%24.1 ± 0.04%1-yr OS rates71.3 ± 0.04%71.1 ± 0.04%2-yr OS rates32.5 ± 0.04%34.8 ± 0.04%","container-title":"Journal of Clinical Oncology","DOI":"10.1200/JCO.2022.40.16_suppl.4008","ISSN":"0732-183X","issue":"16_suppl","journalAbbreviation":"JCO","note":"publisher: Wolters Kluwer","page":"4008-4008","title":"Randomized phase III trial of induction chemotherapy followed by chemoradiotherapy or chemotherapy alone for nonresectable locally advanced pancreatic cancer: First results of the CONKO-007 trial.","volume":"40","author":[{"family":"Fietkau","given":"Rainer"},{"family":"Ghadimi","given":"Michael"},{"family":"Grützmann","given":"Robert"},{"family":"Wittel","given":"Uwe A"},{"family":"Jacobasch","given":"Lutz"},{"family":"Uhl","given":"Waldemar"},{"family":"Croner","given":"Roland S."},{"family":"Bechstein","given":"Wolf Otto"},{"family":"Neumann","given":"Ulf Peter"},{"family":"Waldschmidt","given":"Dirk"},{"family":"Boeck","given":"Stefan Hubert"},{"family":"Moosmann","given":"Nicolas"},{"family":"Reinacher-Schick","given":"Anke C."},{"family":"Golcher","given":"Henriette"},{"family":"Adler","given":"Werner"},{"family":"Semrau","given":"Sabine"},{"family":"Kallies","given":"Annett"},{"family":"Hecht","given":"Markus"},{"family":"Tannapfel","given":"Andrea"},{"family":"Oettle","given":"Helmut"}],"issued":{"date-parts":[["2022",6,1]]}}},{"id":1309,"uris":["http://zotero.org/users/5363772/items/ASRLTDR9"],"itemData":{"id":1309,"type":"article-journal","abstract":"377Background: Neoadjuvant therapy has been associated with a median overall survival (OS) of 18 ? 23 months (mo) in patients (pts) with BR pancreatic ductal adenocarcinoma (PDAC). To establish reference regimens to which novel treatments can be compared in future studies, we evaluated neoadjuvant mFOLFIRINOX with or without RT in BR PDAC in a phase II National Clinical Trials Network (NCTN) trial. Methods: Pts with ECOG PS 0-1 and BR PDAC confirmed by central real-time radiographic review after pre-registration were randomized to either arm A: 8 cycles of neoadjuvant mFOLFIRINOX (oxaliplatin 85 mg/m2, irinotecan 180 mg/m2, leucovorin 400 mg/m2 and infusional 5-fluorouracil 2400 mg/m2 over 46 hours), or arm B: 7 cycles of mFOLFIRINOX followed by stereotactic body RT (SBRT, 33-40 Gy in 5 fractions [fx]) or hypofractionated image guided RT (HIGRT, 25 Gy in 5 fx). Pts in either arm without disease progression underwent pancreatectomy, then 4 cycles of adjuvant mFOLFOX6 (oxaliplatin 85 mg/m2, leucovorin 400 mg/m2 and infusional 5-fluorouracil 2400 mg/m2 over 46 hours). The primary endpoint, 18-mo OS rate, of each arm was compared to a historical control of 50%. Planned interim analysis mandated closure of either arm in which &lt;11 of first 30 accrued pts underwent R0 resection. Results: 155 pts pre-registered and 126 pts were enrolled to arm A (N=70; 54 randomized, 16 following closure of arm B) or arm B (N=56; closed at interim analysis, all pts randomized prior to closure). Median age (A: 63y, B: 67y), median CA 19-9 level (A: 171 U/ml, B: 248 U/ml) and ECOG PS (A: 51% PS 0, B: 57% PS 0) of registered pts were similar between arms (p &gt; 0.05). Treatment detailed in Table. The 18-mo OS rate based on Kaplan Meier estimates was 67.9% (95%CI: 54.6 ? 78.0) in arm A and 47.3% (95%CI: 33.7 ? 59.7) in arm B. Among pts who underwent pancreatectomy, 18-mo OS rate was 93.1% (95%CI: 84.3 ? 100) and 78.9% (95%CI: 62.6 ? 99.6) in arm A and B, respectively. With median follow-up of 27 and 31 mo, median OS was 31.0 (95%CI: 22.2 ? NE) mo and 17.1 (95%CI: 12.8 ? 24.4) mo in arm A and B, respectively. Conclusions: Neoadjuvant mFOLFIRINOX was associated with favorable OS relative to historical data in pts with BL PDAC in this phase II NCTN trial. mFOLFIRINOX with hypofractionated RT did not improve OS compared to historical data. mFOLFIRINOX represents a reference regimen in this setting and a backbone on which to add novel agents. Support: U10CA180821, U10CA180882, U24CA196171; https://acknowledgments.alliancefound.org Clinical trial information: NCT02839343. Therapy by treatment arm (N = 126), (n [%]).Arm A (mFOLFIRINOX)n = 70Arm B (mFOLFIRINOX + RT)n = 56Initiated preop treatment6655Started cycle 8 ctx or RT*47 (71)40 (73)Surgery38 (58)28 (51)Pancreatectomy32 (48)19 (35)R0 pancreatectomy28 (42)14 (25)Initiated postop ctx22 (33)13 (24)Completed all treatment20 (30)10 (18)Ctx, chemotherapy*SBRT (n = 35); HIGRT (n = 5)","container-title":"Journal of Clinical Oncology","DOI":"10.1200/JCO.2021.39.3_suppl.377","ISSN":"0732-183X","issue":"3_suppl","journalAbbreviation":"JCO","note":"publisher: Wolters Kluwer","page":"377-377","title":"Alliance A021501: Preoperative mFOLFIRINOX or mFOLFIRINOX plus hypofractionated radiation therapy (RT) for borderline resectable (BR) adenocarcinoma of the pancreas.","volume":"39","author":[{"family":"Katz","given":"Matthew H. G."},{"family":"Shi","given":"Qian"},{"family":"Meyers","given":"Jeffrey P."},{"family":"Herman","given":"Joseph M."},{"family":"Choung","given":"Michael"},{"family":"Wolpin","given":"Brian M."},{"family":"Ahmad","given":"Syed"},{"family":"Marsh","given":"Robert de Wilton"},{"family":"Schwartz","given":"Lawrence Howard"},{"family":"Behr","given":"Spencer"},{"family":"Frankel","given":"Wendy L."},{"family":"Collisson","given":"Eric Andrew"},{"family":"Leenstra","given":"James Lewis"},{"family":"Williams","given":"Terence Marques"},{"family":"Vaccaro","given":"Gina M."},{"family":"Venook","given":"Alan P."},{"family":"Meyerhardt","given":"Jeffrey A"},{"family":"O'Reilly","given":"Eileen Mary"}],"issued":{"date-parts":[["2021",1,20]]}}}],"schema":"https://github.com/citation-style-language/schema/raw/master/csl-citation.json"} </w:instrText>
      </w:r>
      <w:r w:rsidR="009E29CD" w:rsidRPr="00E01049">
        <w:rPr>
          <w:rFonts w:eastAsia="BlissPro-Light"/>
          <w:i w:val="0"/>
        </w:rPr>
        <w:fldChar w:fldCharType="separate"/>
      </w:r>
      <w:r w:rsidR="004034C1" w:rsidRPr="004034C1">
        <w:rPr>
          <w:szCs w:val="24"/>
        </w:rPr>
        <w:t>[57,68–70]</w:t>
      </w:r>
      <w:r w:rsidR="009E29CD" w:rsidRPr="00E01049">
        <w:rPr>
          <w:rFonts w:eastAsia="BlissPro-Light"/>
          <w:i w:val="0"/>
        </w:rPr>
        <w:fldChar w:fldCharType="end"/>
      </w:r>
      <w:r w:rsidR="009E29CD" w:rsidRPr="00E01049">
        <w:rPr>
          <w:rFonts w:eastAsia="BlissPro-Light"/>
          <w:szCs w:val="24"/>
        </w:rPr>
        <w:t>.</w:t>
      </w:r>
    </w:p>
    <w:p w14:paraId="5B1326B6" w14:textId="73BC272C" w:rsidR="00E94CC0" w:rsidRPr="00A83E0C" w:rsidRDefault="00EE1157" w:rsidP="00537A85">
      <w:pPr>
        <w:pStyle w:val="2"/>
      </w:pPr>
      <w:r w:rsidRPr="00537A85">
        <w:t>После</w:t>
      </w:r>
      <w:r w:rsidRPr="00A83E0C">
        <w:t xml:space="preserve"> удаления карциномы</w:t>
      </w:r>
      <w:r w:rsidR="00E94CC0" w:rsidRPr="00A83E0C">
        <w:t xml:space="preserve"> поджелудочной железы I–III стадий (Т</w:t>
      </w:r>
      <w:r w:rsidR="00653D04" w:rsidRPr="00A83E0C">
        <w:rPr>
          <w:vertAlign w:val="subscript"/>
        </w:rPr>
        <w:t>1-3</w:t>
      </w:r>
      <w:r w:rsidR="00E94CC0" w:rsidRPr="00A83E0C">
        <w:t>N</w:t>
      </w:r>
      <w:r w:rsidR="00653D04" w:rsidRPr="00A83E0C">
        <w:rPr>
          <w:vertAlign w:val="subscript"/>
        </w:rPr>
        <w:t>0-1</w:t>
      </w:r>
      <w:r w:rsidR="00E94CC0" w:rsidRPr="00A83E0C">
        <w:t>M</w:t>
      </w:r>
      <w:r w:rsidR="00E94CC0" w:rsidRPr="00A83E0C">
        <w:rPr>
          <w:vertAlign w:val="subscript"/>
        </w:rPr>
        <w:t>0</w:t>
      </w:r>
      <w:r w:rsidR="00E94CC0" w:rsidRPr="00A83E0C">
        <w:t xml:space="preserve">) всем пациентам </w:t>
      </w:r>
      <w:r w:rsidR="009362D7" w:rsidRPr="00A83E0C">
        <w:t xml:space="preserve">с раком поджелудочной железы </w:t>
      </w:r>
      <w:r w:rsidR="00E94CC0" w:rsidRPr="00A83E0C">
        <w:t>при отсутстви</w:t>
      </w:r>
      <w:r w:rsidR="00EA7396" w:rsidRPr="00A83E0C">
        <w:t xml:space="preserve">и противопоказаний </w:t>
      </w:r>
      <w:r w:rsidR="00EA7396" w:rsidRPr="00A83E0C">
        <w:rPr>
          <w:b/>
        </w:rPr>
        <w:t>рекомендуется</w:t>
      </w:r>
      <w:r w:rsidR="00E94CC0" w:rsidRPr="00A83E0C">
        <w:t xml:space="preserve"> </w:t>
      </w:r>
      <w:r w:rsidR="00DE104D">
        <w:t xml:space="preserve">начать в течение 3 месяцев </w:t>
      </w:r>
      <w:r w:rsidR="00E94CC0" w:rsidRPr="00A83E0C">
        <w:t>адъювантн</w:t>
      </w:r>
      <w:r w:rsidR="00DE104D">
        <w:t>ую</w:t>
      </w:r>
      <w:r w:rsidR="00E94CC0" w:rsidRPr="00A83E0C">
        <w:t xml:space="preserve"> химиотерапи</w:t>
      </w:r>
      <w:r w:rsidR="00DE104D">
        <w:t>ю</w:t>
      </w:r>
      <w:r w:rsidR="00F40A1C" w:rsidRPr="00A83E0C">
        <w:t xml:space="preserve"> для достижения ремиссии</w:t>
      </w:r>
      <w:r w:rsidR="00CB323C" w:rsidRPr="00A83E0C">
        <w:t xml:space="preserve"> </w:t>
      </w:r>
      <w:r w:rsidR="00C15198" w:rsidRPr="00A83E0C">
        <w:fldChar w:fldCharType="begin"/>
      </w:r>
      <w:r w:rsidR="004034C1">
        <w:instrText xml:space="preserve"> ADDIN ZOTERO_ITEM CSL_CITATION {"citationID":"VcV7INJr","properties":{"formattedCitation":"[71]","plainCitation":"[71]","noteIndex":0},"citationItems":[{"id":255,"uris":["http://zotero.org/users/5363772/items/IRG3Z7UU",["http://zotero.org/users/5363772/items/IRG3Z7UU"]],"itemData":{"id":255,"type":"article-journal","container-title":"The Lancet Oncology","DOI":"10.1016/S1470-2045(13)70388-7","ISSN":"1470-2045","issue":"11","page":"1095-1103","title":"Adjuvant treatments for resected pancreatic adenocarcinoma: a systematic review and network meta-analysis","volume":"14","author":[{"family":"Liao","given":"Wei-Chih"},{"family":"Chien","given":"Kuo-Liong"},{"family":"Lin","given":"Yu-Lin"},{"family":"Wu","given":"Ming-Shiang"},{"family":"Lin","given":"Jaw-Town"},{"family":"Wang","given":"Hsiu-Po"},{"family":"Tu","given":"Yu-Kang"}],"issued":{"date-parts":[["2013",10,1]]}}}],"schema":"https://github.com/citation-style-language/schema/raw/master/csl-citation.json"} </w:instrText>
      </w:r>
      <w:r w:rsidR="00C15198" w:rsidRPr="00A83E0C">
        <w:fldChar w:fldCharType="separate"/>
      </w:r>
      <w:r w:rsidR="004034C1" w:rsidRPr="004034C1">
        <w:t>[71]</w:t>
      </w:r>
      <w:r w:rsidR="00C15198" w:rsidRPr="00A83E0C">
        <w:fldChar w:fldCharType="end"/>
      </w:r>
      <w:r w:rsidR="00E94CC0" w:rsidRPr="00A83E0C">
        <w:t>.</w:t>
      </w:r>
    </w:p>
    <w:p w14:paraId="08C10CE8" w14:textId="77777777" w:rsidR="00E94CC0" w:rsidRPr="00A83E0C" w:rsidRDefault="00E94CC0"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EE79AF">
        <w:rPr>
          <w:color w:val="auto"/>
          <w:lang w:val="ru-RU"/>
        </w:rPr>
        <w:t>А</w:t>
      </w:r>
      <w:r w:rsidR="00EE79AF" w:rsidRPr="00A83E0C">
        <w:rPr>
          <w:color w:val="auto"/>
          <w:lang w:val="ru-RU"/>
        </w:rPr>
        <w:t xml:space="preserve"> </w:t>
      </w:r>
      <w:r w:rsidRPr="00A83E0C">
        <w:rPr>
          <w:color w:val="auto"/>
          <w:lang w:val="ru-RU"/>
        </w:rPr>
        <w:t>(уровень достоверности до</w:t>
      </w:r>
      <w:r w:rsidR="00E17300" w:rsidRPr="00A83E0C">
        <w:rPr>
          <w:color w:val="auto"/>
          <w:lang w:val="ru-RU"/>
        </w:rPr>
        <w:t xml:space="preserve">казательств </w:t>
      </w:r>
      <w:r w:rsidR="00EE79AF">
        <w:rPr>
          <w:color w:val="auto"/>
          <w:lang w:val="ru-RU"/>
        </w:rPr>
        <w:t>1</w:t>
      </w:r>
      <w:r w:rsidRPr="00A83E0C">
        <w:rPr>
          <w:color w:val="auto"/>
          <w:lang w:val="ru-RU"/>
        </w:rPr>
        <w:t>)</w:t>
      </w:r>
    </w:p>
    <w:p w14:paraId="07E011EE" w14:textId="3E879B60" w:rsidR="00E01049" w:rsidRDefault="00E94CC0" w:rsidP="00AB423C">
      <w:pPr>
        <w:pStyle w:val="aff2"/>
        <w:ind w:firstLine="708"/>
      </w:pPr>
      <w:r w:rsidRPr="00A83E0C">
        <w:rPr>
          <w:b/>
          <w:i w:val="0"/>
        </w:rPr>
        <w:t>Комментарий</w:t>
      </w:r>
      <w:r w:rsidRPr="00A83E0C">
        <w:rPr>
          <w:b/>
        </w:rPr>
        <w:t xml:space="preserve">: </w:t>
      </w:r>
      <w:r w:rsidR="00653D04" w:rsidRPr="00A83E0C">
        <w:t>л</w:t>
      </w:r>
      <w:r w:rsidRPr="00A83E0C">
        <w:t>ечение должно быть начато в течение 3 месяцев после операции</w:t>
      </w:r>
      <w:r w:rsidR="000F1840">
        <w:t>, оптимально -</w:t>
      </w:r>
      <w:r w:rsidRPr="00A83E0C">
        <w:t xml:space="preserve"> </w:t>
      </w:r>
      <w:r w:rsidR="00D356DC">
        <w:rPr>
          <w:szCs w:val="24"/>
        </w:rPr>
        <w:t>в промежутке между 4 и 8 неделями после операции</w:t>
      </w:r>
      <w:r w:rsidRPr="00A83E0C">
        <w:t>.</w:t>
      </w:r>
      <w:r w:rsidR="00711EE4">
        <w:t xml:space="preserve"> </w:t>
      </w:r>
      <w:r w:rsidR="00711EE4">
        <w:rPr>
          <w:szCs w:val="24"/>
        </w:rPr>
        <w:t>Если</w:t>
      </w:r>
      <w:r w:rsidR="005B02E1">
        <w:rPr>
          <w:szCs w:val="24"/>
        </w:rPr>
        <w:t xml:space="preserve"> </w:t>
      </w:r>
      <w:r w:rsidR="00711EE4">
        <w:rPr>
          <w:szCs w:val="24"/>
        </w:rPr>
        <w:t>состояние пациента после операции</w:t>
      </w:r>
      <w:r w:rsidR="00711EE4" w:rsidRPr="00F21A7B">
        <w:rPr>
          <w:szCs w:val="24"/>
        </w:rPr>
        <w:t xml:space="preserve"> не позволя</w:t>
      </w:r>
      <w:r w:rsidR="00711EE4">
        <w:rPr>
          <w:szCs w:val="24"/>
        </w:rPr>
        <w:t>е</w:t>
      </w:r>
      <w:r w:rsidR="00711EE4" w:rsidRPr="00F21A7B">
        <w:rPr>
          <w:szCs w:val="24"/>
        </w:rPr>
        <w:t xml:space="preserve">т начать ХТ в течение 3 мес., </w:t>
      </w:r>
      <w:r w:rsidR="00711EE4">
        <w:rPr>
          <w:szCs w:val="24"/>
        </w:rPr>
        <w:t xml:space="preserve">более позднее начало адъювантной терапии все же целесообразно, хотя и менее эффективно </w:t>
      </w:r>
      <w:r w:rsidR="00C15198" w:rsidRPr="00A83E0C">
        <w:fldChar w:fldCharType="begin"/>
      </w:r>
      <w:r w:rsidR="004034C1">
        <w:instrText xml:space="preserve"> ADDIN ZOTERO_ITEM CSL_CITATION {"citationID":"z8UvNPEF","properties":{"formattedCitation":"[72]","plainCitation":"[72]","noteIndex":0},"citationItems":[{"id":1117,"uris":["http://zotero.org/users/5363772/items/GQQSXNN3",["http://zotero.org/users/5363772/items/GQQSXNN3"]],"itemData":{"id":1117,"type":"article-journal","abstract":"OBJECTIVE To evaluate the ideal timing of adjuvant therapy for patients with stage I to II resected pancreatic cancer. DESIGN, SETTING, AND PARTICIPANTS This cohort study included 7548 patients with stage I to II resected pancreatic cancer (5453 with adjuvant therapy; 2095 without adjuvant therapy) from the National Cancer Database from 2004 to 2015. Data were collected from January 2014 to December 2015 and analyzed from December 2018 to May 2019. EXPOSURES Adjuvant chemotherapy or chemoradiation at various time intervals. MAIN OUTCOMES AND MEASURES Overall survival (OS).\nRESULTS A total of 7548 patients (3770 male [49.9%]; median [interquartile range] age, 67 [59-74] years) were identified from the National Cancer Database. Among 5453 patients with adjuvant therapy, a Cox model with restricted cubic splines identified the lowest mortality risk when adjuvant therapy was started 28 to 59 days after surgery. Patients were divided into early (n = 269, adjuvant therapy initiated within &lt;28 days), reference (n = 3048, adjuvant therapy initiated within 28-59 days), and late (n = 2136, adjuvant therapy initiated after &gt;59 days) interval cohorts. Median (interquartile range) overall follow-up was 38.6 (24.6-62.0) months. Compared with the reference interval cohort on multivariable analysis, both the early cohort (hazard ratio, 1.17; 95% CI, 1.02-1.35; P = .03) and the late cohort (hazard ratio, 1.09; 95% CI, 1.02-1.17; P = .008) were associated with worse mortality. Similarly, the reference interval cohort had improved OS compared with the early cohort in 268 propensity-matched pairs (2-year OS, 52.5% [95% CI, 46.7%-59.0%] vs 45.1% [95% CI, 39.5%-51.6%]; P = .02) and compared with the late cohort in 2042 propensity-matched pairs (2-year OS, 51.3% [95% CI, 49.1%-53.6%] vs 45.4% [95% CI, 43.3%-47.7%]; P = .01). Patients who received adjuvant therapy more than 12 weeks after surgery (n = 683) had improved OS compared with surgery alone in both multivariable analysis (hazard ratio, 0.75; 95% CI, 0.66-0.85; P &lt; .001) and 655 propensity-matched pairs (2-year OS, 47.2% [95% CI, 43.5%-51.3%] vs 38.0% [95% CI, 34.4%-42.0%]; P &lt; .001).\nCONCLUSIONS AND RELEVANCE Patients with stage I to II pancreatic cancer who commenced adjuvant therapy within 28 to 59 days after primary surgical resection had improved survival outcomes compared with those with adjuvant therapy before 28 days or after 59 days. Patients who","container-title":"JAMA Network Open","DOI":"10.1001/jamanetworkopen.2019.9126","ISSN":"2574-3805","issue":"8","journalAbbreviation":"JAMA Netw Open","language":"en","page":"e199126","source":"DOI.org (Crossref)","title":"Association of Timing of Adjuvant Therapy With Survival in Patients With Resected Stage I to II Pancreatic Cancer","volume":"2","author":[{"family":"Ma","given":"Sung Jun"},{"family":"Oladeru","given":"Oluwadamilola T."},{"family":"Miccio","given":"Joseph A."},{"family":"Iovoli","given":"Austin J."},{"family":"Hermann","given":"Gregory M."},{"family":"Singh","given":"Anurag K."}],"issued":{"date-parts":[["2019",8,14]]}}}],"schema":"https://github.com/citation-style-language/schema/raw/master/csl-citation.json"} </w:instrText>
      </w:r>
      <w:r w:rsidR="00C15198" w:rsidRPr="00A83E0C">
        <w:fldChar w:fldCharType="separate"/>
      </w:r>
      <w:r w:rsidR="004034C1" w:rsidRPr="004034C1">
        <w:t>[72]</w:t>
      </w:r>
      <w:r w:rsidR="00C15198" w:rsidRPr="00A83E0C">
        <w:fldChar w:fldCharType="end"/>
      </w:r>
      <w:r w:rsidRPr="00A83E0C">
        <w:t xml:space="preserve">. </w:t>
      </w:r>
      <w:r w:rsidR="00E01049" w:rsidRPr="004E104D">
        <w:rPr>
          <w:rFonts w:eastAsia="BlissPro-Light"/>
          <w:szCs w:val="24"/>
        </w:rPr>
        <w:t>В случае выполнения хирургического лечения без предоперационной химиотерапии</w:t>
      </w:r>
      <w:r w:rsidR="00E01049">
        <w:rPr>
          <w:rFonts w:eastAsia="BlissPro-Light"/>
          <w:sz w:val="28"/>
          <w:szCs w:val="28"/>
        </w:rPr>
        <w:t xml:space="preserve"> </w:t>
      </w:r>
      <w:r w:rsidR="00E01049">
        <w:t>д</w:t>
      </w:r>
      <w:r w:rsidR="00E01049" w:rsidRPr="00A83E0C">
        <w:t xml:space="preserve">лительность </w:t>
      </w:r>
      <w:r w:rsidRPr="00A83E0C">
        <w:t>ад</w:t>
      </w:r>
      <w:r w:rsidR="0084255B">
        <w:t>ъ</w:t>
      </w:r>
      <w:r w:rsidRPr="00A83E0C">
        <w:t>ювантной химиотерапии составляет 6 месяцев</w:t>
      </w:r>
      <w:r w:rsidR="00E01049">
        <w:t xml:space="preserve"> </w:t>
      </w:r>
      <w:r w:rsidR="00C15198" w:rsidRPr="00A83E0C">
        <w:fldChar w:fldCharType="begin"/>
      </w:r>
      <w:r w:rsidR="004034C1">
        <w:instrText xml:space="preserve"> ADDIN ZOTERO_ITEM CSL_CITATION {"citationID":"lwylQDLi","properties":{"formattedCitation":"[73]","plainCitation":"[73]","noteIndex":0},"citationItems":[{"id":257,"uris":["http://zotero.org/users/5363772/items/ZH2KE4A5",["http://zotero.org/users/5363772/items/ZH2KE4A5"]],"itemData":{"id":257,"type":"article-journal","abstract":"Purpose Adjuvant chemotherapy improves patient survival rates after resection for pancreatic adenocarcinoma, but the optimal duration and time to initiate chemotherapy is unknown. Patients and Methods Patients with pancreatic ductal adenocarcinoma treated within the international, phase III, European Study Group for Pancreatic Cancer?3 (version 2) study were included if they had been randomly assigned to chemotherapy. Overall survival analysis was performed on an intention-to-treat basis, retaining patients in their randomized groups, and adjusting the overall treatment effect by known prognostic variables as well as the start time of chemotherapy. Results There were 985 patients, of whom 486 (49%) received gemcitabine and 499 (51%) received fluorouracil; 675 patients (68%) completed all six cycles of chemotherapy (full course) and 293 patients (30%) completed one to five cycles. Lymph node involvement, resection margins status, tumor differentiation, and completion of therapy were all shown by multivariable Cox regression to be independent survival factors. Overall survival favored patients who completed the full six courses of treatment versus those who did not (hazard ratio [HR], 0.516; 95% CI, 0.443 to 0.601; P &lt; .001). Time to starting chemotherapy did not influence overall survival rates for the full study population (HR, 0.985; 95% CI, 0.956 to 1.015). Chemotherapy start time was an important survival factor only for the subgroup of patients who did not complete therapy, in favor of later treatment (P &lt; .001). Conclusion Completion of all six cycles of planned adjuvant chemotherapy rather than early initiation was an independent prognostic factor after resection for pancreatic adenocarcinoma. There seems to be no difference in outcome if chemotherapy is delayed up to 12 weeks, thus allowing adequate time for postoperative recovery.","container-title":"Journal of Clinical Oncology","DOI":"10.1200/JCO.2013.50.7657","ISSN":"0732-183X","issue":"6","journalAbbreviation":"JCO","page":"504-512","title":"Optimal Duration and Timing of Adjuvant Chemotherapy After Definitive Surgery for Ductal Adenocarcinoma of the Pancreas: Ongoing Lessons From the ESPAC-3 Study","volume":"32","author":[{"family":"Valle","given":"Juan W."},{"family":"Palmer","given":"Daniel"},{"family":"Jackson","given":"Richard"},{"family":"Cox","given":"Trevor"},{"family":"Neoptolemos","given":"John P."},{"family":"Ghaneh","given":"Paula"},{"family":"Rawcliffe","given":"Charlotte L."},{"family":"Bassi","given":"Claudio"},{"family":"Stocken","given":"Deborah D."},{"family":"Cunningham","given":"David"},{"family":"O'Reilly","given":"Derek"},{"family":"Goldstein","given":"David"},{"family":"Robinson","given":"Bridget A."},{"family":"Karapetis","given":"Christos"},{"family":"Scarfe","given":"Andrew"},{"family":"Lacaine","given":"Francois"},{"family":"Sand","given":"Juhani"},{"family":"Izbicki","given":"Jakob R."},{"family":"Mayerle","given":"Julia"},{"family":"Dervenis","given":"Christos"},{"family":"Oláh","given":"Attila"},{"family":"Butturini","given":"Giovanni"},{"family":"Lind","given":"Pehr A."},{"family":"Middleton","given":"Mark R."},{"family":"Anthoney","given":"Alan"},{"family":"Sumpter","given":"Kate"},{"family":"Carter","given":"Ross"},{"family":"Büchler","given":"Markus W."}],"issued":{"date-parts":[["2014",1,13]]}}}],"schema":"https://github.com/citation-style-language/schema/raw/master/csl-citation.json"} </w:instrText>
      </w:r>
      <w:r w:rsidR="00C15198" w:rsidRPr="00A83E0C">
        <w:fldChar w:fldCharType="separate"/>
      </w:r>
      <w:r w:rsidR="004034C1" w:rsidRPr="004034C1">
        <w:t>[73]</w:t>
      </w:r>
      <w:r w:rsidR="00C15198" w:rsidRPr="00A83E0C">
        <w:fldChar w:fldCharType="end"/>
      </w:r>
      <w:r w:rsidRPr="00A83E0C">
        <w:t xml:space="preserve">. </w:t>
      </w:r>
    </w:p>
    <w:p w14:paraId="7118CC43" w14:textId="02D69F6D" w:rsidR="00E94CC0" w:rsidRPr="00A83E0C" w:rsidRDefault="00711EE4" w:rsidP="00AB423C">
      <w:pPr>
        <w:pStyle w:val="aff2"/>
        <w:ind w:firstLine="708"/>
      </w:pPr>
      <w:r>
        <w:rPr>
          <w:szCs w:val="24"/>
        </w:rPr>
        <w:t xml:space="preserve">Перед началом химиотерапии целесообразно выполнить обследование (оценка грудной и </w:t>
      </w:r>
      <w:r w:rsidR="005B02E1">
        <w:rPr>
          <w:szCs w:val="24"/>
        </w:rPr>
        <w:t>брюшной полостей</w:t>
      </w:r>
      <w:r w:rsidR="006E65D2">
        <w:rPr>
          <w:szCs w:val="24"/>
        </w:rPr>
        <w:t xml:space="preserve"> с в/в контрастированием</w:t>
      </w:r>
      <w:r w:rsidR="005B02E1">
        <w:rPr>
          <w:szCs w:val="24"/>
        </w:rPr>
        <w:t>, а также СА 19-</w:t>
      </w:r>
      <w:r>
        <w:rPr>
          <w:szCs w:val="24"/>
        </w:rPr>
        <w:t xml:space="preserve">9), чтобы убедиться в отсутствии прогрессирования заболевания. </w:t>
      </w:r>
      <w:r w:rsidR="000D11EC" w:rsidRPr="00A83E0C">
        <w:t xml:space="preserve">Наиболее предпочтительным режимом адъювантной химиотерапии является режим </w:t>
      </w:r>
      <w:r w:rsidR="000D11EC" w:rsidRPr="00A83E0C">
        <w:rPr>
          <w:lang w:val="en-US"/>
        </w:rPr>
        <w:t>mFOLFORINOX</w:t>
      </w:r>
      <w:r w:rsidR="000D11EC" w:rsidRPr="00A83E0C">
        <w:t xml:space="preserve">, при противопоказаниях к его применению – комбинация </w:t>
      </w:r>
      <w:r w:rsidR="000D11EC" w:rsidRPr="00A83E0C">
        <w:rPr>
          <w:lang w:val="en-US"/>
        </w:rPr>
        <w:t>GEMCAP</w:t>
      </w:r>
      <w:r w:rsidR="000D11EC" w:rsidRPr="00A83E0C">
        <w:t xml:space="preserve">, а при невозможности ее применения – монотерапия </w:t>
      </w:r>
      <w:r w:rsidR="00712FED" w:rsidRPr="00A83E0C">
        <w:t>#</w:t>
      </w:r>
      <w:r w:rsidR="000D11EC" w:rsidRPr="00A83E0C">
        <w:t>гемцитабином</w:t>
      </w:r>
      <w:r w:rsidR="00712FED" w:rsidRPr="00A83E0C">
        <w:t>**</w:t>
      </w:r>
      <w:r w:rsidR="000D11EC" w:rsidRPr="00A83E0C">
        <w:t xml:space="preserve"> или </w:t>
      </w:r>
      <w:r w:rsidR="00964910" w:rsidRPr="00964910">
        <w:t>#</w:t>
      </w:r>
      <w:r w:rsidR="00576568">
        <w:t>фторурацилом</w:t>
      </w:r>
      <w:r w:rsidR="00964910" w:rsidRPr="00964910">
        <w:t>**</w:t>
      </w:r>
      <w:r w:rsidR="00576568">
        <w:t>/</w:t>
      </w:r>
      <w:r w:rsidR="00964910" w:rsidRPr="00964910">
        <w:t>#</w:t>
      </w:r>
      <w:r w:rsidR="00576568">
        <w:t>капецитабином</w:t>
      </w:r>
      <w:r w:rsidR="00964910" w:rsidRPr="00964910">
        <w:t>**</w:t>
      </w:r>
      <w:r w:rsidR="00B103CB" w:rsidRPr="00A83E0C">
        <w:t xml:space="preserve"> </w:t>
      </w:r>
      <w:r w:rsidR="00B103CB" w:rsidRPr="00A83E0C" w:rsidDel="00B103CB">
        <w:t xml:space="preserve"> </w:t>
      </w:r>
      <w:r w:rsidR="000D11EC" w:rsidRPr="00A83E0C">
        <w:t>(таблица 3)</w:t>
      </w:r>
      <w:r w:rsidR="005B02E1">
        <w:t xml:space="preserve"> </w:t>
      </w:r>
      <w:r w:rsidR="00C15198" w:rsidRPr="00A83E0C">
        <w:fldChar w:fldCharType="begin"/>
      </w:r>
      <w:r w:rsidR="004034C1">
        <w:instrText xml:space="preserve"> ADDIN ZOTERO_ITEM CSL_CITATION {"citationID":"YNVFhyiU","properties":{"formattedCitation":"[71,73\\uc0\\u8211{}75]","plainCitation":"[71,73–75]","noteIndex":0},"citationItems":[{"id":255,"uris":["http://zotero.org/users/5363772/items/IRG3Z7UU",["http://zotero.org/users/5363772/items/IRG3Z7UU"]],"itemData":{"id":255,"type":"article-journal","container-title":"The Lancet Oncology","DOI":"10.1016/S1470-2045(13)70388-7","ISSN":"1470-2045","issue":"11","page":"1095-1103","title":"Adjuvant treatments for resected pancreatic adenocarcinoma: a systematic review and network meta-analysis","volume":"14","author":[{"family":"Liao","given":"Wei-Chih"},{"family":"Chien","given":"Kuo-Liong"},{"family":"Lin","given":"Yu-Lin"},{"family":"Wu","given":"Ming-Shiang"},{"family":"Lin","given":"Jaw-Town"},{"family":"Wang","given":"Hsiu-Po"},{"family":"Tu","given":"Yu-Kang"}],"issued":{"date-parts":[["2013",10,1]]}}},{"id":257,"uris":["http://zotero.org/users/5363772/items/ZH2KE4A5",["http://zotero.org/users/5363772/items/ZH2KE4A5"]],"itemData":{"id":257,"type":"article-journal","abstract":"Purpose Adjuvant chemotherapy improves patient survival rates after resection for pancreatic adenocarcinoma, but the optimal duration and time to initiate chemotherapy is unknown. Patients and Methods Patients with pancreatic ductal adenocarcinoma treated within the international, phase III, European Study Group for Pancreatic Cancer?3 (version 2) study were included if they had been randomly assigned to chemotherapy. Overall survival analysis was performed on an intention-to-treat basis, retaining patients in their randomized groups, and adjusting the overall treatment effect by known prognostic variables as well as the start time of chemotherapy. Results There were 985 patients, of whom 486 (49%) received gemcitabine and 499 (51%) received fluorouracil; 675 patients (68%) completed all six cycles of chemotherapy (full course) and 293 patients (30%) completed one to five cycles. Lymph node involvement, resection margins status, tumor differentiation, and completion of therapy were all shown by multivariable Cox regression to be independent survival factors. Overall survival favored patients who completed the full six courses of treatment versus those who did not (hazard ratio [HR], 0.516; 95% CI, 0.443 to 0.601; P &lt; .001). Time to starting chemotherapy did not influence overall survival rates for the full study population (HR, 0.985; 95% CI, 0.956 to 1.015). Chemotherapy start time was an important survival factor only for the subgroup of patients who did not complete therapy, in favor of later treatment (P &lt; .001). Conclusion Completion of all six cycles of planned adjuvant chemotherapy rather than early initiation was an independent prognostic factor after resection for pancreatic adenocarcinoma. There seems to be no difference in outcome if chemotherapy is delayed up to 12 weeks, thus allowing adequate time for postoperative recovery.","container-title":"Journal of Clinical Oncology","DOI":"10.1200/JCO.2013.50.7657","ISSN":"0732-183X","issue":"6","journalAbbreviation":"JCO","page":"504-512","title":"Optimal Duration and Timing of Adjuvant Chemotherapy After Definitive Surgery for Ductal Adenocarcinoma of the Pancreas: Ongoing Lessons From the ESPAC-3 Study","volume":"32","author":[{"family":"Valle","given":"Juan W."},{"family":"Palmer","given":"Daniel"},{"family":"Jackson","given":"Richard"},{"family":"Cox","given":"Trevor"},{"family":"Neoptolemos","given":"John P."},{"family":"Ghaneh","given":"Paula"},{"family":"Rawcliffe","given":"Charlotte L."},{"family":"Bassi","given":"Claudio"},{"family":"Stocken","given":"Deborah D."},{"family":"Cunningham","given":"David"},{"family":"O'Reilly","given":"Derek"},{"family":"Goldstein","given":"David"},{"family":"Robinson","given":"Bridget A."},{"family":"Karapetis","given":"Christos"},{"family":"Scarfe","given":"Andrew"},{"family":"Lacaine","given":"Francois"},{"family":"Sand","given":"Juhani"},{"family":"Izbicki","given":"Jakob R."},{"family":"Mayerle","given":"Julia"},{"family":"Dervenis","given":"Christos"},{"family":"Oláh","given":"Attila"},{"family":"Butturini","given":"Giovanni"},{"family":"Lind","given":"Pehr A."},{"family":"Middleton","given":"Mark R."},{"family":"Anthoney","given":"Alan"},{"family":"Sumpter","given":"Kate"},{"family":"Carter","given":"Ross"},{"family":"Büchler","given":"Markus W."}],"issued":{"date-parts":[["2014",1,13]]}}},{"id":51,"uris":["http://zotero.org/users/5363772/items/ITENR55M",["http://zotero.org/users/5363772/items/ITENR55M"]],"itemData":{"id":51,"type":"article-journal","abstract":"Background The ESPAC-3 trial showed that adjuvant gemcitabine is the standard of care based on similar survival to and less toxicity than adjuvant 5-ﬂuorouracil/folinic acid in patients with resected pancreatic cancer. Other clinical trials have shown better survival and tumour response with gemcitabine and capecitabine than with gemcitabine alone in advanced or metastatic pancreatic cancer. We aimed to determine the eﬃcacy and safety of gemcitabine and capecitabine compared with gemcitabine monotherapy for resected pancreatic cancer.","container-title":"The Lancet","DOI":"10.1016/S0140-6736(16)32409-6","ISSN":"01406736","issue":"10073","language":"en","page":"1011-1024","source":"Crossref","title":"Comparison of adjuvant gemcitabine and capecitabine with gemcitabine monotherapy in patients with resected pancreatic cancer (ESPAC-4): a multicentre, open-label, randomised, phase 3 trial","title-short":"Comparison of adjuvant gemcitabine and capecitabine with gemcitabine monotherapy in patients with resected pancreatic cancer (ESPAC-4)","volume":"389","author":[{"family":"Neoptolemos","given":"John P"},{"family":"Palmer","given":"Daniel H"},{"family":"Ghaneh","given":"Paula"},{"family":"Psarelli","given":"Eftychia E"},{"family":"Valle","given":"Juan W"},{"family":"Halloran","given":"Christopher M"},{"family":"Faluyi","given":"Olusola"},{"family":"O'Reilly","given":"Derek A"},{"family":"Cunningham","given":"David"},{"family":"Wadsley","given":"Jonathan"},{"family":"Darby","given":"Suzanne"},{"family":"Meyer","given":"Tim"},{"family":"Gillmore","given":"Roopinder"},{"family":"Anthoney","given":"Alan"},{"family":"Lind","given":"Pehr"},{"family":"Glimelius","given":"Bengt"},{"family":"Falk","given":"Stephen"},{"family":"Izbicki","given":"Jakob R"},{"family":"Middleton","given":"Gary William"},{"family":"Cummins","given":"Sebastian"},{"family":"Ross","given":"Paul J"},{"family":"Wasan","given":"Harpreet"},{"family":"McDonald","given":"Alec"},{"family":"Crosby","given":"Tom"},{"family":"Ma","given":"Yuk Ting"},{"family":"Patel","given":"Kinnari"},{"family":"Sherriff","given":"David"},{"family":"Soomal","given":"Rubin"},{"family":"Borg","given":"David"},{"family":"Sothi","given":"Sharmila"},{"family":"Hammel","given":"Pascal"},{"family":"Hackert","given":"Thilo"},{"family":"Jackson","given":"Richard"},{"family":"Büchler","given":"Markus W"}],"issued":{"date-parts":[["2017",3]]}}},{"id":259,"uris":["http://zotero.org/users/5363772/items/SLUSDEN8",["http://zotero.org/users/5363772/items/SLUSDEN8"]],"itemData":{"id":259,"type":"article-journal","abstract":"Patients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adenocarcinomas.To determine whether adjuvant chemotherapy (fluorouracil or gemcitabine) provides improved overall survival following resection.The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months.The primary outcome measure was overall survival with chemotherapy vs no chemotherapy; secondary measures were chemotherapy type, toxic effects, progression-free survival, and quality of life.Eighty-eight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χ2 = 1.33; P = .25). After adjusting for independent prognostic variables of age, bile duct cancer, poor tumor differentiation, and positive lymph nodes and after conducting multiple regression analysis, the hazard ratio for chemotherapy compared with observation was 0.75 (95% CI, 0.57-0.98; Wald χ2 = 4.53, P = .03).Among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chemotherapyclinicaltrials.gov Identifier: NCT00058201","container-title":"JAMA","DOI":"10.1001/jama.2012.7352","ISSN":"0098-7484","issue":"2","journalAbbreviation":"JAMA","page":"147-156","title":"Effect of Adjuvant Chemotherapy With Fluorouracil Plus Folinic Acid or Gemcitabine vs Observation on Survival in Patients With Resected Periampullary Adenocarcinoma: The ESPAC-3 Periampullary Cancer Randomized TrialAdjuvant Therapy and Periampullary Adenocarcinoma","volume":"308","author":[{"family":"Neoptolemos","given":"John P."},{"family":"Moore","given":"Malcolm J."},{"family":"Cox","given":"Trevor F."},{"family":"Valle","given":"Juan W."},{"family":"Palmer","given":"Daniel H."},{"family":"McDonald","given":"Alexander C."},{"family":"Carter","given":"Ross"},{"family":"Tebbutt","given":"Niall C."},{"family":"Dervenis","given":"Christos"},{"family":"Smith","given":"David"},{"family":"Glimelius","given":"Bengt"},{"family":"Charnley","given":"Richard M."},{"family":"Lacaine","given":"François"},{"family":"Scarfe","given":"Andrew G."},{"family":"Middleton","given":"Mark R."},{"family":"Anthoney","given":"Alan"},{"family":"Ghaneh","given":"Paula"},{"family":"Halloran","given":"Christopher M."},{"family":"Lerch","given":"Markus M."},{"family":"Oláh","given":"Attila"},{"family":"Rawcliffe","given":"Charlotte L."},{"family":"Verbeke","given":"Caroline S."},{"family":"Campbell","given":"Fiona"},{"family":"Büchler","given":"Markus W."},{"family":"European Study Group for Pancreatic Cancer","given":"for","dropping-particle":"the"}],"issued":{"date-parts":[["2012",7,11]]}}}],"schema":"https://github.com/citation-style-language/schema/raw/master/csl-citation.json"} </w:instrText>
      </w:r>
      <w:r w:rsidR="00C15198" w:rsidRPr="00A83E0C">
        <w:fldChar w:fldCharType="separate"/>
      </w:r>
      <w:r w:rsidR="004034C1" w:rsidRPr="004034C1">
        <w:rPr>
          <w:szCs w:val="24"/>
        </w:rPr>
        <w:t>[71,73–75]</w:t>
      </w:r>
      <w:r w:rsidR="00C15198" w:rsidRPr="00A83E0C">
        <w:fldChar w:fldCharType="end"/>
      </w:r>
      <w:r w:rsidR="00E94CC0" w:rsidRPr="00A83E0C">
        <w:t xml:space="preserve">. </w:t>
      </w:r>
    </w:p>
    <w:p w14:paraId="5F611814" w14:textId="3699ED7C" w:rsidR="007436D3" w:rsidRPr="00A83E0C" w:rsidRDefault="00E94CC0" w:rsidP="00724815">
      <w:pPr>
        <w:pStyle w:val="aff2"/>
        <w:ind w:firstLine="0"/>
        <w:rPr>
          <w:i w:val="0"/>
        </w:rPr>
      </w:pPr>
      <w:r w:rsidRPr="00A83E0C">
        <w:t xml:space="preserve">Таблица </w:t>
      </w:r>
      <w:r w:rsidR="00421E47" w:rsidRPr="00A83E0C">
        <w:t>3</w:t>
      </w:r>
      <w:r w:rsidRPr="00A83E0C">
        <w:t>. Режимы ад</w:t>
      </w:r>
      <w:r w:rsidR="0084255B">
        <w:t>ъ</w:t>
      </w:r>
      <w:r w:rsidRPr="00A83E0C">
        <w:t>ювантной химиотерапии при раке поджелудочной железы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7065"/>
      </w:tblGrid>
      <w:tr w:rsidR="007436D3" w:rsidRPr="00A83E0C" w14:paraId="41C4F0F6" w14:textId="77777777" w:rsidTr="007436D3">
        <w:tc>
          <w:tcPr>
            <w:tcW w:w="2303" w:type="dxa"/>
          </w:tcPr>
          <w:p w14:paraId="2AE5AD47" w14:textId="77777777" w:rsidR="007436D3" w:rsidRPr="00A83E0C" w:rsidRDefault="00FA71E1" w:rsidP="00EA7396">
            <w:pPr>
              <w:tabs>
                <w:tab w:val="left" w:pos="284"/>
                <w:tab w:val="left" w:pos="426"/>
              </w:tabs>
              <w:spacing w:line="240" w:lineRule="auto"/>
              <w:ind w:firstLine="0"/>
              <w:jc w:val="center"/>
            </w:pPr>
            <w:r w:rsidRPr="00A83E0C">
              <w:t>Показания</w:t>
            </w:r>
          </w:p>
        </w:tc>
        <w:tc>
          <w:tcPr>
            <w:tcW w:w="7267" w:type="dxa"/>
          </w:tcPr>
          <w:p w14:paraId="483559DB" w14:textId="77777777" w:rsidR="007436D3" w:rsidRPr="00A83E0C" w:rsidRDefault="00FA71E1" w:rsidP="00EA7396">
            <w:pPr>
              <w:tabs>
                <w:tab w:val="left" w:pos="284"/>
                <w:tab w:val="left" w:pos="426"/>
              </w:tabs>
              <w:spacing w:line="240" w:lineRule="auto"/>
              <w:jc w:val="center"/>
            </w:pPr>
            <w:r w:rsidRPr="00A83E0C">
              <w:t>Режим химиотерапии</w:t>
            </w:r>
          </w:p>
        </w:tc>
      </w:tr>
      <w:tr w:rsidR="007436D3" w:rsidRPr="0060277C" w14:paraId="7BFF63D2" w14:textId="77777777" w:rsidTr="00724815">
        <w:tc>
          <w:tcPr>
            <w:tcW w:w="2303" w:type="dxa"/>
            <w:vMerge w:val="restart"/>
            <w:vAlign w:val="center"/>
          </w:tcPr>
          <w:p w14:paraId="3B5CF55E" w14:textId="77777777" w:rsidR="007436D3" w:rsidRPr="00A83E0C" w:rsidRDefault="00FA71E1" w:rsidP="00EA7396">
            <w:pPr>
              <w:tabs>
                <w:tab w:val="left" w:pos="284"/>
                <w:tab w:val="left" w:pos="426"/>
              </w:tabs>
              <w:spacing w:line="240" w:lineRule="auto"/>
              <w:ind w:firstLine="0"/>
              <w:jc w:val="center"/>
            </w:pPr>
            <w:r w:rsidRPr="00A83E0C">
              <w:t>Оптимальный объем химиотерапии</w:t>
            </w:r>
          </w:p>
        </w:tc>
        <w:tc>
          <w:tcPr>
            <w:tcW w:w="7267" w:type="dxa"/>
          </w:tcPr>
          <w:p w14:paraId="783DF57B" w14:textId="01DB2810" w:rsidR="007436D3" w:rsidRPr="00A83E0C" w:rsidRDefault="00FA71E1" w:rsidP="00EA7396">
            <w:pPr>
              <w:pStyle w:val="1-21"/>
              <w:tabs>
                <w:tab w:val="left" w:pos="284"/>
                <w:tab w:val="left" w:pos="426"/>
              </w:tabs>
              <w:ind w:left="0"/>
              <w:jc w:val="both"/>
              <w:rPr>
                <w:lang w:val="ru-RU"/>
              </w:rPr>
            </w:pPr>
            <w:r w:rsidRPr="00A83E0C">
              <w:t>mFOLFIRINO</w:t>
            </w:r>
            <w:r w:rsidR="00EA5F64" w:rsidRPr="00A83E0C">
              <w:t>X</w:t>
            </w:r>
            <w:r w:rsidR="00C02B4B">
              <w:rPr>
                <w:vertAlign w:val="superscript"/>
                <w:lang w:val="ru-RU"/>
              </w:rPr>
              <w:t>1</w:t>
            </w:r>
            <w:r w:rsidR="00961A48">
              <w:rPr>
                <w:vertAlign w:val="superscript"/>
                <w:lang w:val="ru-RU"/>
              </w:rPr>
              <w:t>,2</w:t>
            </w:r>
            <w:r w:rsidR="00654353">
              <w:rPr>
                <w:vertAlign w:val="superscript"/>
                <w:lang w:val="ru-RU"/>
              </w:rPr>
              <w:t>,4</w:t>
            </w:r>
            <w:r w:rsidR="00CB323C" w:rsidRPr="00A83E0C">
              <w:rPr>
                <w:lang w:val="ru-RU"/>
              </w:rPr>
              <w:t xml:space="preserve"> </w:t>
            </w:r>
            <w:r w:rsidR="00C15198" w:rsidRPr="00A83E0C">
              <w:fldChar w:fldCharType="begin"/>
            </w:r>
            <w:r w:rsidR="004034C1">
              <w:rPr>
                <w:lang w:val="ru-RU"/>
              </w:rPr>
              <w:instrText xml:space="preserve"> ADDIN ZOTERO_ITEM CSL_CITATION {"citationID":"rVwmRS8G","properties":{"formattedCitation":"[76]","plainCitation":"[76]","noteIndex":0},"citationItems":[{"id":50,"uris":["http://zotero.org/users/5363772/items/YT5IVBWP",["http://zotero.org/users/5363772/items/YT5IVBWP"]],"itemData":{"id":50,"type":"article-journal","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 fied-FOLFIRINOX group and 21.4% in the gemcitabine group. The median overall survival was 54.4 months in the modified-FOLFIRINOX group and 35.0 months in the gemcitabine group (stratified hazard ratio for death, 0.64; 95% CI, 0.48 to 0.86; P = 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 The authors’ full names, academic degrees, and affiliations are listed in the Appendix. Address reprint requests to Dr. Conroy at the Department of Medical Oncology, Institut de Cancérologie de Lorraine, 6 Ave. de Bourgogne, CS 30519, 54519 Vandoeuvre-lès-Nancy CEDEX, France, or at ­t.­conroy@­nancy.­unicancer.­fr. *A complete list of the investigators in the Canadian Cancer Trials Group and the Unicancer-GI–PRODIGE Group is provided in the Supplementary Appendix, available at NEJM.org. N Engl J Med 2018;379:2395-406. DOI: 10.1056/NEJMoa1809775 Copyright © 2018 Massachusetts Medical Society.\nCONCLUSIONS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EudraCT number, 2011- ­002026-5­ 2.)","container-title":"New England Journal of Medicine","DOI":"10.1056/NEJMoa1809775","ISSN":"0028-4793, 1533-4406","issue":"25","language":"en","page":"2395-2406","source":"Crossref","title":"FOLFIRINOX or Gemcitabine as Adjuvant Therapy for Pancreatic Cancer","volume":"379","author":[{"family":"Conroy","given":"Thierry"},{"family":"Hammel","given":"Pascal"},{"family":"Hebbar","given":"Mohamed"},{"family":"Ben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issued":{"date-parts":[["2018",12,20]]}}}],"schema":"https://github.com/citation-style-language/schema/raw/master/csl-citation.json"} </w:instrText>
            </w:r>
            <w:r w:rsidR="00C15198" w:rsidRPr="00A83E0C">
              <w:fldChar w:fldCharType="separate"/>
            </w:r>
            <w:r w:rsidR="004034C1" w:rsidRPr="004034C1">
              <w:rPr>
                <w:lang w:val="ru-RU"/>
              </w:rPr>
              <w:t>[76]</w:t>
            </w:r>
            <w:r w:rsidR="00C15198" w:rsidRPr="00A83E0C">
              <w:fldChar w:fldCharType="end"/>
            </w:r>
            <w:r w:rsidRPr="00A83E0C">
              <w:rPr>
                <w:lang w:val="ru-RU"/>
              </w:rPr>
              <w:t xml:space="preserve">: </w:t>
            </w:r>
            <w:r w:rsidR="00712FED" w:rsidRPr="00A83E0C">
              <w:rPr>
                <w:lang w:val="ru-RU"/>
              </w:rPr>
              <w:t>#</w:t>
            </w:r>
            <w:r w:rsidRPr="00A83E0C">
              <w:rPr>
                <w:iCs/>
                <w:lang w:val="ru-RU"/>
              </w:rPr>
              <w:t>оксалиплатин</w:t>
            </w:r>
            <w:r w:rsidR="00712FED" w:rsidRPr="00A83E0C">
              <w:rPr>
                <w:lang w:val="ru-RU"/>
              </w:rPr>
              <w:t>**</w:t>
            </w:r>
            <w:r w:rsidRPr="00A83E0C">
              <w:rPr>
                <w:lang w:val="ru-RU"/>
              </w:rPr>
              <w:t xml:space="preserve"> 85 мг/м</w:t>
            </w:r>
            <w:r w:rsidRPr="00A83E0C">
              <w:rPr>
                <w:vertAlign w:val="superscript"/>
                <w:lang w:val="ru-RU"/>
              </w:rPr>
              <w:t>2</w:t>
            </w:r>
            <w:r w:rsidRPr="00A83E0C">
              <w:rPr>
                <w:lang w:val="ru-RU"/>
              </w:rPr>
              <w:t xml:space="preserve"> в/в 120 мин., </w:t>
            </w:r>
            <w:r w:rsidR="00712FED" w:rsidRPr="00A83E0C">
              <w:rPr>
                <w:lang w:val="ru-RU"/>
              </w:rPr>
              <w:t>#</w:t>
            </w:r>
            <w:r w:rsidRPr="00A83E0C">
              <w:rPr>
                <w:iCs/>
                <w:lang w:val="ru-RU"/>
              </w:rPr>
              <w:t>иринотекан</w:t>
            </w:r>
            <w:r w:rsidR="00712FED" w:rsidRPr="00A83E0C">
              <w:rPr>
                <w:lang w:val="ru-RU"/>
              </w:rPr>
              <w:t>**</w:t>
            </w:r>
            <w:r w:rsidRPr="00A83E0C">
              <w:rPr>
                <w:lang w:val="ru-RU"/>
              </w:rPr>
              <w:t xml:space="preserve"> 150 мг/м</w:t>
            </w:r>
            <w:r w:rsidRPr="00A83E0C">
              <w:rPr>
                <w:vertAlign w:val="superscript"/>
                <w:lang w:val="ru-RU"/>
              </w:rPr>
              <w:t>2</w:t>
            </w:r>
            <w:r w:rsidRPr="00A83E0C">
              <w:rPr>
                <w:lang w:val="ru-RU"/>
              </w:rPr>
              <w:t xml:space="preserve"> в/в 90 мин., </w:t>
            </w:r>
            <w:r w:rsidR="00712FED" w:rsidRPr="00A83E0C">
              <w:rPr>
                <w:lang w:val="ru-RU"/>
              </w:rPr>
              <w:t>#</w:t>
            </w:r>
            <w:r w:rsidR="00B103CB" w:rsidRPr="00A83E0C">
              <w:rPr>
                <w:iCs/>
                <w:lang w:val="ru-RU"/>
              </w:rPr>
              <w:t xml:space="preserve"> кальция </w:t>
            </w:r>
            <w:r w:rsidR="007436D3" w:rsidRPr="00A83E0C">
              <w:rPr>
                <w:iCs/>
                <w:lang w:val="ru-RU"/>
              </w:rPr>
              <w:t xml:space="preserve">фолинат </w:t>
            </w:r>
            <w:r w:rsidR="00712FED" w:rsidRPr="00A83E0C">
              <w:rPr>
                <w:lang w:val="ru-RU"/>
              </w:rPr>
              <w:t>**</w:t>
            </w:r>
            <w:r w:rsidRPr="00A83E0C">
              <w:rPr>
                <w:lang w:val="ru-RU"/>
              </w:rPr>
              <w:t xml:space="preserve"> 400 мг/м</w:t>
            </w:r>
            <w:r w:rsidRPr="00A83E0C">
              <w:rPr>
                <w:vertAlign w:val="superscript"/>
                <w:lang w:val="ru-RU"/>
              </w:rPr>
              <w:t>2</w:t>
            </w:r>
            <w:r w:rsidRPr="00A83E0C">
              <w:rPr>
                <w:lang w:val="ru-RU"/>
              </w:rPr>
              <w:t xml:space="preserve"> в/в 120 мин., </w:t>
            </w:r>
            <w:r w:rsidR="00712FED" w:rsidRPr="00A83E0C">
              <w:rPr>
                <w:lang w:val="ru-RU"/>
              </w:rPr>
              <w:t>#</w:t>
            </w:r>
            <w:r w:rsidRPr="00A83E0C">
              <w:rPr>
                <w:iCs/>
                <w:lang w:val="ru-RU"/>
              </w:rPr>
              <w:t>фторурацил</w:t>
            </w:r>
            <w:r w:rsidR="00712FED" w:rsidRPr="00A83E0C">
              <w:rPr>
                <w:lang w:val="ru-RU"/>
              </w:rPr>
              <w:t>**</w:t>
            </w:r>
            <w:r w:rsidRPr="00A83E0C">
              <w:rPr>
                <w:lang w:val="ru-RU"/>
              </w:rPr>
              <w:t xml:space="preserve"> 2400 мг/м</w:t>
            </w:r>
            <w:r w:rsidRPr="00A83E0C">
              <w:rPr>
                <w:vertAlign w:val="superscript"/>
                <w:lang w:val="ru-RU"/>
              </w:rPr>
              <w:t>2</w:t>
            </w:r>
            <w:r w:rsidRPr="00A83E0C">
              <w:rPr>
                <w:lang w:val="ru-RU"/>
              </w:rPr>
              <w:t xml:space="preserve"> в/в инфузия в течение 46 часов, каждые 2 нед., всего 12 циклов</w:t>
            </w:r>
          </w:p>
        </w:tc>
      </w:tr>
      <w:tr w:rsidR="007436D3" w:rsidRPr="0060277C" w14:paraId="773E060A" w14:textId="77777777" w:rsidTr="00724815">
        <w:tc>
          <w:tcPr>
            <w:tcW w:w="2303" w:type="dxa"/>
            <w:vMerge/>
            <w:vAlign w:val="center"/>
          </w:tcPr>
          <w:p w14:paraId="0FA55E1C" w14:textId="77777777" w:rsidR="007436D3" w:rsidRPr="00A83E0C" w:rsidRDefault="007436D3" w:rsidP="00EA7396">
            <w:pPr>
              <w:tabs>
                <w:tab w:val="left" w:pos="284"/>
                <w:tab w:val="left" w:pos="426"/>
              </w:tabs>
              <w:spacing w:line="240" w:lineRule="auto"/>
              <w:ind w:firstLine="0"/>
              <w:jc w:val="center"/>
              <w:rPr>
                <w:lang w:val="ru-RU"/>
              </w:rPr>
            </w:pPr>
          </w:p>
        </w:tc>
        <w:tc>
          <w:tcPr>
            <w:tcW w:w="7267" w:type="dxa"/>
          </w:tcPr>
          <w:p w14:paraId="56182486" w14:textId="0736D3F1" w:rsidR="007436D3" w:rsidRPr="00A83E0C" w:rsidRDefault="00FA71E1" w:rsidP="00EA7396">
            <w:pPr>
              <w:pStyle w:val="1-21"/>
              <w:tabs>
                <w:tab w:val="left" w:pos="284"/>
                <w:tab w:val="left" w:pos="426"/>
              </w:tabs>
              <w:ind w:left="0"/>
              <w:jc w:val="both"/>
              <w:rPr>
                <w:lang w:val="ru-RU"/>
              </w:rPr>
            </w:pPr>
            <w:r w:rsidRPr="00A83E0C">
              <w:t>GEMCAP</w:t>
            </w:r>
            <w:r w:rsidR="00961A48" w:rsidRPr="00961A48">
              <w:rPr>
                <w:vertAlign w:val="superscript"/>
                <w:lang w:val="ru-RU"/>
              </w:rPr>
              <w:t>3</w:t>
            </w:r>
            <w:r w:rsidR="00CB323C" w:rsidRPr="00A83E0C">
              <w:rPr>
                <w:lang w:val="ru-RU"/>
              </w:rPr>
              <w:t xml:space="preserve"> </w:t>
            </w:r>
            <w:r w:rsidR="00C15198" w:rsidRPr="00A83E0C">
              <w:fldChar w:fldCharType="begin"/>
            </w:r>
            <w:r w:rsidR="004034C1">
              <w:rPr>
                <w:lang w:val="ru-RU"/>
              </w:rPr>
              <w:instrText xml:space="preserve"> ADDIN ZOTERO_ITEM CSL_CITATION {"citationID":"1XM5clzP","properties":{"formattedCitation":"[74]","plainCitation":"[74]","noteIndex":0},"citationItems":[{"id":51,"uris":["http://zotero.org/users/5363772/items/ITENR55M",["http://zotero.org/users/5363772/items/ITENR55M"]],"itemData":{"id":51,"type":"article-journal","abstract":"Background The ESPAC-3 trial showed that adjuvant gemcitabine is the standard of care based on similar survival to and less toxicity than adjuvant 5-ﬂuorouracil/folinic acid in patients with resected pancreatic cancer. Other clinical trials have shown better survival and tumour response with gemcitabine and capecitabine than with gemcitabine alone in advanced or metastatic pancreatic cancer. We aimed to determine the eﬃcacy and safety of gemcitabine and capecitabine compared with gemcitabine monotherapy for resected pancreatic cancer.","container-title":"The Lancet","DOI":"10.1016/S0140-6736(16)32409-6","ISSN":"01406736","issue":"10073","language":"en","page":"1011-1024","source":"Crossref","title":"Comparison of adjuvant gemcitabine and capecitabine with gemcitabine monotherapy in patients with resected pancreatic cancer (ESPAC-4): a multicentre, open-label, randomised, phase 3 trial","title-short":"Comparison of adjuvant gemcitabine and capecitabine with gemcitabine monotherapy in patients with resected pancreatic cancer (ESPAC-4)","volume":"389","author":[{"family":"Neoptolemos","given":"John P"},{"family":"Palmer","given":"Daniel H"},{"family":"Ghaneh","given":"Paula"},{"family":"Psarelli","given":"Eftychia E"},{"family":"Valle","given":"Juan W"},{"family":"Halloran","given":"Christopher M"},{"family":"Faluyi","given":"Olusola"},{"family":"O'Reilly","given":"Derek A"},{"family":"Cunningham","given":"David"},{"family":"Wadsley","given":"Jonathan"},{"family":"Darby","given":"Suzanne"},{"family":"Meyer","given":"Tim"},{"family":"Gillmore","given":"Roopinder"},{"family":"Anthoney","given":"Alan"},{"family":"Lind","given":"Pehr"},{"family":"Glimelius","given":"Bengt"},{"family":"Falk","given":"Stephen"},{"family":"Izbicki","given":"Jakob R"},{"family":"Middleton","given":"Gary William"},{"family":"Cummins","given":"Sebastian"},{"family":"Ross","given":"Paul J"},{"family":"Wasan","given":"Harpreet"},{"family":"McDonald","given":"Alec"},{"family":"Crosby","given":"Tom"},{"family":"Ma","given":"Yuk Ting"},{"family":"Patel","given":"Kinnari"},{"family":"Sherriff","given":"David"},{"family":"Soomal","given":"Rubin"},{"family":"Borg","given":"David"},{"family":"Sothi","given":"Sharmila"},{"family":"Hammel","given":"Pascal"},{"family":"Hackert","given":"Thilo"},{"family":"Jackson","given":"Richard"},{"family":"Büchler","given":"Markus W"}],"issued":{"date-parts":[["2017",3]]}}}],"schema":"https://github.com/citation-style-language/schema/raw/master/csl-citation.json"} </w:instrText>
            </w:r>
            <w:r w:rsidR="00C15198" w:rsidRPr="00A83E0C">
              <w:fldChar w:fldCharType="separate"/>
            </w:r>
            <w:r w:rsidR="004034C1" w:rsidRPr="004034C1">
              <w:rPr>
                <w:lang w:val="ru-RU"/>
              </w:rPr>
              <w:t>[74]</w:t>
            </w:r>
            <w:r w:rsidR="00C15198" w:rsidRPr="00A83E0C">
              <w:fldChar w:fldCharType="end"/>
            </w:r>
            <w:r w:rsidRPr="00A83E0C">
              <w:rPr>
                <w:lang w:val="ru-RU"/>
              </w:rPr>
              <w:t xml:space="preserve">: </w:t>
            </w:r>
            <w:r w:rsidR="00712FED" w:rsidRPr="00A83E0C">
              <w:rPr>
                <w:lang w:val="ru-RU"/>
              </w:rPr>
              <w:t>#</w:t>
            </w:r>
            <w:r w:rsidRPr="00A83E0C">
              <w:rPr>
                <w:lang w:val="ru-RU"/>
              </w:rPr>
              <w:t>гемцитабин</w:t>
            </w:r>
            <w:r w:rsidR="00712FED" w:rsidRPr="00A83E0C">
              <w:rPr>
                <w:lang w:val="ru-RU"/>
              </w:rPr>
              <w:t>**</w:t>
            </w:r>
            <w:r w:rsidRPr="00A83E0C">
              <w:rPr>
                <w:lang w:val="ru-RU"/>
              </w:rPr>
              <w:t xml:space="preserve"> 1000 мг/м</w:t>
            </w:r>
            <w:r w:rsidRPr="00A83E0C">
              <w:rPr>
                <w:vertAlign w:val="superscript"/>
                <w:lang w:val="ru-RU"/>
              </w:rPr>
              <w:t>2</w:t>
            </w:r>
            <w:r w:rsidRPr="00A83E0C">
              <w:rPr>
                <w:lang w:val="ru-RU"/>
              </w:rPr>
              <w:t xml:space="preserve"> в/в капельно 30 мин. в 1-й, 8-й и 15-й дни + </w:t>
            </w:r>
            <w:r w:rsidR="00712FED" w:rsidRPr="00A83E0C">
              <w:rPr>
                <w:lang w:val="ru-RU"/>
              </w:rPr>
              <w:t>#</w:t>
            </w:r>
            <w:r w:rsidRPr="00A83E0C">
              <w:rPr>
                <w:lang w:val="ru-RU"/>
              </w:rPr>
              <w:t>капецитабин</w:t>
            </w:r>
            <w:r w:rsidR="00712FED" w:rsidRPr="00A83E0C">
              <w:rPr>
                <w:lang w:val="ru-RU"/>
              </w:rPr>
              <w:t>**</w:t>
            </w:r>
            <w:r w:rsidRPr="00A83E0C">
              <w:rPr>
                <w:lang w:val="ru-RU"/>
              </w:rPr>
              <w:t xml:space="preserve"> 1660 мг/м</w:t>
            </w:r>
            <w:r w:rsidRPr="00A83E0C">
              <w:rPr>
                <w:vertAlign w:val="superscript"/>
                <w:lang w:val="ru-RU"/>
              </w:rPr>
              <w:t>2</w:t>
            </w:r>
            <w:r w:rsidRPr="00A83E0C">
              <w:rPr>
                <w:lang w:val="ru-RU"/>
              </w:rPr>
              <w:t xml:space="preserve"> внутрь ежедневно с 1-го по 21-й день каждые 4 нед., всего 6 циклов</w:t>
            </w:r>
          </w:p>
        </w:tc>
      </w:tr>
      <w:tr w:rsidR="007436D3" w:rsidRPr="0060277C" w14:paraId="15168EF1" w14:textId="77777777" w:rsidTr="00724815">
        <w:tc>
          <w:tcPr>
            <w:tcW w:w="2303" w:type="dxa"/>
            <w:vAlign w:val="center"/>
          </w:tcPr>
          <w:p w14:paraId="217A93EA" w14:textId="77777777" w:rsidR="007436D3" w:rsidRPr="00A83E0C" w:rsidRDefault="00FA71E1" w:rsidP="00EA7396">
            <w:pPr>
              <w:tabs>
                <w:tab w:val="left" w:pos="284"/>
                <w:tab w:val="left" w:pos="426"/>
              </w:tabs>
              <w:spacing w:line="240" w:lineRule="auto"/>
              <w:ind w:firstLine="0"/>
              <w:jc w:val="center"/>
              <w:rPr>
                <w:lang w:val="ru-RU"/>
              </w:rPr>
            </w:pPr>
            <w:r w:rsidRPr="00A83E0C">
              <w:rPr>
                <w:lang w:val="ru-RU"/>
              </w:rPr>
              <w:t>Минимальный объем химиотерапии</w:t>
            </w:r>
          </w:p>
        </w:tc>
        <w:tc>
          <w:tcPr>
            <w:tcW w:w="7267" w:type="dxa"/>
          </w:tcPr>
          <w:p w14:paraId="7689293C" w14:textId="6F5FDCD9" w:rsidR="007436D3" w:rsidRPr="00A83E0C" w:rsidRDefault="00712FED" w:rsidP="00EA7396">
            <w:pPr>
              <w:pStyle w:val="1-21"/>
              <w:numPr>
                <w:ilvl w:val="0"/>
                <w:numId w:val="16"/>
              </w:numPr>
              <w:tabs>
                <w:tab w:val="left" w:pos="284"/>
                <w:tab w:val="left" w:pos="426"/>
              </w:tabs>
              <w:ind w:left="0" w:firstLine="0"/>
              <w:jc w:val="both"/>
              <w:rPr>
                <w:lang w:val="ru-RU"/>
              </w:rPr>
            </w:pPr>
            <w:r w:rsidRPr="00A83E0C">
              <w:rPr>
                <w:lang w:val="ru-RU"/>
              </w:rPr>
              <w:t>#</w:t>
            </w:r>
            <w:r w:rsidR="00FA71E1" w:rsidRPr="00A83E0C">
              <w:rPr>
                <w:lang w:val="ru-RU"/>
              </w:rPr>
              <w:t>Гемцитабин</w:t>
            </w:r>
            <w:r w:rsidRPr="00A83E0C">
              <w:rPr>
                <w:lang w:val="ru-RU"/>
              </w:rPr>
              <w:t>**</w:t>
            </w:r>
            <w:r w:rsidR="00FA71E1" w:rsidRPr="00A83E0C">
              <w:rPr>
                <w:lang w:val="ru-RU"/>
              </w:rPr>
              <w:t xml:space="preserve"> 1000 мг/м</w:t>
            </w:r>
            <w:r w:rsidR="00FA71E1" w:rsidRPr="00A83E0C">
              <w:rPr>
                <w:vertAlign w:val="superscript"/>
                <w:lang w:val="ru-RU"/>
              </w:rPr>
              <w:t>2</w:t>
            </w:r>
            <w:r w:rsidR="00FA71E1" w:rsidRPr="00A83E0C">
              <w:rPr>
                <w:lang w:val="ru-RU"/>
              </w:rPr>
              <w:t xml:space="preserve"> в/в капельно 30 мин. в 1-й, 8-й и 15-й дни каждые 4 нед., всего 6 циклов</w:t>
            </w:r>
            <w:r w:rsidR="00CB323C" w:rsidRPr="00A83E0C">
              <w:rPr>
                <w:lang w:val="ru-RU"/>
              </w:rPr>
              <w:t xml:space="preserve"> </w:t>
            </w:r>
            <w:r w:rsidR="00C15198" w:rsidRPr="00A83E0C">
              <w:rPr>
                <w:lang w:val="ru-RU"/>
              </w:rPr>
              <w:fldChar w:fldCharType="begin"/>
            </w:r>
            <w:r w:rsidR="004034C1">
              <w:rPr>
                <w:lang w:val="ru-RU"/>
              </w:rPr>
              <w:instrText xml:space="preserve"> ADDIN ZOTERO_ITEM CSL_CITATION {"citationID":"rBWuXiK3","properties":{"formattedCitation":"[77]","plainCitation":"[77]","noteIndex":0},"citationItems":[{"id":245,"uris":["http://zotero.org/users/5363772/items/KY69M7QV",["http://zotero.org/users/5363772/items/KY69M7QV"]],"itemData":{"id":245,"type":"article-journal","abstract":"ContextThe role of adjuvant therapy in resectable pancreatic cancer is still uncertain, and no recommended standard exists.ObjectiveTo test the hypothesis that adjuvant chemotherapy with gemcitabine administered after complete resection of pancreatic cancer improves disease-free survival by 6 months or more.Design, Setting, and PatientsOpen, multicenter, randomized controlled phase 3 trial with stratification for resection, tumor, and node status. Conducted from July 1998 to December 2004 in the outpatient setting at 88 academic and community-based oncology centers in Germany and Austria. A total of 368 patients with gross complete (R0 or R1) resection of pancreatic cancer and no prior radiation or chemotherapy were enrolled into 2 groups.InterventionPatients received adjuvant chemotherapy with 6 cycles of gemcitabine on days 1, 8, and 15 every 4 weeks (n = 179), or observation ([control] n = 175).Main Outcome MeasuresPrimary end point was disease-free survival, and secondary end points were overall survival, toxicity, and quality of life. Survival analysis was based on all eligible patients (intention-to-treat).ResultsMore than 80% of patients had R0 resection. The median number of chemotherapy cycles in the gemcitabine group was 6 (range, 0-6). Grade 3 or 4 toxicities rarely occurred with no difference in quality of life (by Spitzer index) between groups. During median follow-up of 53 months, 133 patients (74%) in the gemcitabine group and 161 patients (92%) in the control group developed recurrent disease. Median disease-free survival was 13.4 months in the gemcitabine group (95% confidence interval, 11.4-15.3) and 6.9 months in the control group (95% confidence interval, 6.1-7.8; P&amp;lt;.001, log-rank). Estimated disease-free survival at 3 and 5 years was 23.5% and 16.5% in the gemcitabine group, and 7.5% and 5.5% in the control group, respectively. Subgroup analyses showed that the effect of gemcitabine on disease-free survival was significant in patients with either R0 or R1 resection. There was no difference in overall survival between the gemcitabine group (median, 22.1 months; 95% confidence interval, 18.4-25.8; estimated survival, 34% at 3 years and 22.5% at 5 years) and the control group (median, 20.2 months; 95% confidence interval, 17-23.4; estimated survival, 20.5% at 3 years and 11.5% at 5 years; P = .06, log-rank).ConclusionsPostoperative gemcitabine significantly delayed the development of recurrent disease after complete resection of pancreatic cancer compared with observation alone. These results support the use of gemcitabine as adjuvant chemotherapy in resectable carcinoma of the pancreas.Trial Registrationisrctn.org Identifier: ISRCTN34802808","container-title":"JAMA","DOI":"10.1001/jama.297.3.267","ISSN":"0098-7484","issue":"3","journalAbbreviation":"JAMA","page":"267-277","title":"Adjuvant Chemotherapy With Gemcitabine vs Observation in Patients Undergoing Curative-Intent Resection of Pancreatic CancerA Randomized Controlled Trial","volume":"297","author":[{"family":"Oettle","given":"Helmut"},{"family":"Post","given":"Stefan"},{"family":"Neuhaus","given":"Peter"},{"family":"Gellert","given":"Klaus"},{"family":"Langrehr","given":"Jan"},{"family":"Ridwelski","given":"Karsten"},{"family":"Schramm","given":"Harald"},{"family":"Fahlke","given":"Joerg"},{"family":"Zuelke","given":"Carl"},{"family":"Burkart","given":"Christof"},{"family":"Gutberlet","given":"Klaus"},{"family":"Kettner","given":"Erika"},{"family":"Schmalenberg","given":"Harald"},{"family":"Weigang-Koehler","given":"Karin"},{"family":"Bechstein","given":"Wolf-Otto"},{"family":"Niedergethmann","given":"Marco"},{"family":"Schmidt-Wolf","given":"Ingo"},{"family":"Roll","given":"Lars"},{"family":"Doerken","given":"Bernd"},{"family":"Riess","given":"Hanno"}],"issued":{"date-parts":[["2007",1,17]]}}}],"schema":"https://github.com/citation-style-language/schema/raw/master/csl-citation.json"} </w:instrText>
            </w:r>
            <w:r w:rsidR="00C15198" w:rsidRPr="00A83E0C">
              <w:rPr>
                <w:lang w:val="ru-RU"/>
              </w:rPr>
              <w:fldChar w:fldCharType="separate"/>
            </w:r>
            <w:r w:rsidR="004034C1" w:rsidRPr="004034C1">
              <w:rPr>
                <w:lang w:val="ru-RU"/>
              </w:rPr>
              <w:t>[77]</w:t>
            </w:r>
            <w:r w:rsidR="00C15198" w:rsidRPr="00A83E0C">
              <w:rPr>
                <w:lang w:val="ru-RU"/>
              </w:rPr>
              <w:fldChar w:fldCharType="end"/>
            </w:r>
            <w:r w:rsidR="00FA71E1" w:rsidRPr="00A83E0C">
              <w:rPr>
                <w:lang w:val="ru-RU"/>
              </w:rPr>
              <w:t xml:space="preserve"> или</w:t>
            </w:r>
          </w:p>
          <w:p w14:paraId="06FFC99A" w14:textId="4CE28BF5" w:rsidR="007436D3" w:rsidRPr="00A83E0C" w:rsidRDefault="00712FED" w:rsidP="00EA7396">
            <w:pPr>
              <w:pStyle w:val="1-21"/>
              <w:numPr>
                <w:ilvl w:val="0"/>
                <w:numId w:val="16"/>
              </w:numPr>
              <w:tabs>
                <w:tab w:val="left" w:pos="284"/>
                <w:tab w:val="left" w:pos="426"/>
              </w:tabs>
              <w:ind w:left="0" w:firstLine="0"/>
              <w:jc w:val="both"/>
              <w:rPr>
                <w:lang w:val="ru-RU"/>
              </w:rPr>
            </w:pPr>
            <w:r w:rsidRPr="00A83E0C">
              <w:rPr>
                <w:lang w:val="ru-RU"/>
              </w:rPr>
              <w:t>#Капецитабин**</w:t>
            </w:r>
            <w:r w:rsidR="00FA71E1" w:rsidRPr="00A83E0C">
              <w:rPr>
                <w:lang w:val="ru-RU"/>
              </w:rPr>
              <w:t xml:space="preserve"> 2000-2500 мг/м</w:t>
            </w:r>
            <w:r w:rsidR="00FA71E1" w:rsidRPr="00A83E0C">
              <w:rPr>
                <w:vertAlign w:val="superscript"/>
                <w:lang w:val="ru-RU"/>
              </w:rPr>
              <w:t>2</w:t>
            </w:r>
            <w:r w:rsidR="00FA71E1" w:rsidRPr="00A83E0C">
              <w:rPr>
                <w:lang w:val="ru-RU"/>
              </w:rPr>
              <w:t>/сут. внутрь с 1-го по 14-й день каждые 3 нед., всего 8 циклов</w:t>
            </w:r>
            <w:r w:rsidR="00CB323C" w:rsidRPr="00A83E0C">
              <w:rPr>
                <w:lang w:val="ru-RU"/>
              </w:rPr>
              <w:t xml:space="preserve"> </w:t>
            </w:r>
            <w:r w:rsidR="00C15198" w:rsidRPr="00A83E0C">
              <w:rPr>
                <w:lang w:val="ru-RU"/>
              </w:rPr>
              <w:fldChar w:fldCharType="begin"/>
            </w:r>
            <w:r w:rsidR="004034C1">
              <w:rPr>
                <w:lang w:val="ru-RU"/>
              </w:rPr>
              <w:instrText xml:space="preserve"> ADDIN ZOTERO_ITEM CSL_CITATION {"citationID":"l1uBtpLq","properties":{"formattedCitation":"[78,79]","plainCitation":"[78,79]","noteIndex":0},"citationItems":[{"id":353,"uris":["http://zotero.org/users/5363772/items/8XB5AD48",["http://zotero.org/users/5363772/items/8XB5AD48"]],"itemData":{"id":353,"type":"article-journal","container-title":"New England Journal of Medicine","DOI":"10.1056/NEJMoa032295","ISSN":"0028-4793","issue":"12","journalAbbreviation":"N Engl J Med","page":"1200-1210","title":"A Randomized Trial of Chemoradiotherapy and Chemotherapy after Resection of Pancreatic Cancer","volume":"350","author":[{"family":"Neoptolemos","given":"John P."},{"family":"Stocken","given":"Deborah D."},{"family":"Friess","given":"Helmut"},{"family":"Bassi","given":"Claudio"},{"family":"Dunn","given":"Janet A."},{"family":"Hickey","given":"Helen"},{"family":"Beger","given":"Hans"},{"family":"Fernandez-Cruz","given":"Laureano"},{"family":"Dervenis","given":"Christos"},{"family":"Lacaine","given":"François"},{"family":"Falconi","given":"Massimo"},{"family":"Pederzoli","given":"Paolo"},{"family":"Pap","given":"Akos"},{"family":"Spooner","given":"David"},{"family":"Kerr","given":"David J."},{"family":"Büchler","given":"Markus W."}],"issued":{"date-parts":[["2004",3,18]]}}},{"id":1048,"uris":["http://zotero.org/users/5363772/items/FJRTMNJD",["http://zotero.org/users/5363772/items/FJRTMNJD"]],"itemData":{"id":1048,"type":"article-journal","abstract":"PURPOSE: To determine the safety and efficacy of capecitabine (Xeloda; Roche Laboratories, Nutley, NJ) in patients with metastatic or unresectable, locally advanced pancreatic cancer.\n            \n              PATIENTS AND METHODS: Forty-two patients were treated with oral capecitabine 1,250 mg/m\n              2\n              administered twice daily (2,500 mg/m\n              2\n              /d) as intermittent therapy in 3-week cycles consisting of 2 weeks of treatment followed by 1 week without treatment. Tumor lesions were assessed by computed tomography scan or physical examination at 6-week intervals (after every two cycles). Adverse events were monitored continuously during treatment and for 28 days after the last dose of study drug.\n            \n            RESULTS: Ten (24%) of 42 patients experienced a clinical benefit response (95% confidence interval [CI], 12.1% to 39.5%) as evidenced by improvement in pain intensity, analgesic consumption, and/or Karnofsky performance status. Three (7.3%) of the 41 patients with measurable disease had an objective response (partial). The median time to objective response was 85 days (range, 47 to 91 days) and duration of response was 208, 260, and 566 days for the three responding patients. One patient with nonmeasurable but assessable disease had improved residual disease with a positive clinical benefit response, for a total of four responses among the 42 assessable patients, for an overall response rate of 9.5% (90% CI, 3.3% to 20.5%). Capecitabine was generally well tolerated.\n            CONCLUSION: Treatment with capecitabine resulted in clinically significant beneficial effects on tumor-related symptoms and yielded objective response activity in patients with metastatic or locally advanced pancreatic cancer. These results together with its generally tolerable safety profile and the added advantage of oral administration provide the basis for further evaluating capecitabine as a single agent or in combination with other treatment modalities in this patient population.","container-title":"Journal of Clinical Oncology","DOI":"10.1200/JCO.2002.20.1.160","ISSN":"0732-183X, 1527-7755","issue":"1","journalAbbreviation":"JCO","language":"en","page":"160-164","source":"DOI.org (Crossref)","title":"Phase II Study of Oral Capecitabine in Patients With Advanced or Metastatic Pancreatic Cancer","volume":"20","author":[{"family":"Cartwright","given":"Thomas H."},{"family":"Cohn","given":"Allen"},{"family":"Varkey","given":"Jerry A."},{"family":"Chen","given":"Yin-Miao"},{"family":"Szatrowski","given":"Ted P."},{"family":"Cox","given":"John V."},{"family":"Schulz","given":"Joseph J."}],"issued":{"date-parts":[["2002",1,1]]}}}],"schema":"https://github.com/citation-style-language/schema/raw/master/csl-citation.json"} </w:instrText>
            </w:r>
            <w:r w:rsidR="00C15198" w:rsidRPr="00A83E0C">
              <w:rPr>
                <w:lang w:val="ru-RU"/>
              </w:rPr>
              <w:fldChar w:fldCharType="separate"/>
            </w:r>
            <w:r w:rsidR="004034C1" w:rsidRPr="004034C1">
              <w:rPr>
                <w:lang w:val="ru-RU"/>
              </w:rPr>
              <w:t>[78,79]</w:t>
            </w:r>
            <w:r w:rsidR="00C15198" w:rsidRPr="00A83E0C">
              <w:rPr>
                <w:lang w:val="ru-RU"/>
              </w:rPr>
              <w:fldChar w:fldCharType="end"/>
            </w:r>
            <w:r w:rsidR="00FA71E1" w:rsidRPr="00A83E0C">
              <w:rPr>
                <w:lang w:val="ru-RU"/>
              </w:rPr>
              <w:t xml:space="preserve"> или</w:t>
            </w:r>
          </w:p>
          <w:p w14:paraId="1DE5D484" w14:textId="0847A462" w:rsidR="00FA71E1" w:rsidRPr="00A83E0C" w:rsidRDefault="00A84137" w:rsidP="0067482F">
            <w:pPr>
              <w:pStyle w:val="1-21"/>
              <w:numPr>
                <w:ilvl w:val="0"/>
                <w:numId w:val="16"/>
              </w:numPr>
              <w:tabs>
                <w:tab w:val="left" w:pos="284"/>
                <w:tab w:val="left" w:pos="426"/>
              </w:tabs>
              <w:ind w:left="0" w:firstLine="0"/>
              <w:jc w:val="both"/>
              <w:rPr>
                <w:lang w:val="ru-RU"/>
              </w:rPr>
            </w:pPr>
            <w:r w:rsidRPr="00A83E0C">
              <w:rPr>
                <w:lang w:val="ru-RU"/>
              </w:rPr>
              <w:t>#</w:t>
            </w:r>
            <w:r w:rsidR="00FA71E1" w:rsidRPr="00A83E0C">
              <w:rPr>
                <w:lang w:val="ru-RU"/>
              </w:rPr>
              <w:t>фторурацил</w:t>
            </w:r>
            <w:r w:rsidR="00712FED" w:rsidRPr="00A83E0C">
              <w:rPr>
                <w:lang w:val="ru-RU"/>
              </w:rPr>
              <w:t>**</w:t>
            </w:r>
            <w:r w:rsidR="00FA71E1" w:rsidRPr="00A83E0C">
              <w:rPr>
                <w:lang w:val="ru-RU"/>
              </w:rPr>
              <w:t xml:space="preserve"> 425 мг/м</w:t>
            </w:r>
            <w:r w:rsidR="00FA71E1" w:rsidRPr="00A83E0C">
              <w:rPr>
                <w:vertAlign w:val="superscript"/>
                <w:lang w:val="ru-RU"/>
              </w:rPr>
              <w:t>2</w:t>
            </w:r>
            <w:r w:rsidR="00FA71E1" w:rsidRPr="00A83E0C">
              <w:rPr>
                <w:lang w:val="ru-RU"/>
              </w:rPr>
              <w:t xml:space="preserve"> в/в</w:t>
            </w:r>
            <w:r w:rsidR="007436D3" w:rsidRPr="00A83E0C">
              <w:rPr>
                <w:lang w:val="ru-RU"/>
              </w:rPr>
              <w:t xml:space="preserve"> болюс</w:t>
            </w:r>
            <w:r w:rsidR="00FA71E1" w:rsidRPr="00A83E0C">
              <w:rPr>
                <w:lang w:val="ru-RU"/>
              </w:rPr>
              <w:t xml:space="preserve"> + </w:t>
            </w:r>
            <w:r w:rsidR="00712FED" w:rsidRPr="00A83E0C">
              <w:rPr>
                <w:lang w:val="ru-RU"/>
              </w:rPr>
              <w:t>#</w:t>
            </w:r>
            <w:r w:rsidR="0067482F" w:rsidRPr="00A83E0C">
              <w:rPr>
                <w:lang w:val="ru-RU"/>
              </w:rPr>
              <w:t xml:space="preserve"> кальция </w:t>
            </w:r>
            <w:r w:rsidR="007436D3" w:rsidRPr="00A83E0C">
              <w:rPr>
                <w:lang w:val="ru-RU"/>
              </w:rPr>
              <w:t>фолинат</w:t>
            </w:r>
            <w:r w:rsidR="00712FED" w:rsidRPr="00A83E0C">
              <w:rPr>
                <w:lang w:val="ru-RU"/>
              </w:rPr>
              <w:t>**</w:t>
            </w:r>
            <w:r w:rsidR="00FA71E1" w:rsidRPr="00A83E0C">
              <w:rPr>
                <w:lang w:val="ru-RU"/>
              </w:rPr>
              <w:t xml:space="preserve"> 20 мг/м</w:t>
            </w:r>
            <w:r w:rsidR="00FA71E1" w:rsidRPr="00A83E0C">
              <w:rPr>
                <w:vertAlign w:val="superscript"/>
                <w:lang w:val="ru-RU"/>
              </w:rPr>
              <w:t>2</w:t>
            </w:r>
            <w:r w:rsidR="00FA71E1" w:rsidRPr="00A83E0C">
              <w:rPr>
                <w:lang w:val="ru-RU"/>
              </w:rPr>
              <w:t xml:space="preserve"> в/в </w:t>
            </w:r>
            <w:r w:rsidR="007436D3" w:rsidRPr="00A83E0C">
              <w:rPr>
                <w:lang w:val="ru-RU"/>
              </w:rPr>
              <w:t>болюс</w:t>
            </w:r>
            <w:r w:rsidR="00FA71E1" w:rsidRPr="00A83E0C">
              <w:rPr>
                <w:lang w:val="ru-RU"/>
              </w:rPr>
              <w:t xml:space="preserve"> с 1-го по 5-й дни каждые 4 нед., всего 6 циклов</w:t>
            </w:r>
            <w:r w:rsidR="00654353">
              <w:rPr>
                <w:vertAlign w:val="superscript"/>
                <w:lang w:val="ru-RU"/>
              </w:rPr>
              <w:t>4</w:t>
            </w:r>
            <w:r w:rsidR="00CB323C" w:rsidRPr="00A83E0C">
              <w:rPr>
                <w:lang w:val="ru-RU"/>
              </w:rPr>
              <w:t xml:space="preserve"> </w:t>
            </w:r>
            <w:r w:rsidR="00C15198" w:rsidRPr="00A83E0C">
              <w:rPr>
                <w:lang w:val="ru-RU"/>
              </w:rPr>
              <w:fldChar w:fldCharType="begin"/>
            </w:r>
            <w:r w:rsidR="004034C1">
              <w:rPr>
                <w:lang w:val="ru-RU"/>
              </w:rPr>
              <w:instrText xml:space="preserve"> ADDIN ZOTERO_ITEM CSL_CITATION {"citationID":"bcli9SEd","properties":{"formattedCitation":"[78]","plainCitation":"[78]","noteIndex":0},"citationItems":[{"id":353,"uris":["http://zotero.org/users/5363772/items/8XB5AD48",["http://zotero.org/users/5363772/items/8XB5AD48"]],"itemData":{"id":353,"type":"article-journal","container-title":"New England Journal of Medicine","DOI":"10.1056/NEJMoa032295","ISSN":"0028-4793","issue":"12","journalAbbreviation":"N Engl J Med","page":"1200-1210","title":"A Randomized Trial of Chemoradiotherapy and Chemotherapy after Resection of Pancreatic Cancer","volume":"350","author":[{"family":"Neoptolemos","given":"John P."},{"family":"Stocken","given":"Deborah D."},{"family":"Friess","given":"Helmut"},{"family":"Bassi","given":"Claudio"},{"family":"Dunn","given":"Janet A."},{"family":"Hickey","given":"Helen"},{"family":"Beger","given":"Hans"},{"family":"Fernandez-Cruz","given":"Laureano"},{"family":"Dervenis","given":"Christos"},{"family":"Lacaine","given":"François"},{"family":"Falconi","given":"Massimo"},{"family":"Pederzoli","given":"Paolo"},{"family":"Pap","given":"Akos"},{"family":"Spooner","given":"David"},{"family":"Kerr","given":"David J."},{"family":"Büchler","given":"Markus W."}],"issued":{"date-parts":[["2004",3,18]]}}}],"schema":"https://github.com/citation-style-language/schema/raw/master/csl-citation.json"} </w:instrText>
            </w:r>
            <w:r w:rsidR="00C15198" w:rsidRPr="00A83E0C">
              <w:rPr>
                <w:lang w:val="ru-RU"/>
              </w:rPr>
              <w:fldChar w:fldCharType="separate"/>
            </w:r>
            <w:r w:rsidR="004034C1" w:rsidRPr="004034C1">
              <w:rPr>
                <w:lang w:val="ru-RU"/>
              </w:rPr>
              <w:t>[78]</w:t>
            </w:r>
            <w:r w:rsidR="00C15198" w:rsidRPr="00A83E0C">
              <w:rPr>
                <w:lang w:val="ru-RU"/>
              </w:rPr>
              <w:fldChar w:fldCharType="end"/>
            </w:r>
          </w:p>
        </w:tc>
      </w:tr>
    </w:tbl>
    <w:p w14:paraId="1D7675DD" w14:textId="5CD7A010" w:rsidR="007436D3" w:rsidRPr="00300DCA" w:rsidRDefault="00FA71E1" w:rsidP="00724815">
      <w:pPr>
        <w:tabs>
          <w:tab w:val="left" w:pos="284"/>
          <w:tab w:val="left" w:pos="426"/>
        </w:tabs>
        <w:ind w:firstLine="0"/>
        <w:rPr>
          <w:i/>
          <w:color w:val="2C2D2E"/>
          <w:sz w:val="20"/>
          <w:szCs w:val="20"/>
          <w:shd w:val="clear" w:color="auto" w:fill="FFFFFF"/>
          <w:lang w:val="ru-RU"/>
        </w:rPr>
      </w:pPr>
      <w:r w:rsidRPr="00A83E0C">
        <w:rPr>
          <w:i/>
          <w:sz w:val="20"/>
          <w:szCs w:val="20"/>
          <w:vertAlign w:val="superscript"/>
          <w:lang w:val="ru-RU"/>
        </w:rPr>
        <w:t>1</w:t>
      </w:r>
      <w:r w:rsidRPr="00A83E0C">
        <w:rPr>
          <w:i/>
          <w:sz w:val="20"/>
          <w:szCs w:val="20"/>
          <w:lang w:val="ru-RU"/>
        </w:rPr>
        <w:t xml:space="preserve"> </w:t>
      </w:r>
      <w:r w:rsidRPr="00A83E0C">
        <w:rPr>
          <w:i/>
          <w:sz w:val="20"/>
          <w:szCs w:val="20"/>
        </w:rPr>
        <w:t>mFOLFIRINOX</w:t>
      </w:r>
      <w:r w:rsidRPr="00A83E0C">
        <w:rPr>
          <w:i/>
          <w:sz w:val="20"/>
          <w:szCs w:val="20"/>
          <w:lang w:val="ru-RU"/>
        </w:rPr>
        <w:t xml:space="preserve"> </w:t>
      </w:r>
      <w:r w:rsidR="00C02B4B">
        <w:rPr>
          <w:i/>
          <w:sz w:val="20"/>
          <w:szCs w:val="20"/>
          <w:lang w:val="ru-RU"/>
        </w:rPr>
        <w:t xml:space="preserve">обладает наибольшей эффективностью, но </w:t>
      </w:r>
      <w:r w:rsidRPr="00A83E0C">
        <w:rPr>
          <w:i/>
          <w:sz w:val="20"/>
          <w:szCs w:val="20"/>
          <w:lang w:val="ru-RU"/>
        </w:rPr>
        <w:t xml:space="preserve">рекомендуется только пациентам с </w:t>
      </w:r>
      <w:r w:rsidRPr="00A83E0C">
        <w:rPr>
          <w:i/>
          <w:sz w:val="20"/>
          <w:szCs w:val="20"/>
        </w:rPr>
        <w:t>ECOG</w:t>
      </w:r>
      <w:r w:rsidRPr="00A83E0C">
        <w:rPr>
          <w:i/>
          <w:sz w:val="20"/>
          <w:szCs w:val="20"/>
          <w:lang w:val="ru-RU"/>
        </w:rPr>
        <w:t xml:space="preserve"> 0-1</w:t>
      </w:r>
      <w:r w:rsidR="001537BF" w:rsidRPr="00A83E0C">
        <w:rPr>
          <w:i/>
          <w:sz w:val="20"/>
          <w:szCs w:val="20"/>
          <w:lang w:val="ru-RU"/>
        </w:rPr>
        <w:t xml:space="preserve"> (приложение Г1)</w:t>
      </w:r>
      <w:r w:rsidRPr="00A83E0C">
        <w:rPr>
          <w:i/>
          <w:sz w:val="20"/>
          <w:szCs w:val="20"/>
          <w:lang w:val="ru-RU"/>
        </w:rPr>
        <w:t>, без серьезных осложнений хирургического лечения и сопутствующих заб</w:t>
      </w:r>
      <w:r w:rsidRPr="00711AAE">
        <w:rPr>
          <w:i/>
          <w:sz w:val="20"/>
          <w:szCs w:val="20"/>
          <w:lang w:val="ru-RU"/>
        </w:rPr>
        <w:t>олеваний.</w:t>
      </w:r>
      <w:r w:rsidR="00711AAE" w:rsidRPr="00711AAE">
        <w:rPr>
          <w:i/>
          <w:sz w:val="20"/>
          <w:szCs w:val="20"/>
          <w:lang w:val="ru-RU"/>
        </w:rPr>
        <w:t xml:space="preserve"> </w:t>
      </w:r>
      <w:r w:rsidR="00711AAE" w:rsidRPr="004E104D">
        <w:rPr>
          <w:i/>
          <w:sz w:val="20"/>
          <w:szCs w:val="20"/>
          <w:lang w:val="ru-RU"/>
        </w:rPr>
        <w:t xml:space="preserve">С целью профилактики фебрильной нейтропении при применении режима </w:t>
      </w:r>
      <w:r w:rsidR="00711AAE" w:rsidRPr="00711AAE">
        <w:rPr>
          <w:i/>
          <w:sz w:val="20"/>
          <w:szCs w:val="20"/>
        </w:rPr>
        <w:t>mFOLFIRINOX</w:t>
      </w:r>
      <w:r w:rsidR="00711AAE" w:rsidRPr="004E104D">
        <w:rPr>
          <w:i/>
          <w:sz w:val="20"/>
          <w:szCs w:val="20"/>
          <w:lang w:val="ru-RU"/>
        </w:rPr>
        <w:t xml:space="preserve"> возможно назначение первичной профилактики нейтропении филграстимом** в дозе 5 мкг/кг п/к через 24 часа после завершения химиотерапии до восстановления показателей нейтрофилов или пэгфилграстимом** – </w:t>
      </w:r>
      <w:r w:rsidR="00711AAE" w:rsidRPr="004E104D">
        <w:rPr>
          <w:i/>
          <w:color w:val="2C2D2E"/>
          <w:sz w:val="20"/>
          <w:szCs w:val="20"/>
          <w:shd w:val="clear" w:color="auto" w:fill="FFFFFF"/>
          <w:lang w:val="ru-RU"/>
        </w:rPr>
        <w:t>6 мг п/к однократно, или эмпэгфилграстимом** – 7,5 мг п/к однократно через 24 часа после окончания каждого курса химиотерапии. Альтернативно допустима вторичная профилактика нейтропении, учитывая, что нейтропения не всегда является дозолимитирующей токсичностью</w:t>
      </w:r>
      <w:r w:rsidR="00CF5557">
        <w:rPr>
          <w:i/>
          <w:color w:val="2C2D2E"/>
          <w:sz w:val="20"/>
          <w:szCs w:val="20"/>
          <w:shd w:val="clear" w:color="auto" w:fill="FFFFFF"/>
          <w:lang w:val="ru-RU"/>
        </w:rPr>
        <w:t xml:space="preserve"> и в ряде случаев более целесообразна редукция доз препаратов </w:t>
      </w:r>
      <w:r w:rsidR="00D771D1">
        <w:rPr>
          <w:i/>
          <w:color w:val="2C2D2E"/>
          <w:sz w:val="20"/>
          <w:szCs w:val="20"/>
          <w:shd w:val="clear" w:color="auto" w:fill="FFFFFF"/>
          <w:lang w:val="ru-RU"/>
        </w:rPr>
        <w:fldChar w:fldCharType="begin"/>
      </w:r>
      <w:r w:rsidR="004034C1">
        <w:rPr>
          <w:i/>
          <w:color w:val="2C2D2E"/>
          <w:sz w:val="20"/>
          <w:szCs w:val="20"/>
          <w:shd w:val="clear" w:color="auto" w:fill="FFFFFF"/>
          <w:lang w:val="ru-RU"/>
        </w:rPr>
        <w:instrText xml:space="preserve"> ADDIN ZOTERO_ITEM CSL_CITATION {"citationID":"GVO5JTA0","properties":{"formattedCitation":"[58,80]","plainCitation":"[58,80]","noteIndex":0},"citationItems":[{"id":1298,"uris":["http://zotero.org/users/5363772/items/ET3Z5D24"],"itemData":{"id":1298,"type":"document","language":"en","publisher":"NCCN.org","title":"NCCN Clinical Practice Guidelines in Oncology. Pancreatic Adenocarcinoma","URL":"https://www.nccn.org/guidelines","author":[{"family":"Tempero","given":"M.A."},{"family":"Malafa","given":"M.P."},{"family":"Benson","given":"Al.B."}],"accessed":{"date-parts":[["2023",9,19]]},"issued":{"date-parts":[["2023"]]}}},{"id":1313,"uris":["http://zotero.org/users/5363772/items/QRAJDCAU"],"itemData":{"id":1313,"type":"article-journal","abstract":"Introduction\n              The role of primary prophylaxis (PP) with granulocyte colony-stimulating factor (G-CSF) for patients with metastatic pancreatic adenocarcinoma (MPA) treated with FOLFIRINOX is unknown. We aimed to compare the frequencies of grades 3 or 4 neutropenia (G3/4N) and febrile neutropenia (FN) and survival outcomes according to the use of PP.\n            \n            \n              Methods\n              This is a retrospective study. We included patients with pathologically confirmed MPA treated with FOLFIRINOX in first-line. Patients who received primary prophylaxis (PP group) were compared to patients who received secondary or no G-CSF (no-PP group). Overall survival (OS) and progression-free survival (PFS) were evaluated using the standard Cox proportional hazard model. To account for potential biases, we performed sensitivity analyses excluding patients who received secondary prophilaxis and treating G-CSF as a time-dependent covariate in extended Cox proportional hazard models.\n            \n            \n              Results\n              The study population consisted of 123 patients. PP was used by 75 patients (61.0%). G3/4 N occurred more frequently among patients without PP (10.7 vs 41.7%; P &lt; .001). There was no difference in the frequency of FN between groups (5.3 vs 8.3%; P = .710). In multivariate analysis, PP was associated with a trend toward improved OS (HR = .66; 95% confidence interval [95% CI] .41 - 1.07; P = .094). In the multivariate model excluding patients with secondary prophylaxis (HR = .54; 95% CI 0.32 - .91; P = .022) and in the time-dependent model (HR = .47; 95% CI 0.28 - .80; P = .005), PP was associated with statistically superior OS.\n            \n            \n              Conclusions\n              Despite the reduction in the frequency of G3/4N, the risk of FN among patients treated with FOLFIRINOX without G-CSF is too low to justify its use in a routine basis. However, given the potential of G-CSF to improve survival in this setting, further studies are warranted to assess its role during treatment with FOLFIRINOX for patients with MPA.","container-title":"Cancer Control","DOI":"10.1177/10732748221149543","ISSN":"1073-2748, 1526-2359","journalAbbreviation":"Cancer Control","language":"en","page":"107327482211495","source":"DOI.org (Crossref)","title":"Impact of Granulocyte Colony-Stimulating Factor (G-CSF) on the Outcomes of Patients With Metastatic Pancreatic Adenocarcinoma (MPA) During First-Line Treatment With FOLFIRINOX: A Single-Center Retrospective Analysis","title-short":"Impact of Granulocyte Colony-Stimulating Factor (G-CSF) on the Outcomes of Patients With Metastatic Pancreatic Adenocarcinoma (MPA) During First-Line Treatment With FOLFIRINOX","volume":"30","author":[{"family":"Carvalho De Brito","given":"Angelo Borsarelli"},{"family":"Riechelmann","given":"Rachel P"},{"family":"Fonseca De Jesus","given":"Victor Hugo"}],"issued":{"date-parts":[["2023",4]]}}}],"schema":"https://github.com/citation-style-language/schema/raw/master/csl-citation.json"} </w:instrText>
      </w:r>
      <w:r w:rsidR="00D771D1">
        <w:rPr>
          <w:i/>
          <w:color w:val="2C2D2E"/>
          <w:sz w:val="20"/>
          <w:szCs w:val="20"/>
          <w:shd w:val="clear" w:color="auto" w:fill="FFFFFF"/>
          <w:lang w:val="ru-RU"/>
        </w:rPr>
        <w:fldChar w:fldCharType="separate"/>
      </w:r>
      <w:r w:rsidR="004034C1" w:rsidRPr="004034C1">
        <w:rPr>
          <w:sz w:val="20"/>
          <w:lang w:val="ru-RU"/>
        </w:rPr>
        <w:t>[58,80]</w:t>
      </w:r>
      <w:r w:rsidR="00D771D1">
        <w:rPr>
          <w:i/>
          <w:color w:val="2C2D2E"/>
          <w:sz w:val="20"/>
          <w:szCs w:val="20"/>
          <w:shd w:val="clear" w:color="auto" w:fill="FFFFFF"/>
          <w:lang w:val="ru-RU"/>
        </w:rPr>
        <w:fldChar w:fldCharType="end"/>
      </w:r>
      <w:r w:rsidR="00711AAE" w:rsidRPr="004E104D">
        <w:rPr>
          <w:i/>
          <w:color w:val="2C2D2E"/>
          <w:sz w:val="20"/>
          <w:szCs w:val="20"/>
          <w:shd w:val="clear" w:color="auto" w:fill="FFFFFF"/>
          <w:lang w:val="ru-RU"/>
        </w:rPr>
        <w:t xml:space="preserve">. </w:t>
      </w:r>
    </w:p>
    <w:p w14:paraId="1379F9C5" w14:textId="33EBB870" w:rsidR="00961A48" w:rsidRDefault="00961A48" w:rsidP="00724815">
      <w:pPr>
        <w:tabs>
          <w:tab w:val="left" w:pos="284"/>
          <w:tab w:val="left" w:pos="426"/>
        </w:tabs>
        <w:ind w:firstLine="0"/>
        <w:rPr>
          <w:i/>
          <w:color w:val="2C2D2E"/>
          <w:sz w:val="20"/>
          <w:szCs w:val="20"/>
          <w:shd w:val="clear" w:color="auto" w:fill="FFFFFF"/>
          <w:lang w:val="ru-RU"/>
        </w:rPr>
      </w:pPr>
      <w:r w:rsidRPr="00964910">
        <w:rPr>
          <w:i/>
          <w:vertAlign w:val="superscript"/>
          <w:lang w:val="ru-RU"/>
        </w:rPr>
        <w:t>2</w:t>
      </w:r>
      <w:r w:rsidRPr="00964910">
        <w:rPr>
          <w:i/>
          <w:lang w:val="ru-RU"/>
        </w:rPr>
        <w:t xml:space="preserve"> </w:t>
      </w:r>
      <w:r>
        <w:rPr>
          <w:i/>
          <w:color w:val="2C2D2E"/>
          <w:sz w:val="20"/>
          <w:szCs w:val="20"/>
          <w:shd w:val="clear" w:color="auto" w:fill="FFFFFF"/>
          <w:lang w:val="ru-RU"/>
        </w:rPr>
        <w:t xml:space="preserve">Несмотря на исходно сниженные дозы </w:t>
      </w:r>
      <w:r>
        <w:rPr>
          <w:i/>
          <w:color w:val="2C2D2E"/>
          <w:sz w:val="20"/>
          <w:szCs w:val="20"/>
          <w:shd w:val="clear" w:color="auto" w:fill="FFFFFF"/>
        </w:rPr>
        <w:t>mFOLFIRINOX</w:t>
      </w:r>
      <w:r w:rsidRPr="00961A48">
        <w:rPr>
          <w:i/>
          <w:color w:val="2C2D2E"/>
          <w:sz w:val="20"/>
          <w:szCs w:val="20"/>
          <w:shd w:val="clear" w:color="auto" w:fill="FFFFFF"/>
          <w:lang w:val="ru-RU"/>
        </w:rPr>
        <w:t xml:space="preserve"> </w:t>
      </w:r>
      <w:r>
        <w:rPr>
          <w:i/>
          <w:color w:val="2C2D2E"/>
          <w:sz w:val="20"/>
          <w:szCs w:val="20"/>
          <w:shd w:val="clear" w:color="auto" w:fill="FFFFFF"/>
          <w:lang w:val="ru-RU"/>
        </w:rPr>
        <w:t>в адъювантной терапии, высокая токсичность режима у ослабленных пациентов после хирургического лечения в ряде случаев требует исходной модификации режима или снижения доз в процессе лечения при развитии непереносимой токсичности. Минимальными дозами препаратов являются для иринотекана - 120 мг/м</w:t>
      </w:r>
      <w:r w:rsidRPr="00961A48">
        <w:rPr>
          <w:i/>
          <w:color w:val="2C2D2E"/>
          <w:sz w:val="20"/>
          <w:szCs w:val="20"/>
          <w:shd w:val="clear" w:color="auto" w:fill="FFFFFF"/>
          <w:vertAlign w:val="superscript"/>
          <w:lang w:val="ru-RU"/>
        </w:rPr>
        <w:t>2</w:t>
      </w:r>
      <w:r>
        <w:rPr>
          <w:i/>
          <w:color w:val="2C2D2E"/>
          <w:sz w:val="20"/>
          <w:szCs w:val="20"/>
          <w:shd w:val="clear" w:color="auto" w:fill="FFFFFF"/>
          <w:lang w:val="ru-RU"/>
        </w:rPr>
        <w:t>, для оксалиплатина – 60 мг/м</w:t>
      </w:r>
      <w:r w:rsidRPr="00961A48">
        <w:rPr>
          <w:i/>
          <w:color w:val="2C2D2E"/>
          <w:sz w:val="20"/>
          <w:szCs w:val="20"/>
          <w:shd w:val="clear" w:color="auto" w:fill="FFFFFF"/>
          <w:vertAlign w:val="superscript"/>
          <w:lang w:val="ru-RU"/>
        </w:rPr>
        <w:t>2</w:t>
      </w:r>
      <w:r>
        <w:rPr>
          <w:i/>
          <w:color w:val="2C2D2E"/>
          <w:sz w:val="20"/>
          <w:szCs w:val="20"/>
          <w:shd w:val="clear" w:color="auto" w:fill="FFFFFF"/>
          <w:lang w:val="ru-RU"/>
        </w:rPr>
        <w:t>, для фторурацила - 1800 мг/м</w:t>
      </w:r>
      <w:r w:rsidRPr="00961A48">
        <w:rPr>
          <w:i/>
          <w:color w:val="2C2D2E"/>
          <w:sz w:val="20"/>
          <w:szCs w:val="20"/>
          <w:shd w:val="clear" w:color="auto" w:fill="FFFFFF"/>
          <w:vertAlign w:val="superscript"/>
          <w:lang w:val="ru-RU"/>
        </w:rPr>
        <w:t>2</w:t>
      </w:r>
      <w:r>
        <w:rPr>
          <w:i/>
          <w:color w:val="2C2D2E"/>
          <w:sz w:val="20"/>
          <w:szCs w:val="20"/>
          <w:shd w:val="clear" w:color="auto" w:fill="FFFFFF"/>
          <w:lang w:val="ru-RU"/>
        </w:rPr>
        <w:t xml:space="preserve">. Модификация фолината кальция для целей снижения токсичности не предусмотрена. </w:t>
      </w:r>
    </w:p>
    <w:p w14:paraId="64946F9B" w14:textId="1CBC7073" w:rsidR="00964910" w:rsidRPr="00964910" w:rsidRDefault="00961A48" w:rsidP="00964910">
      <w:pPr>
        <w:ind w:firstLine="0"/>
        <w:rPr>
          <w:i/>
          <w:sz w:val="20"/>
          <w:szCs w:val="20"/>
          <w:lang w:val="ru-RU"/>
        </w:rPr>
      </w:pPr>
      <w:r>
        <w:rPr>
          <w:i/>
          <w:vertAlign w:val="superscript"/>
          <w:lang w:val="ru-RU"/>
        </w:rPr>
        <w:t>3</w:t>
      </w:r>
      <w:r w:rsidR="00964910" w:rsidRPr="00964910">
        <w:rPr>
          <w:i/>
          <w:lang w:val="ru-RU"/>
        </w:rPr>
        <w:t xml:space="preserve"> </w:t>
      </w:r>
      <w:r w:rsidR="00964910" w:rsidRPr="00964910">
        <w:rPr>
          <w:i/>
          <w:sz w:val="20"/>
          <w:szCs w:val="20"/>
          <w:lang w:val="ru-RU"/>
        </w:rPr>
        <w:t xml:space="preserve">У пациентов, которым невозможно проведение адъювантной химиотерапии </w:t>
      </w:r>
      <w:r w:rsidR="00964910" w:rsidRPr="00964910">
        <w:rPr>
          <w:i/>
          <w:sz w:val="20"/>
          <w:szCs w:val="20"/>
        </w:rPr>
        <w:t>mFOLFIRINOX</w:t>
      </w:r>
      <w:r w:rsidR="00964910" w:rsidRPr="00964910">
        <w:rPr>
          <w:i/>
          <w:sz w:val="20"/>
          <w:szCs w:val="20"/>
          <w:lang w:val="ru-RU"/>
        </w:rPr>
        <w:t xml:space="preserve">, предпочтительным режимом является </w:t>
      </w:r>
      <w:r w:rsidR="00964910" w:rsidRPr="00964910">
        <w:rPr>
          <w:i/>
          <w:sz w:val="20"/>
          <w:szCs w:val="20"/>
        </w:rPr>
        <w:t>GEMCAP</w:t>
      </w:r>
      <w:r w:rsidR="00964910" w:rsidRPr="00964910">
        <w:rPr>
          <w:i/>
          <w:sz w:val="20"/>
          <w:szCs w:val="20"/>
          <w:lang w:val="ru-RU"/>
        </w:rPr>
        <w:t>.</w:t>
      </w:r>
    </w:p>
    <w:p w14:paraId="3B911BD9" w14:textId="1CF5FE19" w:rsidR="00F83BFC" w:rsidRDefault="00F83BFC" w:rsidP="00F83BFC">
      <w:pPr>
        <w:pStyle w:val="a4"/>
        <w:spacing w:line="360" w:lineRule="auto"/>
        <w:ind w:firstLine="0"/>
        <w:jc w:val="left"/>
        <w:rPr>
          <w:rFonts w:eastAsia="Times New Roman"/>
          <w:i/>
          <w:color w:val="2C2D2E"/>
          <w:shd w:val="clear" w:color="auto" w:fill="FFFFFF"/>
          <w:lang w:val="ru-RU"/>
        </w:rPr>
      </w:pPr>
      <w:r>
        <w:rPr>
          <w:i/>
          <w:vertAlign w:val="superscript"/>
          <w:lang w:val="ru-RU"/>
        </w:rPr>
        <w:t>4</w:t>
      </w:r>
      <w:r w:rsidRPr="00964910">
        <w:rPr>
          <w:i/>
          <w:lang w:val="ru-RU"/>
        </w:rPr>
        <w:t xml:space="preserve"> </w:t>
      </w:r>
      <w:r>
        <w:rPr>
          <w:i/>
          <w:color w:val="2C2D2E"/>
          <w:shd w:val="clear" w:color="auto" w:fill="FFFFFF"/>
          <w:lang w:val="ru-RU"/>
        </w:rPr>
        <w:t xml:space="preserve">В </w:t>
      </w:r>
      <w:r w:rsidRPr="00F83BFC">
        <w:rPr>
          <w:rFonts w:eastAsia="Times New Roman"/>
          <w:i/>
          <w:color w:val="2C2D2E"/>
          <w:shd w:val="clear" w:color="auto" w:fill="FFFFFF"/>
          <w:lang w:val="ru-RU"/>
        </w:rPr>
        <w:t xml:space="preserve">случае дефектуры фолината кальция возможно уменьшение дозы этого препарата в режимах с инфузионным или струйным введением фторурацила до фиксированной дозы 50 мг в </w:t>
      </w:r>
      <w:r>
        <w:rPr>
          <w:rFonts w:eastAsia="Times New Roman"/>
          <w:i/>
          <w:color w:val="2C2D2E"/>
          <w:shd w:val="clear" w:color="auto" w:fill="FFFFFF"/>
          <w:lang w:val="ru-RU"/>
        </w:rPr>
        <w:t>сутки</w:t>
      </w:r>
      <w:r w:rsidRPr="00F83BFC">
        <w:rPr>
          <w:rFonts w:eastAsia="Times New Roman"/>
          <w:i/>
          <w:color w:val="2C2D2E"/>
          <w:shd w:val="clear" w:color="auto" w:fill="FFFFFF"/>
          <w:lang w:val="ru-RU"/>
        </w:rPr>
        <w:t xml:space="preserve"> или </w:t>
      </w:r>
      <w:r>
        <w:rPr>
          <w:rFonts w:eastAsia="Times New Roman"/>
          <w:i/>
          <w:color w:val="2C2D2E"/>
          <w:shd w:val="clear" w:color="auto" w:fill="FFFFFF"/>
          <w:lang w:val="ru-RU"/>
        </w:rPr>
        <w:t>вовсе</w:t>
      </w:r>
      <w:r w:rsidRPr="00F83BFC">
        <w:rPr>
          <w:rFonts w:eastAsia="Times New Roman"/>
          <w:i/>
          <w:color w:val="2C2D2E"/>
          <w:shd w:val="clear" w:color="auto" w:fill="FFFFFF"/>
          <w:lang w:val="ru-RU"/>
        </w:rPr>
        <w:t xml:space="preserve"> исключить из </w:t>
      </w:r>
      <w:r>
        <w:rPr>
          <w:rFonts w:eastAsia="Times New Roman"/>
          <w:i/>
          <w:color w:val="2C2D2E"/>
          <w:shd w:val="clear" w:color="auto" w:fill="FFFFFF"/>
          <w:lang w:val="ru-RU"/>
        </w:rPr>
        <w:t>лечения</w:t>
      </w:r>
      <w:r w:rsidRPr="00F83BFC">
        <w:rPr>
          <w:rFonts w:eastAsia="Times New Roman"/>
          <w:i/>
          <w:color w:val="2C2D2E"/>
          <w:shd w:val="clear" w:color="auto" w:fill="FFFFFF"/>
          <w:lang w:val="ru-RU"/>
        </w:rPr>
        <w:t xml:space="preserve"> без значимого влияния на эффективность и переносимость лечения</w:t>
      </w:r>
      <w:r>
        <w:rPr>
          <w:rFonts w:eastAsia="Times New Roman"/>
          <w:i/>
          <w:color w:val="2C2D2E"/>
          <w:shd w:val="clear" w:color="auto" w:fill="FFFFFF"/>
          <w:lang w:val="ru-RU"/>
        </w:rPr>
        <w:t>.</w:t>
      </w:r>
    </w:p>
    <w:p w14:paraId="3D1C72D6" w14:textId="77777777" w:rsidR="00F83BFC" w:rsidRPr="00F83BFC" w:rsidRDefault="00F83BFC" w:rsidP="00F83BFC">
      <w:pPr>
        <w:pStyle w:val="a4"/>
        <w:spacing w:line="360" w:lineRule="auto"/>
        <w:ind w:firstLine="0"/>
        <w:jc w:val="left"/>
        <w:rPr>
          <w:rFonts w:eastAsia="Times New Roman"/>
          <w:i/>
          <w:color w:val="2C2D2E"/>
          <w:shd w:val="clear" w:color="auto" w:fill="FFFFFF"/>
          <w:lang w:val="ru-RU"/>
        </w:rPr>
      </w:pPr>
    </w:p>
    <w:p w14:paraId="2D8A82B9" w14:textId="77777777" w:rsidR="00C02B4B" w:rsidRPr="007D33A2" w:rsidRDefault="00964910" w:rsidP="00724815">
      <w:pPr>
        <w:tabs>
          <w:tab w:val="left" w:pos="284"/>
          <w:tab w:val="left" w:pos="426"/>
        </w:tabs>
        <w:ind w:firstLine="0"/>
        <w:rPr>
          <w:i/>
          <w:lang w:val="ru-RU"/>
        </w:rPr>
      </w:pPr>
      <w:r w:rsidRPr="00964910">
        <w:rPr>
          <w:i/>
          <w:lang w:val="ru-RU"/>
        </w:rPr>
        <w:t>При положительных краях резекции (</w:t>
      </w:r>
      <w:r w:rsidRPr="00964910">
        <w:rPr>
          <w:i/>
        </w:rPr>
        <w:t>R</w:t>
      </w:r>
      <w:r w:rsidRPr="00964910">
        <w:rPr>
          <w:i/>
          <w:lang w:val="ru-RU"/>
        </w:rPr>
        <w:t xml:space="preserve">1) режимы химиотерапии остаются теми же, однако польза режима </w:t>
      </w:r>
      <w:r w:rsidRPr="00964910">
        <w:rPr>
          <w:i/>
        </w:rPr>
        <w:t>GEMCAP</w:t>
      </w:r>
      <w:r w:rsidRPr="00964910">
        <w:rPr>
          <w:i/>
          <w:lang w:val="ru-RU"/>
        </w:rPr>
        <w:t xml:space="preserve"> при </w:t>
      </w:r>
      <w:r w:rsidRPr="00964910">
        <w:rPr>
          <w:i/>
        </w:rPr>
        <w:t>R</w:t>
      </w:r>
      <w:r w:rsidRPr="00964910">
        <w:rPr>
          <w:i/>
          <w:lang w:val="ru-RU"/>
        </w:rPr>
        <w:t>1-статусе сомнительна.</w:t>
      </w:r>
    </w:p>
    <w:p w14:paraId="35C5BEE3" w14:textId="395D03ED" w:rsidR="001257F9" w:rsidRPr="0089003D" w:rsidRDefault="001257F9" w:rsidP="00537A85">
      <w:pPr>
        <w:ind w:firstLine="0"/>
        <w:rPr>
          <w:i/>
          <w:lang w:val="ru-RU"/>
        </w:rPr>
      </w:pPr>
      <w:r w:rsidRPr="00537A85">
        <w:rPr>
          <w:i/>
          <w:lang w:val="ru-RU"/>
        </w:rPr>
        <w:t>Роль ад</w:t>
      </w:r>
      <w:r w:rsidR="00CF5557">
        <w:rPr>
          <w:i/>
          <w:lang w:val="ru-RU"/>
        </w:rPr>
        <w:t>ъ</w:t>
      </w:r>
      <w:r w:rsidRPr="00537A85">
        <w:rPr>
          <w:i/>
          <w:lang w:val="ru-RU"/>
        </w:rPr>
        <w:t>ювантной лучевой терапии в настоящее время изучается в проспективных рандомизированных исследованиях</w:t>
      </w:r>
      <w:r w:rsidR="00224F21" w:rsidRPr="00537A85">
        <w:rPr>
          <w:i/>
          <w:lang w:val="ru-RU"/>
        </w:rPr>
        <w:t>.</w:t>
      </w:r>
      <w:r w:rsidR="00E908FC" w:rsidRPr="00537A85">
        <w:rPr>
          <w:i/>
          <w:lang w:val="ru-RU"/>
        </w:rPr>
        <w:t xml:space="preserve"> </w:t>
      </w:r>
      <w:r w:rsidR="007D33A2" w:rsidRPr="0089003D">
        <w:rPr>
          <w:i/>
          <w:lang w:val="ru-RU"/>
        </w:rPr>
        <w:t xml:space="preserve">Ее рутинное применение </w:t>
      </w:r>
      <w:r w:rsidR="00F83BFC">
        <w:rPr>
          <w:i/>
          <w:lang w:val="ru-RU"/>
        </w:rPr>
        <w:t>НЕ</w:t>
      </w:r>
      <w:r w:rsidR="007D33A2" w:rsidRPr="0089003D">
        <w:rPr>
          <w:i/>
          <w:lang w:val="ru-RU"/>
        </w:rPr>
        <w:t xml:space="preserve"> рекомендуется даже при положительных краях </w:t>
      </w:r>
      <w:r w:rsidR="00CF5557" w:rsidRPr="0089003D">
        <w:rPr>
          <w:i/>
          <w:lang w:val="ru-RU"/>
        </w:rPr>
        <w:t>резекции</w:t>
      </w:r>
      <w:r w:rsidR="007D33A2" w:rsidRPr="0089003D">
        <w:rPr>
          <w:i/>
          <w:lang w:val="ru-RU"/>
        </w:rPr>
        <w:t xml:space="preserve"> (</w:t>
      </w:r>
      <w:r w:rsidR="007D33A2" w:rsidRPr="00537A85">
        <w:rPr>
          <w:i/>
        </w:rPr>
        <w:t>R</w:t>
      </w:r>
      <w:r w:rsidR="007D33A2" w:rsidRPr="0089003D">
        <w:rPr>
          <w:i/>
          <w:lang w:val="ru-RU"/>
        </w:rPr>
        <w:t>1) или при подтвержденных метастазах в регионарных лимфоуздах (р</w:t>
      </w:r>
      <w:r w:rsidR="007D33A2" w:rsidRPr="00537A85">
        <w:rPr>
          <w:i/>
        </w:rPr>
        <w:t>N</w:t>
      </w:r>
      <w:r w:rsidR="007D33A2" w:rsidRPr="0089003D">
        <w:rPr>
          <w:i/>
          <w:lang w:val="ru-RU"/>
        </w:rPr>
        <w:t xml:space="preserve">1-2). </w:t>
      </w:r>
    </w:p>
    <w:p w14:paraId="7E38CF78" w14:textId="746A6484" w:rsidR="003F42F0" w:rsidRPr="00A83E0C" w:rsidRDefault="003F42F0" w:rsidP="00537A85">
      <w:pPr>
        <w:pStyle w:val="2"/>
      </w:pPr>
      <w:r w:rsidRPr="00A83E0C">
        <w:rPr>
          <w:b/>
        </w:rPr>
        <w:t>Рекомендуется</w:t>
      </w:r>
      <w:r w:rsidRPr="00A83E0C">
        <w:t xml:space="preserve"> проводить химиотерапию </w:t>
      </w:r>
      <w:r w:rsidR="00C10B67" w:rsidRPr="00A83E0C">
        <w:t xml:space="preserve">у пациентов с </w:t>
      </w:r>
      <w:r w:rsidRPr="00A83E0C">
        <w:t>неметастатическ</w:t>
      </w:r>
      <w:r w:rsidR="00C10B67" w:rsidRPr="00A83E0C">
        <w:t>им</w:t>
      </w:r>
      <w:r w:rsidRPr="00A83E0C">
        <w:t xml:space="preserve"> рак</w:t>
      </w:r>
      <w:r w:rsidR="00C10B67" w:rsidRPr="00A83E0C">
        <w:t>ом</w:t>
      </w:r>
      <w:r w:rsidRPr="00A83E0C">
        <w:t xml:space="preserve"> поджелудочной железы общей длительностью </w:t>
      </w:r>
      <w:r w:rsidR="00E908FC" w:rsidRPr="00A83E0C">
        <w:t xml:space="preserve">не менее </w:t>
      </w:r>
      <w:r w:rsidRPr="00A83E0C">
        <w:t>6 месяцев</w:t>
      </w:r>
      <w:r w:rsidR="00CB323C" w:rsidRPr="00A83E0C">
        <w:t xml:space="preserve"> </w:t>
      </w:r>
      <w:r w:rsidR="00C15198" w:rsidRPr="00A83E0C">
        <w:fldChar w:fldCharType="begin"/>
      </w:r>
      <w:r w:rsidR="004034C1">
        <w:instrText xml:space="preserve"> ADDIN ZOTERO_ITEM CSL_CITATION {"citationID":"3VlFSodk","properties":{"formattedCitation":"[73]","plainCitation":"[73]","noteIndex":0},"citationItems":[{"id":257,"uris":["http://zotero.org/users/5363772/items/ZH2KE4A5",["http://zotero.org/users/5363772/items/ZH2KE4A5"]],"itemData":{"id":257,"type":"article-journal","abstract":"Purpose Adjuvant chemotherapy improves patient survival rates after resection for pancreatic adenocarcinoma, but the optimal duration and time to initiate chemotherapy is unknown. Patients and Methods Patients with pancreatic ductal adenocarcinoma treated within the international, phase III, European Study Group for Pancreatic Cancer?3 (version 2) study were included if they had been randomly assigned to chemotherapy. Overall survival analysis was performed on an intention-to-treat basis, retaining patients in their randomized groups, and adjusting the overall treatment effect by known prognostic variables as well as the start time of chemotherapy. Results There were 985 patients, of whom 486 (49%) received gemcitabine and 499 (51%) received fluorouracil; 675 patients (68%) completed all six cycles of chemotherapy (full course) and 293 patients (30%) completed one to five cycles. Lymph node involvement, resection margins status, tumor differentiation, and completion of therapy were all shown by multivariable Cox regression to be independent survival factors. Overall survival favored patients who completed the full six courses of treatment versus those who did not (hazard ratio [HR], 0.516; 95% CI, 0.443 to 0.601; P &lt; .001). Time to starting chemotherapy did not influence overall survival rates for the full study population (HR, 0.985; 95% CI, 0.956 to 1.015). Chemotherapy start time was an important survival factor only for the subgroup of patients who did not complete therapy, in favor of later treatment (P &lt; .001). Conclusion Completion of all six cycles of planned adjuvant chemotherapy rather than early initiation was an independent prognostic factor after resection for pancreatic adenocarcinoma. There seems to be no difference in outcome if chemotherapy is delayed up to 12 weeks, thus allowing adequate time for postoperative recovery.","container-title":"Journal of Clinical Oncology","DOI":"10.1200/JCO.2013.50.7657","ISSN":"0732-183X","issue":"6","journalAbbreviation":"JCO","page":"504-512","title":"Optimal Duration and Timing of Adjuvant Chemotherapy After Definitive Surgery for Ductal Adenocarcinoma of the Pancreas: Ongoing Lessons From the ESPAC-3 Study","volume":"32","author":[{"family":"Valle","given":"Juan W."},{"family":"Palmer","given":"Daniel"},{"family":"Jackson","given":"Richard"},{"family":"Cox","given":"Trevor"},{"family":"Neoptolemos","given":"John P."},{"family":"Ghaneh","given":"Paula"},{"family":"Rawcliffe","given":"Charlotte L."},{"family":"Bassi","given":"Claudio"},{"family":"Stocken","given":"Deborah D."},{"family":"Cunningham","given":"David"},{"family":"O'Reilly","given":"Derek"},{"family":"Goldstein","given":"David"},{"family":"Robinson","given":"Bridget A."},{"family":"Karapetis","given":"Christos"},{"family":"Scarfe","given":"Andrew"},{"family":"Lacaine","given":"Francois"},{"family":"Sand","given":"Juhani"},{"family":"Izbicki","given":"Jakob R."},{"family":"Mayerle","given":"Julia"},{"family":"Dervenis","given":"Christos"},{"family":"Oláh","given":"Attila"},{"family":"Butturini","given":"Giovanni"},{"family":"Lind","given":"Pehr A."},{"family":"Middleton","given":"Mark R."},{"family":"Anthoney","given":"Alan"},{"family":"Sumpter","given":"Kate"},{"family":"Carter","given":"Ross"},{"family":"Büchler","given":"Markus W."}],"issued":{"date-parts":[["2014",1,13]]}}}],"schema":"https://github.com/citation-style-language/schema/raw/master/csl-citation.json"} </w:instrText>
      </w:r>
      <w:r w:rsidR="00C15198" w:rsidRPr="00A83E0C">
        <w:fldChar w:fldCharType="separate"/>
      </w:r>
      <w:r w:rsidR="004034C1" w:rsidRPr="004034C1">
        <w:t>[73]</w:t>
      </w:r>
      <w:r w:rsidR="00C15198" w:rsidRPr="00A83E0C">
        <w:fldChar w:fldCharType="end"/>
      </w:r>
      <w:r w:rsidRPr="00A83E0C">
        <w:t>.</w:t>
      </w:r>
    </w:p>
    <w:p w14:paraId="647C39F5" w14:textId="77777777" w:rsidR="003F42F0" w:rsidRPr="00A83E0C" w:rsidRDefault="003F42F0" w:rsidP="00DC7BE7">
      <w:pPr>
        <w:pStyle w:val="33"/>
        <w:rPr>
          <w:color w:val="auto"/>
          <w:lang w:val="ru-RU"/>
        </w:rPr>
      </w:pPr>
      <w:r w:rsidRPr="00A83E0C">
        <w:rPr>
          <w:color w:val="auto"/>
          <w:lang w:val="ru-RU"/>
        </w:rPr>
        <w:lastRenderedPageBreak/>
        <w:t xml:space="preserve">Уровень убедительности рекомендаций </w:t>
      </w:r>
      <w:r w:rsidR="00884EFB" w:rsidRPr="00A83E0C">
        <w:rPr>
          <w:color w:val="auto"/>
        </w:rPr>
        <w:t>C</w:t>
      </w:r>
      <w:r w:rsidR="00884EFB" w:rsidRPr="00A83E0C">
        <w:rPr>
          <w:color w:val="auto"/>
          <w:lang w:val="ru-RU"/>
        </w:rPr>
        <w:t xml:space="preserve"> </w:t>
      </w:r>
      <w:r w:rsidRPr="00A83E0C">
        <w:rPr>
          <w:color w:val="auto"/>
          <w:lang w:val="ru-RU"/>
        </w:rPr>
        <w:t xml:space="preserve">(уровень достоверности доказательств </w:t>
      </w:r>
      <w:r w:rsidR="00884EFB" w:rsidRPr="00A83E0C">
        <w:rPr>
          <w:color w:val="auto"/>
          <w:lang w:val="ru-RU"/>
        </w:rPr>
        <w:t>4</w:t>
      </w:r>
      <w:r w:rsidRPr="00A83E0C">
        <w:rPr>
          <w:color w:val="auto"/>
          <w:lang w:val="ru-RU"/>
        </w:rPr>
        <w:t>)</w:t>
      </w:r>
    </w:p>
    <w:p w14:paraId="0CC86684" w14:textId="7CB2BA2A" w:rsidR="00964910" w:rsidRPr="00F117DF" w:rsidRDefault="00964910" w:rsidP="00964910">
      <w:pPr>
        <w:ind w:firstLine="567"/>
        <w:rPr>
          <w:i/>
          <w:lang w:val="ru-RU"/>
        </w:rPr>
      </w:pPr>
      <w:r w:rsidRPr="00964910">
        <w:rPr>
          <w:b/>
          <w:lang w:val="ru-RU"/>
        </w:rPr>
        <w:t>Комментарий</w:t>
      </w:r>
      <w:r w:rsidRPr="00964910">
        <w:rPr>
          <w:lang w:val="ru-RU"/>
        </w:rPr>
        <w:t xml:space="preserve">: </w:t>
      </w:r>
      <w:r w:rsidRPr="00964910">
        <w:rPr>
          <w:i/>
          <w:lang w:val="ru-RU"/>
        </w:rPr>
        <w:t xml:space="preserve">в случае применения предоперационной химиотерапии длительностью 6 месяцев с последующим хирургическим лечением, после операции рекомендовано динамическое наблюдение без </w:t>
      </w:r>
      <w:r w:rsidR="0084255B" w:rsidRPr="00964910">
        <w:rPr>
          <w:i/>
          <w:lang w:val="ru-RU"/>
        </w:rPr>
        <w:t>ад</w:t>
      </w:r>
      <w:r w:rsidR="0084255B">
        <w:rPr>
          <w:i/>
          <w:lang w:val="ru-RU"/>
        </w:rPr>
        <w:t>ъ</w:t>
      </w:r>
      <w:r w:rsidR="0084255B" w:rsidRPr="00964910">
        <w:rPr>
          <w:i/>
          <w:lang w:val="ru-RU"/>
        </w:rPr>
        <w:t xml:space="preserve">ювантной </w:t>
      </w:r>
      <w:r w:rsidRPr="00964910">
        <w:rPr>
          <w:i/>
          <w:lang w:val="ru-RU"/>
        </w:rPr>
        <w:t>терапии. Если длительность предоперационной химиотерапии была меньше 6 месяцев, рекомендовано применение ад</w:t>
      </w:r>
      <w:r w:rsidR="0084255B">
        <w:rPr>
          <w:i/>
          <w:lang w:val="ru-RU"/>
        </w:rPr>
        <w:t>ъ</w:t>
      </w:r>
      <w:r w:rsidRPr="00964910">
        <w:rPr>
          <w:i/>
          <w:lang w:val="ru-RU"/>
        </w:rPr>
        <w:t xml:space="preserve">ювантной химиотерапии таким образом, чтобы общая продолжительность химиотерапии составила 6 месяцев. </w:t>
      </w:r>
      <w:r w:rsidR="001F159F">
        <w:rPr>
          <w:i/>
          <w:lang w:val="ru-RU"/>
        </w:rPr>
        <w:t xml:space="preserve">В этом случае рекомендуется проводить адъювантный этап химиотерапии с использованием тех же </w:t>
      </w:r>
      <w:r w:rsidR="00E16EBE">
        <w:rPr>
          <w:i/>
          <w:lang w:val="ru-RU"/>
        </w:rPr>
        <w:t>противоопухолевых</w:t>
      </w:r>
      <w:r w:rsidR="001F159F">
        <w:rPr>
          <w:i/>
          <w:lang w:val="ru-RU"/>
        </w:rPr>
        <w:t xml:space="preserve"> препаратов, которые были использованы перед операцией. Однако, учитывая более высокий риск непереносимой токсичности после операции по сравнению с предоперационным этапом, следует адаптировать дозы препаратов из предоперационного режима в соответствии с состоянием пациента после операции.</w:t>
      </w:r>
    </w:p>
    <w:p w14:paraId="7F1188C0" w14:textId="77777777" w:rsidR="00E908FC" w:rsidRDefault="00E908FC" w:rsidP="004E104D">
      <w:pPr>
        <w:pStyle w:val="aff2"/>
        <w:ind w:firstLine="567"/>
      </w:pPr>
      <w:r w:rsidRPr="00A83E0C">
        <w:t>Неудовлетворительная переносимость химиотерапии может быть основанием для преждевременного прекращения терапии.</w:t>
      </w:r>
    </w:p>
    <w:p w14:paraId="5C9DC12D" w14:textId="791D4D06" w:rsidR="00424786" w:rsidRPr="00424786" w:rsidRDefault="00424786" w:rsidP="004E104D">
      <w:pPr>
        <w:pStyle w:val="aff2"/>
      </w:pPr>
      <w:r w:rsidRPr="00AE34CC">
        <w:rPr>
          <w:b/>
          <w:bCs/>
          <w:i w:val="0"/>
          <w:szCs w:val="24"/>
        </w:rPr>
        <w:t>3.2.</w:t>
      </w:r>
      <w:r w:rsidRPr="004E104D">
        <w:rPr>
          <w:b/>
          <w:bCs/>
          <w:i w:val="0"/>
          <w:szCs w:val="24"/>
        </w:rPr>
        <w:t>2</w:t>
      </w:r>
      <w:r w:rsidRPr="00AE34CC">
        <w:rPr>
          <w:b/>
          <w:bCs/>
          <w:i w:val="0"/>
          <w:szCs w:val="24"/>
        </w:rPr>
        <w:t xml:space="preserve">. </w:t>
      </w:r>
      <w:r>
        <w:rPr>
          <w:b/>
          <w:bCs/>
          <w:i w:val="0"/>
          <w:szCs w:val="24"/>
        </w:rPr>
        <w:t>Терапия метастатического рака поджелудочной железы</w:t>
      </w:r>
    </w:p>
    <w:p w14:paraId="5EB833CC" w14:textId="64A8BA26" w:rsidR="009C734B" w:rsidRPr="00A83E0C" w:rsidRDefault="00C10B67" w:rsidP="00537A85">
      <w:pPr>
        <w:pStyle w:val="2"/>
      </w:pPr>
      <w:r w:rsidRPr="00A83E0C">
        <w:t xml:space="preserve">У пациентов с метастатическим раком </w:t>
      </w:r>
      <w:r w:rsidR="009C734B" w:rsidRPr="00A83E0C">
        <w:t xml:space="preserve">поджелудочной железы </w:t>
      </w:r>
      <w:r w:rsidR="009C734B" w:rsidRPr="00A83E0C">
        <w:rPr>
          <w:b/>
        </w:rPr>
        <w:t>рекомендуется</w:t>
      </w:r>
      <w:r w:rsidR="009C734B" w:rsidRPr="00A83E0C">
        <w:t xml:space="preserve"> применение системной химиотерапии</w:t>
      </w:r>
      <w:r w:rsidR="00602917" w:rsidRPr="00A83E0C">
        <w:t xml:space="preserve"> с целью контроля симптомов заболевания и увеличения продолжительности жизни</w:t>
      </w:r>
      <w:r w:rsidR="00CB323C" w:rsidRPr="00A83E0C">
        <w:t xml:space="preserve"> </w:t>
      </w:r>
      <w:r w:rsidR="00C15198" w:rsidRPr="00A83E0C">
        <w:fldChar w:fldCharType="begin"/>
      </w:r>
      <w:r w:rsidR="004034C1">
        <w:instrText xml:space="preserve"> ADDIN ZOTERO_ITEM CSL_CITATION {"citationID":"QahJ8lED","properties":{"formattedCitation":"[81\\uc0\\u8211{}84]","plainCitation":"[81–84]","noteIndex":0},"citationItems":[{"id":262,"uris":["http://zotero.org/users/5363772/items/KIH67DIW",["http://zotero.org/users/5363772/items/KIH67DIW"]],"itemData":{"id":262,"type":"article-journal","issue":"1","journalAbbreviation":"Современная онкология","page":"20-24","title":"Системная лекарственная терапия метастатического рака поджелудочной железы","author":[{"family":"Покатаев","given":"Илья"},{"family":"Тюляндин","given":"Сергей"}],"issued":{"date-parts":[["2016"]]}}},{"id":193,"uris":["http://zotero.org/users/5363772/items/QA2HJWXC",["http://zotero.org/users/5363772/items/QA2HJWXC"]],"itemData":{"id":193,"type":"article-journal","abstract":"PURPOSE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cancer.PATIENTS AND METHODSOne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survival.RESULTSClinical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tolerated.CONCLUSIONThis study demonstrates that gemcitabine is more effective than 5-FU in alleviation of some disease-related symptoms in patients with advanced, symptomatic pancreas cancer. Gemcitabine also confers a modest survival advantage over treatment with 5-FU.","container-title":"Journal of Clinical Oncology","DOI":"10.1200/JCO.1997.15.6.2403","ISSN":"0732-183X","issue":"6","journalAbbreviation":"JCO","page":"2403-2413","title":"Improvements in survival and clinical benefit with gemcitabine as first-line therapy for patients with advanced pancreas cancer: a randomized trial.","volume":"15","author":[{"family":"Burris","given":"H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D"}],"issued":{"date-parts":[["1997",6,1]]}}},{"id":338,"uris":["http://zotero.org/users/5363772/items/7YBMV79U",["http://zotero.org/users/5363772/items/7YBMV79U"]],"itemData":{"id":338,"type":"article-journal","abstract":"Background Pancreatic cancer (PC) is a highly lethal disease with few effective treatment options. Over the past few decades, many anti-cancer therapies have been tested in the locally advanced and metastatic setting, with mixed results. This review attempts to synthesise all the randomised data available to help better inform patient and clinician decision-making when dealing with this difﬁcult disease.","container-title":"Cochrane Database of Systematic Reviews","DOI":"10.1002/14651858.CD011044.pub2","ISSN":"14651858","language":"en","source":"DOI.org (Crossref)","title":"Chemotherapy and radiotherapy for advanced pancreatic cancer","URL":"http://doi.wiley.com/10.1002/14651858.CD011044.pub2","author":[{"family":"Chin","given":"Venessa"},{"family":"Nagrial","given":"Adnan"},{"family":"Sjoquist","given":"Katrin"},{"family":"O'Connor","given":"Chelsie A"},{"family":"Chantrill","given":"Lorraine"},{"family":"Biankin","given":"Andrew V"},{"family":"Scholten","given":"Rob JPM"},{"family":"Yip","given":"Desmond"}],"editor":[{"literal":"Cochrane Upper GI and Pancreatic Diseases Group"}],"accessed":{"date-parts":[["2019",9,22]]},"issued":{"date-parts":[["2018",3,20]]}}},{"id":5,"uris":["http://zotero.org/users/5363772/items/KRZXS7MR",["http://zotero.org/users/5363772/items/KRZXS7MR"]],"itemData":{"id":5,"type":"article-journal","abstract":"BACKGROUND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cancer.\nMETHODS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rate.\nRESULTS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days.\nCONCLUSIONS In patients with metastatic pancreatic adenocarcinoma, nab-paclitaxel plus gemcitabine significantly improved overall survival, progression-free survival, and response rate, but rates of peripheral neuropathy and myelosuppression were increased. (Funded by Celgene; ClinicalTrials.gov number, NCT00844649.)","container-title":"New England Journal of Medicine","DOI":"10.1056/NEJMoa1304369","ISSN":"0028-4793, 1533-4406","issue":"18","journalAbbreviation":"N Engl J Med","language":"en","page":"1691-1703","source":"DOI.org (Crossref)","title":"Increased Survival in Pancreatic Cancer with nab-Paclitaxel plus Gemcitabine","volume":"369","author":[{"family":"Von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F."}],"issued":{"date-parts":[["2013",10,31]]}}}],"schema":"https://github.com/citation-style-language/schema/raw/master/csl-citation.json"} </w:instrText>
      </w:r>
      <w:r w:rsidR="00C15198" w:rsidRPr="00A83E0C">
        <w:fldChar w:fldCharType="separate"/>
      </w:r>
      <w:r w:rsidR="004034C1" w:rsidRPr="004034C1">
        <w:t>[81–84]</w:t>
      </w:r>
      <w:r w:rsidR="00C15198" w:rsidRPr="00A83E0C">
        <w:fldChar w:fldCharType="end"/>
      </w:r>
      <w:r w:rsidR="009C734B" w:rsidRPr="00A83E0C">
        <w:t xml:space="preserve">. </w:t>
      </w:r>
    </w:p>
    <w:p w14:paraId="5BA7F14C" w14:textId="77777777" w:rsidR="009C734B" w:rsidRPr="00A83E0C" w:rsidRDefault="009C734B"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4A7718" w:rsidRPr="00A83E0C">
        <w:rPr>
          <w:color w:val="auto"/>
          <w:lang w:val="ru-RU"/>
        </w:rPr>
        <w:t>В</w:t>
      </w:r>
      <w:r w:rsidR="00E028C0" w:rsidRPr="00A83E0C">
        <w:rPr>
          <w:color w:val="auto"/>
          <w:lang w:val="ru-RU"/>
        </w:rPr>
        <w:t xml:space="preserve"> </w:t>
      </w:r>
      <w:r w:rsidRPr="00A83E0C">
        <w:rPr>
          <w:color w:val="auto"/>
          <w:lang w:val="ru-RU"/>
        </w:rPr>
        <w:t>(урове</w:t>
      </w:r>
      <w:r w:rsidR="00E17300" w:rsidRPr="00A83E0C">
        <w:rPr>
          <w:color w:val="auto"/>
          <w:lang w:val="ru-RU"/>
        </w:rPr>
        <w:t>нь достоверности доказательств</w:t>
      </w:r>
      <w:r w:rsidRPr="00A83E0C">
        <w:rPr>
          <w:color w:val="auto"/>
          <w:lang w:val="ru-RU"/>
        </w:rPr>
        <w:t xml:space="preserve"> </w:t>
      </w:r>
      <w:r w:rsidR="00964910" w:rsidRPr="00964910">
        <w:rPr>
          <w:color w:val="auto"/>
          <w:lang w:val="ru-RU"/>
        </w:rPr>
        <w:t>1</w:t>
      </w:r>
      <w:r w:rsidRPr="00A83E0C">
        <w:rPr>
          <w:color w:val="auto"/>
          <w:lang w:val="ru-RU"/>
        </w:rPr>
        <w:t>)</w:t>
      </w:r>
    </w:p>
    <w:p w14:paraId="54E0E8CB" w14:textId="77777777" w:rsidR="009C734B" w:rsidRPr="00A83E0C" w:rsidRDefault="009C734B" w:rsidP="00AB423C">
      <w:pPr>
        <w:pStyle w:val="aff2"/>
        <w:ind w:firstLine="708"/>
      </w:pPr>
      <w:r w:rsidRPr="00A83E0C">
        <w:rPr>
          <w:b/>
          <w:i w:val="0"/>
        </w:rPr>
        <w:t>Комментарий</w:t>
      </w:r>
      <w:r w:rsidRPr="00A83E0C">
        <w:t xml:space="preserve">: </w:t>
      </w:r>
      <w:r w:rsidR="00653D04" w:rsidRPr="00A83E0C">
        <w:t>р</w:t>
      </w:r>
      <w:r w:rsidRPr="00A83E0C">
        <w:t xml:space="preserve">екомендуемые режимы химиотерапии I линии при раке поджелудочной железы суммированы в таблице </w:t>
      </w:r>
      <w:r w:rsidR="00FB695C" w:rsidRPr="00A83E0C">
        <w:t>4</w:t>
      </w:r>
      <w:r w:rsidRPr="00A83E0C">
        <w:t>. При применении любого режима химиотерапии рекомендуется продолжение лечения до прогрессирования или до неприемлемой токсичности, которая сохраняется, несмотря на редукции доз препаратов.</w:t>
      </w:r>
      <w:r w:rsidR="005D277E" w:rsidRPr="00A83E0C">
        <w:t xml:space="preserve"> </w:t>
      </w:r>
    </w:p>
    <w:p w14:paraId="534F9B12" w14:textId="77777777" w:rsidR="009C734B" w:rsidRPr="00A83E0C" w:rsidRDefault="009C734B" w:rsidP="00724815">
      <w:pPr>
        <w:pStyle w:val="aff2"/>
        <w:ind w:firstLine="0"/>
      </w:pPr>
      <w:r w:rsidRPr="00A83E0C">
        <w:t xml:space="preserve">Таблица </w:t>
      </w:r>
      <w:r w:rsidR="00FB695C" w:rsidRPr="00A83E0C">
        <w:t>4</w:t>
      </w:r>
      <w:r w:rsidRPr="00A83E0C">
        <w:t>. Химиотерапия I линии рака поджелудочной железы</w:t>
      </w:r>
    </w:p>
    <w:tbl>
      <w:tblPr>
        <w:tblW w:w="0" w:type="auto"/>
        <w:tblInd w:w="-29" w:type="dxa"/>
        <w:tblCellMar>
          <w:left w:w="0" w:type="dxa"/>
          <w:right w:w="0" w:type="dxa"/>
        </w:tblCellMar>
        <w:tblLook w:val="04A0" w:firstRow="1" w:lastRow="0" w:firstColumn="1" w:lastColumn="0" w:noHBand="0" w:noVBand="1"/>
      </w:tblPr>
      <w:tblGrid>
        <w:gridCol w:w="3809"/>
        <w:gridCol w:w="5555"/>
      </w:tblGrid>
      <w:tr w:rsidR="00FD133D" w:rsidRPr="005B02E1" w14:paraId="29A29408" w14:textId="77777777" w:rsidTr="000F15F6">
        <w:trPr>
          <w:trHeight w:val="210"/>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2FFCEDE3" w14:textId="77777777" w:rsidR="001257F9" w:rsidRPr="005B02E1" w:rsidRDefault="001257F9" w:rsidP="00221CEC">
            <w:pPr>
              <w:tabs>
                <w:tab w:val="left" w:pos="284"/>
              </w:tabs>
              <w:spacing w:line="240" w:lineRule="auto"/>
              <w:ind w:firstLine="0"/>
              <w:jc w:val="center"/>
              <w:rPr>
                <w:i/>
                <w:lang w:val="ru-RU"/>
              </w:rPr>
            </w:pPr>
            <w:r w:rsidRPr="005B02E1">
              <w:rPr>
                <w:i/>
                <w:lang w:val="ru-RU"/>
              </w:rPr>
              <w:t>Режим химиотерапии (лечение до прогрессирования/неприемлемой токсичности)</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vAlign w:val="center"/>
            <w:hideMark/>
          </w:tcPr>
          <w:p w14:paraId="153EE9F8" w14:textId="77777777" w:rsidR="001257F9" w:rsidRPr="005B02E1" w:rsidRDefault="001257F9" w:rsidP="00221CEC">
            <w:pPr>
              <w:tabs>
                <w:tab w:val="left" w:pos="284"/>
              </w:tabs>
              <w:spacing w:line="240" w:lineRule="auto"/>
              <w:jc w:val="center"/>
              <w:rPr>
                <w:i/>
              </w:rPr>
            </w:pPr>
            <w:r w:rsidRPr="005B02E1">
              <w:rPr>
                <w:i/>
              </w:rPr>
              <w:t>Критерии отбора пациентов</w:t>
            </w:r>
          </w:p>
        </w:tc>
      </w:tr>
      <w:tr w:rsidR="00FD133D" w:rsidRPr="0060277C" w14:paraId="7ABEF8F4" w14:textId="77777777" w:rsidTr="000F15F6">
        <w:trPr>
          <w:trHeight w:val="1049"/>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5D15AE94" w14:textId="7FF3ED78" w:rsidR="001257F9" w:rsidRPr="005B02E1" w:rsidRDefault="001257F9" w:rsidP="00221CEC">
            <w:pPr>
              <w:tabs>
                <w:tab w:val="left" w:pos="284"/>
              </w:tabs>
              <w:spacing w:line="240" w:lineRule="auto"/>
              <w:ind w:firstLine="0"/>
              <w:rPr>
                <w:i/>
                <w:lang w:val="ru-RU"/>
              </w:rPr>
            </w:pPr>
            <w:r w:rsidRPr="005B02E1">
              <w:rPr>
                <w:i/>
              </w:rPr>
              <w:t>FOLFIRINOX</w:t>
            </w:r>
            <w:r w:rsidR="00711AAE">
              <w:rPr>
                <w:i/>
                <w:vertAlign w:val="superscript"/>
                <w:lang w:val="ru-RU"/>
              </w:rPr>
              <w:t>1</w:t>
            </w:r>
            <w:r w:rsidR="00E12D69">
              <w:rPr>
                <w:i/>
                <w:vertAlign w:val="superscript"/>
                <w:lang w:val="ru-RU"/>
              </w:rPr>
              <w:t>,2</w:t>
            </w:r>
            <w:r w:rsidR="00CB323C" w:rsidRPr="005B02E1">
              <w:rPr>
                <w:i/>
                <w:lang w:val="ru-RU"/>
              </w:rPr>
              <w:t xml:space="preserve"> </w:t>
            </w:r>
            <w:r w:rsidR="00C15198" w:rsidRPr="005B02E1">
              <w:rPr>
                <w:i/>
              </w:rPr>
              <w:fldChar w:fldCharType="begin"/>
            </w:r>
            <w:r w:rsidR="004034C1">
              <w:rPr>
                <w:i/>
                <w:lang w:val="ru-RU"/>
              </w:rPr>
              <w:instrText xml:space="preserve"> ADDIN ZOTERO_ITEM CSL_CITATION {"citationID":"ax0APg0I","properties":{"formattedCitation":"[85]","plainCitation":"[85]","noteIndex":0},"citationItems":[{"id":10,"uris":["http://zotero.org/users/5363772/items/DCJ6I6V6",["http://zotero.org/users/5363772/items/DCJ6I6V6"]],"itemData":{"id":10,"type":"article-journal","container-title":"New England Journal of Medicine","DOI":"10.1056/NEJMoa1011923","ISSN":"0028-4793","issue":"19","journalAbbreviation":"N Engl J Med","page":"1817-1825","title":"FOLFIRINOX versus Gemcitabine for Metastatic Pancreatic Cancer","volume":"364","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schema":"https://github.com/citation-style-language/schema/raw/master/csl-citation.json"} </w:instrText>
            </w:r>
            <w:r w:rsidR="00C15198" w:rsidRPr="005B02E1">
              <w:rPr>
                <w:i/>
              </w:rPr>
              <w:fldChar w:fldCharType="separate"/>
            </w:r>
            <w:r w:rsidR="004034C1" w:rsidRPr="004034C1">
              <w:rPr>
                <w:lang w:val="ru-RU"/>
              </w:rPr>
              <w:t>[85]</w:t>
            </w:r>
            <w:r w:rsidR="00C15198" w:rsidRPr="005B02E1">
              <w:rPr>
                <w:i/>
              </w:rPr>
              <w:fldChar w:fldCharType="end"/>
            </w:r>
            <w:r w:rsidRPr="005B02E1">
              <w:rPr>
                <w:i/>
                <w:lang w:val="ru-RU"/>
              </w:rPr>
              <w:t xml:space="preserve"> (</w:t>
            </w:r>
            <w:r w:rsidR="00712FED" w:rsidRPr="005B02E1">
              <w:rPr>
                <w:i/>
                <w:lang w:val="ru-RU"/>
              </w:rPr>
              <w:t>#</w:t>
            </w:r>
            <w:r w:rsidRPr="005B02E1">
              <w:rPr>
                <w:i/>
                <w:iCs/>
                <w:lang w:val="ru-RU"/>
              </w:rPr>
              <w:t>оксалиплатин</w:t>
            </w:r>
            <w:r w:rsidR="00712FED" w:rsidRPr="005B02E1">
              <w:rPr>
                <w:i/>
                <w:lang w:val="ru-RU"/>
              </w:rPr>
              <w:t>**</w:t>
            </w:r>
            <w:r w:rsidRPr="005B02E1">
              <w:rPr>
                <w:i/>
                <w:lang w:val="ru-RU"/>
              </w:rPr>
              <w:t xml:space="preserve"> 85 мг/м</w:t>
            </w:r>
            <w:r w:rsidRPr="005B02E1">
              <w:rPr>
                <w:i/>
                <w:vertAlign w:val="superscript"/>
                <w:lang w:val="ru-RU"/>
              </w:rPr>
              <w:t>2</w:t>
            </w:r>
            <w:r w:rsidRPr="005B02E1">
              <w:rPr>
                <w:i/>
                <w:lang w:val="ru-RU"/>
              </w:rPr>
              <w:t xml:space="preserve"> в/в 120 мин, </w:t>
            </w:r>
            <w:r w:rsidR="00712FED" w:rsidRPr="005B02E1">
              <w:rPr>
                <w:i/>
                <w:lang w:val="ru-RU"/>
              </w:rPr>
              <w:t>#</w:t>
            </w:r>
            <w:r w:rsidR="00A7410A" w:rsidRPr="005B02E1">
              <w:rPr>
                <w:i/>
                <w:iCs/>
                <w:lang w:val="ru-RU"/>
              </w:rPr>
              <w:t>иринотекан</w:t>
            </w:r>
            <w:r w:rsidR="00712FED" w:rsidRPr="005B02E1">
              <w:rPr>
                <w:i/>
                <w:lang w:val="ru-RU"/>
              </w:rPr>
              <w:t>**</w:t>
            </w:r>
            <w:r w:rsidR="00A7410A" w:rsidRPr="005B02E1">
              <w:rPr>
                <w:i/>
                <w:lang w:val="ru-RU"/>
              </w:rPr>
              <w:t xml:space="preserve"> 180 мг/м</w:t>
            </w:r>
            <w:r w:rsidR="00A7410A" w:rsidRPr="005B02E1">
              <w:rPr>
                <w:i/>
                <w:vertAlign w:val="superscript"/>
                <w:lang w:val="ru-RU"/>
              </w:rPr>
              <w:t>2</w:t>
            </w:r>
            <w:r w:rsidR="00A7410A" w:rsidRPr="005B02E1">
              <w:rPr>
                <w:i/>
                <w:lang w:val="ru-RU"/>
              </w:rPr>
              <w:t xml:space="preserve"> в/в 90 мин, </w:t>
            </w:r>
            <w:r w:rsidR="00712FED" w:rsidRPr="005B02E1">
              <w:rPr>
                <w:i/>
                <w:lang w:val="ru-RU"/>
              </w:rPr>
              <w:t>#</w:t>
            </w:r>
            <w:r w:rsidR="00A7410A" w:rsidRPr="005B02E1">
              <w:rPr>
                <w:i/>
                <w:iCs/>
                <w:lang w:val="ru-RU"/>
              </w:rPr>
              <w:t>кальция фолинат</w:t>
            </w:r>
            <w:r w:rsidR="00712FED" w:rsidRPr="005B02E1">
              <w:rPr>
                <w:i/>
                <w:lang w:val="ru-RU"/>
              </w:rPr>
              <w:t>**</w:t>
            </w:r>
            <w:r w:rsidR="00A7410A" w:rsidRPr="005B02E1">
              <w:rPr>
                <w:i/>
                <w:lang w:val="ru-RU"/>
              </w:rPr>
              <w:t xml:space="preserve"> 400 мг/м</w:t>
            </w:r>
            <w:r w:rsidR="00A7410A" w:rsidRPr="005B02E1">
              <w:rPr>
                <w:i/>
                <w:vertAlign w:val="superscript"/>
                <w:lang w:val="ru-RU"/>
              </w:rPr>
              <w:t>2</w:t>
            </w:r>
            <w:r w:rsidR="00A7410A" w:rsidRPr="005B02E1">
              <w:rPr>
                <w:i/>
                <w:lang w:val="ru-RU"/>
              </w:rPr>
              <w:t xml:space="preserve"> в/в 120</w:t>
            </w:r>
            <w:r w:rsidRPr="005B02E1">
              <w:rPr>
                <w:i/>
                <w:lang w:val="ru-RU"/>
              </w:rPr>
              <w:t xml:space="preserve"> мин, </w:t>
            </w:r>
            <w:r w:rsidR="00712FED" w:rsidRPr="005B02E1">
              <w:rPr>
                <w:i/>
                <w:lang w:val="ru-RU"/>
              </w:rPr>
              <w:t>#</w:t>
            </w:r>
            <w:r w:rsidRPr="005B02E1">
              <w:rPr>
                <w:i/>
                <w:iCs/>
                <w:lang w:val="ru-RU"/>
              </w:rPr>
              <w:t>фторурацил</w:t>
            </w:r>
            <w:r w:rsidR="00712FED" w:rsidRPr="005B02E1">
              <w:rPr>
                <w:i/>
                <w:lang w:val="ru-RU"/>
              </w:rPr>
              <w:t>**</w:t>
            </w:r>
            <w:r w:rsidRPr="005B02E1">
              <w:rPr>
                <w:i/>
                <w:lang w:val="ru-RU"/>
              </w:rPr>
              <w:t xml:space="preserve"> 400 мг/м</w:t>
            </w:r>
            <w:r w:rsidRPr="005B02E1">
              <w:rPr>
                <w:i/>
                <w:vertAlign w:val="superscript"/>
                <w:lang w:val="ru-RU"/>
              </w:rPr>
              <w:t>2</w:t>
            </w:r>
            <w:r w:rsidRPr="005B02E1">
              <w:rPr>
                <w:i/>
                <w:lang w:val="ru-RU"/>
              </w:rPr>
              <w:t xml:space="preserve"> в/в болюс, </w:t>
            </w:r>
            <w:r w:rsidR="00712FED" w:rsidRPr="005B02E1">
              <w:rPr>
                <w:i/>
                <w:lang w:val="ru-RU"/>
              </w:rPr>
              <w:t>#</w:t>
            </w:r>
            <w:r w:rsidRPr="005B02E1">
              <w:rPr>
                <w:i/>
                <w:iCs/>
                <w:lang w:val="ru-RU"/>
              </w:rPr>
              <w:t>фторурацил</w:t>
            </w:r>
            <w:r w:rsidR="00712FED" w:rsidRPr="005B02E1">
              <w:rPr>
                <w:i/>
                <w:lang w:val="ru-RU"/>
              </w:rPr>
              <w:t>**</w:t>
            </w:r>
            <w:r w:rsidRPr="005B02E1">
              <w:rPr>
                <w:i/>
                <w:lang w:val="ru-RU"/>
              </w:rPr>
              <w:t xml:space="preserve"> 2400 мг/м</w:t>
            </w:r>
            <w:r w:rsidRPr="005B02E1">
              <w:rPr>
                <w:i/>
                <w:vertAlign w:val="superscript"/>
                <w:lang w:val="ru-RU"/>
              </w:rPr>
              <w:t>2</w:t>
            </w:r>
            <w:r w:rsidRPr="005B02E1">
              <w:rPr>
                <w:i/>
                <w:lang w:val="ru-RU"/>
              </w:rPr>
              <w:t xml:space="preserve"> в/в </w:t>
            </w:r>
            <w:r w:rsidRPr="005B02E1">
              <w:rPr>
                <w:i/>
                <w:lang w:val="ru-RU"/>
              </w:rPr>
              <w:lastRenderedPageBreak/>
              <w:t xml:space="preserve">инфузия в течение 46 часов, интервал между циклами 14 дней); </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23D73C08" w14:textId="09A410FB" w:rsidR="001257F9" w:rsidRPr="00BF152B" w:rsidRDefault="00BF152B" w:rsidP="00221CEC">
            <w:pPr>
              <w:pStyle w:val="af0"/>
              <w:numPr>
                <w:ilvl w:val="0"/>
                <w:numId w:val="9"/>
              </w:numPr>
              <w:tabs>
                <w:tab w:val="left" w:pos="284"/>
              </w:tabs>
              <w:ind w:left="0" w:firstLine="0"/>
              <w:rPr>
                <w:i/>
                <w:lang w:val="ru-RU"/>
              </w:rPr>
            </w:pPr>
            <w:r>
              <w:rPr>
                <w:i/>
                <w:lang w:val="ru-RU"/>
              </w:rPr>
              <w:lastRenderedPageBreak/>
              <w:t>Состояние по шкале</w:t>
            </w:r>
            <w:r w:rsidR="001257F9" w:rsidRPr="00BF152B">
              <w:rPr>
                <w:i/>
                <w:lang w:val="ru-RU"/>
              </w:rPr>
              <w:t xml:space="preserve"> </w:t>
            </w:r>
            <w:r w:rsidR="001257F9" w:rsidRPr="005B02E1">
              <w:rPr>
                <w:i/>
              </w:rPr>
              <w:t>ECOG</w:t>
            </w:r>
            <w:r w:rsidR="001257F9" w:rsidRPr="00BF152B">
              <w:rPr>
                <w:i/>
                <w:lang w:val="ru-RU"/>
              </w:rPr>
              <w:t xml:space="preserve"> 0-1</w:t>
            </w:r>
            <w:r w:rsidR="001537BF" w:rsidRPr="005B02E1">
              <w:rPr>
                <w:i/>
                <w:lang w:val="ru-RU"/>
              </w:rPr>
              <w:t xml:space="preserve"> (приложение Г1)</w:t>
            </w:r>
            <w:r w:rsidR="001257F9" w:rsidRPr="00BF152B">
              <w:rPr>
                <w:i/>
                <w:lang w:val="ru-RU"/>
              </w:rPr>
              <w:t xml:space="preserve">; </w:t>
            </w:r>
          </w:p>
          <w:p w14:paraId="1326D7B3"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Общий билирубин &lt;1,5 </w:t>
            </w:r>
            <w:r w:rsidRPr="005B02E1">
              <w:rPr>
                <w:i/>
              </w:rPr>
              <w:t>x</w:t>
            </w:r>
            <w:r w:rsidRPr="005B02E1">
              <w:rPr>
                <w:i/>
                <w:lang w:val="ru-RU"/>
              </w:rPr>
              <w:t xml:space="preserve"> верхняя граница нормы;</w:t>
            </w:r>
          </w:p>
          <w:p w14:paraId="542DAADE"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Отсутствие серьезных осложнений опухолевого процесса и сопутствующих заболеваний;</w:t>
            </w:r>
          </w:p>
          <w:p w14:paraId="7700F35E" w14:textId="0925DC15"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Возможность </w:t>
            </w:r>
            <w:r w:rsidR="00B16CA9">
              <w:rPr>
                <w:i/>
                <w:lang w:val="ru-RU"/>
              </w:rPr>
              <w:t>организации</w:t>
            </w:r>
            <w:r w:rsidRPr="005B02E1">
              <w:rPr>
                <w:i/>
                <w:lang w:val="ru-RU"/>
              </w:rPr>
              <w:t xml:space="preserve"> центрального венозного доступа;</w:t>
            </w:r>
          </w:p>
          <w:p w14:paraId="7A854C7D"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Возможность проведения двухсуточной инфузии </w:t>
            </w:r>
            <w:r w:rsidR="00712FED" w:rsidRPr="005B02E1">
              <w:rPr>
                <w:i/>
                <w:lang w:val="ru-RU"/>
              </w:rPr>
              <w:t>#</w:t>
            </w:r>
            <w:r w:rsidRPr="005B02E1">
              <w:rPr>
                <w:i/>
                <w:lang w:val="ru-RU"/>
              </w:rPr>
              <w:t>фторурацила</w:t>
            </w:r>
            <w:r w:rsidR="007A40B8" w:rsidRPr="005B02E1">
              <w:rPr>
                <w:i/>
                <w:lang w:val="ru-RU"/>
              </w:rPr>
              <w:t>**</w:t>
            </w:r>
            <w:r w:rsidRPr="005B02E1">
              <w:rPr>
                <w:i/>
                <w:lang w:val="ru-RU"/>
              </w:rPr>
              <w:t xml:space="preserve"> с помощью инфузомата</w:t>
            </w:r>
            <w:r w:rsidR="007D33A2" w:rsidRPr="005B02E1">
              <w:rPr>
                <w:i/>
                <w:lang w:val="ru-RU"/>
              </w:rPr>
              <w:t xml:space="preserve"> с </w:t>
            </w:r>
            <w:r w:rsidR="007D33A2" w:rsidRPr="005B02E1">
              <w:rPr>
                <w:i/>
                <w:lang w:val="ru-RU"/>
              </w:rPr>
              <w:lastRenderedPageBreak/>
              <w:t>солнцезащитной капельной системой</w:t>
            </w:r>
            <w:r w:rsidRPr="005B02E1">
              <w:rPr>
                <w:i/>
                <w:lang w:val="ru-RU"/>
              </w:rPr>
              <w:t xml:space="preserve"> / инфузионной помпы;</w:t>
            </w:r>
          </w:p>
          <w:p w14:paraId="66D4549D"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Возможность госпитализации в профильное учреждение при возникновении жизнеугрожающих осложнений </w:t>
            </w:r>
          </w:p>
        </w:tc>
      </w:tr>
      <w:tr w:rsidR="00FD133D" w:rsidRPr="0060277C" w14:paraId="11CB1A34" w14:textId="77777777" w:rsidTr="000F15F6">
        <w:trPr>
          <w:trHeight w:val="1049"/>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0B619464" w14:textId="6F58FAD0" w:rsidR="001257F9" w:rsidRPr="005B02E1" w:rsidRDefault="005B02E1" w:rsidP="00221CEC">
            <w:pPr>
              <w:tabs>
                <w:tab w:val="left" w:pos="284"/>
              </w:tabs>
              <w:spacing w:line="240" w:lineRule="auto"/>
              <w:ind w:firstLine="0"/>
              <w:rPr>
                <w:i/>
                <w:lang w:val="ru-RU"/>
              </w:rPr>
            </w:pPr>
            <w:r w:rsidRPr="005B02E1">
              <w:rPr>
                <w:i/>
                <w:lang w:val="ru-RU"/>
              </w:rPr>
              <w:lastRenderedPageBreak/>
              <w:t>#</w:t>
            </w:r>
            <w:r w:rsidR="00F327F6" w:rsidRPr="005B02E1">
              <w:rPr>
                <w:i/>
                <w:lang w:val="ru-RU"/>
              </w:rPr>
              <w:t>П</w:t>
            </w:r>
            <w:r w:rsidR="001257F9" w:rsidRPr="005B02E1">
              <w:rPr>
                <w:i/>
                <w:lang w:val="ru-RU"/>
              </w:rPr>
              <w:t>аклитаксел</w:t>
            </w:r>
            <w:r w:rsidR="00F327F6" w:rsidRPr="005B02E1">
              <w:rPr>
                <w:i/>
                <w:lang w:val="ru-RU"/>
              </w:rPr>
              <w:t>+альбумин</w:t>
            </w:r>
            <w:r w:rsidR="001257F9" w:rsidRPr="005B02E1">
              <w:rPr>
                <w:i/>
                <w:lang w:val="ru-RU"/>
              </w:rPr>
              <w:t xml:space="preserve"> 125 мг/м</w:t>
            </w:r>
            <w:r w:rsidR="001257F9" w:rsidRPr="005B02E1">
              <w:rPr>
                <w:i/>
                <w:vertAlign w:val="superscript"/>
                <w:lang w:val="ru-RU"/>
              </w:rPr>
              <w:t>2</w:t>
            </w:r>
            <w:r w:rsidR="001257F9" w:rsidRPr="005B02E1">
              <w:rPr>
                <w:i/>
                <w:lang w:val="ru-RU"/>
              </w:rPr>
              <w:t xml:space="preserve"> в/в капельно 30 минут + </w:t>
            </w:r>
            <w:r w:rsidR="00E454A2" w:rsidRPr="005B02E1">
              <w:rPr>
                <w:i/>
                <w:lang w:val="ru-RU"/>
              </w:rPr>
              <w:t>#</w:t>
            </w:r>
            <w:r w:rsidR="001257F9" w:rsidRPr="005B02E1">
              <w:rPr>
                <w:i/>
                <w:iCs/>
                <w:lang w:val="ru-RU"/>
              </w:rPr>
              <w:t>гемцитабин</w:t>
            </w:r>
            <w:r w:rsidR="00712FED" w:rsidRPr="005B02E1">
              <w:rPr>
                <w:i/>
                <w:lang w:val="ru-RU"/>
              </w:rPr>
              <w:t>**</w:t>
            </w:r>
            <w:r w:rsidR="00BF276D" w:rsidRPr="005B02E1">
              <w:rPr>
                <w:i/>
                <w:iCs/>
                <w:lang w:val="ru-RU"/>
              </w:rPr>
              <w:t xml:space="preserve"> </w:t>
            </w:r>
            <w:r w:rsidR="001257F9" w:rsidRPr="005B02E1">
              <w:rPr>
                <w:i/>
                <w:lang w:val="ru-RU"/>
              </w:rPr>
              <w:t>1000 мг/м</w:t>
            </w:r>
            <w:r w:rsidR="001257F9" w:rsidRPr="005B02E1">
              <w:rPr>
                <w:i/>
                <w:vertAlign w:val="superscript"/>
                <w:lang w:val="ru-RU"/>
              </w:rPr>
              <w:t>2</w:t>
            </w:r>
            <w:r w:rsidR="001257F9" w:rsidRPr="005B02E1">
              <w:rPr>
                <w:i/>
                <w:lang w:val="ru-RU"/>
              </w:rPr>
              <w:t xml:space="preserve"> в/в капельно 30 минут  в 1,8,15 дни 28-дневного цикла</w:t>
            </w:r>
            <w:r w:rsidR="00CB323C" w:rsidRPr="005B02E1">
              <w:rPr>
                <w:i/>
                <w:lang w:val="ru-RU"/>
              </w:rPr>
              <w:t xml:space="preserve"> </w:t>
            </w:r>
            <w:r w:rsidR="00C15198" w:rsidRPr="005B02E1">
              <w:rPr>
                <w:i/>
                <w:lang w:val="ru-RU"/>
              </w:rPr>
              <w:fldChar w:fldCharType="begin"/>
            </w:r>
            <w:r w:rsidR="004034C1">
              <w:rPr>
                <w:i/>
                <w:lang w:val="ru-RU"/>
              </w:rPr>
              <w:instrText xml:space="preserve"> ADDIN ZOTERO_ITEM CSL_CITATION {"citationID":"3HoUHj46","properties":{"formattedCitation":"[84]","plainCitation":"[84]","noteIndex":0},"citationItems":[{"id":5,"uris":["http://zotero.org/users/5363772/items/KRZXS7MR",["http://zotero.org/users/5363772/items/KRZXS7MR"]],"itemData":{"id":5,"type":"article-journal","abstract":"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cancer.\nMETHODS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rate.\nRESULTS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days.\nCONCLUSIONS In patients with metastatic pancreatic adenocarcinoma, nab-paclitaxel plus gemcitabine significantly improved overall survival, progression-free survival, and response rate, but rates of peripheral neuropathy and myelosuppression were increased. (Funded by Celgene; ClinicalTrials.gov number, NCT00844649.)","container-title":"New England Journal of Medicine","DOI":"10.1056/NEJMoa1304369","ISSN":"0028-4793, 1533-4406","issue":"18","journalAbbreviation":"N Engl J Med","language":"en","page":"1691-1703","source":"DOI.org (Crossref)","title":"Increased Survival in Pancreatic Cancer with nab-Paclitaxel plus Gemcitabine","volume":"369","author":[{"family":"Von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F."}],"issued":{"date-parts":[["2013",10,31]]}}}],"schema":"https://github.com/citation-style-language/schema/raw/master/csl-citation.json"} </w:instrText>
            </w:r>
            <w:r w:rsidR="00C15198" w:rsidRPr="005B02E1">
              <w:rPr>
                <w:i/>
                <w:lang w:val="ru-RU"/>
              </w:rPr>
              <w:fldChar w:fldCharType="separate"/>
            </w:r>
            <w:r w:rsidR="004034C1" w:rsidRPr="004034C1">
              <w:rPr>
                <w:lang w:val="ru-RU"/>
              </w:rPr>
              <w:t>[84]</w:t>
            </w:r>
            <w:r w:rsidR="00C15198" w:rsidRPr="005B02E1">
              <w:rPr>
                <w:i/>
                <w:lang w:val="ru-RU"/>
              </w:rPr>
              <w:fldChar w:fldCharType="end"/>
            </w:r>
            <w:r w:rsidR="001257F9" w:rsidRPr="005B02E1">
              <w:rPr>
                <w:i/>
                <w:lang w:val="ru-RU"/>
              </w:rPr>
              <w:t xml:space="preserve"> </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39867B99" w14:textId="30C46B2E" w:rsidR="001257F9" w:rsidRPr="005B02E1" w:rsidRDefault="00BF152B" w:rsidP="00221CEC">
            <w:pPr>
              <w:pStyle w:val="af0"/>
              <w:numPr>
                <w:ilvl w:val="0"/>
                <w:numId w:val="9"/>
              </w:numPr>
              <w:tabs>
                <w:tab w:val="left" w:pos="284"/>
              </w:tabs>
              <w:ind w:left="0" w:firstLine="0"/>
              <w:rPr>
                <w:i/>
                <w:lang w:val="ru-RU"/>
              </w:rPr>
            </w:pPr>
            <w:r>
              <w:rPr>
                <w:i/>
                <w:lang w:val="ru-RU"/>
              </w:rPr>
              <w:t>Состояние по шкале</w:t>
            </w:r>
            <w:r w:rsidRPr="00BF152B">
              <w:rPr>
                <w:i/>
                <w:lang w:val="ru-RU"/>
              </w:rPr>
              <w:t xml:space="preserve"> </w:t>
            </w:r>
            <w:r w:rsidR="001257F9" w:rsidRPr="005B02E1">
              <w:rPr>
                <w:i/>
              </w:rPr>
              <w:t>ECOG</w:t>
            </w:r>
            <w:r w:rsidR="001257F9" w:rsidRPr="005B02E1">
              <w:rPr>
                <w:i/>
                <w:lang w:val="ru-RU"/>
              </w:rPr>
              <w:t xml:space="preserve"> 0-2</w:t>
            </w:r>
            <w:r w:rsidR="001537BF" w:rsidRPr="005B02E1">
              <w:rPr>
                <w:i/>
                <w:lang w:val="ru-RU"/>
              </w:rPr>
              <w:t xml:space="preserve"> (приложение Г1)</w:t>
            </w:r>
            <w:r w:rsidR="001257F9" w:rsidRPr="005B02E1">
              <w:rPr>
                <w:i/>
                <w:lang w:val="ru-RU"/>
              </w:rPr>
              <w:t xml:space="preserve">; </w:t>
            </w:r>
          </w:p>
          <w:p w14:paraId="77406A0E"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Общий билирубин &lt;1,5 </w:t>
            </w:r>
            <w:r w:rsidRPr="005B02E1">
              <w:rPr>
                <w:i/>
              </w:rPr>
              <w:t>x</w:t>
            </w:r>
            <w:r w:rsidRPr="005B02E1">
              <w:rPr>
                <w:i/>
                <w:lang w:val="ru-RU"/>
              </w:rPr>
              <w:t xml:space="preserve"> верхняя граница нормы;</w:t>
            </w:r>
          </w:p>
          <w:p w14:paraId="7D31943E"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Отсутствие серьезных осложнений опухолевого процесса и сопутствующих заболеваний;</w:t>
            </w:r>
          </w:p>
          <w:p w14:paraId="721103C9"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Возможность госпитализации в профильное учреждение при возникновении жизнеугрожающих осложнений. </w:t>
            </w:r>
          </w:p>
        </w:tc>
      </w:tr>
      <w:tr w:rsidR="00FD133D" w:rsidRPr="0060277C" w14:paraId="7D9FF51A" w14:textId="77777777" w:rsidTr="000F15F6">
        <w:trPr>
          <w:trHeight w:val="1049"/>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37B8EAD3" w14:textId="1BE2C976" w:rsidR="00A07E50" w:rsidRPr="005B02E1" w:rsidRDefault="00712FED" w:rsidP="00E57733">
            <w:pPr>
              <w:tabs>
                <w:tab w:val="left" w:pos="284"/>
              </w:tabs>
              <w:spacing w:line="240" w:lineRule="auto"/>
              <w:ind w:firstLine="0"/>
              <w:rPr>
                <w:i/>
                <w:lang w:val="ru-RU"/>
              </w:rPr>
            </w:pPr>
            <w:r w:rsidRPr="005B02E1">
              <w:rPr>
                <w:i/>
                <w:lang w:val="ru-RU"/>
              </w:rPr>
              <w:t>#</w:t>
            </w:r>
            <w:r w:rsidR="00A7410A" w:rsidRPr="005B02E1">
              <w:rPr>
                <w:i/>
                <w:lang w:val="ru-RU"/>
              </w:rPr>
              <w:t>Гемцитабин</w:t>
            </w:r>
            <w:r w:rsidRPr="005B02E1">
              <w:rPr>
                <w:i/>
                <w:lang w:val="ru-RU"/>
              </w:rPr>
              <w:t>**</w:t>
            </w:r>
            <w:r w:rsidR="00A7410A" w:rsidRPr="005B02E1">
              <w:rPr>
                <w:i/>
                <w:lang w:val="ru-RU"/>
              </w:rPr>
              <w:t xml:space="preserve"> 1000 мг/м2 в/в </w:t>
            </w:r>
            <w:r w:rsidR="00992C98" w:rsidRPr="005B02E1">
              <w:rPr>
                <w:i/>
                <w:lang w:val="ru-RU"/>
              </w:rPr>
              <w:t xml:space="preserve">капельно </w:t>
            </w:r>
            <w:r w:rsidR="00A7410A" w:rsidRPr="005B02E1">
              <w:rPr>
                <w:i/>
                <w:lang w:val="ru-RU"/>
              </w:rPr>
              <w:t xml:space="preserve">1, 8 дни </w:t>
            </w:r>
            <w:r w:rsidR="00BB4459" w:rsidRPr="005B02E1">
              <w:rPr>
                <w:i/>
                <w:lang w:val="ru-RU"/>
              </w:rPr>
              <w:t>+ #цисплатин** 50-75 мг/м</w:t>
            </w:r>
            <w:r w:rsidR="00BB4459" w:rsidRPr="005B02E1">
              <w:rPr>
                <w:i/>
                <w:vertAlign w:val="superscript"/>
                <w:lang w:val="ru-RU"/>
              </w:rPr>
              <w:t>2</w:t>
            </w:r>
            <w:r w:rsidR="00BB4459" w:rsidRPr="005B02E1">
              <w:rPr>
                <w:i/>
                <w:lang w:val="ru-RU"/>
              </w:rPr>
              <w:t xml:space="preserve"> в/в капельно 1 день </w:t>
            </w:r>
            <w:r w:rsidR="00A7410A" w:rsidRPr="005B02E1">
              <w:rPr>
                <w:i/>
                <w:lang w:val="ru-RU"/>
              </w:rPr>
              <w:t>21-дневного курса</w:t>
            </w:r>
            <w:r w:rsidR="00E028C0" w:rsidRPr="005B02E1">
              <w:rPr>
                <w:i/>
                <w:lang w:val="ru-RU"/>
              </w:rPr>
              <w:t xml:space="preserve"> </w:t>
            </w:r>
            <w:r w:rsidR="00C15198" w:rsidRPr="005B02E1">
              <w:rPr>
                <w:i/>
                <w:lang w:val="ru-RU"/>
              </w:rPr>
              <w:fldChar w:fldCharType="begin"/>
            </w:r>
            <w:r w:rsidR="004034C1">
              <w:rPr>
                <w:i/>
                <w:lang w:val="ru-RU"/>
              </w:rPr>
              <w:instrText xml:space="preserve"> ADDIN ZOTERO_ITEM CSL_CITATION {"citationID":"feA4cIzv","properties":{"formattedCitation":"[86]","plainCitation":"[86]","noteIndex":0},"citationItems":[{"id":1092,"uris":["http://zotero.org/users/5363772/items/H9LSXUIT",["http://zotero.org/users/5363772/items/H9LSXUIT"]],"itemData":{"id":1092,"type":"article-journal","container-title":"Neoplasma","DOI":"10.4149/neo_2012_038","ISSN":"13384317","issue":"03","journalAbbreviation":"neo","page":"297-301","source":"DOI.org (Crossref)","title":"Gemcitabine Alone versus combination of Gemcitabine and Cisplatin for the Treatment of Patients with Locally Advanced and/or Metastatic Pancreatic Carcinoma: A Retrospective Analysis of multicenter study (Anatolian Society of Medical Oncology)","title-short":"Gemcitabine Alone versus combination of Gemcitabine and Cisplatin for the Treatment of Patients with Locally Advanced and/or Metastatic Pancreatic Carcinoma","volume":"59","author":[{"family":"Inal","given":"A."},{"family":"Kos","given":"F. T."},{"family":"Algin","given":"E."},{"family":"Yildiz","given":"R."},{"family":"Dikiltas","given":"M."},{"family":"Unek","given":"I. T."},{"family":"Colak","given":"D."},{"family":"Elkiran","given":"E. T."},{"family":"Helvaci","given":"K."},{"family":"Geredeli","given":"C."},{"family":"Dane","given":"F."},{"family":"Balakan","given":"O."},{"family":"Kaplan","given":"M. A."},{"family":"Durnali","given":"A. G."},{"family":"Harputoglu","given":"H."},{"family":"Goksel","given":"G."},{"family":"Ozdemir","given":"N."},{"family":"Buyukberber","given":"S."},{"family":"Gumus","given":"M."},{"family":"Kucukoner","given":"M."},{"family":"Ozkan","given":"M."},{"family":"Uncu","given":"D."},{"family":"Benekli","given":"M."},{"family":"Isikdogan","given":"A."}],"issued":{"date-parts":[["2012"]]}}}],"schema":"https://github.com/citation-style-language/schema/raw/master/csl-citation.json"} </w:instrText>
            </w:r>
            <w:r w:rsidR="00C15198" w:rsidRPr="005B02E1">
              <w:rPr>
                <w:i/>
                <w:lang w:val="ru-RU"/>
              </w:rPr>
              <w:fldChar w:fldCharType="separate"/>
            </w:r>
            <w:r w:rsidR="004034C1" w:rsidRPr="004034C1">
              <w:rPr>
                <w:lang w:val="ru-RU"/>
              </w:rPr>
              <w:t>[86]</w:t>
            </w:r>
            <w:r w:rsidR="00C15198" w:rsidRPr="005B02E1">
              <w:rPr>
                <w:i/>
                <w:lang w:val="ru-RU"/>
              </w:rPr>
              <w:fldChar w:fldCharType="end"/>
            </w:r>
          </w:p>
          <w:p w14:paraId="4C156164" w14:textId="77777777" w:rsidR="001257F9" w:rsidRPr="005B02E1" w:rsidRDefault="00A07E50" w:rsidP="00E57733">
            <w:pPr>
              <w:tabs>
                <w:tab w:val="left" w:pos="284"/>
              </w:tabs>
              <w:spacing w:line="240" w:lineRule="auto"/>
              <w:ind w:firstLine="0"/>
              <w:rPr>
                <w:i/>
                <w:lang w:val="ru-RU"/>
              </w:rPr>
            </w:pPr>
            <w:r w:rsidRPr="005B02E1">
              <w:rPr>
                <w:i/>
                <w:lang w:val="ru-RU"/>
              </w:rPr>
              <w:t>или</w:t>
            </w:r>
            <w:r w:rsidR="00A7410A" w:rsidRPr="005B02E1">
              <w:rPr>
                <w:i/>
                <w:lang w:val="ru-RU"/>
              </w:rPr>
              <w:t xml:space="preserve"> </w:t>
            </w:r>
          </w:p>
          <w:p w14:paraId="6B4610C4" w14:textId="73D3462E" w:rsidR="001257F9" w:rsidRPr="005B02E1" w:rsidRDefault="00BB4459" w:rsidP="00822E22">
            <w:pPr>
              <w:pStyle w:val="af0"/>
              <w:tabs>
                <w:tab w:val="left" w:pos="284"/>
              </w:tabs>
              <w:ind w:left="0" w:firstLine="0"/>
              <w:rPr>
                <w:i/>
                <w:lang w:val="ru-RU"/>
              </w:rPr>
            </w:pPr>
            <w:r w:rsidRPr="005B02E1">
              <w:rPr>
                <w:i/>
                <w:lang w:val="ru-RU"/>
              </w:rPr>
              <w:t>#Гемцитабин** 1000 мг/м</w:t>
            </w:r>
            <w:r w:rsidRPr="005B02E1">
              <w:rPr>
                <w:i/>
                <w:vertAlign w:val="superscript"/>
                <w:lang w:val="ru-RU"/>
              </w:rPr>
              <w:t>2</w:t>
            </w:r>
            <w:r w:rsidRPr="005B02E1">
              <w:rPr>
                <w:i/>
                <w:lang w:val="ru-RU"/>
              </w:rPr>
              <w:t xml:space="preserve"> в/в капельно </w:t>
            </w:r>
            <w:r w:rsidR="00E57733" w:rsidRPr="005B02E1">
              <w:rPr>
                <w:i/>
                <w:lang w:val="ru-RU"/>
              </w:rPr>
              <w:t>+</w:t>
            </w:r>
            <w:r w:rsidRPr="005B02E1">
              <w:rPr>
                <w:i/>
                <w:lang w:val="ru-RU"/>
              </w:rPr>
              <w:t xml:space="preserve"> </w:t>
            </w:r>
            <w:r w:rsidR="00712FED" w:rsidRPr="005B02E1">
              <w:rPr>
                <w:i/>
                <w:lang w:val="ru-RU"/>
              </w:rPr>
              <w:t>#</w:t>
            </w:r>
            <w:r w:rsidR="00A7410A" w:rsidRPr="005B02E1">
              <w:rPr>
                <w:i/>
                <w:lang w:val="ru-RU"/>
              </w:rPr>
              <w:t>Оксалиплатин</w:t>
            </w:r>
            <w:r w:rsidR="00712FED" w:rsidRPr="005B02E1">
              <w:rPr>
                <w:i/>
                <w:lang w:val="ru-RU"/>
              </w:rPr>
              <w:t>**</w:t>
            </w:r>
            <w:r w:rsidR="00A7410A" w:rsidRPr="005B02E1">
              <w:rPr>
                <w:i/>
                <w:lang w:val="ru-RU"/>
              </w:rPr>
              <w:t xml:space="preserve"> 100 мг/м</w:t>
            </w:r>
            <w:r w:rsidR="00A7410A" w:rsidRPr="005B02E1">
              <w:rPr>
                <w:i/>
                <w:vertAlign w:val="superscript"/>
                <w:lang w:val="ru-RU"/>
              </w:rPr>
              <w:t>2</w:t>
            </w:r>
            <w:r w:rsidR="00A7410A" w:rsidRPr="005B02E1">
              <w:rPr>
                <w:i/>
                <w:lang w:val="ru-RU"/>
              </w:rPr>
              <w:t xml:space="preserve"> в/в </w:t>
            </w:r>
            <w:r w:rsidR="00992C98" w:rsidRPr="005B02E1">
              <w:rPr>
                <w:i/>
                <w:lang w:val="ru-RU"/>
              </w:rPr>
              <w:t xml:space="preserve">капельно 120 минут </w:t>
            </w:r>
            <w:r w:rsidR="00E57733" w:rsidRPr="005B02E1">
              <w:rPr>
                <w:i/>
                <w:lang w:val="ru-RU"/>
              </w:rPr>
              <w:t>каждые 2 недели</w:t>
            </w:r>
            <w:r w:rsidR="00C15198" w:rsidRPr="005B02E1">
              <w:rPr>
                <w:i/>
                <w:lang w:val="ru-RU"/>
              </w:rPr>
              <w:fldChar w:fldCharType="begin"/>
            </w:r>
            <w:r w:rsidR="004034C1">
              <w:rPr>
                <w:i/>
                <w:lang w:val="ru-RU"/>
              </w:rPr>
              <w:instrText xml:space="preserve"> ADDIN ZOTERO_ITEM CSL_CITATION {"citationID":"LNq96PlT","properties":{"formattedCitation":"[87]","plainCitation":"[87]","noteIndex":0},"citationItems":[{"id":200,"uris":["http://zotero.org/users/5363772/items/X3L4R3P7",["http://zotero.org/users/5363772/items/X3L4R3P7"]],"itemData":{"id":200,"type":"article-journal","abstract":"Purpose Gemcitabine (Gem) is the standard treatment for advanced pancreatic cancer. Given the promising phase II results obtained with the Gem-oxaliplatin (GemOx) combination, we conducted a phase III study comparing GemOx with Gem alone in advanced pancreatic cancer. Patients and Methods Patients with advanced pancreatic cancer were stratified according to center, performance status, and type of disease (locally advanced v metastatic) and randomly assigned to either GemOx (gemcitabine 1 g/m2 as a 100-minute infusion on day 1 and oxaliplatin 100 mg/m2 as a 2-hour infusion on day 2 every 2 weeks) or Gem (gemcitabine 1 g/m2 as a weekly 30-minute infusion). Results Three hundred twenty-six patients were enrolled; 313 were eligible, and 157 and 156 were allocated to the GemOx and Gem arms, respectively. GemOx was superior to Gem in terms of response rate (26.8% v 17.3%, respectively; P = .04), progression-free survival (5.8 v 3.7 months, respectively; P = .04), and clinical benefit (38.2% v 26.9%, respectively; P = .03). Median overall survival (OS) for GemOx and Gem was 9.0 and 7.1 months, respectively (P = .13). GemOx was well tolerated overall, although a higher incidence of National Cancer Institute Common Toxicity Criteria grade 3 and 4 toxicity per patient was observed for platelets (14.0% for GemOx v 3.2% for Gem), vomiting (8.9% for GemOx v 3.2% for Gem), and neurosensory symptoms (19.1% for GemOx v 0% for Gem). Conclusion These results confirm the efficacy and safety of GemOx, but this study failed to demonstrate a statistically significant advantage in terms of OS compared with Gem. Because GemOx is the first combined treatment to be superior to Gem alone in terms of clinical benefit, this promising regimen deserves further development.","container-title":"Journal of Clinical Oncology","DOI":"10.1200/JCO.2005.06.023","ISSN":"0732-183X","issue":"15","journalAbbreviation":"JCO","page":"3509-3516","title":"Gemcitabine in Combination With Oxaliplatin Compared With Gemcitabine Alone in Locally Advanced or Metastatic Pancreatic Cancer: Results of a GERCOR and GISCAD Phase III Trial","volume":"23","author":[{"family":"Louvet","given":"C."},{"family":"Labianca","given":"R."},{"family":"Hammel","given":"P."},{"family":"Lledo","given":"G."},{"family":"Zampino","given":"M.G."},{"family":"André","given":"T."},{"family":"Zaniboni","given":"A."},{"family":"Ducreux","given":"M."},{"family":"Aitini","given":"E."},{"family":"Taïeb","given":"J."},{"family":"Faroux","given":"R."},{"family":"Lepere","given":"C."},{"family":"Gramont","given":"A.","non-dropping-particle":"de"}],"issued":{"date-parts":[["2005",5,20]]}}}],"schema":"https://github.com/citation-style-language/schema/raw/master/csl-citation.json"} </w:instrText>
            </w:r>
            <w:r w:rsidR="00C15198" w:rsidRPr="005B02E1">
              <w:rPr>
                <w:i/>
                <w:lang w:val="ru-RU"/>
              </w:rPr>
              <w:fldChar w:fldCharType="separate"/>
            </w:r>
            <w:r w:rsidR="004034C1" w:rsidRPr="004034C1">
              <w:t>[87]</w:t>
            </w:r>
            <w:r w:rsidR="00C15198" w:rsidRPr="005B02E1">
              <w:rPr>
                <w:i/>
                <w:lang w:val="ru-RU"/>
              </w:rPr>
              <w:fldChar w:fldCharType="end"/>
            </w:r>
            <w:r w:rsidR="00A7410A" w:rsidRPr="005B02E1">
              <w:rPr>
                <w:i/>
                <w:lang w:val="ru-RU"/>
              </w:rPr>
              <w:t>.</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79FE2E6E" w14:textId="7D7A6CC7" w:rsidR="001257F9" w:rsidRPr="005B02E1" w:rsidRDefault="00BF152B" w:rsidP="00E57733">
            <w:pPr>
              <w:pStyle w:val="af0"/>
              <w:numPr>
                <w:ilvl w:val="0"/>
                <w:numId w:val="9"/>
              </w:numPr>
              <w:tabs>
                <w:tab w:val="left" w:pos="284"/>
              </w:tabs>
              <w:ind w:left="0" w:firstLine="0"/>
              <w:rPr>
                <w:i/>
                <w:lang w:val="ru-RU"/>
              </w:rPr>
            </w:pPr>
            <w:r>
              <w:rPr>
                <w:i/>
                <w:lang w:val="ru-RU"/>
              </w:rPr>
              <w:t>Состояние по шкале</w:t>
            </w:r>
            <w:r w:rsidRPr="00BF152B">
              <w:rPr>
                <w:i/>
                <w:lang w:val="ru-RU"/>
              </w:rPr>
              <w:t xml:space="preserve"> </w:t>
            </w:r>
            <w:r w:rsidR="00A7410A" w:rsidRPr="005B02E1">
              <w:rPr>
                <w:i/>
              </w:rPr>
              <w:t>ECOG</w:t>
            </w:r>
            <w:r w:rsidR="00A7410A" w:rsidRPr="005B02E1">
              <w:rPr>
                <w:i/>
                <w:lang w:val="ru-RU"/>
              </w:rPr>
              <w:t xml:space="preserve"> 0-2</w:t>
            </w:r>
            <w:r w:rsidR="001537BF" w:rsidRPr="005B02E1">
              <w:rPr>
                <w:i/>
                <w:lang w:val="ru-RU"/>
              </w:rPr>
              <w:t xml:space="preserve"> (приложение Г1)</w:t>
            </w:r>
            <w:r w:rsidR="00A7410A" w:rsidRPr="005B02E1">
              <w:rPr>
                <w:i/>
                <w:lang w:val="ru-RU"/>
              </w:rPr>
              <w:t xml:space="preserve">; </w:t>
            </w:r>
          </w:p>
          <w:p w14:paraId="27481C49" w14:textId="77777777" w:rsidR="001257F9" w:rsidRPr="005B02E1" w:rsidRDefault="00A7410A" w:rsidP="00E57733">
            <w:pPr>
              <w:pStyle w:val="af0"/>
              <w:numPr>
                <w:ilvl w:val="0"/>
                <w:numId w:val="9"/>
              </w:numPr>
              <w:tabs>
                <w:tab w:val="left" w:pos="284"/>
              </w:tabs>
              <w:ind w:left="0" w:firstLine="0"/>
              <w:rPr>
                <w:i/>
                <w:lang w:val="ru-RU"/>
              </w:rPr>
            </w:pPr>
            <w:r w:rsidRPr="005B02E1">
              <w:rPr>
                <w:i/>
                <w:lang w:val="ru-RU"/>
              </w:rPr>
              <w:t xml:space="preserve">Общий билирубин &lt;1,5 </w:t>
            </w:r>
            <w:r w:rsidRPr="005B02E1">
              <w:rPr>
                <w:i/>
              </w:rPr>
              <w:t>x</w:t>
            </w:r>
            <w:r w:rsidRPr="005B02E1">
              <w:rPr>
                <w:i/>
                <w:lang w:val="ru-RU"/>
              </w:rPr>
              <w:t xml:space="preserve"> верхняя граница нормы;</w:t>
            </w:r>
          </w:p>
          <w:p w14:paraId="1471ECC5" w14:textId="77777777" w:rsidR="001257F9" w:rsidRPr="005B02E1" w:rsidRDefault="00A7410A" w:rsidP="00E57733">
            <w:pPr>
              <w:pStyle w:val="af0"/>
              <w:numPr>
                <w:ilvl w:val="0"/>
                <w:numId w:val="9"/>
              </w:numPr>
              <w:tabs>
                <w:tab w:val="left" w:pos="284"/>
              </w:tabs>
              <w:ind w:left="0" w:firstLine="0"/>
              <w:rPr>
                <w:i/>
                <w:lang w:val="ru-RU"/>
              </w:rPr>
            </w:pPr>
            <w:r w:rsidRPr="005B02E1">
              <w:rPr>
                <w:i/>
                <w:lang w:val="ru-RU"/>
              </w:rPr>
              <w:t>Отсутствие серьезных осложнений опухолевого процесса и сопутствующих заболеваний;</w:t>
            </w:r>
          </w:p>
          <w:p w14:paraId="719509A5" w14:textId="395B42AD" w:rsidR="001257F9" w:rsidRPr="005B02E1" w:rsidRDefault="00A7410A" w:rsidP="00E57733">
            <w:pPr>
              <w:pStyle w:val="af0"/>
              <w:numPr>
                <w:ilvl w:val="0"/>
                <w:numId w:val="9"/>
              </w:numPr>
              <w:tabs>
                <w:tab w:val="left" w:pos="284"/>
              </w:tabs>
              <w:ind w:left="0" w:firstLine="0"/>
              <w:rPr>
                <w:i/>
                <w:lang w:val="ru-RU"/>
              </w:rPr>
            </w:pPr>
            <w:r w:rsidRPr="005B02E1">
              <w:rPr>
                <w:i/>
                <w:lang w:val="ru-RU"/>
              </w:rPr>
              <w:t xml:space="preserve">Наличие </w:t>
            </w:r>
            <w:r w:rsidR="00F2301B">
              <w:rPr>
                <w:i/>
                <w:lang w:val="ru-RU"/>
              </w:rPr>
              <w:t xml:space="preserve">патогенной </w:t>
            </w:r>
            <w:r w:rsidRPr="005B02E1">
              <w:rPr>
                <w:i/>
                <w:lang w:val="ru-RU"/>
              </w:rPr>
              <w:t xml:space="preserve">герминальной или </w:t>
            </w:r>
            <w:r w:rsidR="008249FF">
              <w:rPr>
                <w:i/>
                <w:lang w:val="ru-RU"/>
              </w:rPr>
              <w:t xml:space="preserve">биаллельной </w:t>
            </w:r>
            <w:r w:rsidRPr="005B02E1">
              <w:rPr>
                <w:i/>
                <w:lang w:val="ru-RU"/>
              </w:rPr>
              <w:t xml:space="preserve">соматической мутации </w:t>
            </w:r>
            <w:r w:rsidRPr="005B02E1">
              <w:rPr>
                <w:i/>
              </w:rPr>
              <w:t>BRCA</w:t>
            </w:r>
            <w:r w:rsidRPr="005B02E1">
              <w:rPr>
                <w:i/>
                <w:lang w:val="ru-RU"/>
              </w:rPr>
              <w:t xml:space="preserve"> </w:t>
            </w:r>
            <w:r w:rsidR="008249FF">
              <w:rPr>
                <w:i/>
                <w:lang w:val="ru-RU"/>
              </w:rPr>
              <w:t xml:space="preserve">или </w:t>
            </w:r>
            <w:r w:rsidR="008249FF">
              <w:rPr>
                <w:i/>
              </w:rPr>
              <w:t>PALB</w:t>
            </w:r>
            <w:r w:rsidR="008249FF" w:rsidRPr="008249FF">
              <w:rPr>
                <w:i/>
                <w:lang w:val="ru-RU"/>
              </w:rPr>
              <w:t xml:space="preserve">2 </w:t>
            </w:r>
          </w:p>
        </w:tc>
      </w:tr>
      <w:tr w:rsidR="00FD133D" w:rsidRPr="0060277C" w14:paraId="0CAFC222" w14:textId="77777777" w:rsidTr="000F15F6">
        <w:trPr>
          <w:trHeight w:val="420"/>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7C8AD184" w14:textId="048854D9" w:rsidR="001257F9" w:rsidRPr="005B02E1" w:rsidRDefault="00BF276D" w:rsidP="00221CEC">
            <w:pPr>
              <w:tabs>
                <w:tab w:val="left" w:pos="284"/>
              </w:tabs>
              <w:spacing w:line="240" w:lineRule="auto"/>
              <w:ind w:firstLine="0"/>
              <w:rPr>
                <w:i/>
                <w:lang w:val="ru-RU"/>
              </w:rPr>
            </w:pPr>
            <w:r w:rsidRPr="005B02E1">
              <w:rPr>
                <w:i/>
                <w:iCs/>
                <w:lang w:val="ru-RU"/>
              </w:rPr>
              <w:t>Гемцитабин</w:t>
            </w:r>
            <w:r w:rsidR="002A790A" w:rsidRPr="005B02E1">
              <w:rPr>
                <w:i/>
                <w:lang w:val="ru-RU"/>
              </w:rPr>
              <w:t>**</w:t>
            </w:r>
            <w:r w:rsidR="001257F9" w:rsidRPr="005B02E1">
              <w:rPr>
                <w:i/>
                <w:lang w:val="ru-RU"/>
              </w:rPr>
              <w:t xml:space="preserve"> 1000 мг/м2 в/в </w:t>
            </w:r>
            <w:r w:rsidR="00992C98" w:rsidRPr="005B02E1">
              <w:rPr>
                <w:i/>
                <w:lang w:val="ru-RU"/>
              </w:rPr>
              <w:t xml:space="preserve">капельно 30 минут </w:t>
            </w:r>
            <w:r w:rsidR="009B2F86" w:rsidRPr="005B02E1">
              <w:rPr>
                <w:i/>
                <w:lang w:val="ru-RU"/>
              </w:rPr>
              <w:t xml:space="preserve">1 раз в неделю в течение 7 недель с последующим недельным перерывом, далее </w:t>
            </w:r>
            <w:r w:rsidR="001257F9" w:rsidRPr="005B02E1">
              <w:rPr>
                <w:i/>
                <w:lang w:val="ru-RU"/>
              </w:rPr>
              <w:t>1,8,15 дни 28-дневного курса</w:t>
            </w:r>
            <w:r w:rsidR="00CB323C" w:rsidRPr="005B02E1">
              <w:rPr>
                <w:i/>
                <w:lang w:val="ru-RU"/>
              </w:rPr>
              <w:t xml:space="preserve"> </w:t>
            </w:r>
            <w:r w:rsidR="00C15198" w:rsidRPr="005B02E1">
              <w:rPr>
                <w:i/>
                <w:lang w:val="ru-RU"/>
              </w:rPr>
              <w:fldChar w:fldCharType="begin"/>
            </w:r>
            <w:r w:rsidR="004034C1">
              <w:rPr>
                <w:i/>
                <w:lang w:val="ru-RU"/>
              </w:rPr>
              <w:instrText xml:space="preserve"> ADDIN ZOTERO_ITEM CSL_CITATION {"citationID":"DgTyQsZe","properties":{"formattedCitation":"[82]","plainCitation":"[82]","noteIndex":0},"citationItems":[{"id":193,"uris":["http://zotero.org/users/5363772/items/QA2HJWXC",["http://zotero.org/users/5363772/items/QA2HJWXC"]],"itemData":{"id":193,"type":"article-journal","abstract":"PURPOSE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cancer.PATIENTS AND METHODSOne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survival.RESULTSClinical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tolerated.CONCLUSIONThis study demonstrates that gemcitabine is more effective than 5-FU in alleviation of some disease-related symptoms in patients with advanced, symptomatic pancreas cancer. Gemcitabine also confers a modest survival advantage over treatment with 5-FU.","container-title":"Journal of Clinical Oncology","DOI":"10.1200/JCO.1997.15.6.2403","ISSN":"0732-183X","issue":"6","journalAbbreviation":"JCO","page":"2403-2413","title":"Improvements in survival and clinical benefit with gemcitabine as first-line therapy for patients with advanced pancreas cancer: a randomized trial.","volume":"15","author":[{"family":"Burris","given":"H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D"}],"issued":{"date-parts":[["1997",6,1]]}}}],"schema":"https://github.com/citation-style-language/schema/raw/master/csl-citation.json"} </w:instrText>
            </w:r>
            <w:r w:rsidR="00C15198" w:rsidRPr="005B02E1">
              <w:rPr>
                <w:i/>
                <w:lang w:val="ru-RU"/>
              </w:rPr>
              <w:fldChar w:fldCharType="separate"/>
            </w:r>
            <w:r w:rsidR="004034C1" w:rsidRPr="004034C1">
              <w:rPr>
                <w:lang w:val="ru-RU"/>
              </w:rPr>
              <w:t>[82]</w:t>
            </w:r>
            <w:r w:rsidR="00C15198" w:rsidRPr="005B02E1">
              <w:rPr>
                <w:i/>
                <w:lang w:val="ru-RU"/>
              </w:rPr>
              <w:fldChar w:fldCharType="end"/>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hideMark/>
          </w:tcPr>
          <w:p w14:paraId="7494A485" w14:textId="5CABFEE9" w:rsidR="001257F9" w:rsidRPr="005B02E1" w:rsidRDefault="00BF152B" w:rsidP="00221CEC">
            <w:pPr>
              <w:pStyle w:val="af0"/>
              <w:numPr>
                <w:ilvl w:val="0"/>
                <w:numId w:val="9"/>
              </w:numPr>
              <w:tabs>
                <w:tab w:val="left" w:pos="284"/>
              </w:tabs>
              <w:ind w:left="0" w:firstLine="0"/>
              <w:rPr>
                <w:i/>
                <w:lang w:val="ru-RU"/>
              </w:rPr>
            </w:pPr>
            <w:r>
              <w:rPr>
                <w:i/>
                <w:lang w:val="ru-RU"/>
              </w:rPr>
              <w:t>Состояние по шкале</w:t>
            </w:r>
            <w:r w:rsidRPr="00BF152B">
              <w:rPr>
                <w:i/>
                <w:lang w:val="ru-RU"/>
              </w:rPr>
              <w:t xml:space="preserve"> </w:t>
            </w:r>
            <w:r w:rsidR="001257F9" w:rsidRPr="005B02E1">
              <w:rPr>
                <w:i/>
              </w:rPr>
              <w:t>ECOG</w:t>
            </w:r>
            <w:r w:rsidR="001257F9" w:rsidRPr="005B02E1">
              <w:rPr>
                <w:i/>
                <w:lang w:val="ru-RU"/>
              </w:rPr>
              <w:t xml:space="preserve"> 2 </w:t>
            </w:r>
            <w:r w:rsidR="001537BF" w:rsidRPr="005B02E1">
              <w:rPr>
                <w:i/>
                <w:lang w:val="ru-RU"/>
              </w:rPr>
              <w:t>(приложение Г1);</w:t>
            </w:r>
          </w:p>
          <w:p w14:paraId="05786DFE"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 xml:space="preserve">Общий билирубин &lt;3 </w:t>
            </w:r>
            <w:r w:rsidRPr="005B02E1">
              <w:rPr>
                <w:i/>
              </w:rPr>
              <w:t>x</w:t>
            </w:r>
            <w:r w:rsidRPr="005B02E1">
              <w:rPr>
                <w:i/>
                <w:lang w:val="ru-RU"/>
              </w:rPr>
              <w:t xml:space="preserve"> верхняя граница нормы;</w:t>
            </w:r>
          </w:p>
          <w:p w14:paraId="78205D7F" w14:textId="77777777" w:rsidR="001257F9" w:rsidRPr="005B02E1" w:rsidRDefault="001257F9" w:rsidP="00221CEC">
            <w:pPr>
              <w:pStyle w:val="af0"/>
              <w:numPr>
                <w:ilvl w:val="0"/>
                <w:numId w:val="9"/>
              </w:numPr>
              <w:tabs>
                <w:tab w:val="left" w:pos="284"/>
              </w:tabs>
              <w:ind w:left="0" w:firstLine="0"/>
              <w:rPr>
                <w:i/>
                <w:lang w:val="ru-RU"/>
              </w:rPr>
            </w:pPr>
            <w:r w:rsidRPr="005B02E1">
              <w:rPr>
                <w:i/>
                <w:lang w:val="ru-RU"/>
              </w:rPr>
              <w:t>Противопоказания к вышеперечисленным режимам</w:t>
            </w:r>
          </w:p>
        </w:tc>
      </w:tr>
      <w:tr w:rsidR="004A14DF" w:rsidRPr="0060277C" w14:paraId="7A6F1E4B" w14:textId="77777777" w:rsidTr="000F15F6">
        <w:trPr>
          <w:trHeight w:val="420"/>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tcPr>
          <w:p w14:paraId="6C5E69B2" w14:textId="7C32F13F" w:rsidR="004A14DF" w:rsidRPr="000F15F6" w:rsidRDefault="00E12D69" w:rsidP="004A14DF">
            <w:pPr>
              <w:tabs>
                <w:tab w:val="left" w:pos="284"/>
              </w:tabs>
              <w:spacing w:line="240" w:lineRule="auto"/>
              <w:ind w:firstLine="0"/>
              <w:rPr>
                <w:i/>
                <w:iCs/>
                <w:lang w:val="ru-RU"/>
              </w:rPr>
            </w:pPr>
            <w:r w:rsidRPr="00E12D69">
              <w:rPr>
                <w:i/>
                <w:iCs/>
                <w:lang w:val="ru-RU"/>
              </w:rPr>
              <w:t>#</w:t>
            </w:r>
            <w:r w:rsidR="004A14DF" w:rsidRPr="000F15F6">
              <w:rPr>
                <w:i/>
                <w:iCs/>
                <w:lang w:val="ru-RU"/>
              </w:rPr>
              <w:t>Капецитабин</w:t>
            </w:r>
            <w:r>
              <w:rPr>
                <w:i/>
                <w:iCs/>
                <w:lang w:val="ru-RU"/>
              </w:rPr>
              <w:t>**</w:t>
            </w:r>
            <w:r w:rsidR="004A14DF" w:rsidRPr="000F15F6">
              <w:rPr>
                <w:i/>
                <w:iCs/>
                <w:lang w:val="ru-RU"/>
              </w:rPr>
              <w:t xml:space="preserve"> 2000 мг/ м</w:t>
            </w:r>
            <w:r w:rsidR="004A14DF" w:rsidRPr="000F15F6">
              <w:rPr>
                <w:i/>
                <w:iCs/>
                <w:vertAlign w:val="superscript"/>
                <w:lang w:val="ru-RU"/>
              </w:rPr>
              <w:t xml:space="preserve">2 </w:t>
            </w:r>
            <w:r w:rsidR="004A14DF" w:rsidRPr="000F15F6">
              <w:rPr>
                <w:i/>
                <w:iCs/>
                <w:lang w:val="ru-RU"/>
              </w:rPr>
              <w:t>внутрь</w:t>
            </w:r>
            <w:r w:rsidR="004A14DF" w:rsidRPr="000F15F6">
              <w:rPr>
                <w:i/>
                <w:iCs/>
                <w:vertAlign w:val="superscript"/>
                <w:lang w:val="ru-RU"/>
              </w:rPr>
              <w:t xml:space="preserve"> </w:t>
            </w:r>
            <w:r w:rsidR="004A14DF" w:rsidRPr="000F15F6">
              <w:rPr>
                <w:i/>
                <w:iCs/>
                <w:lang w:val="ru-RU"/>
              </w:rPr>
              <w:t>в 1-14-ый дни 21-дневного курса</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tcPr>
          <w:p w14:paraId="52688243" w14:textId="77777777" w:rsidR="004A14DF" w:rsidRPr="000F15F6" w:rsidRDefault="004A14DF" w:rsidP="004A14DF">
            <w:pPr>
              <w:pStyle w:val="af0"/>
              <w:numPr>
                <w:ilvl w:val="0"/>
                <w:numId w:val="9"/>
              </w:numPr>
              <w:tabs>
                <w:tab w:val="left" w:pos="284"/>
              </w:tabs>
              <w:ind w:left="0" w:firstLine="0"/>
              <w:rPr>
                <w:i/>
                <w:lang w:val="ru-RU"/>
              </w:rPr>
            </w:pPr>
            <w:r w:rsidRPr="000F15F6">
              <w:rPr>
                <w:i/>
                <w:lang w:val="ru-RU"/>
              </w:rPr>
              <w:t>Состояние по шкале ECOG 2 балла;</w:t>
            </w:r>
          </w:p>
          <w:p w14:paraId="0E5A2B5F" w14:textId="77777777" w:rsidR="004A14DF" w:rsidRPr="000F15F6" w:rsidRDefault="004A14DF" w:rsidP="004A14DF">
            <w:pPr>
              <w:pStyle w:val="af0"/>
              <w:numPr>
                <w:ilvl w:val="0"/>
                <w:numId w:val="9"/>
              </w:numPr>
              <w:tabs>
                <w:tab w:val="left" w:pos="284"/>
              </w:tabs>
              <w:ind w:left="0" w:firstLine="0"/>
              <w:rPr>
                <w:i/>
                <w:lang w:val="ru-RU"/>
              </w:rPr>
            </w:pPr>
            <w:r w:rsidRPr="000F15F6">
              <w:rPr>
                <w:i/>
                <w:lang w:val="ru-RU"/>
              </w:rPr>
              <w:t>Общий билирубин &lt;3 ВГН;</w:t>
            </w:r>
          </w:p>
          <w:p w14:paraId="7D09C247" w14:textId="343E859F" w:rsidR="004A14DF" w:rsidRPr="000F15F6" w:rsidRDefault="004A14DF" w:rsidP="004A14DF">
            <w:pPr>
              <w:pStyle w:val="af0"/>
              <w:numPr>
                <w:ilvl w:val="0"/>
                <w:numId w:val="9"/>
              </w:numPr>
              <w:tabs>
                <w:tab w:val="left" w:pos="284"/>
              </w:tabs>
              <w:ind w:left="0" w:firstLine="0"/>
              <w:rPr>
                <w:i/>
                <w:lang w:val="ru-RU"/>
              </w:rPr>
            </w:pPr>
            <w:r w:rsidRPr="000F15F6">
              <w:rPr>
                <w:i/>
                <w:lang w:val="ru-RU"/>
              </w:rPr>
              <w:t>Противопоказания к вышеперечисленным режимам, включая монотерапию гемцитабином.</w:t>
            </w:r>
          </w:p>
        </w:tc>
      </w:tr>
      <w:tr w:rsidR="004A14DF" w:rsidRPr="0060277C" w14:paraId="40F3632A" w14:textId="77777777" w:rsidTr="000F15F6">
        <w:trPr>
          <w:trHeight w:val="420"/>
        </w:trPr>
        <w:tc>
          <w:tcPr>
            <w:tcW w:w="3809"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tcPr>
          <w:p w14:paraId="64BFFA5B" w14:textId="5309FD22" w:rsidR="004A14DF" w:rsidRPr="000F15F6" w:rsidRDefault="004A14DF" w:rsidP="004A14DF">
            <w:pPr>
              <w:tabs>
                <w:tab w:val="left" w:pos="284"/>
              </w:tabs>
              <w:spacing w:line="240" w:lineRule="auto"/>
              <w:ind w:firstLine="0"/>
              <w:rPr>
                <w:i/>
                <w:iCs/>
                <w:lang w:val="ru-RU"/>
              </w:rPr>
            </w:pPr>
            <w:r w:rsidRPr="000F15F6">
              <w:rPr>
                <w:i/>
                <w:iCs/>
                <w:lang w:val="ru-RU"/>
              </w:rPr>
              <w:t>Олапариб</w:t>
            </w:r>
            <w:r w:rsidR="00FA40AA">
              <w:rPr>
                <w:i/>
                <w:iCs/>
                <w:lang w:val="ru-RU"/>
              </w:rPr>
              <w:t>**</w:t>
            </w:r>
            <w:r w:rsidRPr="000F15F6">
              <w:rPr>
                <w:i/>
                <w:iCs/>
                <w:lang w:val="ru-RU"/>
              </w:rPr>
              <w:t xml:space="preserve"> 300 мг 2 раза в сутки внутрь ежедневно</w:t>
            </w:r>
          </w:p>
        </w:tc>
        <w:tc>
          <w:tcPr>
            <w:tcW w:w="5555" w:type="dxa"/>
            <w:tcBorders>
              <w:top w:val="single" w:sz="8" w:space="0" w:color="000000"/>
              <w:left w:val="single" w:sz="8" w:space="0" w:color="000000"/>
              <w:bottom w:val="single" w:sz="8" w:space="0" w:color="000000"/>
              <w:right w:val="single" w:sz="8" w:space="0" w:color="000000"/>
            </w:tcBorders>
            <w:shd w:val="clear" w:color="auto" w:fill="auto"/>
            <w:tcMar>
              <w:top w:w="14" w:type="dxa"/>
              <w:left w:w="79" w:type="dxa"/>
              <w:bottom w:w="0" w:type="dxa"/>
              <w:right w:w="79" w:type="dxa"/>
            </w:tcMar>
          </w:tcPr>
          <w:p w14:paraId="51E4E62F" w14:textId="77777777" w:rsidR="004A14DF" w:rsidRPr="000F15F6" w:rsidRDefault="004A14DF" w:rsidP="004A14DF">
            <w:pPr>
              <w:pStyle w:val="af0"/>
              <w:numPr>
                <w:ilvl w:val="0"/>
                <w:numId w:val="9"/>
              </w:numPr>
              <w:tabs>
                <w:tab w:val="left" w:pos="284"/>
              </w:tabs>
              <w:ind w:left="0" w:firstLine="0"/>
              <w:rPr>
                <w:i/>
                <w:lang w:val="ru-RU"/>
              </w:rPr>
            </w:pPr>
            <w:r w:rsidRPr="000F15F6">
              <w:rPr>
                <w:i/>
                <w:lang w:val="ru-RU"/>
              </w:rPr>
              <w:t>Состояние по шкале ECOG 0–2 балла;</w:t>
            </w:r>
          </w:p>
          <w:p w14:paraId="555F8532" w14:textId="77777777" w:rsidR="004A14DF" w:rsidRPr="000F15F6" w:rsidRDefault="004A14DF" w:rsidP="004A14DF">
            <w:pPr>
              <w:pStyle w:val="af0"/>
              <w:numPr>
                <w:ilvl w:val="0"/>
                <w:numId w:val="9"/>
              </w:numPr>
              <w:tabs>
                <w:tab w:val="left" w:pos="284"/>
              </w:tabs>
              <w:ind w:left="0" w:firstLine="0"/>
              <w:rPr>
                <w:i/>
                <w:lang w:val="ru-RU"/>
              </w:rPr>
            </w:pPr>
            <w:r w:rsidRPr="000F15F6">
              <w:rPr>
                <w:i/>
                <w:lang w:val="ru-RU"/>
              </w:rPr>
              <w:t>• Общий билирубин&lt; 1,5 ВГН;</w:t>
            </w:r>
          </w:p>
          <w:p w14:paraId="4C85AD20" w14:textId="4196DE6F" w:rsidR="004A14DF" w:rsidRPr="000F15F6" w:rsidRDefault="004A14DF" w:rsidP="004A14DF">
            <w:pPr>
              <w:pStyle w:val="af0"/>
              <w:numPr>
                <w:ilvl w:val="0"/>
                <w:numId w:val="9"/>
              </w:numPr>
              <w:tabs>
                <w:tab w:val="left" w:pos="284"/>
              </w:tabs>
              <w:ind w:left="0" w:firstLine="0"/>
              <w:rPr>
                <w:i/>
                <w:lang w:val="ru-RU"/>
              </w:rPr>
            </w:pPr>
            <w:r w:rsidRPr="000F15F6">
              <w:rPr>
                <w:i/>
                <w:lang w:val="ru-RU"/>
              </w:rPr>
              <w:t xml:space="preserve">Наличие </w:t>
            </w:r>
            <w:r w:rsidR="00F2301B">
              <w:rPr>
                <w:i/>
                <w:lang w:val="ru-RU"/>
              </w:rPr>
              <w:t xml:space="preserve">патогенной </w:t>
            </w:r>
            <w:r w:rsidR="00F2301B" w:rsidRPr="005B02E1">
              <w:rPr>
                <w:i/>
                <w:lang w:val="ru-RU"/>
              </w:rPr>
              <w:t xml:space="preserve">герминальной или </w:t>
            </w:r>
            <w:r w:rsidR="00F2301B">
              <w:rPr>
                <w:i/>
                <w:lang w:val="ru-RU"/>
              </w:rPr>
              <w:t xml:space="preserve">биаллельной </w:t>
            </w:r>
            <w:r w:rsidR="00F2301B" w:rsidRPr="005B02E1">
              <w:rPr>
                <w:i/>
                <w:lang w:val="ru-RU"/>
              </w:rPr>
              <w:t xml:space="preserve">соматической мутации </w:t>
            </w:r>
            <w:r w:rsidRPr="000F15F6">
              <w:rPr>
                <w:i/>
                <w:lang w:val="ru-RU"/>
              </w:rPr>
              <w:t>BRCA</w:t>
            </w:r>
            <w:r w:rsidR="00F2301B">
              <w:rPr>
                <w:i/>
                <w:lang w:val="ru-RU"/>
              </w:rPr>
              <w:t xml:space="preserve"> или </w:t>
            </w:r>
            <w:r w:rsidR="00F2301B">
              <w:rPr>
                <w:i/>
              </w:rPr>
              <w:t>PALB</w:t>
            </w:r>
            <w:r w:rsidR="00F2301B" w:rsidRPr="00F2301B">
              <w:rPr>
                <w:i/>
                <w:lang w:val="ru-RU"/>
              </w:rPr>
              <w:t>2</w:t>
            </w:r>
            <w:r w:rsidRPr="000F15F6">
              <w:rPr>
                <w:i/>
                <w:lang w:val="ru-RU"/>
              </w:rPr>
              <w:t>;</w:t>
            </w:r>
          </w:p>
          <w:p w14:paraId="33F45F28" w14:textId="3F4F75EC" w:rsidR="004A14DF" w:rsidRPr="000F15F6" w:rsidRDefault="004A14DF" w:rsidP="004A14DF">
            <w:pPr>
              <w:pStyle w:val="af0"/>
              <w:numPr>
                <w:ilvl w:val="0"/>
                <w:numId w:val="9"/>
              </w:numPr>
              <w:tabs>
                <w:tab w:val="left" w:pos="284"/>
              </w:tabs>
              <w:ind w:left="0" w:firstLine="0"/>
              <w:rPr>
                <w:i/>
                <w:lang w:val="ru-RU"/>
              </w:rPr>
            </w:pPr>
            <w:r w:rsidRPr="000F15F6">
              <w:rPr>
                <w:i/>
                <w:lang w:val="ru-RU"/>
              </w:rPr>
              <w:t>Отсутствие прогрессирования после не менее 16 недель терапии с включением производных платины.</w:t>
            </w:r>
          </w:p>
        </w:tc>
      </w:tr>
    </w:tbl>
    <w:p w14:paraId="5975F998" w14:textId="34E865F2" w:rsidR="00711AAE" w:rsidRPr="00711AAE" w:rsidRDefault="00711AAE" w:rsidP="00711AAE">
      <w:pPr>
        <w:tabs>
          <w:tab w:val="left" w:pos="284"/>
          <w:tab w:val="left" w:pos="426"/>
        </w:tabs>
        <w:ind w:firstLine="0"/>
        <w:rPr>
          <w:i/>
          <w:sz w:val="20"/>
          <w:szCs w:val="20"/>
          <w:lang w:val="ru-RU"/>
        </w:rPr>
      </w:pPr>
      <w:r>
        <w:rPr>
          <w:i/>
          <w:vertAlign w:val="superscript"/>
          <w:lang w:val="ru-RU"/>
        </w:rPr>
        <w:t>1</w:t>
      </w:r>
      <w:r>
        <w:rPr>
          <w:i/>
          <w:lang w:val="ru-RU"/>
        </w:rPr>
        <w:t xml:space="preserve"> </w:t>
      </w:r>
      <w:r w:rsidRPr="00AE34CC">
        <w:rPr>
          <w:i/>
          <w:sz w:val="20"/>
          <w:szCs w:val="20"/>
          <w:lang w:val="ru-RU"/>
        </w:rPr>
        <w:t xml:space="preserve">С целью профилактики фебрильной нейтропении при применении режима </w:t>
      </w:r>
      <w:r w:rsidRPr="00711AAE">
        <w:rPr>
          <w:i/>
          <w:sz w:val="20"/>
          <w:szCs w:val="20"/>
        </w:rPr>
        <w:t>FOLFIRINOX</w:t>
      </w:r>
      <w:r w:rsidRPr="00AE34CC">
        <w:rPr>
          <w:i/>
          <w:sz w:val="20"/>
          <w:szCs w:val="20"/>
          <w:lang w:val="ru-RU"/>
        </w:rPr>
        <w:t xml:space="preserve"> возможно назначение первичной профилактики нейтропении филграстимом** в дозе 5 мкг/кг п/к через 24 часа после завершения химиотерапии до восстановления показателей нейтрофилов или пэгфилграстимом** – </w:t>
      </w:r>
      <w:r w:rsidRPr="00AE34CC">
        <w:rPr>
          <w:i/>
          <w:color w:val="2C2D2E"/>
          <w:sz w:val="20"/>
          <w:szCs w:val="20"/>
          <w:shd w:val="clear" w:color="auto" w:fill="FFFFFF"/>
          <w:lang w:val="ru-RU"/>
        </w:rPr>
        <w:t>6 мг п/к однократно, или эмпэгфилграстимом** – 7,5 мг п/к однократно через 24 часа после окончания каждого курса химиотерапии. Альтернативно допустима вторичная профилактика нейтропении, учитывая, что нейтропения не всегда является дозолимитирующей токсичностью</w:t>
      </w:r>
      <w:r w:rsidR="00D771D1">
        <w:rPr>
          <w:i/>
          <w:color w:val="2C2D2E"/>
          <w:sz w:val="20"/>
          <w:szCs w:val="20"/>
          <w:shd w:val="clear" w:color="auto" w:fill="FFFFFF"/>
          <w:lang w:val="ru-RU"/>
        </w:rPr>
        <w:fldChar w:fldCharType="begin"/>
      </w:r>
      <w:r w:rsidR="004034C1">
        <w:rPr>
          <w:i/>
          <w:color w:val="2C2D2E"/>
          <w:sz w:val="20"/>
          <w:szCs w:val="20"/>
          <w:shd w:val="clear" w:color="auto" w:fill="FFFFFF"/>
          <w:lang w:val="ru-RU"/>
        </w:rPr>
        <w:instrText xml:space="preserve"> ADDIN ZOTERO_ITEM CSL_CITATION {"citationID":"xHIKyGJA","properties":{"formattedCitation":"[58,80]","plainCitation":"[58,80]","noteIndex":0},"citationItems":[{"id":1313,"uris":["http://zotero.org/users/5363772/items/QRAJDCAU"],"itemData":{"id":1313,"type":"article-journal","abstract":"Introduction\n              The role of primary prophylaxis (PP) with granulocyte colony-stimulating factor (G-CSF) for patients with metastatic pancreatic adenocarcinoma (MPA) treated with FOLFIRINOX is unknown. We aimed to compare the frequencies of grades 3 or 4 neutropenia (G3/4N) and febrile neutropenia (FN) and survival outcomes according to the use of PP.\n            \n            \n              Methods\n              This is a retrospective study. We included patients with pathologically confirmed MPA treated with FOLFIRINOX in first-line. Patients who received primary prophylaxis (PP group) were compared to patients who received secondary or no G-CSF (no-PP group). Overall survival (OS) and progression-free survival (PFS) were evaluated using the standard Cox proportional hazard model. To account for potential biases, we performed sensitivity analyses excluding patients who received secondary prophilaxis and treating G-CSF as a time-dependent covariate in extended Cox proportional hazard models.\n            \n            \n              Results\n              The study population consisted of 123 patients. PP was used by 75 patients (61.0%). G3/4 N occurred more frequently among patients without PP (10.7 vs 41.7%; P &lt; .001). There was no difference in the frequency of FN between groups (5.3 vs 8.3%; P = .710). In multivariate analysis, PP was associated with a trend toward improved OS (HR = .66; 95% confidence interval [95% CI] .41 - 1.07; P = .094). In the multivariate model excluding patients with secondary prophylaxis (HR = .54; 95% CI 0.32 - .91; P = .022) and in the time-dependent model (HR = .47; 95% CI 0.28 - .80; P = .005), PP was associated with statistically superior OS.\n            \n            \n              Conclusions\n              Despite the reduction in the frequency of G3/4N, the risk of FN among patients treated with FOLFIRINOX without G-CSF is too low to justify its use in a routine basis. However, given the potential of G-CSF to improve survival in this setting, further studies are warranted to assess its role during treatment with FOLFIRINOX for patients with MPA.","container-title":"Cancer Control","DOI":"10.1177/10732748221149543","ISSN":"1073-2748, 1526-2359","journalAbbreviation":"Cancer Control","language":"en","page":"107327482211495","source":"DOI.org (Crossref)","title":"Impact of Granulocyte Colony-Stimulating Factor (G-CSF) on the Outcomes of Patients With Metastatic Pancreatic Adenocarcinoma (MPA) During First-Line Treatment With FOLFIRINOX: A Single-Center Retrospective Analysis","title-short":"Impact of Granulocyte Colony-Stimulating Factor (G-CSF) on the Outcomes of Patients With Metastatic Pancreatic Adenocarcinoma (MPA) During First-Line Treatment With FOLFIRINOX","volume":"30","author":[{"family":"Carvalho De Brito","given":"Angelo Borsarelli"},{"family":"Riechelmann","given":"Rachel P"},{"family":"Fonseca De Jesus","given":"Victor Hugo"}],"issued":{"date-parts":[["2023",4]]}}},{"id":1298,"uris":["http://zotero.org/users/5363772/items/ET3Z5D24"],"itemData":{"id":1298,"type":"document","language":"en","publisher":"NCCN.org","title":"NCCN Clinical Practice Guidelines in Oncology. Pancreatic Adenocarcinoma","URL":"https://www.nccn.org/guidelines","author":[{"family":"Tempero","given":"M.A."},{"family":"Malafa","given":"M.P."},{"family":"Benson","given":"Al.B."}],"accessed":{"date-parts":[["2023",9,19]]},"issued":{"date-parts":[["2023"]]}}}],"schema":"https://github.com/citation-style-language/schema/raw/master/csl-citation.json"} </w:instrText>
      </w:r>
      <w:r w:rsidR="00D771D1">
        <w:rPr>
          <w:i/>
          <w:color w:val="2C2D2E"/>
          <w:sz w:val="20"/>
          <w:szCs w:val="20"/>
          <w:shd w:val="clear" w:color="auto" w:fill="FFFFFF"/>
          <w:lang w:val="ru-RU"/>
        </w:rPr>
        <w:fldChar w:fldCharType="separate"/>
      </w:r>
      <w:r w:rsidR="004034C1" w:rsidRPr="004034C1">
        <w:rPr>
          <w:sz w:val="20"/>
          <w:lang w:val="ru-RU"/>
        </w:rPr>
        <w:t>[58,80]</w:t>
      </w:r>
      <w:r w:rsidR="00D771D1">
        <w:rPr>
          <w:i/>
          <w:color w:val="2C2D2E"/>
          <w:sz w:val="20"/>
          <w:szCs w:val="20"/>
          <w:shd w:val="clear" w:color="auto" w:fill="FFFFFF"/>
          <w:lang w:val="ru-RU"/>
        </w:rPr>
        <w:fldChar w:fldCharType="end"/>
      </w:r>
      <w:r w:rsidRPr="00AE34CC">
        <w:rPr>
          <w:i/>
          <w:color w:val="2C2D2E"/>
          <w:sz w:val="20"/>
          <w:szCs w:val="20"/>
          <w:shd w:val="clear" w:color="auto" w:fill="FFFFFF"/>
          <w:lang w:val="ru-RU"/>
        </w:rPr>
        <w:t xml:space="preserve">. </w:t>
      </w:r>
    </w:p>
    <w:p w14:paraId="6321AEC4" w14:textId="0EFB0CF8" w:rsidR="00F2301B" w:rsidRDefault="00F2301B" w:rsidP="00F2301B">
      <w:pPr>
        <w:pStyle w:val="a4"/>
        <w:spacing w:line="360" w:lineRule="auto"/>
        <w:ind w:firstLine="0"/>
        <w:jc w:val="left"/>
        <w:rPr>
          <w:rFonts w:eastAsia="Times New Roman"/>
          <w:i/>
          <w:color w:val="2C2D2E"/>
          <w:shd w:val="clear" w:color="auto" w:fill="FFFFFF"/>
          <w:lang w:val="ru-RU"/>
        </w:rPr>
      </w:pPr>
      <w:r>
        <w:rPr>
          <w:i/>
          <w:vertAlign w:val="superscript"/>
          <w:lang w:val="ru-RU"/>
        </w:rPr>
        <w:t>2</w:t>
      </w:r>
      <w:r w:rsidRPr="00964910">
        <w:rPr>
          <w:i/>
          <w:lang w:val="ru-RU"/>
        </w:rPr>
        <w:t xml:space="preserve"> </w:t>
      </w:r>
      <w:r>
        <w:rPr>
          <w:i/>
          <w:color w:val="2C2D2E"/>
          <w:shd w:val="clear" w:color="auto" w:fill="FFFFFF"/>
          <w:lang w:val="ru-RU"/>
        </w:rPr>
        <w:t xml:space="preserve">В </w:t>
      </w:r>
      <w:r w:rsidRPr="00F83BFC">
        <w:rPr>
          <w:rFonts w:eastAsia="Times New Roman"/>
          <w:i/>
          <w:color w:val="2C2D2E"/>
          <w:shd w:val="clear" w:color="auto" w:fill="FFFFFF"/>
          <w:lang w:val="ru-RU"/>
        </w:rPr>
        <w:t xml:space="preserve">случае дефектуры фолината кальция возможно уменьшение дозы этого препарата в режимах с инфузионным или струйным введением фторурацила до фиксированной дозы 50 мг в </w:t>
      </w:r>
      <w:r>
        <w:rPr>
          <w:rFonts w:eastAsia="Times New Roman"/>
          <w:i/>
          <w:color w:val="2C2D2E"/>
          <w:shd w:val="clear" w:color="auto" w:fill="FFFFFF"/>
          <w:lang w:val="ru-RU"/>
        </w:rPr>
        <w:t>сутки</w:t>
      </w:r>
      <w:r w:rsidRPr="00F83BFC">
        <w:rPr>
          <w:rFonts w:eastAsia="Times New Roman"/>
          <w:i/>
          <w:color w:val="2C2D2E"/>
          <w:shd w:val="clear" w:color="auto" w:fill="FFFFFF"/>
          <w:lang w:val="ru-RU"/>
        </w:rPr>
        <w:t xml:space="preserve"> или </w:t>
      </w:r>
      <w:r>
        <w:rPr>
          <w:rFonts w:eastAsia="Times New Roman"/>
          <w:i/>
          <w:color w:val="2C2D2E"/>
          <w:shd w:val="clear" w:color="auto" w:fill="FFFFFF"/>
          <w:lang w:val="ru-RU"/>
        </w:rPr>
        <w:t>вовсе</w:t>
      </w:r>
      <w:r w:rsidRPr="00F83BFC">
        <w:rPr>
          <w:rFonts w:eastAsia="Times New Roman"/>
          <w:i/>
          <w:color w:val="2C2D2E"/>
          <w:shd w:val="clear" w:color="auto" w:fill="FFFFFF"/>
          <w:lang w:val="ru-RU"/>
        </w:rPr>
        <w:t xml:space="preserve"> исключить из </w:t>
      </w:r>
      <w:r>
        <w:rPr>
          <w:rFonts w:eastAsia="Times New Roman"/>
          <w:i/>
          <w:color w:val="2C2D2E"/>
          <w:shd w:val="clear" w:color="auto" w:fill="FFFFFF"/>
          <w:lang w:val="ru-RU"/>
        </w:rPr>
        <w:t>лечения</w:t>
      </w:r>
      <w:r w:rsidRPr="00F83BFC">
        <w:rPr>
          <w:rFonts w:eastAsia="Times New Roman"/>
          <w:i/>
          <w:color w:val="2C2D2E"/>
          <w:shd w:val="clear" w:color="auto" w:fill="FFFFFF"/>
          <w:lang w:val="ru-RU"/>
        </w:rPr>
        <w:t xml:space="preserve"> без значимого влияния на эффективность и переносимость лечения</w:t>
      </w:r>
      <w:r>
        <w:rPr>
          <w:rFonts w:eastAsia="Times New Roman"/>
          <w:i/>
          <w:color w:val="2C2D2E"/>
          <w:shd w:val="clear" w:color="auto" w:fill="FFFFFF"/>
          <w:lang w:val="ru-RU"/>
        </w:rPr>
        <w:t>.</w:t>
      </w:r>
    </w:p>
    <w:p w14:paraId="07C59E53" w14:textId="1DF52A71" w:rsidR="00711AAE" w:rsidRPr="00711AAE" w:rsidRDefault="00711AAE" w:rsidP="00AB423C">
      <w:pPr>
        <w:tabs>
          <w:tab w:val="left" w:pos="284"/>
        </w:tabs>
        <w:rPr>
          <w:i/>
          <w:lang w:val="ru-RU"/>
        </w:rPr>
      </w:pPr>
    </w:p>
    <w:p w14:paraId="4DB74288" w14:textId="62BFBECE" w:rsidR="001257F9" w:rsidRPr="00A83E0C" w:rsidRDefault="001257F9" w:rsidP="00AB423C">
      <w:pPr>
        <w:tabs>
          <w:tab w:val="left" w:pos="284"/>
        </w:tabs>
        <w:rPr>
          <w:i/>
          <w:lang w:val="ru-RU"/>
        </w:rPr>
      </w:pPr>
      <w:r w:rsidRPr="00A83E0C">
        <w:rPr>
          <w:i/>
          <w:lang w:val="ru-RU"/>
        </w:rPr>
        <w:t xml:space="preserve">Решение, какой режим предпочесть при метастатическом раке поджелудочной железы, зависит, в первую очередь, от состояния пациента. В случае удовлетворительного общего состояния </w:t>
      </w:r>
      <w:r w:rsidRPr="00A83E0C">
        <w:rPr>
          <w:i/>
        </w:rPr>
        <w:t>ECOG</w:t>
      </w:r>
      <w:r w:rsidRPr="00A83E0C">
        <w:rPr>
          <w:i/>
          <w:lang w:val="ru-RU"/>
        </w:rPr>
        <w:t xml:space="preserve"> 0-1</w:t>
      </w:r>
      <w:r w:rsidR="00EA7396" w:rsidRPr="00A83E0C">
        <w:rPr>
          <w:i/>
          <w:lang w:val="ru-RU"/>
        </w:rPr>
        <w:t xml:space="preserve"> (Приложение Г1)</w:t>
      </w:r>
      <w:r w:rsidRPr="00A83E0C">
        <w:rPr>
          <w:i/>
          <w:lang w:val="ru-RU"/>
        </w:rPr>
        <w:t xml:space="preserve">, нормальных показателях функции печени и почек, отсутствии серьезных осложнений опухолевого процесса и сопутствующих заболеваний, рекомендуется применение режимов </w:t>
      </w:r>
      <w:r w:rsidRPr="00A83E0C">
        <w:rPr>
          <w:i/>
        </w:rPr>
        <w:t>FOLFIRINOX</w:t>
      </w:r>
      <w:r w:rsidR="00BF276D" w:rsidRPr="00A83E0C">
        <w:rPr>
          <w:i/>
          <w:lang w:val="ru-RU"/>
        </w:rPr>
        <w:t xml:space="preserve"> или </w:t>
      </w:r>
      <w:r w:rsidR="00E454A2" w:rsidRPr="00A83E0C">
        <w:rPr>
          <w:i/>
          <w:lang w:val="ru-RU"/>
        </w:rPr>
        <w:t>#</w:t>
      </w:r>
      <w:r w:rsidR="00BF276D" w:rsidRPr="00A83E0C">
        <w:rPr>
          <w:i/>
          <w:lang w:val="ru-RU"/>
        </w:rPr>
        <w:t>гемцитабин</w:t>
      </w:r>
      <w:r w:rsidR="002A790A" w:rsidRPr="00A83E0C">
        <w:rPr>
          <w:i/>
          <w:lang w:val="ru-RU"/>
        </w:rPr>
        <w:t>**</w:t>
      </w:r>
      <w:r w:rsidRPr="00A83E0C">
        <w:rPr>
          <w:i/>
          <w:lang w:val="ru-RU"/>
        </w:rPr>
        <w:t xml:space="preserve"> + </w:t>
      </w:r>
      <w:r w:rsidR="00EC7C06" w:rsidRPr="00EC7C06">
        <w:rPr>
          <w:i/>
          <w:lang w:val="ru-RU"/>
        </w:rPr>
        <w:t>#</w:t>
      </w:r>
      <w:r w:rsidRPr="00A83E0C">
        <w:rPr>
          <w:i/>
          <w:lang w:val="ru-RU"/>
        </w:rPr>
        <w:t>паклитаксел</w:t>
      </w:r>
      <w:r w:rsidR="00B006B8" w:rsidRPr="00A83E0C">
        <w:rPr>
          <w:i/>
          <w:lang w:val="ru-RU"/>
        </w:rPr>
        <w:t>+альбумин</w:t>
      </w:r>
      <w:r w:rsidRPr="00A83E0C">
        <w:rPr>
          <w:i/>
          <w:lang w:val="ru-RU"/>
        </w:rPr>
        <w:t xml:space="preserve">. </w:t>
      </w:r>
      <w:r w:rsidR="00E92E1C" w:rsidRPr="00A83E0C">
        <w:rPr>
          <w:i/>
          <w:lang w:val="ru-RU"/>
        </w:rPr>
        <w:t xml:space="preserve">Отдельным пациентам, имеющим значительное распространение опухолевого процесса и связанные с этим симптомы (общее состояние по шкале </w:t>
      </w:r>
      <w:r w:rsidR="00E92E1C" w:rsidRPr="00A83E0C">
        <w:rPr>
          <w:i/>
        </w:rPr>
        <w:t>ECOG</w:t>
      </w:r>
      <w:r w:rsidR="00E92E1C" w:rsidRPr="00A83E0C">
        <w:rPr>
          <w:i/>
          <w:lang w:val="ru-RU"/>
        </w:rPr>
        <w:t xml:space="preserve"> 2 балла), может быть рекомендована комбинация </w:t>
      </w:r>
      <w:r w:rsidR="00E454A2" w:rsidRPr="00A83E0C">
        <w:rPr>
          <w:i/>
          <w:lang w:val="ru-RU"/>
        </w:rPr>
        <w:t>#</w:t>
      </w:r>
      <w:r w:rsidR="00E92E1C" w:rsidRPr="00A83E0C">
        <w:rPr>
          <w:i/>
          <w:lang w:val="ru-RU"/>
        </w:rPr>
        <w:t>гемцитабина</w:t>
      </w:r>
      <w:r w:rsidR="002A790A" w:rsidRPr="00A83E0C">
        <w:rPr>
          <w:i/>
          <w:lang w:val="ru-RU"/>
        </w:rPr>
        <w:t>**</w:t>
      </w:r>
      <w:r w:rsidR="00E92E1C" w:rsidRPr="00A83E0C">
        <w:rPr>
          <w:i/>
          <w:lang w:val="ru-RU"/>
        </w:rPr>
        <w:t xml:space="preserve"> и </w:t>
      </w:r>
      <w:r w:rsidR="00EC7C06" w:rsidRPr="00EC7C06">
        <w:rPr>
          <w:i/>
          <w:lang w:val="ru-RU"/>
        </w:rPr>
        <w:t>#</w:t>
      </w:r>
      <w:r w:rsidR="00235892">
        <w:rPr>
          <w:i/>
          <w:lang w:val="ru-RU"/>
        </w:rPr>
        <w:t>паклитаксел+альбумина</w:t>
      </w:r>
      <w:r w:rsidR="00E92E1C" w:rsidRPr="00A83E0C">
        <w:rPr>
          <w:i/>
          <w:lang w:val="ru-RU"/>
        </w:rPr>
        <w:t>, если ожидается, что в случае достижения противоопухолевого эффекта симптомы болезни могут регрессировать</w:t>
      </w:r>
      <w:r w:rsidR="00CB323C" w:rsidRPr="00A83E0C">
        <w:rPr>
          <w:i/>
          <w:lang w:val="ru-RU"/>
        </w:rPr>
        <w:t xml:space="preserve"> </w:t>
      </w:r>
      <w:r w:rsidR="00C15198" w:rsidRPr="00A83E0C">
        <w:rPr>
          <w:i/>
          <w:lang w:val="ru-RU"/>
        </w:rPr>
        <w:fldChar w:fldCharType="begin"/>
      </w:r>
      <w:r w:rsidR="004034C1">
        <w:rPr>
          <w:i/>
          <w:lang w:val="ru-RU"/>
        </w:rPr>
        <w:instrText xml:space="preserve"> ADDIN ZOTERO_ITEM CSL_CITATION {"citationID":"Qpm7botr","properties":{"formattedCitation":"[81,84,85]","plainCitation":"[81,84,85]","noteIndex":0},"citationItems":[{"id":10,"uris":["http://zotero.org/users/5363772/items/DCJ6I6V6",["http://zotero.org/users/5363772/items/DCJ6I6V6"]],"itemData":{"id":10,"type":"article-journal","container-title":"New England Journal of Medicine","DOI":"10.1056/NEJMoa1011923","ISSN":"0028-4793","issue":"19","journalAbbreviation":"N Engl J Med","page":"1817-1825","title":"FOLFIRINOX versus Gemcitabine for Metastatic Pancreatic Cancer","volume":"364","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id":5,"uris":["http://zotero.org/users/5363772/items/KRZXS7MR",["http://zotero.org/users/5363772/items/KRZXS7MR"]],"itemData":{"id":5,"type":"article-journal","abstract":"BACKGROUND In a phase 1–2 trial of albumin-bound paclitaxel (nab-paclitaxel) plus gemcitabine, substantial clinical activity was noted in patients with advanced pancreatic cancer. We conducted a phase 3 study of the efficacy and safety of the combination versus gemcitabine monotherapy in patients with metastatic pancreatic cancer.\nMETHODS We randomly assigned patients with a Karnofsky performance-status score of 70 or more (on a scale from 0 to 100, with higher scores indicating better performance status) to nab-paclitaxel (125 mg per square meter of body-surface area) followed by gemcitabine (1000 mg per square meter) on days 1, 8, and 15 every 4 weeks or gemcitabine monotherapy (1000 mg per square meter) weekly for 7 of 8 weeks (cycle 1) and then on days 1, 8, and 15 every 4 weeks (cycle 2 and subsequent cycles). Patients received the study treatment until disease progression. The primary end point was overall survival; secondary end points were progression-free survival and overall response rate.\nRESULTS A total of 861 patients were randomly assigned to nab-paclitaxel plus gemcitabine (431 patients) or gemcitabine (430). The median overall survival was 8.5 months in the nab-paclitaxel–gemcitabine group as compared with 6.7 months in the gemcitabine group (hazard ratio for death, 0.72; 95% confidence interval [CI], 0.62 to 0.83; P&lt;0.001). The survival rate was 35% in the nab-paclitaxel–gemcitabine group versus 22% in the gemcitabine group at 1 year, and 9% versus 4% at 2 years. The median progression-free survival was 5.5 months in the nab-paclitaxel–gemcitabine group, as compared with 3.7 months in the gemcitabine group (hazard ratio for disease progression or death, 0.69; 95% CI, 0.58 to 0.82; P&lt;0.001); the response rate according to independent review was 23% versus 7% in the two groups (P&lt;0.001). The most common adverse events of grade 3 or higher were neutropenia (38% in the nab-paclitaxel–gemcitabine group vs. 27% in the gemcitabine group), fatigue (17% vs. 7%), and neuropathy (17% vs. 1%). Febrile neutropenia occurred in 3% versus 1% of the patients in the two groups. In the nab-paclitaxel–gemcitabine group, neuropathy of grade 3 or higher improved to grade 1 or lower in a median of 29 days.\nCONCLUSIONS In patients with metastatic pancreatic adenocarcinoma, nab-paclitaxel plus gemcitabine significantly improved overall survival, progression-free survival, and response rate, but rates of peripheral neuropathy and myelosuppression were increased. (Funded by Celgene; ClinicalTrials.gov number, NCT00844649.)","container-title":"New England Journal of Medicine","DOI":"10.1056/NEJMoa1304369","ISSN":"0028-4793, 1533-4406","issue":"18","journalAbbreviation":"N Engl J Med","language":"en","page":"1691-1703","source":"DOI.org (Crossref)","title":"Increased Survival in Pancreatic Cancer with nab-Paclitaxel plus Gemcitabine","volume":"369","author":[{"family":"Von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F."}],"issued":{"date-parts":[["2013",10,31]]}}},{"id":262,"uris":["http://zotero.org/users/5363772/items/KIH67DIW",["http://zotero.org/users/5363772/items/KIH67DIW"]],"itemData":{"id":262,"type":"article-journal","issue":"1","journalAbbreviation":"Современная онкология","page":"20-24","title":"Системная лекарственная терапия метастатического рака поджелудочной железы","author":[{"family":"Покатаев","given":"Илья"},{"family":"Тюляндин","given":"Сергей"}],"issued":{"date-parts":[["2016"]]}}}],"schema":"https://github.com/citation-style-language/schema/raw/master/csl-citation.json"} </w:instrText>
      </w:r>
      <w:r w:rsidR="00C15198" w:rsidRPr="00A83E0C">
        <w:rPr>
          <w:i/>
          <w:lang w:val="ru-RU"/>
        </w:rPr>
        <w:fldChar w:fldCharType="separate"/>
      </w:r>
      <w:r w:rsidR="004034C1" w:rsidRPr="004034C1">
        <w:rPr>
          <w:lang w:val="ru-RU"/>
        </w:rPr>
        <w:t>[81,84,85]</w:t>
      </w:r>
      <w:r w:rsidR="00C15198" w:rsidRPr="00A83E0C">
        <w:rPr>
          <w:i/>
          <w:lang w:val="ru-RU"/>
        </w:rPr>
        <w:fldChar w:fldCharType="end"/>
      </w:r>
      <w:r w:rsidRPr="00A83E0C">
        <w:rPr>
          <w:i/>
          <w:lang w:val="ru-RU"/>
        </w:rPr>
        <w:t xml:space="preserve">. </w:t>
      </w:r>
    </w:p>
    <w:p w14:paraId="7259B123" w14:textId="405E63D5" w:rsidR="001257F9" w:rsidRPr="00A83E0C" w:rsidRDefault="001257F9" w:rsidP="00AB423C">
      <w:pPr>
        <w:tabs>
          <w:tab w:val="left" w:pos="284"/>
        </w:tabs>
        <w:rPr>
          <w:i/>
          <w:lang w:val="ru-RU"/>
        </w:rPr>
      </w:pPr>
      <w:r w:rsidRPr="00A83E0C">
        <w:rPr>
          <w:i/>
          <w:lang w:val="ru-RU"/>
        </w:rPr>
        <w:t>В случае неудовлетворения вышеперечисленным критериям рекомендуется монохимиотерапия гемцитабином</w:t>
      </w:r>
      <w:r w:rsidR="002A790A" w:rsidRPr="00A83E0C">
        <w:rPr>
          <w:i/>
          <w:lang w:val="ru-RU"/>
        </w:rPr>
        <w:t>**</w:t>
      </w:r>
      <w:r w:rsidR="00C15198" w:rsidRPr="00A83E0C">
        <w:rPr>
          <w:i/>
          <w:lang w:val="ru-RU"/>
        </w:rPr>
        <w:fldChar w:fldCharType="begin"/>
      </w:r>
      <w:r w:rsidR="004034C1">
        <w:rPr>
          <w:i/>
          <w:lang w:val="ru-RU"/>
        </w:rPr>
        <w:instrText xml:space="preserve"> ADDIN ZOTERO_ITEM CSL_CITATION {"citationID":"s73XyYfA","properties":{"formattedCitation":"[82]","plainCitation":"[82]","noteIndex":0},"citationItems":[{"id":193,"uris":["http://zotero.org/users/5363772/items/QA2HJWXC",["http://zotero.org/users/5363772/items/QA2HJWXC"]],"itemData":{"id":193,"type":"article-journal","abstract":"PURPOSE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cancer.PATIENTS AND METHODSOne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survival.RESULTSClinical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tolerated.CONCLUSIONThis study demonstrates that gemcitabine is more effective than 5-FU in alleviation of some disease-related symptoms in patients with advanced, symptomatic pancreas cancer. Gemcitabine also confers a modest survival advantage over treatment with 5-FU.","container-title":"Journal of Clinical Oncology","DOI":"10.1200/JCO.1997.15.6.2403","ISSN":"0732-183X","issue":"6","journalAbbreviation":"JCO","page":"2403-2413","title":"Improvements in survival and clinical benefit with gemcitabine as first-line therapy for patients with advanced pancreas cancer: a randomized trial.","volume":"15","author":[{"family":"Burris","given":"H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D"}],"issued":{"date-parts":[["1997",6,1]]}}}],"schema":"https://github.com/citation-style-language/schema/raw/master/csl-citation.json"} </w:instrText>
      </w:r>
      <w:r w:rsidR="00C15198" w:rsidRPr="00A83E0C">
        <w:rPr>
          <w:i/>
          <w:lang w:val="ru-RU"/>
        </w:rPr>
        <w:fldChar w:fldCharType="separate"/>
      </w:r>
      <w:r w:rsidR="004034C1" w:rsidRPr="004034C1">
        <w:rPr>
          <w:lang w:val="ru-RU"/>
        </w:rPr>
        <w:t>[82]</w:t>
      </w:r>
      <w:r w:rsidR="00C15198" w:rsidRPr="00A83E0C">
        <w:rPr>
          <w:i/>
          <w:lang w:val="ru-RU"/>
        </w:rPr>
        <w:fldChar w:fldCharType="end"/>
      </w:r>
      <w:r w:rsidRPr="00A83E0C">
        <w:rPr>
          <w:i/>
          <w:lang w:val="ru-RU"/>
        </w:rPr>
        <w:t>. Пациентам в тяжелом состоянии проведение химиотерапии не рекомендуется; в этом случае следует проводить только симптоматическую терапию</w:t>
      </w:r>
      <w:r w:rsidR="00CB323C" w:rsidRPr="00A83E0C">
        <w:rPr>
          <w:i/>
          <w:lang w:val="ru-RU"/>
        </w:rPr>
        <w:t xml:space="preserve"> </w:t>
      </w:r>
      <w:r w:rsidR="00C15198" w:rsidRPr="00A83E0C">
        <w:rPr>
          <w:i/>
          <w:lang w:val="ru-RU"/>
        </w:rPr>
        <w:fldChar w:fldCharType="begin"/>
      </w:r>
      <w:r w:rsidR="00D10A7E">
        <w:rPr>
          <w:i/>
          <w:lang w:val="ru-RU"/>
        </w:rPr>
        <w:instrText xml:space="preserve"> ADDIN ZOTERO_ITEM CSL_CITATION {"citationID":"wmXkvl6Y","properties":{"formattedCitation":"[19]","plainCitation":"[19]","noteIndex":0},"citationItems":[{"id":52,"uris":["http://zotero.org/users/5363772/items/YD6FA6YV",["http://zotero.org/users/5363772/items/YD6FA6YV"]],"itemData":{"id":52,"type":"article-journal","language":"en","page":"155","source":"Zotero","title":"NCCN Guidelines. Pancreatic adenocarcinoma. Version 1.2019","author":[{"family":"Tempero","given":"Margaret A"},{"family":"Cha","given":"Charles"},{"family":"Hardacre","given":"Jeffrey"},{"family":"O’Reilly","given":"Eileen M"}],"issued":{"date-parts":[["2018"]]}}}],"schema":"https://github.com/citation-style-language/schema/raw/master/csl-citation.json"} </w:instrText>
      </w:r>
      <w:r w:rsidR="00C15198" w:rsidRPr="00A83E0C">
        <w:rPr>
          <w:i/>
          <w:lang w:val="ru-RU"/>
        </w:rPr>
        <w:fldChar w:fldCharType="separate"/>
      </w:r>
      <w:r w:rsidR="00D10A7E" w:rsidRPr="00D10A7E">
        <w:rPr>
          <w:lang w:val="ru-RU"/>
        </w:rPr>
        <w:t>[19]</w:t>
      </w:r>
      <w:r w:rsidR="00C15198" w:rsidRPr="00A83E0C">
        <w:rPr>
          <w:i/>
          <w:lang w:val="ru-RU"/>
        </w:rPr>
        <w:fldChar w:fldCharType="end"/>
      </w:r>
      <w:r w:rsidRPr="00A83E0C">
        <w:rPr>
          <w:i/>
          <w:lang w:val="ru-RU"/>
        </w:rPr>
        <w:t xml:space="preserve">. </w:t>
      </w:r>
    </w:p>
    <w:p w14:paraId="75ED6FD1" w14:textId="1B7C12BA" w:rsidR="001257F9" w:rsidRDefault="007235FD" w:rsidP="00AB423C">
      <w:pPr>
        <w:tabs>
          <w:tab w:val="left" w:pos="284"/>
        </w:tabs>
        <w:rPr>
          <w:i/>
          <w:lang w:val="ru-RU"/>
        </w:rPr>
      </w:pPr>
      <w:r w:rsidRPr="00A83E0C">
        <w:rPr>
          <w:i/>
          <w:lang w:val="ru-RU"/>
        </w:rPr>
        <w:t>Комбинация гемцитабина** и эрлотиниба** не рекомендуется для применения при раке поджелудочной железы</w:t>
      </w:r>
      <w:r w:rsidR="00B16CA9">
        <w:rPr>
          <w:i/>
          <w:lang w:val="ru-RU"/>
        </w:rPr>
        <w:t xml:space="preserve"> по причине клинически незначимого увеличения </w:t>
      </w:r>
      <w:r w:rsidRPr="00A83E0C">
        <w:rPr>
          <w:i/>
          <w:lang w:val="ru-RU"/>
        </w:rPr>
        <w:t xml:space="preserve">продолжительности жизни </w:t>
      </w:r>
      <w:r w:rsidR="00B16CA9">
        <w:rPr>
          <w:i/>
          <w:lang w:val="ru-RU"/>
        </w:rPr>
        <w:t xml:space="preserve">в неотобранной популяции </w:t>
      </w:r>
      <w:r w:rsidRPr="00A83E0C">
        <w:rPr>
          <w:i/>
          <w:lang w:val="ru-RU"/>
        </w:rPr>
        <w:t>при существенно</w:t>
      </w:r>
      <w:r w:rsidR="00B16CA9">
        <w:rPr>
          <w:i/>
          <w:lang w:val="ru-RU"/>
        </w:rPr>
        <w:t xml:space="preserve"> большей</w:t>
      </w:r>
      <w:r w:rsidRPr="00A83E0C">
        <w:rPr>
          <w:i/>
          <w:lang w:val="ru-RU"/>
        </w:rPr>
        <w:t xml:space="preserve"> токсичности </w:t>
      </w:r>
      <w:r w:rsidR="00C15198" w:rsidRPr="00A83E0C">
        <w:rPr>
          <w:i/>
          <w:lang w:val="ru-RU"/>
        </w:rPr>
        <w:fldChar w:fldCharType="begin"/>
      </w:r>
      <w:r w:rsidR="004034C1">
        <w:rPr>
          <w:i/>
          <w:lang w:val="ru-RU"/>
        </w:rPr>
        <w:instrText xml:space="preserve"> ADDIN ZOTERO_ITEM CSL_CITATION {"citationID":"t1KSZsGg","properties":{"formattedCitation":"[81,88]","plainCitation":"[81,88]","noteIndex":0},"citationItems":[{"id":262,"uris":["http://zotero.org/users/5363772/items/KIH67DIW",["http://zotero.org/users/5363772/items/KIH67DIW"]],"itemData":{"id":262,"type":"article-journal","issue":"1","journalAbbreviation":"Современная онкология","page":"20-24","title":"Системная лекарственная терапия метастатического рака поджелудочной железы","author":[{"family":"Покатаев","given":"Илья"},{"family":"Тюляндин","given":"Сергей"}],"issued":{"date-parts":[["2016"]]}}},{"id":267,"uris":["http://zotero.org/users/5363772/items/KZQIMWAN",["http://zotero.org/users/5363772/items/KZQIMWAN"]],"itemData":{"id":267,"type":"article-journal","abstract":"Purpose Patients with advanced pancreatic cancer have a poor prognosis and there have been no improvements in survival since the introduction of gemcitabine in 1996. Pancreatic tumors often overexpress human epidermal growth factor receptor type 1 (HER1/EGFR) and this is associated with a worse prognosis. We studied the effects of adding the HER1/EGFR-targeted agent erlotinib to gemcitabine in patients with unresectable, locally advanced, or metastatic pancreatic cancer. Patients and Methods Patients were randomly assigned 1:1 to receive standard gemcitabine plus erlotinib (100 or 150 mg/d orally) or gemcitabine plus placebo in a double-blind, international phase III trial. The primary end point was overall survival. Results A total of 569 patients were randomly assigned. Overall survival based on an intent-to-treat analysis was significantly prolonged on the erlotinib/gemcitabine arm with a hazard ratio (HR) of 0.82 (95% CI, 0.69 to 0.99; P = .038, adjusted for stratification factors; median 6.24 months v 5.91 months). One-year survival was also greater with erlotinib plus gemcitabine (23% v 17%; P = .023). Progression-free survival was significantly longer with erlotinib plus gemcitabine with an estimated HR of 0.77 (95% CI, 0.64 to 0.92; P = .004). Objective response rates were not significantly different between the arms, although more patients on erlotinib had disease stabilization. There was a higher incidence of some adverse events with erlotinib plus gemcitabine, but most were grade 1 or 2. Conclusion To our knowledge, this randomized phase III trial is the first to demonstrate statistically significantly improved survival in advanced pancreatic cancer by adding any agent to gemcitabine. The recommended dose of erlotinib with gemcitabine for this indication is 100 mg/d.","container-title":"Journal of Clinical Oncology","DOI":"10.1200/JCO.2006.07.9525","ISSN":"0732-183X","issue":"15","journalAbbreviation":"JCO","page":"1960-1966","title":"Erlotinib Plus Gemcitabine Compared With Gemcitabine Alone in Patients With Advanced Pancreatic Cancer: A Phase III Trial of the National Cancer Institute of Canada Clinical Trials Group","volume":"25","author":[{"family":"Moore","given":"Malcolm J."},{"family":"Goldstein","given":"David"},{"family":"Hamm","given":"John"},{"family":"Figer","given":"Arie"},{"family":"Hecht","given":"Joel R."},{"family":"Gallinger","given":"Steven"},{"family":"Au","given":"Heather J."},{"family":"Murawa","given":"Pawel"},{"family":"Walde","given":"David"},{"family":"Wolff","given":"Robert A."},{"family":"Campos","given":"Daniel"},{"family":"Lim","given":"Robert"},{"family":"Ding","given":"Keyue"},{"family":"Clark","given":"Gary"},{"family":"Voskoglou-Nomikos","given":"Theodora"},{"family":"Ptasynski","given":"Mieke"},{"family":"Parulekar","given":"Wendy"}],"issued":{"date-parts":[["2007",5,20]]}}}],"schema":"https://github.com/citation-style-language/schema/raw/master/csl-citation.json"} </w:instrText>
      </w:r>
      <w:r w:rsidR="00C15198" w:rsidRPr="00A83E0C">
        <w:rPr>
          <w:i/>
          <w:lang w:val="ru-RU"/>
        </w:rPr>
        <w:fldChar w:fldCharType="separate"/>
      </w:r>
      <w:r w:rsidR="004034C1" w:rsidRPr="004034C1">
        <w:rPr>
          <w:lang w:val="ru-RU"/>
        </w:rPr>
        <w:t>[81,88]</w:t>
      </w:r>
      <w:r w:rsidR="00C15198" w:rsidRPr="00A83E0C">
        <w:rPr>
          <w:i/>
          <w:lang w:val="ru-RU"/>
        </w:rPr>
        <w:fldChar w:fldCharType="end"/>
      </w:r>
      <w:r w:rsidR="001257F9" w:rsidRPr="00A83E0C">
        <w:rPr>
          <w:i/>
          <w:lang w:val="ru-RU"/>
        </w:rPr>
        <w:t xml:space="preserve">. </w:t>
      </w:r>
    </w:p>
    <w:p w14:paraId="52C870D7" w14:textId="6EACA5D5" w:rsidR="00E12D69" w:rsidRDefault="00FA40AA" w:rsidP="00AB423C">
      <w:pPr>
        <w:tabs>
          <w:tab w:val="left" w:pos="284"/>
        </w:tabs>
        <w:rPr>
          <w:i/>
          <w:lang w:val="ru-RU"/>
        </w:rPr>
      </w:pPr>
      <w:r>
        <w:rPr>
          <w:i/>
          <w:lang w:val="ru-RU"/>
        </w:rPr>
        <w:t>Добавление фторпиримидинов к</w:t>
      </w:r>
      <w:r w:rsidR="00E12D69">
        <w:rPr>
          <w:i/>
          <w:lang w:val="ru-RU"/>
        </w:rPr>
        <w:t xml:space="preserve"> гемцитабин</w:t>
      </w:r>
      <w:r>
        <w:rPr>
          <w:i/>
          <w:lang w:val="ru-RU"/>
        </w:rPr>
        <w:t>у**</w:t>
      </w:r>
      <w:r w:rsidR="00E12D69">
        <w:rPr>
          <w:i/>
          <w:lang w:val="ru-RU"/>
        </w:rPr>
        <w:t xml:space="preserve"> </w:t>
      </w:r>
      <w:r>
        <w:rPr>
          <w:i/>
          <w:lang w:val="ru-RU"/>
        </w:rPr>
        <w:t>не увеличивает выживаемость при местнораспространенном и метастатическом раке и не рекомендуется к практическому применению.</w:t>
      </w:r>
    </w:p>
    <w:p w14:paraId="774D2778" w14:textId="28C5B331" w:rsidR="00FA40AA" w:rsidRDefault="00FA40AA" w:rsidP="00FA40AA">
      <w:pPr>
        <w:tabs>
          <w:tab w:val="left" w:pos="284"/>
        </w:tabs>
        <w:rPr>
          <w:i/>
          <w:lang w:val="ru-RU"/>
        </w:rPr>
      </w:pPr>
      <w:r>
        <w:rPr>
          <w:i/>
          <w:lang w:val="ru-RU"/>
        </w:rPr>
        <w:t xml:space="preserve">Добавление препаратов платины к гемцитабину** не увеличивает выживаемость при местнораспространенном и метастатическом раке и не рекомендуется к практическому применению при отсутствии мутаций </w:t>
      </w:r>
      <w:r>
        <w:rPr>
          <w:i/>
        </w:rPr>
        <w:t>BRCA</w:t>
      </w:r>
      <w:r w:rsidRPr="00FA40AA">
        <w:rPr>
          <w:i/>
          <w:lang w:val="ru-RU"/>
        </w:rPr>
        <w:t xml:space="preserve"> </w:t>
      </w:r>
      <w:r>
        <w:rPr>
          <w:i/>
          <w:lang w:val="ru-RU"/>
        </w:rPr>
        <w:t xml:space="preserve">или </w:t>
      </w:r>
      <w:r>
        <w:rPr>
          <w:i/>
        </w:rPr>
        <w:t>PALB</w:t>
      </w:r>
      <w:r w:rsidRPr="00FA40AA">
        <w:rPr>
          <w:i/>
          <w:lang w:val="ru-RU"/>
        </w:rPr>
        <w:t>2</w:t>
      </w:r>
      <w:r>
        <w:rPr>
          <w:i/>
          <w:lang w:val="ru-RU"/>
        </w:rPr>
        <w:t>.</w:t>
      </w:r>
    </w:p>
    <w:p w14:paraId="30E7988B" w14:textId="0FE4DE1A" w:rsidR="001257F9" w:rsidRPr="00A83E0C" w:rsidRDefault="001257F9" w:rsidP="00AB423C">
      <w:pPr>
        <w:tabs>
          <w:tab w:val="left" w:pos="284"/>
        </w:tabs>
        <w:rPr>
          <w:i/>
          <w:lang w:val="ru-RU"/>
        </w:rPr>
      </w:pPr>
      <w:r w:rsidRPr="00A83E0C">
        <w:rPr>
          <w:i/>
          <w:lang w:val="ru-RU"/>
        </w:rPr>
        <w:t xml:space="preserve">Значительная токсичность режима </w:t>
      </w:r>
      <w:r w:rsidRPr="00A83E0C">
        <w:rPr>
          <w:i/>
        </w:rPr>
        <w:t>FOLFIRINOX</w:t>
      </w:r>
      <w:r w:rsidRPr="00A83E0C">
        <w:rPr>
          <w:i/>
          <w:lang w:val="ru-RU"/>
        </w:rPr>
        <w:t xml:space="preserve"> обосновывает изначальную модификацию данного режима, которая может включать один или несколько нижеперечисленных вариантов</w:t>
      </w:r>
      <w:r w:rsidR="00C15198" w:rsidRPr="00A83E0C">
        <w:rPr>
          <w:i/>
          <w:lang w:val="ru-RU"/>
        </w:rPr>
        <w:fldChar w:fldCharType="begin"/>
      </w:r>
      <w:r w:rsidR="004034C1">
        <w:rPr>
          <w:i/>
          <w:lang w:val="ru-RU"/>
        </w:rPr>
        <w:instrText xml:space="preserve"> ADDIN ZOTERO_ITEM CSL_CITATION {"citationID":"VI8KikyN","properties":{"formattedCitation":"[81]","plainCitation":"[81]","noteIndex":0},"citationItems":[{"id":262,"uris":["http://zotero.org/users/5363772/items/KIH67DIW",["http://zotero.org/users/5363772/items/KIH67DIW"]],"itemData":{"id":262,"type":"article-journal","issue":"1","journalAbbreviation":"Современная онкология","page":"20-24","title":"Системная лекарственная терапия метастатического рака поджелудочной железы","author":[{"family":"Покатаев","given":"Илья"},{"family":"Тюляндин","given":"Сергей"}],"issued":{"date-parts":[["2016"]]}}}],"schema":"https://github.com/citation-style-language/schema/raw/master/csl-citation.json"} </w:instrText>
      </w:r>
      <w:r w:rsidR="00C15198" w:rsidRPr="00A83E0C">
        <w:rPr>
          <w:i/>
          <w:lang w:val="ru-RU"/>
        </w:rPr>
        <w:fldChar w:fldCharType="separate"/>
      </w:r>
      <w:r w:rsidR="004034C1" w:rsidRPr="004034C1">
        <w:rPr>
          <w:lang w:val="ru-RU"/>
        </w:rPr>
        <w:t>[81]</w:t>
      </w:r>
      <w:r w:rsidR="00C15198" w:rsidRPr="00A83E0C">
        <w:rPr>
          <w:i/>
          <w:lang w:val="ru-RU"/>
        </w:rPr>
        <w:fldChar w:fldCharType="end"/>
      </w:r>
      <w:r w:rsidRPr="00A83E0C">
        <w:rPr>
          <w:i/>
          <w:lang w:val="ru-RU"/>
        </w:rPr>
        <w:t>:</w:t>
      </w:r>
    </w:p>
    <w:p w14:paraId="3FD3CA76" w14:textId="77777777" w:rsidR="001257F9" w:rsidRPr="00A83E0C" w:rsidRDefault="001257F9" w:rsidP="00AB423C">
      <w:pPr>
        <w:pStyle w:val="af0"/>
        <w:numPr>
          <w:ilvl w:val="0"/>
          <w:numId w:val="14"/>
        </w:numPr>
        <w:tabs>
          <w:tab w:val="left" w:pos="284"/>
        </w:tabs>
        <w:spacing w:line="360" w:lineRule="auto"/>
        <w:ind w:left="0" w:firstLine="709"/>
        <w:rPr>
          <w:i/>
          <w:lang w:val="ru-RU"/>
        </w:rPr>
      </w:pPr>
      <w:r w:rsidRPr="00A83E0C">
        <w:rPr>
          <w:i/>
          <w:lang w:val="ru-RU"/>
        </w:rPr>
        <w:t>первичная профилактика нейтропении колониестимулирующим фактором;</w:t>
      </w:r>
    </w:p>
    <w:p w14:paraId="3B0AF306" w14:textId="60F76535" w:rsidR="001257F9" w:rsidRPr="00A83E0C" w:rsidRDefault="001257F9" w:rsidP="00AB423C">
      <w:pPr>
        <w:pStyle w:val="af0"/>
        <w:numPr>
          <w:ilvl w:val="0"/>
          <w:numId w:val="14"/>
        </w:numPr>
        <w:tabs>
          <w:tab w:val="left" w:pos="284"/>
        </w:tabs>
        <w:spacing w:line="360" w:lineRule="auto"/>
        <w:ind w:left="0" w:firstLine="709"/>
        <w:rPr>
          <w:i/>
          <w:lang w:val="ru-RU"/>
        </w:rPr>
      </w:pPr>
      <w:r w:rsidRPr="00A83E0C">
        <w:rPr>
          <w:i/>
          <w:lang w:val="ru-RU"/>
        </w:rPr>
        <w:t>редукция дозы болюсного (до 320 мг/м</w:t>
      </w:r>
      <w:r w:rsidRPr="00A83E0C">
        <w:rPr>
          <w:i/>
          <w:vertAlign w:val="superscript"/>
          <w:lang w:val="ru-RU"/>
        </w:rPr>
        <w:t>2</w:t>
      </w:r>
      <w:r w:rsidRPr="00A83E0C">
        <w:rPr>
          <w:i/>
          <w:lang w:val="ru-RU"/>
        </w:rPr>
        <w:t xml:space="preserve"> или полная отмена) и инфузионного (до 2000 мг/м</w:t>
      </w:r>
      <w:r w:rsidRPr="00A83E0C">
        <w:rPr>
          <w:i/>
          <w:vertAlign w:val="superscript"/>
          <w:lang w:val="ru-RU"/>
        </w:rPr>
        <w:t>2</w:t>
      </w:r>
      <w:r w:rsidRPr="00A83E0C">
        <w:rPr>
          <w:i/>
          <w:lang w:val="ru-RU"/>
        </w:rPr>
        <w:t xml:space="preserve">) введения </w:t>
      </w:r>
      <w:r w:rsidR="002A790A" w:rsidRPr="00A83E0C">
        <w:rPr>
          <w:i/>
          <w:lang w:val="ru-RU"/>
        </w:rPr>
        <w:t>#</w:t>
      </w:r>
      <w:r w:rsidRPr="00A83E0C">
        <w:rPr>
          <w:i/>
          <w:lang w:val="ru-RU"/>
        </w:rPr>
        <w:t>фторурацила</w:t>
      </w:r>
      <w:r w:rsidR="002A790A" w:rsidRPr="00A83E0C">
        <w:rPr>
          <w:i/>
          <w:lang w:val="ru-RU"/>
        </w:rPr>
        <w:t>**</w:t>
      </w:r>
      <w:r w:rsidRPr="00A83E0C">
        <w:rPr>
          <w:i/>
          <w:lang w:val="ru-RU"/>
        </w:rPr>
        <w:t>;</w:t>
      </w:r>
    </w:p>
    <w:p w14:paraId="2E1A0512" w14:textId="36443ACC" w:rsidR="001257F9" w:rsidRPr="00A83E0C" w:rsidRDefault="00A7410A" w:rsidP="00AB423C">
      <w:pPr>
        <w:pStyle w:val="af0"/>
        <w:numPr>
          <w:ilvl w:val="0"/>
          <w:numId w:val="14"/>
        </w:numPr>
        <w:tabs>
          <w:tab w:val="left" w:pos="284"/>
        </w:tabs>
        <w:spacing w:line="360" w:lineRule="auto"/>
        <w:ind w:left="0" w:firstLine="709"/>
        <w:rPr>
          <w:i/>
          <w:lang w:val="ru-RU"/>
        </w:rPr>
      </w:pPr>
      <w:r w:rsidRPr="00A83E0C">
        <w:rPr>
          <w:i/>
          <w:lang w:val="ru-RU"/>
        </w:rPr>
        <w:t xml:space="preserve">редукция дозы </w:t>
      </w:r>
      <w:r w:rsidR="002A790A" w:rsidRPr="00A83E0C">
        <w:rPr>
          <w:i/>
          <w:lang w:val="ru-RU"/>
        </w:rPr>
        <w:t>#</w:t>
      </w:r>
      <w:r w:rsidRPr="00A83E0C">
        <w:rPr>
          <w:i/>
          <w:lang w:val="ru-RU"/>
        </w:rPr>
        <w:t>иринотекана</w:t>
      </w:r>
      <w:r w:rsidR="002A790A" w:rsidRPr="00A83E0C">
        <w:rPr>
          <w:i/>
          <w:lang w:val="ru-RU"/>
        </w:rPr>
        <w:t>**</w:t>
      </w:r>
      <w:r w:rsidRPr="00A83E0C">
        <w:rPr>
          <w:i/>
          <w:lang w:val="ru-RU"/>
        </w:rPr>
        <w:t xml:space="preserve"> (до </w:t>
      </w:r>
      <w:r w:rsidR="00F2301B">
        <w:rPr>
          <w:i/>
          <w:lang w:val="ru-RU"/>
        </w:rPr>
        <w:t>150</w:t>
      </w:r>
      <w:r w:rsidRPr="00A83E0C">
        <w:rPr>
          <w:i/>
          <w:lang w:val="ru-RU"/>
        </w:rPr>
        <w:t xml:space="preserve"> мг/м</w:t>
      </w:r>
      <w:r w:rsidRPr="00A83E0C">
        <w:rPr>
          <w:i/>
          <w:vertAlign w:val="superscript"/>
          <w:lang w:val="ru-RU"/>
        </w:rPr>
        <w:t>2</w:t>
      </w:r>
      <w:r w:rsidRPr="00A83E0C">
        <w:rPr>
          <w:i/>
          <w:lang w:val="ru-RU"/>
        </w:rPr>
        <w:t>);</w:t>
      </w:r>
    </w:p>
    <w:p w14:paraId="37415FDA" w14:textId="4EDEE5C2" w:rsidR="001257F9" w:rsidRPr="00A83E0C" w:rsidRDefault="001257F9" w:rsidP="00AB423C">
      <w:pPr>
        <w:pStyle w:val="af0"/>
        <w:numPr>
          <w:ilvl w:val="0"/>
          <w:numId w:val="14"/>
        </w:numPr>
        <w:tabs>
          <w:tab w:val="left" w:pos="284"/>
        </w:tabs>
        <w:spacing w:line="360" w:lineRule="auto"/>
        <w:ind w:left="0" w:firstLine="709"/>
        <w:rPr>
          <w:i/>
          <w:lang w:val="ru-RU"/>
        </w:rPr>
      </w:pPr>
      <w:r w:rsidRPr="00A83E0C">
        <w:rPr>
          <w:i/>
          <w:lang w:val="ru-RU"/>
        </w:rPr>
        <w:t xml:space="preserve">редукция дозы </w:t>
      </w:r>
      <w:r w:rsidR="002A790A" w:rsidRPr="00A83E0C">
        <w:rPr>
          <w:i/>
          <w:lang w:val="ru-RU"/>
        </w:rPr>
        <w:t>#</w:t>
      </w:r>
      <w:r w:rsidRPr="00A83E0C">
        <w:rPr>
          <w:i/>
          <w:lang w:val="ru-RU"/>
        </w:rPr>
        <w:t>оксалиплатина</w:t>
      </w:r>
      <w:r w:rsidR="002A790A" w:rsidRPr="00A83E0C">
        <w:rPr>
          <w:i/>
          <w:lang w:val="ru-RU"/>
        </w:rPr>
        <w:t>**</w:t>
      </w:r>
      <w:r w:rsidRPr="00A83E0C">
        <w:rPr>
          <w:i/>
          <w:lang w:val="ru-RU"/>
        </w:rPr>
        <w:t xml:space="preserve"> (до </w:t>
      </w:r>
      <w:r w:rsidR="00F2301B">
        <w:rPr>
          <w:i/>
          <w:lang w:val="ru-RU"/>
        </w:rPr>
        <w:t>65</w:t>
      </w:r>
      <w:r w:rsidRPr="00A83E0C">
        <w:rPr>
          <w:i/>
          <w:lang w:val="ru-RU"/>
        </w:rPr>
        <w:t xml:space="preserve"> мг/м2).</w:t>
      </w:r>
    </w:p>
    <w:p w14:paraId="6206FFA4" w14:textId="4C396BB6" w:rsidR="00E908FC" w:rsidRPr="00A83E0C" w:rsidRDefault="00FA71E1" w:rsidP="00AB423C">
      <w:pPr>
        <w:tabs>
          <w:tab w:val="left" w:pos="284"/>
        </w:tabs>
        <w:rPr>
          <w:i/>
          <w:lang w:val="ru-RU"/>
        </w:rPr>
      </w:pPr>
      <w:r w:rsidRPr="00A83E0C">
        <w:rPr>
          <w:i/>
          <w:lang w:val="ru-RU"/>
        </w:rPr>
        <w:lastRenderedPageBreak/>
        <w:t xml:space="preserve">Также после 8 курсов химиотерапии </w:t>
      </w:r>
      <w:r w:rsidRPr="00A83E0C">
        <w:rPr>
          <w:i/>
        </w:rPr>
        <w:t>FOLFIRINOX</w:t>
      </w:r>
      <w:r w:rsidRPr="00A83E0C">
        <w:rPr>
          <w:i/>
          <w:lang w:val="ru-RU"/>
        </w:rPr>
        <w:t xml:space="preserve"> возможен переход на поддерживающую терапию </w:t>
      </w:r>
      <w:r w:rsidR="00576568" w:rsidRPr="00F0619F">
        <w:rPr>
          <w:i/>
          <w:lang w:val="ru-RU"/>
        </w:rPr>
        <w:t>#</w:t>
      </w:r>
      <w:r w:rsidR="00576568">
        <w:rPr>
          <w:i/>
          <w:lang w:val="ru-RU"/>
        </w:rPr>
        <w:t>фторурацилом**/</w:t>
      </w:r>
      <w:r w:rsidR="00576568" w:rsidRPr="00F0619F">
        <w:rPr>
          <w:i/>
          <w:lang w:val="ru-RU"/>
        </w:rPr>
        <w:t>#</w:t>
      </w:r>
      <w:r w:rsidR="00576568">
        <w:rPr>
          <w:i/>
          <w:lang w:val="ru-RU"/>
        </w:rPr>
        <w:t>капецитабином**</w:t>
      </w:r>
      <w:r w:rsidR="002E5693" w:rsidRPr="00A83E0C">
        <w:rPr>
          <w:i/>
          <w:lang w:val="ru-RU"/>
        </w:rPr>
        <w:t xml:space="preserve"> </w:t>
      </w:r>
      <w:r w:rsidR="00537A85">
        <w:rPr>
          <w:i/>
          <w:lang w:val="ru-RU"/>
        </w:rPr>
        <w:t>или</w:t>
      </w:r>
      <w:r w:rsidR="00537A85" w:rsidRPr="00537A85">
        <w:rPr>
          <w:i/>
          <w:lang w:val="ru-RU"/>
        </w:rPr>
        <w:t xml:space="preserve"> </w:t>
      </w:r>
      <w:r w:rsidR="00537A85">
        <w:rPr>
          <w:i/>
          <w:lang w:val="ru-RU"/>
        </w:rPr>
        <w:t>режим</w:t>
      </w:r>
      <w:r w:rsidR="00537A85" w:rsidRPr="00537A85">
        <w:rPr>
          <w:i/>
          <w:lang w:val="ru-RU"/>
        </w:rPr>
        <w:t xml:space="preserve"> </w:t>
      </w:r>
      <w:r w:rsidR="00537A85">
        <w:rPr>
          <w:i/>
        </w:rPr>
        <w:t>FOLFIRI</w:t>
      </w:r>
      <w:r w:rsidR="00537A85" w:rsidRPr="00537A85">
        <w:rPr>
          <w:i/>
          <w:lang w:val="ru-RU"/>
        </w:rPr>
        <w:t xml:space="preserve"> </w:t>
      </w:r>
      <w:r w:rsidR="00E908FC" w:rsidRPr="00A83E0C">
        <w:rPr>
          <w:i/>
          <w:lang w:val="ru-RU"/>
        </w:rPr>
        <w:t xml:space="preserve">до прогрессирования. В этом случае после прогрессирования следует рассмотреть реиндукцию режима </w:t>
      </w:r>
      <w:r w:rsidR="00E908FC" w:rsidRPr="00A83E0C">
        <w:rPr>
          <w:i/>
        </w:rPr>
        <w:t>FOLFIRINOX</w:t>
      </w:r>
      <w:r w:rsidRPr="00A83E0C">
        <w:rPr>
          <w:i/>
          <w:lang w:val="ru-RU"/>
        </w:rPr>
        <w:t xml:space="preserve"> </w:t>
      </w:r>
      <w:r w:rsidR="00E908FC" w:rsidRPr="00A83E0C">
        <w:rPr>
          <w:i/>
          <w:lang w:val="ru-RU"/>
        </w:rPr>
        <w:t>как одну из опций терапии второй линии</w:t>
      </w:r>
      <w:r w:rsidR="00C15198" w:rsidRPr="00A83E0C">
        <w:rPr>
          <w:i/>
          <w:lang w:val="ru-RU"/>
        </w:rPr>
        <w:fldChar w:fldCharType="begin"/>
      </w:r>
      <w:r w:rsidR="004034C1">
        <w:rPr>
          <w:i/>
          <w:lang w:val="ru-RU"/>
        </w:rPr>
        <w:instrText xml:space="preserve"> ADDIN ZOTERO_ITEM CSL_CITATION {"citationID":"T80Ug8Jz","properties":{"formattedCitation":"[89]","plainCitation":"[89]","noteIndex":0},"citationItems":[{"id":298,"uris":["http://zotero.org/users/5363772/items/STB78ZYA",["http://zotero.org/users/5363772/items/STB78ZYA"]],"itemData":{"id":298,"type":"article-journal","abstract":"4000Background: Metastatic pancreatic cancer (mPC) still harbors a dismal prognosis (5-year overall survival [OS] &lt;5%). Our previous trial (PRODIGE4-ACCORD11) has demonstrated the superiority of 6-month [m] chemotherapy with FOLFIRINOX over gemcitabine in terms of progression-free survival [PFS] (6.4 vs. 3.3 m; HR: 0.47; 95%CI: 0.37-0.59; p&lt;0.001) and OS (11.1 vs. 6.8 m; HR: 0.57; 95%CI: 0.45-0.73; p&lt;0.001), at the expense of higher toxicity, notably cumulative, often limiting, peripheral neuropathy with oxaliplatin. In this randomized Phase II trial, we aimed to assess an oxaliplatin ?stop-and-go? strategy and an alternative sequential strategy in mPC. Methods: Patients (pts) were randomized to receive either 6m FOLFIRINOX (arm A), 4m FOLFIRINOX followed by LV5FU2 maintenance treatment for controlled pts, and treatment reintroduction at disease progression (arm B), or a sequential treatment alternating gemcitabine and FOLFIRI.3 every 2m (arm C). The primary endpoint was to evaluate the 6m-PFS rate (H0: 30%, H1: 45%, Fleming design) in order to select the best therapeutic strategy for a future Phase III clinical trial. Results: Between Jan 2015 and Nov 2016, 273 pts (mean age: 63 years; range: 40-76) were enrolled (A: 91; B: 92; C: 90). The median durations of treatment were 5.1, 6.2, and 4.4 m in A, B, and C respectively. Grade 3/4 neurotoxicity occurred in 10% of pts in arm A and 19% of pts in arm B. Median ratio of oxaliplatin was 83% in A and 92% in B. 6m-PFS rates were 47% in A, 44% in B, and 34% in C. 4m objective response rates were 35% in A, 41% in B, and 17% in C. Median PFS was respectively 6.3, 5.7 and 4.5 m in A, B and C. Median OS was 10.1 in A, 11.2 in B and 7.3 m in C. The median duration of first maintenance therapy in B was 3.3 m (range: 0.03-22.6). Conclusions: Maintenance with LV5FU2 appears to be feasible and effective in patients with mPC controlled after 4m of induction chemotherapy with FOLFIRINOX. Severe neurotoxicity rate was higher in the maintenance therapy arm, likely because of higher cumulative oxaliplatin dose.1Conroy NEJM 2011. Clinical trial information: NCT02352337.","container-title":"Journal of Clinical Oncology","DOI":"10.1200/JCO.2018.36.15_suppl.4000","ISSN":"0732-183X","issue":"15_suppl","journalAbbreviation":"JCO","page":"4000-4000","title":"FOLFIRINOX until progression, FOLFIRINOX with maintenance treatment, or sequential treatment with gemcitabine and FOLFIRI.3 for first-line treatment of metastatic pancreatic cancer: A randomized phase II trial (PRODIGE 35-PANOPTIMOX).","volume":"36","author":[{"family":"Dahan","given":"Laetitia"},{"family":"Phelip","given":"Jean Marc"},{"family":"Le Malicot","given":"Karine"},{"family":"Williet","given":"Nicolas"},{"family":"Desrame","given":"Jérôme"},{"family":"Volet","given":"Julien"},{"family":"Petorin","given":"Caroline"},{"family":"Malka","given":"David"},{"family":"Rebischung","given":"Christine"},{"family":"Aparicio","given":"Thomas"},{"family":"Lecaille","given":"Cedric"},{"family":"Rinaldi","given":"Yves"},{"family":"Turpin","given":"Anthony"},{"family":"Bignon","given":"Anne Laure"},{"family":"Bachet","given":"Jean-Baptiste"},{"family":"Seitz","given":"Jean Francois"},{"family":"Lepage","given":"Come"},{"family":"Francois","given":"Eric"}],"issued":{"date-parts":[["2018",5,20]]}}}],"schema":"https://github.com/citation-style-language/schema/raw/master/csl-citation.json"} </w:instrText>
      </w:r>
      <w:r w:rsidR="00C15198" w:rsidRPr="00A83E0C">
        <w:rPr>
          <w:i/>
          <w:lang w:val="ru-RU"/>
        </w:rPr>
        <w:fldChar w:fldCharType="separate"/>
      </w:r>
      <w:r w:rsidR="004034C1" w:rsidRPr="004034C1">
        <w:t>[89]</w:t>
      </w:r>
      <w:r w:rsidR="00C15198" w:rsidRPr="00A83E0C">
        <w:rPr>
          <w:i/>
          <w:lang w:val="ru-RU"/>
        </w:rPr>
        <w:fldChar w:fldCharType="end"/>
      </w:r>
      <w:r w:rsidRPr="00A83E0C">
        <w:rPr>
          <w:i/>
          <w:lang w:val="ru-RU"/>
        </w:rPr>
        <w:t>.</w:t>
      </w:r>
    </w:p>
    <w:p w14:paraId="418A216D" w14:textId="2110432B" w:rsidR="0053195C" w:rsidRPr="009D14F1" w:rsidRDefault="0053195C" w:rsidP="00537A85">
      <w:pPr>
        <w:pStyle w:val="2"/>
      </w:pPr>
      <w:r w:rsidRPr="009D14F1">
        <w:t xml:space="preserve">У пациентов с метастатическим раком поджелудочной железы и патогенными герминальными мутациями в генах </w:t>
      </w:r>
      <w:r w:rsidRPr="00F902C7">
        <w:rPr>
          <w:i/>
          <w:lang w:val="en-US"/>
        </w:rPr>
        <w:t>BRCA</w:t>
      </w:r>
      <w:r w:rsidRPr="009D14F1">
        <w:t xml:space="preserve"> в случае отсутствия прогрессирования после проведения </w:t>
      </w:r>
      <w:r w:rsidR="000F1840">
        <w:t>не менее</w:t>
      </w:r>
      <w:r w:rsidRPr="009D14F1">
        <w:t xml:space="preserve"> 16 недель платиносод</w:t>
      </w:r>
      <w:r w:rsidR="00964910" w:rsidRPr="00964910">
        <w:t xml:space="preserve">ержащей химиотерапии </w:t>
      </w:r>
      <w:r>
        <w:rPr>
          <w:lang w:val="en-US"/>
        </w:rPr>
        <w:t>I</w:t>
      </w:r>
      <w:r w:rsidRPr="009D14F1">
        <w:t xml:space="preserve"> линии рекомендуется рассмотреть либо продолжение химиотерапии</w:t>
      </w:r>
      <w:r w:rsidR="00537A85">
        <w:t xml:space="preserve"> (в том числе в виде поддерживающей химиотерапии)</w:t>
      </w:r>
      <w:r w:rsidRPr="009D14F1">
        <w:t>, либо переход на поддерживающую терапию олапарибом до прогрессирования заболевания или непереносимой токсичности</w:t>
      </w:r>
      <w:r w:rsidR="00964910" w:rsidRPr="00964910">
        <w:t xml:space="preserve"> </w:t>
      </w:r>
      <w:r w:rsidR="00C15198">
        <w:fldChar w:fldCharType="begin"/>
      </w:r>
      <w:r w:rsidR="004034C1">
        <w:instrText xml:space="preserve"> ADDIN ZOTERO_ITEM CSL_CITATION {"citationID":"JFAWHVYY","properties":{"formattedCitation":"[90]","plainCitation":"[90]","noteIndex":0},"citationItems":[{"id":479,"uris":["http://zotero.org/users/5363772/items/NZ6YSR89",["http://zotero.org/users/5363772/items/NZ6YSR89"]],"itemData":{"id":479,"type":"article-journal","container-title":"New England Journal of Medicine","DOI":"10.1056/NEJMoa1903387","ISSN":"0028-4793","issue":"4","journalAbbreviation":"N Engl J Med","page":"317-327","title":"Maintenance Olaparib for Germline BRCA-Mutated Metastatic Pancreatic Cancer","volume":"381","author":[{"family":"Golan","given":"Talia"},{"family":"Hammel","given":"Pascal"},{"family":"Reni","given":"Michele"},{"family":"Van Cutsem","given":"Eric"},{"family":"Macarulla","given":"Teresa"},{"family":"Hall","given":"Michael J."},{"family":"Park","given":"Joon-Oh"},{"family":"Hochhauser","given":"Daniel"},{"family":"Arnold","given":"Dirk"},{"family":"Oh","given":"Do-Youn"},{"family":"Reinacher-Schick","given":"Anke"},{"family":"Tortora","given":"Giampaolo"},{"family":"Algül","given":"Hana"},{"family":"O’Reilly","given":"Eileen M."},{"family":"McGuinness","given":"David"},{"family":"Cui","given":"Karen Y."},{"family":"Schlienger","given":"Katia"},{"family":"Locker","given":"Gershon Y."},{"family":"Kindler","given":"Hedy L."}],"issued":{"date-parts":[["2019",6,2]]}}}],"schema":"https://github.com/citation-style-language/schema/raw/master/csl-citation.json"} </w:instrText>
      </w:r>
      <w:r w:rsidR="00C15198">
        <w:fldChar w:fldCharType="separate"/>
      </w:r>
      <w:r w:rsidR="004034C1" w:rsidRPr="004034C1">
        <w:t>[90]</w:t>
      </w:r>
      <w:r w:rsidR="00C15198">
        <w:fldChar w:fldCharType="end"/>
      </w:r>
      <w:r w:rsidR="009D14F1">
        <w:t>.</w:t>
      </w:r>
    </w:p>
    <w:p w14:paraId="6B312D2F" w14:textId="77777777" w:rsidR="00964910" w:rsidRPr="00F117DF" w:rsidRDefault="00964910" w:rsidP="00964910">
      <w:pPr>
        <w:pStyle w:val="33"/>
        <w:rPr>
          <w:b w:val="0"/>
          <w:lang w:val="ru-RU"/>
        </w:rPr>
      </w:pPr>
      <w:r w:rsidRPr="00964910">
        <w:rPr>
          <w:lang w:val="ru-RU"/>
        </w:rPr>
        <w:t xml:space="preserve">Уровень убедительности рекомендаций </w:t>
      </w:r>
      <w:r w:rsidR="009D14F1">
        <w:t>C</w:t>
      </w:r>
      <w:r w:rsidRPr="00964910">
        <w:rPr>
          <w:lang w:val="ru-RU"/>
        </w:rPr>
        <w:t xml:space="preserve"> (уровень достоверности доказательств 2)</w:t>
      </w:r>
    </w:p>
    <w:p w14:paraId="589F5511" w14:textId="0695F436" w:rsidR="00964910" w:rsidRDefault="00964910" w:rsidP="00964910">
      <w:pPr>
        <w:pStyle w:val="aff2"/>
      </w:pPr>
      <w:r w:rsidRPr="00964910">
        <w:rPr>
          <w:b/>
          <w:i w:val="0"/>
        </w:rPr>
        <w:t>Комментарий</w:t>
      </w:r>
      <w:r w:rsidR="009D14F1" w:rsidRPr="00A83E0C">
        <w:t>:</w:t>
      </w:r>
      <w:r w:rsidRPr="00964910">
        <w:t xml:space="preserve"> </w:t>
      </w:r>
      <w:r w:rsidR="009D14F1">
        <w:t xml:space="preserve">проведенное рандомизированное исследование продемонстрировало преимущество в отношении времени без прогрессирования при применении </w:t>
      </w:r>
      <w:r w:rsidR="00235892">
        <w:t>поддерживающей терапии о</w:t>
      </w:r>
      <w:r w:rsidR="009D14F1">
        <w:t xml:space="preserve">лапарибом в таблетках в дозе 300 мг 2 раза в сутки длительностью до прогрессирования заболевания или непереносимой токсичности при сравнении с плацебо у пациентов </w:t>
      </w:r>
      <w:r w:rsidR="009D14F1" w:rsidRPr="009D14F1">
        <w:t xml:space="preserve">с метастатическим раком поджелудочной железы и патогенными герминальными мутациями в генах </w:t>
      </w:r>
      <w:r w:rsidR="009D14F1" w:rsidRPr="009D14F1">
        <w:rPr>
          <w:lang w:val="en-US"/>
        </w:rPr>
        <w:t>BRCA</w:t>
      </w:r>
      <w:r w:rsidR="009D14F1" w:rsidRPr="009D14F1">
        <w:t xml:space="preserve"> в случае отсутствия прогрессирования после проведения </w:t>
      </w:r>
      <w:r w:rsidR="000F1840">
        <w:t>не менее</w:t>
      </w:r>
      <w:r w:rsidR="009D14F1" w:rsidRPr="009D14F1">
        <w:t xml:space="preserve"> 16 недель платиносодержащей химиотерапии </w:t>
      </w:r>
      <w:r w:rsidR="009D14F1" w:rsidRPr="009D14F1">
        <w:rPr>
          <w:lang w:val="en-US"/>
        </w:rPr>
        <w:t>I</w:t>
      </w:r>
      <w:r w:rsidR="009D14F1" w:rsidRPr="009D14F1">
        <w:t xml:space="preserve"> линии</w:t>
      </w:r>
      <w:r w:rsidR="009D14F1">
        <w:t xml:space="preserve">. </w:t>
      </w:r>
      <w:r w:rsidR="000F15F6" w:rsidRPr="004E104D">
        <w:rPr>
          <w:rFonts w:eastAsia="BlissPro-Light"/>
          <w:szCs w:val="24"/>
        </w:rPr>
        <w:t xml:space="preserve">Допустим более поздний переход на поддерживающую терапию олапарибом, в том числе при сохранении эффекта или стабилизации на фоне поддерживающей химиотерапии фторпиримидинами или </w:t>
      </w:r>
      <w:r w:rsidR="000F15F6" w:rsidRPr="004E104D">
        <w:rPr>
          <w:rFonts w:eastAsia="BlissPro-Light"/>
          <w:szCs w:val="24"/>
          <w:lang w:val="en-US"/>
        </w:rPr>
        <w:t>FOLFIRI</w:t>
      </w:r>
      <w:r w:rsidR="000F15F6" w:rsidRPr="004E104D">
        <w:rPr>
          <w:rFonts w:eastAsia="BlissPro-Light"/>
          <w:szCs w:val="24"/>
        </w:rPr>
        <w:t xml:space="preserve">. </w:t>
      </w:r>
      <w:r w:rsidR="009D14F1" w:rsidRPr="000F15F6">
        <w:rPr>
          <w:szCs w:val="24"/>
        </w:rPr>
        <w:t>Лечение</w:t>
      </w:r>
      <w:r w:rsidR="009D14F1">
        <w:t xml:space="preserve"> олапарибо</w:t>
      </w:r>
      <w:r w:rsidR="00235892">
        <w:t>м</w:t>
      </w:r>
      <w:r w:rsidR="009D14F1">
        <w:t xml:space="preserve"> должно быть начато не позже 8 недель от даты последнего курса химиотерапии. На настоящий момент времени олапариб не продемонстрировал увеличения продолжительности жизни при сравнении с поддерживающей терапией плацебо</w:t>
      </w:r>
      <w:r w:rsidR="00D161AB" w:rsidRPr="00D161AB">
        <w:t xml:space="preserve"> </w:t>
      </w:r>
      <w:r w:rsidR="00C15198">
        <w:fldChar w:fldCharType="begin"/>
      </w:r>
      <w:r w:rsidR="004034C1">
        <w:instrText xml:space="preserve"> ADDIN ZOTERO_ITEM CSL_CITATION {"citationID":"zX6MsigG","properties":{"formattedCitation":"[90]","plainCitation":"[90]","noteIndex":0},"citationItems":[{"id":479,"uris":["http://zotero.org/users/5363772/items/NZ6YSR89",["http://zotero.org/users/5363772/items/NZ6YSR89"]],"itemData":{"id":479,"type":"article-journal","container-title":"New England Journal of Medicine","DOI":"10.1056/NEJMoa1903387","ISSN":"0028-4793","issue":"4","journalAbbreviation":"N Engl J Med","page":"317-327","title":"Maintenance Olaparib for Germline BRCA-Mutated Metastatic Pancreatic Cancer","volume":"381","author":[{"family":"Golan","given":"Talia"},{"family":"Hammel","given":"Pascal"},{"family":"Reni","given":"Michele"},{"family":"Van Cutsem","given":"Eric"},{"family":"Macarulla","given":"Teresa"},{"family":"Hall","given":"Michael J."},{"family":"Park","given":"Joon-Oh"},{"family":"Hochhauser","given":"Daniel"},{"family":"Arnold","given":"Dirk"},{"family":"Oh","given":"Do-Youn"},{"family":"Reinacher-Schick","given":"Anke"},{"family":"Tortora","given":"Giampaolo"},{"family":"Algül","given":"Hana"},{"family":"O’Reilly","given":"Eileen M."},{"family":"McGuinness","given":"David"},{"family":"Cui","given":"Karen Y."},{"family":"Schlienger","given":"Katia"},{"family":"Locker","given":"Gershon Y."},{"family":"Kindler","given":"Hedy L."}],"issued":{"date-parts":[["2019",6,2]]}}}],"schema":"https://github.com/citation-style-language/schema/raw/master/csl-citation.json"} </w:instrText>
      </w:r>
      <w:r w:rsidR="00C15198">
        <w:fldChar w:fldCharType="separate"/>
      </w:r>
      <w:r w:rsidR="004034C1" w:rsidRPr="004034C1">
        <w:t>[90]</w:t>
      </w:r>
      <w:r w:rsidR="00C15198">
        <w:fldChar w:fldCharType="end"/>
      </w:r>
      <w:r w:rsidR="009D14F1">
        <w:t>.</w:t>
      </w:r>
    </w:p>
    <w:p w14:paraId="752D683D" w14:textId="0DEF2DB9" w:rsidR="00FA40AA" w:rsidRDefault="00FA40AA" w:rsidP="00964910">
      <w:pPr>
        <w:pStyle w:val="aff2"/>
      </w:pPr>
      <w:r>
        <w:t>Использование олапариба не в поддерживающей терапии, а в качестве самостоятельного лечения не рекомендуется ввиду низкой клинической эффективности.</w:t>
      </w:r>
    </w:p>
    <w:p w14:paraId="738F43B7" w14:textId="6A4BDA74" w:rsidR="009C734B" w:rsidRPr="00A83E0C" w:rsidRDefault="00E92E1C" w:rsidP="00537A85">
      <w:pPr>
        <w:pStyle w:val="2"/>
      </w:pPr>
      <w:r w:rsidRPr="00A83E0C">
        <w:t xml:space="preserve">При прогрессировании после адъювантной химиотерапии и/или химиотерапии первой линии </w:t>
      </w:r>
      <w:r w:rsidR="00C10B67" w:rsidRPr="00A83E0C">
        <w:t xml:space="preserve">всем </w:t>
      </w:r>
      <w:r w:rsidRPr="00A83E0C">
        <w:t xml:space="preserve">пациентам </w:t>
      </w:r>
      <w:r w:rsidR="00C10B67" w:rsidRPr="00A83E0C">
        <w:t xml:space="preserve">с раком поджелудочной железы </w:t>
      </w:r>
      <w:r w:rsidRPr="00A83E0C">
        <w:t xml:space="preserve">в удовлетворительном состоянии </w:t>
      </w:r>
      <w:r w:rsidRPr="00A83E0C">
        <w:rPr>
          <w:b/>
        </w:rPr>
        <w:t>рекомендуется</w:t>
      </w:r>
      <w:r w:rsidRPr="00A83E0C">
        <w:t xml:space="preserve"> проведение химиотерапии второй линии</w:t>
      </w:r>
      <w:r w:rsidR="00602917" w:rsidRPr="00A83E0C">
        <w:t xml:space="preserve"> с целью контроля симптомов заболевания и увеличения продолжительности жизни</w:t>
      </w:r>
      <w:r w:rsidR="00CB323C" w:rsidRPr="00A83E0C">
        <w:t xml:space="preserve"> </w:t>
      </w:r>
      <w:r w:rsidR="00C15198" w:rsidRPr="00A83E0C">
        <w:fldChar w:fldCharType="begin"/>
      </w:r>
      <w:r w:rsidR="004034C1">
        <w:instrText xml:space="preserve"> ADDIN ZOTERO_ITEM CSL_CITATION {"citationID":"yFb3qb7M","properties":{"formattedCitation":"[91,92]","plainCitation":"[91,92]","noteIndex":0},"citationItems":[{"id":348,"uris":["http://zotero.org/users/5363772/items/IQK4XP8X",["http://zotero.org/users/5363772/items/IQK4XP8X"]],"itemData":{"id":348,"type":"article-journal","abstract":"There remains uncertainty regarding the optimal second-line chemotherapy in advanced pancreatic ductal adenocarcinoma (PDAC). The current recommendation of 5-fluorouracil and oxaliplatin may not be relevant in current practice, as FOLFIRINOX (5-fluorouracil, leucovorin, irinotecan and oxaliplatin) has become a more popular first line therapy in fit patients. The majority of studies in this setting are single-arm Phase II trials with significant heterogeneity of patient populations, treatments and outcomes. In this review, we sought to systematically review and synthesise all prospective data available for the second-line treatment of advanced PDAC.","container-title":"Critical Reviews in Oncology/Hematology","DOI":"10.1016/j.critrevonc.2015.07.007","ISSN":"1040-8428","issue":"3","journalAbbreviation":"Critical Reviews in Oncology/Hematology","page":"483-497","title":"Second-line treatment in inoperable pancreatic adenocarcinoma: A systematic review and synthesis of all clinical trials","volume":"96","author":[{"family":"Nagrial","given":"Adnan M."},{"family":"Chin","given":"Venessa T."},{"family":"Sjoquist","given":"Katrin M."},{"family":"Pajic","given":"Marina"},{"family":"Horvath","given":"Lisa G."},{"family":"Biankin","given":"Andrew V."},{"family":"Yip","given":"Desmond"}],"issued":{"date-parts":[["2015",12,1]]}}},{"id":350,"uris":["http://zotero.org/users/5363772/items/NHJAHX5Z",["http://zotero.org/users/5363772/items/NHJAHX5Z"]],"itemData":{"id":350,"type":"article-journal","abstract":"Objectives We aimed to evaluate clinical factors that can predict second-line chemotherapy benefit in patients with pancreatic cancer. Methods In this retrospective study records of patients who received first-line chemotherapy since 2000 to 2015 were analyzed. A number of clinical and laboratory factors were evaluated for prognostic significance in a multivariate Cox proportional hazards model with overall survival as the end-point. Based on independent prognostic factors the prognostic model was constructed to dichotomize patients into two groups of prognosis. Results Records of 172 patients matched the inclusion criteria. Karnofsky performance status ≤70% and neutrophil-to-lymphocyte ratio &gt;5 at the time of disease progression after first-line chemotherapy were independent poor prognostic factors. Administration of second-line chemotherapy improved outcome only in patients with favorable prognosis: median overall survival increased from 1.7 to 5.5 months for patients who received chemotherapy (n=23) and BSC (n=90), respectively (p=0.002). Median overall survival in the group of poor prognosis were 2.3 and 1.7 months for patients who received chemotherapy (n=20) or only BSC (n=39), respectively (p=0.233). Conclusion This novel prognostic model can potentially predict second-line chemotherapy benefit in patients with pancreatic cancer. However it needs to be validated in further trials.","language":"en","page":"6","source":"Zotero","title":"Clinical Predictors of Second-Line Chemotherapy Benefit in Patients with Pancreatic Cancer","author":[{"family":"Pokataev","given":"Ilya"}],"issued":{"date-parts":[["2017"]]}}}],"schema":"https://github.com/citation-style-language/schema/raw/master/csl-citation.json"} </w:instrText>
      </w:r>
      <w:r w:rsidR="00C15198" w:rsidRPr="00A83E0C">
        <w:fldChar w:fldCharType="separate"/>
      </w:r>
      <w:r w:rsidR="004034C1" w:rsidRPr="004034C1">
        <w:t>[91,92]</w:t>
      </w:r>
      <w:r w:rsidR="00C15198" w:rsidRPr="00A83E0C">
        <w:fldChar w:fldCharType="end"/>
      </w:r>
      <w:r w:rsidR="007A40B8" w:rsidRPr="00A83E0C">
        <w:t>.</w:t>
      </w:r>
    </w:p>
    <w:p w14:paraId="5A25BBD0" w14:textId="77777777" w:rsidR="008E3D0D" w:rsidRPr="00A83E0C" w:rsidRDefault="008E3D0D" w:rsidP="00DC7BE7">
      <w:pPr>
        <w:pStyle w:val="33"/>
        <w:rPr>
          <w:color w:val="auto"/>
          <w:lang w:val="ru-RU"/>
        </w:rPr>
      </w:pPr>
      <w:r w:rsidRPr="00A83E0C">
        <w:rPr>
          <w:color w:val="auto"/>
          <w:lang w:val="ru-RU"/>
        </w:rPr>
        <w:t>Уровен</w:t>
      </w:r>
      <w:r w:rsidR="00E17300" w:rsidRPr="00A83E0C">
        <w:rPr>
          <w:color w:val="auto"/>
          <w:lang w:val="ru-RU"/>
        </w:rPr>
        <w:t xml:space="preserve">ь убедительности рекомендаций </w:t>
      </w:r>
      <w:r w:rsidR="00DC476E" w:rsidRPr="00A83E0C">
        <w:rPr>
          <w:color w:val="auto"/>
        </w:rPr>
        <w:t>B</w:t>
      </w:r>
      <w:r w:rsidRPr="00A83E0C">
        <w:rPr>
          <w:color w:val="auto"/>
          <w:lang w:val="ru-RU"/>
        </w:rPr>
        <w:t xml:space="preserve"> (уровен</w:t>
      </w:r>
      <w:r w:rsidR="00E17300" w:rsidRPr="00A83E0C">
        <w:rPr>
          <w:color w:val="auto"/>
          <w:lang w:val="ru-RU"/>
        </w:rPr>
        <w:t xml:space="preserve">ь достоверности доказательств </w:t>
      </w:r>
      <w:r w:rsidR="00DC476E" w:rsidRPr="00A83E0C">
        <w:rPr>
          <w:color w:val="auto"/>
          <w:lang w:val="ru-RU"/>
        </w:rPr>
        <w:t>3</w:t>
      </w:r>
      <w:r w:rsidRPr="00A83E0C">
        <w:rPr>
          <w:color w:val="auto"/>
          <w:lang w:val="ru-RU"/>
        </w:rPr>
        <w:t>)</w:t>
      </w:r>
    </w:p>
    <w:p w14:paraId="74A30FF9" w14:textId="21485FBA" w:rsidR="008E3D0D" w:rsidRPr="00A83E0C" w:rsidRDefault="008E3D0D" w:rsidP="00AB423C">
      <w:pPr>
        <w:pStyle w:val="aff2"/>
        <w:ind w:firstLine="708"/>
      </w:pPr>
      <w:r w:rsidRPr="00A83E0C">
        <w:rPr>
          <w:b/>
          <w:i w:val="0"/>
        </w:rPr>
        <w:lastRenderedPageBreak/>
        <w:t>Комментарий</w:t>
      </w:r>
      <w:r w:rsidRPr="00A83E0C">
        <w:t xml:space="preserve">: </w:t>
      </w:r>
      <w:r w:rsidR="002B42E0" w:rsidRPr="00A83E0C">
        <w:t xml:space="preserve">Химиотерапия </w:t>
      </w:r>
      <w:r w:rsidR="002B42E0" w:rsidRPr="00A83E0C">
        <w:rPr>
          <w:lang w:val="en-US"/>
        </w:rPr>
        <w:t>II</w:t>
      </w:r>
      <w:r w:rsidR="002B42E0" w:rsidRPr="00A83E0C">
        <w:t xml:space="preserve"> линии может быть рекомендована пациентам в удовлетворительном состоянии (</w:t>
      </w:r>
      <w:r w:rsidR="00817488">
        <w:t xml:space="preserve">статус </w:t>
      </w:r>
      <w:r w:rsidR="002B42E0" w:rsidRPr="00A83E0C">
        <w:rPr>
          <w:lang w:val="en-US"/>
        </w:rPr>
        <w:t>ECOG</w:t>
      </w:r>
      <w:r w:rsidR="002B42E0" w:rsidRPr="00A83E0C">
        <w:t xml:space="preserve"> 0-1) и отдельным пациентам в состоянии средней тяжести (</w:t>
      </w:r>
      <w:r w:rsidR="00817488">
        <w:t xml:space="preserve">статус </w:t>
      </w:r>
      <w:r w:rsidR="002B42E0" w:rsidRPr="00A83E0C">
        <w:rPr>
          <w:lang w:val="en-US"/>
        </w:rPr>
        <w:t>ECOG</w:t>
      </w:r>
      <w:r w:rsidR="002B42E0" w:rsidRPr="00A83E0C">
        <w:t xml:space="preserve"> 2)</w:t>
      </w:r>
      <w:r w:rsidR="00EA7396" w:rsidRPr="00A83E0C">
        <w:t xml:space="preserve"> (Приложение Г1)</w:t>
      </w:r>
      <w:r w:rsidR="002B42E0" w:rsidRPr="00A83E0C">
        <w:t xml:space="preserve">, связанном с распространением опухолевого процесса, если эффект химиотерапии позволяет рассчитывать на улучшение общего состояния. Пациентам в тяжелом общем состоянии </w:t>
      </w:r>
      <w:r w:rsidR="00817488" w:rsidRPr="00A83E0C">
        <w:t>(</w:t>
      </w:r>
      <w:r w:rsidR="00817488">
        <w:t xml:space="preserve">статус </w:t>
      </w:r>
      <w:r w:rsidR="00817488" w:rsidRPr="00A83E0C">
        <w:rPr>
          <w:lang w:val="en-US"/>
        </w:rPr>
        <w:t>ECOG</w:t>
      </w:r>
      <w:r w:rsidR="00817488" w:rsidRPr="00A83E0C">
        <w:t xml:space="preserve"> </w:t>
      </w:r>
      <w:r w:rsidR="00817488">
        <w:t>3-4</w:t>
      </w:r>
      <w:r w:rsidR="00817488" w:rsidRPr="00A83E0C">
        <w:t xml:space="preserve">) </w:t>
      </w:r>
      <w:r w:rsidR="002B42E0" w:rsidRPr="00A83E0C">
        <w:t xml:space="preserve">рекомендуется только симптоматическое лечение. </w:t>
      </w:r>
      <w:r w:rsidR="00E92E1C" w:rsidRPr="00A83E0C">
        <w:t>В случае, если прогрессирование развилось более чем через 6 месяцев после прекращения предыдущей химиотерапии, целесообразно возобновление той же химиотерапии. В противном случае рекомендуется начать химиотерапию</w:t>
      </w:r>
      <w:r w:rsidR="002B42E0" w:rsidRPr="00A83E0C">
        <w:t xml:space="preserve"> другими препаратами.</w:t>
      </w:r>
      <w:r w:rsidR="00E92E1C" w:rsidRPr="00A83E0C">
        <w:t xml:space="preserve"> </w:t>
      </w:r>
      <w:r w:rsidR="00D771D1">
        <w:t xml:space="preserve">Однако при исчерпанности других опций лекарственного лечения реинтродукция ранее использованных противоопухолевых препаратов может быть использована, если ранее не было зарегистрировано прогрессирования заболевания на фоне данной терапии или при первой оценке эффекта после ее завершения. </w:t>
      </w:r>
      <w:r w:rsidRPr="00A83E0C">
        <w:t xml:space="preserve">Рекомендуемые режимы химиотерапии II линии при раке поджелудочной железы суммированы в таблице </w:t>
      </w:r>
      <w:r w:rsidR="00FB695C" w:rsidRPr="00A83E0C">
        <w:t>5</w:t>
      </w:r>
      <w:r w:rsidR="00C15198" w:rsidRPr="00A83E0C">
        <w:fldChar w:fldCharType="begin"/>
      </w:r>
      <w:r w:rsidR="004034C1">
        <w:instrText xml:space="preserve"> ADDIN ZOTERO_ITEM CSL_CITATION {"citationID":"d2r2nTkO","properties":{"formattedCitation":"[93\\uc0\\u8211{}97]","plainCitation":"[93–97]","noteIndex":0},"citationItems":[{"id":269,"uris":["http://zotero.org/users/5363772/items/SHC5VNG4",["http://zotero.org/users/5363772/items/SHC5VNG4"]],"itemData":{"id":269,"type":"article-journal","abstract":"&lt;i&gt;Objective:&lt;/i&gt; To date, no standard regimen for salvage chemotherapy after gemcitabine (Gem) failure has been defined for patients with advanced pancreatic cancer (PC). Oral capecitabine (Cap) has shown promising activity in first-line chemotherapy trials in PC patients. &lt;i&gt;Methods:&lt;/i&gt; Within a prospective single-center study, Cap was offered to patients who had already received at least 1 previous treatment regimen containing full-dose Gem (as a single agent, as part of a combination chemotherapy regimen or sequentially within a chemoradiotherapy protocol). Cap was administered orally at a dose of 1,250 mg/m&lt;sup&gt;2&lt;/sup&gt; twice daily for 14 days followed by 7 days of rest. Study endpoints were objective tumor response rate by imaging criteria (according to RECIST), carbohydrate antigen 19-9 (CA19-9) tumor marker response, time to progression, overall survival and toxicity. &lt;i&gt;Results:&lt;/i&gt; A median of 3 treatment cycles (range 1–36) was given to 39 patients. After a median follow-up of 6.6 months, 27 patients were evaluable for response: no complete or partial responses were observed, but 15 patients (39%) had stable disease. A CA19-9 reduction of &gt;20% after 2 cycles of Cap was documented in 6 patients (15%). Median time to progression was 2.3 months (range 0.5–45.1) and median overall survival (since start of Cap treatment) was 7.6 months (range 0.7–45.1). Predominant grade 2 and 3 toxicities (per patient analysis) were hand-foot syndrome 28% (13% grade 3); anemia 23%; leg edema 15%; diarrhea 13%; nausea/vomiting 10%, and leukocytopenia 10%. &lt;i&gt;Conclusion:&lt;/i&gt; Single-agent Cap is a safe treatment option for Gem-pretreated patients with advanced PC. Further evaluation of Cap in controlled clinical trials of Gem-pretreated patients with advanced PC is recommended.","container-title":"Oncology","DOI":"10.1159/000127413","ISSN":"0030-2414","issue":"3-4","journalAbbreviation":"Oncology","page":"221-227","title":"Oral Capecitabine in Gemcitabine-Pretreated Patients with Advanced Pancreatic Cancer","volume":"73","author":[{"family":"Boeck","given":"S."},{"family":"Wilkowski","given":"R."},{"family":"Bruns","given":"C.J."},{"family":"Issels","given":"R.D."},{"family":"Schulz","given":"C."},{"family":"Moosmann","given":"N."},{"family":"Laessig","given":"D."},{"family":"Haas","given":"M."},{"family":"Golf","given":"A."},{"family":"Heinemann","given":"V."}],"issued":{"date-parts":[["2007"]]}}},{"id":270,"uris":["http://zotero.org/users/5363772/items/V8WU5KNP",["http://zotero.org/users/5363772/items/V8WU5KNP"]],"itemData":{"id":270,"type":"article-journal","abstract":"Objective: \nA phase II study was performed to assess the activity of oxaliplatin plus 5-fluorouracil (5-FU) modulated by leucovorin, as second-line treatment in locally advanced or metastatic pancreas adenocarcinoma pretreated with gemcitabine-containing schedule.\nMethods:\nPatients received weekly intravenous infusions of oxaliplatin 40 mg/m2, 5-FU 500 mg/m2, and leucovorin 250 mg/m2 (3 weeks on, 1 week off).\nResults:\nTwenty-three patients affected with metastatic (16) or locally advanced (7) pancreas adenocarcinoma were involved in this study. A total of 148 weeks of chemotherapy was delivered (median 2 courses each patient). Among 17 assessable patients, no objective response was registered and 4 patients had stable disease, whereas 13 had tumor progression. Median duration of stable disease was 14 weeks. Median time to progression of disease (TTP) was 11.6 weeks [95% confidence interval (CI), 7.6–5.6]. Kaplan-Meier estimated median overall survival (OS) was 17.1 week (95% CI, 4.0–30.1) and 3 months survival rate was 69.6%. Seven patients experienced grade 3 to 4 toxicity. The regimen was associated with 36% clinical benefit.\nConclusions:\nThe median TTP and median OS in this population with poor prognosis suggests some activity, however, only further investigations will be able to establish the clinical value of this combination.","container-title":"American Journal of Clinical Oncology","ISSN":"0277-3732","issue":"1","title":"Oxaliplatin, 5-Fluorouracil, and Leucovorin as Second-Line Treatment for Advanced Pancreatic Cancer","URL":"https://journals.lww.com/amjclinicaloncology/Fulltext/2009/02000/Oxaliplatin,_5_Fluorouracil,_and_Leucovorin_as.10.aspx","volume":"32","author":[{"family":"Novarino","given":"Anna"},{"family":"Satolli","given":"Maria Antonietta"},{"family":"Chiappino","given":"Isabella"},{"family":"Giacobino","given":"Alice"},{"family":"Bellone","given":"Graziella"},{"family":"Rahimi","given":"Farnaz"},{"family":"Milanesi","given":"Enrica"},{"family":"Bertetto","given":"Oscar"},{"family":"Ciuffreda","given":"Libero"}],"issued":{"date-parts":[["2009"]]}}},{"id":271,"uris":["http://zotero.org/users/5363772/items/2QIXGDBJ",["http://zotero.org/users/5363772/items/2QIXGDBJ"]],"itemData":{"id":271,"type":"article-journal","abstract":"Abstract BACKGROUND. To the authors' knowledge, there is no established second-line chemotherapy for patients with pancreatic cancer who have received gemcitabine-based therapy. A phase 2 trial was conducted to explore the efficacy of capecitabine and oxaliplatin (XELOX) in patients with advanced pancreatic cancer previously who were treated with gemcitabine. METHODS. Patients aged ≤65 years who had an Eastern Cooperative Oncology Group (ECOG) performance status (PS) of 0 to 1 received oxaliplatin at a dose of 130 mg/m2 given on Day 1 and capecitabine at a dose of 1000 mg/m2 twice daily for 14 days. For patients aged &gt;65 years or with an ECOG PS of 2, the oxaliplatin dose was 110 mg/m2 on Day 1 and the capecitabine dose was 750 mg/m2 twice daily for 14 days. The treatment was repeated every 3 weeks. Tumor measurements were performed every 9 weeks and the primary study objective was 6-month overall survival. RESULTS. The study enrolled 41 patients. Of the 39 evaluable patients, 1 patient had a partial response and 10 patients demonstrated stable disease. The Kaplan-Meier estimate of the overall median survival was 23 weeks (95% confidence interval [95% CI], 17.0-31.0 weeks). Progression-free survival was 9.9 weeks (95% CI, 9.6-14.5 weeks). The 6-month and 1-year survival rates were 44% (95% CI, 31%-62%) and 21% (95% CI, 11%-38%), respectively. The most common grade 3-4 nonhematologic toxicity was fatigue (toxicity was graded using the National Cancer Institute Common Toxicity Criteria [version 2.0]). CONCLUSIONS. The combination of capecitabine and oxaliplatin is active in gemcitabine-pretreated patients with advanced pancreatic cancer, especially in patients with a good PS and those who have responded to first-line chemotherapy. Cancer 2008. ? 2008 American Cancer Society.","container-title":"Cancer","DOI":"10.1002/cncr.23810","ISSN":"0008-543X","issue":"8","journalAbbreviation":"Cancer","page":"2046-2052","title":"Phase 2 trial of oxaliplatin plus capecitabine (XELOX) as second-line therapy for patients with advanced pancreatic cancer","volume":"113","author":[{"family":"Xiong","given":"Henry Q."},{"family":"Varadhachary","given":"Gauri R."},{"family":"Blais","given":"Joan C."},{"family":"Hess","given":"Kenneth R."},{"family":"Abbruzzese","given":"James L."},{"family":"Wolff","given":"Robert A."}],"issued":{"date-parts":[["2008",10,15]]}}},{"id":273,"uris":["http://zotero.org/users/5363772/items/MGMYSJZY",["http://zotero.org/users/5363772/items/MGMYSJZY"]],"itemData":{"id":273,"type":"article-journal","abstract":"AIM: To evaluate the efficacy and safety of the FOLFIRI regimen in patients with metastatic pancreatic adenocarcinoma (PAC) after the failure of gemcitabine and platinum salts. METHODS: All consecutive patients with histologically confirmed, metastatic PAC and World Health Organization performance status (PS) ≤ 2 received FOLFIRI-1 [irinotecan 180 mg/m(2) on day 1 and leucovorin 400 mg/m(2) followed by 5-fluorouracil (5-FU) 400 mg/m(2) bolus, then 5-FU 2400 mg/m(2) as a 46-h infusion, biweekly] or FOLFIRI-3 (irinotecan 100 mg/m(2) on day 1 and leucovorin 400 mg/m(2), then 5-FU 2400 mg/m(2) as a 46-h infusion and irinotecan 100 mg/m(2) repeated on day 3, biweekly) after failure of gemcitabine and platinum-based chemotherapies as a systematic policy in two institutions between January 2005 and May 2010. Tumor response, time to progression (TTP), overall survival rate (OS) and grade 3-4 toxicities were retrospectively studied. Subgroup analyses were performed to search for prognostic factors. RESULTS: Sixty-three patients (52.4% male, median age 59 years) were analyzed. Among them, 42.9% were PS 0, 38.1% were PS 1 and 19.0% were PS 2. Fifty one patients (81.0%) had liver metastases. Before the FOLFIRI regimen, patients had received 1 line (n = 19), 2 lines (n = 39) or 3 lines (n = 5) of chemotherapy. Median TTP obtained with the line before FOLFIRI was 3.9 mo (95% CI: 3.4-5.3 mo). A total of 480 cycles was completed (median: 6 cycles, range: 1-51 cycles). The main reason for discontinuing FOLFIRI was tumor progression (90.3%). Tumor control was achieved in 25 patients (39.7%) (partial response: n = 5, stable disease: n = 20) with FOLFIRI. Median TTP was 3.0 mo (95% CI: 2.1-3.9 mo) and median OS was 6.6 mo (95% CI: 5.3-8.1 mo). Dose adaptation was required in 36 patients (57.1%). Fifteen patients (23.8%) had grade 3-4 toxicities, mainly hematological (n = 11) or digestive (n = 4). Febrile neutropenia occurred in 3 patients. There was no toxic death. PS 2 was significantly associated with poor TTP [hazard ratio (HR): 16.036, P &lt; 0.0001] and OS (HR: 4.003, P = 0.004). CONCLUSION: The FOLFIRI regimen had an acceptable toxicity and an interesting efficacy in our study, limited to patients in good condition (PS 0-1).","archive":"PubMed","archive_location":"22969226","container-title":"World journal of gastroenterology","DOI":"10.3748/wjg.v18.i33.4533","ISSN":"2219-2840","issue":"33","journalAbbreviation":"World J Gastroenterol","language":"eng","page":"4533-4541","title":"FOLFIRI regimen in metastatic pancreatic adenocarcinoma resistant to gemcitabine and platinum-salts","volume":"18","author":[{"family":"Neuzillet","given":"Cindy"},{"family":"Hentic","given":"Olivia"},{"family":"Rousseau","given":"Benoît"},{"family":"Rebours","given":"Vinciane"},{"family":"Bengrine-Lefèvre","given":"Léïla"},{"family":"Bonnetain","given":"Franck"},{"family":"Lévy","given":"Philippe"},{"family":"Raymond","given":"Eric"},{"family":"Ruszniewski","given":"Philippe"},{"family":"Louvet","given":"Christophe"},{"family":"Hammel","given":"Pascal"}],"issued":{"date-parts":[["2012",9,7]]}}},{"id":275,"uris":["http://zotero.org/users/5363772/items/MNT2I45Z",["http://zotero.org/users/5363772/items/MNT2I45Z"]],"itemData":{"id":275,"type":"article-journal","container-title":"New England Journal of Medicine","DOI":"10.1056/NEJMoa0903230","ISSN":"0028-4793","issue":"2","journalAbbreviation":"N Engl J Med","page":"129-137","title":"Preoperative Biliary Drainage for Cancer of the Head of the Pancreas","volume":"362","author":[{"family":"Gaag","given":"Niels A.","non-dropping-particle":"van der"},{"family":"Rauws","given":"Erik A.J."},{"family":"Eijck","given":"Casper H.J.","non-dropping-particle":"van"},{"family":"Bruno","given":"Marco J."},{"family":"Harst","given":"Erwin","non-dropping-particle":"van der"},{"family":"Kubben","given":"Frank J.G.M."},{"family":"Gerritsen","given":"Josephus J.G.M."},{"family":"Greve","given":"Jan Willem"},{"family":"Gerhards","given":"Michael F."},{"family":"Hingh","given":"Ignace H.J.T.","non-dropping-particle":"de"},{"family":"Klinkenbijl","given":"Jean H."},{"family":"Nio","given":"Chung Y."},{"family":"Castro","given":"Steve M.M.","non-dropping-particle":"de"},{"family":"Busch","given":"Olivier R.C."},{"family":"Gulik","given":"Thomas M.","non-dropping-particle":"van"},{"family":"Bossuyt","given":"Patrick M.M."},{"family":"Gouma","given":"Dirk J."}],"issued":{"date-parts":[["2010",1,14]]}}}],"schema":"https://github.com/citation-style-language/schema/raw/master/csl-citation.json"} </w:instrText>
      </w:r>
      <w:r w:rsidR="00C15198" w:rsidRPr="00A83E0C">
        <w:fldChar w:fldCharType="separate"/>
      </w:r>
      <w:r w:rsidR="004034C1" w:rsidRPr="004034C1">
        <w:rPr>
          <w:szCs w:val="24"/>
        </w:rPr>
        <w:t>[93–97]</w:t>
      </w:r>
      <w:r w:rsidR="00C15198" w:rsidRPr="00A83E0C">
        <w:fldChar w:fldCharType="end"/>
      </w:r>
      <w:r w:rsidRPr="00A83E0C">
        <w:t xml:space="preserve">. </w:t>
      </w:r>
    </w:p>
    <w:p w14:paraId="2EA8B580" w14:textId="77777777" w:rsidR="008E3D0D" w:rsidRPr="00A83E0C" w:rsidRDefault="008E3D0D" w:rsidP="009B53C5">
      <w:pPr>
        <w:pStyle w:val="aff2"/>
        <w:ind w:firstLine="0"/>
      </w:pPr>
      <w:r w:rsidRPr="00A83E0C">
        <w:t xml:space="preserve">Таблица </w:t>
      </w:r>
      <w:r w:rsidR="00FB695C" w:rsidRPr="00A83E0C">
        <w:t>5</w:t>
      </w:r>
      <w:r w:rsidRPr="00A83E0C">
        <w:t xml:space="preserve">. Химиотерапия II </w:t>
      </w:r>
      <w:r w:rsidR="001E1F02" w:rsidRPr="00A83E0C">
        <w:t>линии рака поджелудочной железы</w:t>
      </w:r>
    </w:p>
    <w:tbl>
      <w:tblPr>
        <w:tblStyle w:val="13"/>
        <w:tblW w:w="9464" w:type="dxa"/>
        <w:tblLook w:val="04A0" w:firstRow="1" w:lastRow="0" w:firstColumn="1" w:lastColumn="0" w:noHBand="0" w:noVBand="1"/>
      </w:tblPr>
      <w:tblGrid>
        <w:gridCol w:w="4077"/>
        <w:gridCol w:w="5387"/>
      </w:tblGrid>
      <w:tr w:rsidR="00FD133D" w:rsidRPr="00D161AB" w14:paraId="35D5B35C" w14:textId="77777777" w:rsidTr="00724815">
        <w:trPr>
          <w:trHeight w:val="210"/>
        </w:trPr>
        <w:tc>
          <w:tcPr>
            <w:tcW w:w="4077" w:type="dxa"/>
            <w:hideMark/>
          </w:tcPr>
          <w:p w14:paraId="1947B4A9" w14:textId="77777777" w:rsidR="001257F9" w:rsidRPr="00D161AB" w:rsidRDefault="001257F9" w:rsidP="00482166">
            <w:pPr>
              <w:tabs>
                <w:tab w:val="left" w:pos="284"/>
              </w:tabs>
              <w:spacing w:line="240" w:lineRule="auto"/>
              <w:ind w:firstLine="0"/>
              <w:jc w:val="center"/>
              <w:rPr>
                <w:rFonts w:eastAsia="MS Mincho"/>
                <w:i/>
                <w:lang w:val="ru-RU" w:eastAsia="ja-JP"/>
              </w:rPr>
            </w:pPr>
            <w:r w:rsidRPr="00D161AB">
              <w:rPr>
                <w:rFonts w:eastAsia="MS Mincho"/>
                <w:i/>
                <w:lang w:val="ru-RU" w:eastAsia="ja-JP"/>
              </w:rPr>
              <w:t>Режим химиотерапии (лечение до прогрессирования/неприемлемой токсичности)</w:t>
            </w:r>
          </w:p>
        </w:tc>
        <w:tc>
          <w:tcPr>
            <w:tcW w:w="5387" w:type="dxa"/>
            <w:vAlign w:val="center"/>
            <w:hideMark/>
          </w:tcPr>
          <w:p w14:paraId="6EEA83F8" w14:textId="77777777" w:rsidR="001257F9" w:rsidRPr="00D161AB" w:rsidRDefault="001257F9" w:rsidP="00482166">
            <w:pPr>
              <w:tabs>
                <w:tab w:val="left" w:pos="284"/>
              </w:tabs>
              <w:spacing w:line="240" w:lineRule="auto"/>
              <w:ind w:firstLine="0"/>
              <w:jc w:val="center"/>
              <w:rPr>
                <w:rFonts w:eastAsia="MS Mincho"/>
                <w:i/>
                <w:lang w:val="ru-RU" w:eastAsia="ja-JP"/>
              </w:rPr>
            </w:pPr>
            <w:r w:rsidRPr="00D161AB">
              <w:rPr>
                <w:rFonts w:eastAsia="MS Mincho"/>
                <w:i/>
                <w:lang w:val="ru-RU" w:eastAsia="ja-JP"/>
              </w:rPr>
              <w:t>Критерии отбора пациентов</w:t>
            </w:r>
          </w:p>
        </w:tc>
      </w:tr>
      <w:tr w:rsidR="00FD133D" w:rsidRPr="0060277C" w14:paraId="021CE94E" w14:textId="77777777" w:rsidTr="00EA7396">
        <w:trPr>
          <w:trHeight w:val="3074"/>
        </w:trPr>
        <w:tc>
          <w:tcPr>
            <w:tcW w:w="4077" w:type="dxa"/>
            <w:hideMark/>
          </w:tcPr>
          <w:p w14:paraId="624EAA69" w14:textId="7AE26400" w:rsidR="001257F9" w:rsidRPr="00D161AB" w:rsidRDefault="002A790A" w:rsidP="00D317A4">
            <w:pPr>
              <w:tabs>
                <w:tab w:val="left" w:pos="284"/>
              </w:tabs>
              <w:spacing w:line="240" w:lineRule="auto"/>
              <w:ind w:firstLine="0"/>
              <w:rPr>
                <w:rFonts w:eastAsia="MS Mincho"/>
                <w:i/>
                <w:lang w:val="ru-RU" w:eastAsia="ja-JP"/>
              </w:rPr>
            </w:pPr>
            <w:r w:rsidRPr="00D161AB">
              <w:rPr>
                <w:rFonts w:eastAsia="MS Mincho"/>
                <w:i/>
                <w:lang w:val="ru-RU" w:eastAsia="ja-JP"/>
              </w:rPr>
              <w:t>#</w:t>
            </w:r>
            <w:r w:rsidR="00B006B8" w:rsidRPr="00D161AB">
              <w:rPr>
                <w:rFonts w:eastAsia="MS Mincho"/>
                <w:i/>
                <w:lang w:val="ru-RU" w:eastAsia="ja-JP"/>
              </w:rPr>
              <w:t>П</w:t>
            </w:r>
            <w:r w:rsidR="001257F9" w:rsidRPr="00D161AB">
              <w:rPr>
                <w:rFonts w:eastAsia="MS Mincho"/>
                <w:i/>
                <w:lang w:val="ru-RU" w:eastAsia="ja-JP"/>
              </w:rPr>
              <w:t>аклитаксел</w:t>
            </w:r>
            <w:r w:rsidR="00B006B8" w:rsidRPr="00D161AB">
              <w:rPr>
                <w:rFonts w:eastAsia="MS Mincho"/>
                <w:i/>
                <w:lang w:val="ru-RU" w:eastAsia="ja-JP"/>
              </w:rPr>
              <w:t>+альбумин</w:t>
            </w:r>
            <w:r w:rsidR="001257F9" w:rsidRPr="00D161AB">
              <w:rPr>
                <w:rFonts w:eastAsia="MS Mincho"/>
                <w:i/>
                <w:lang w:val="ru-RU" w:eastAsia="ja-JP"/>
              </w:rPr>
              <w:t xml:space="preserve"> 100-125 мг/м</w:t>
            </w:r>
            <w:r w:rsidR="001257F9" w:rsidRPr="00D161AB">
              <w:rPr>
                <w:rFonts w:eastAsia="MS Mincho"/>
                <w:i/>
                <w:vertAlign w:val="superscript"/>
                <w:lang w:val="ru-RU" w:eastAsia="ja-JP"/>
              </w:rPr>
              <w:t>2</w:t>
            </w:r>
            <w:r w:rsidR="001257F9" w:rsidRPr="00D161AB">
              <w:rPr>
                <w:rFonts w:eastAsia="MS Mincho"/>
                <w:i/>
                <w:lang w:val="ru-RU" w:eastAsia="ja-JP"/>
              </w:rPr>
              <w:t xml:space="preserve"> в/в капельно 30 минут + </w:t>
            </w:r>
            <w:r w:rsidRPr="00D161AB">
              <w:rPr>
                <w:rFonts w:eastAsia="MS Mincho"/>
                <w:i/>
                <w:lang w:val="ru-RU" w:eastAsia="ja-JP"/>
              </w:rPr>
              <w:t>#</w:t>
            </w:r>
            <w:r w:rsidR="007478A2" w:rsidRPr="00D161AB">
              <w:rPr>
                <w:rFonts w:eastAsia="MS Mincho"/>
                <w:i/>
                <w:iCs/>
                <w:lang w:val="ru-RU" w:eastAsia="ja-JP"/>
              </w:rPr>
              <w:t>гемцитабин</w:t>
            </w:r>
            <w:r w:rsidRPr="00D161AB">
              <w:rPr>
                <w:i/>
                <w:lang w:val="ru-RU"/>
              </w:rPr>
              <w:t>**</w:t>
            </w:r>
            <w:r w:rsidR="001257F9" w:rsidRPr="00D161AB">
              <w:rPr>
                <w:rFonts w:eastAsia="MS Mincho"/>
                <w:i/>
                <w:lang w:val="ru-RU" w:eastAsia="ja-JP"/>
              </w:rPr>
              <w:t xml:space="preserve"> 750-1000 мг/м</w:t>
            </w:r>
            <w:r w:rsidR="001257F9" w:rsidRPr="00D161AB">
              <w:rPr>
                <w:rFonts w:eastAsia="MS Mincho"/>
                <w:i/>
                <w:vertAlign w:val="superscript"/>
                <w:lang w:val="ru-RU" w:eastAsia="ja-JP"/>
              </w:rPr>
              <w:t>2</w:t>
            </w:r>
            <w:r w:rsidR="002D738B" w:rsidRPr="00D161AB">
              <w:rPr>
                <w:rFonts w:eastAsia="MS Mincho"/>
                <w:i/>
                <w:lang w:val="ru-RU" w:eastAsia="ja-JP"/>
              </w:rPr>
              <w:t xml:space="preserve"> в/в капельно 30 минут </w:t>
            </w:r>
            <w:r w:rsidR="001257F9" w:rsidRPr="00D161AB">
              <w:rPr>
                <w:rFonts w:eastAsia="MS Mincho"/>
                <w:i/>
                <w:lang w:val="ru-RU" w:eastAsia="ja-JP"/>
              </w:rPr>
              <w:t>в 1,8,15 дни 28-дневного цикла</w:t>
            </w:r>
            <w:r w:rsidR="00CB323C" w:rsidRPr="00D161AB">
              <w:rPr>
                <w:rFonts w:eastAsia="MS Mincho"/>
                <w:i/>
                <w:lang w:val="ru-RU" w:eastAsia="ja-JP"/>
              </w:rPr>
              <w:t xml:space="preserve"> </w:t>
            </w:r>
            <w:r w:rsidR="00C15198" w:rsidRPr="00D161AB">
              <w:rPr>
                <w:rFonts w:eastAsia="MS Mincho"/>
                <w:i/>
                <w:lang w:val="ru-RU" w:eastAsia="ja-JP"/>
              </w:rPr>
              <w:fldChar w:fldCharType="begin"/>
            </w:r>
            <w:r w:rsidR="004034C1">
              <w:rPr>
                <w:rFonts w:eastAsia="MS Mincho"/>
                <w:i/>
                <w:lang w:val="ru-RU" w:eastAsia="ja-JP"/>
              </w:rPr>
              <w:instrText xml:space="preserve"> ADDIN ZOTERO_ITEM CSL_CITATION {"citationID":"86IIj51A","properties":{"formattedCitation":"[98]","plainCitation":"[98]","noteIndex":0},"citationItems":[{"id":1059,"uris":["http://zotero.org/users/5363772/items/CM49PX6C",["http://zotero.org/users/5363772/items/CM49PX6C"]],"itemData":{"id":1059,"type":"article-journal","abstract":"FOLFIRINOX (FX) and gemcitabine (GEM) plus nab-paclitaxel (GnP) have been reported as effective regimens for unresectable advanced pancreatic cancer (APC). FX may be more effective but is also associated with more adverse events (AEs). Therefore, first-line treatment with FX followed by second-line GnP may be appropriate. Aims: To assess the safety and efficacy of second-line GnP for patients with APC after first-line FX failure. Methods: This study was a multicenter prospective phase II study evaluating second-line GnP in patients with APC after failed first-line FX. The primary endpoint was response rate (RR), and the secondary endpoints were overall survival (OS), progression free survival (PFS), and the frequency and degree of adverse events (AEs). Results: Thirty patients (14 male; median age, 64 years) were enrolled. The RR was 13.3%, with a median follow-up time of 9.3 months. The median OS and PFS were 7.6 and 3.8 months, respectively. From the beginning of first-line treatment, the median OS and PFS were 14.2 and 9.3 months, respectively. Grade 3 or 4 AEs were seen in 70% of patients. Conclusion: Second-line GnP after FX failure for patients with APC could be more effective than GEM alone. Further comparison studies are warranted.","container-title":"Journal of Clinical Medicine","DOI":"10.3390/jcm8060761","ISSN":"2077-0383","issue":"6","journalAbbreviation":"JCM","language":"en","page":"761","source":"DOI.org (Crossref)","title":"Second-Line Gemcitabine Plus Nab-Paclitaxel for Patients with Unresectable Advanced Pancreatic Cancer after First-Line FOLFIRINOX Failure","volume":"8","author":[{"family":"Mita","given":"Naoki"},{"family":"Iwashita","given":"Takuji"},{"family":"Uemura","given":"Shinya"},{"family":"Yoshida","given":"Kensaku"},{"family":"Iwasa","given":"Yuhei"},{"family":"Ando","given":"Nobuhiro"},{"family":"Iwata","given":"Keisuke"},{"family":"Okuno","given":"Mitsuru"},{"family":"Mukai","given":"Tsuyoshi"},{"family":"Shimizu","given":"Masahito"}],"issued":{"date-parts":[["2019",5,29]]}}}],"schema":"https://github.com/citation-style-language/schema/raw/master/csl-citation.json"} </w:instrText>
            </w:r>
            <w:r w:rsidR="00C15198" w:rsidRPr="00D161AB">
              <w:rPr>
                <w:rFonts w:eastAsia="MS Mincho"/>
                <w:i/>
                <w:lang w:val="ru-RU" w:eastAsia="ja-JP"/>
              </w:rPr>
              <w:fldChar w:fldCharType="separate"/>
            </w:r>
            <w:r w:rsidR="004034C1" w:rsidRPr="004034C1">
              <w:rPr>
                <w:lang w:val="ru-RU"/>
              </w:rPr>
              <w:t>[98]</w:t>
            </w:r>
            <w:r w:rsidR="00C15198" w:rsidRPr="00D161AB">
              <w:rPr>
                <w:rFonts w:eastAsia="MS Mincho"/>
                <w:i/>
                <w:lang w:val="ru-RU" w:eastAsia="ja-JP"/>
              </w:rPr>
              <w:fldChar w:fldCharType="end"/>
            </w:r>
          </w:p>
        </w:tc>
        <w:tc>
          <w:tcPr>
            <w:tcW w:w="5387" w:type="dxa"/>
            <w:hideMark/>
          </w:tcPr>
          <w:p w14:paraId="7EEC5DC0" w14:textId="77777777" w:rsidR="001257F9" w:rsidRPr="00D161AB" w:rsidRDefault="001257F9"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Ранее не использовался гемцитабин</w:t>
            </w:r>
            <w:r w:rsidR="002A790A" w:rsidRPr="00D161AB">
              <w:rPr>
                <w:i/>
                <w:lang w:val="ru-RU"/>
              </w:rPr>
              <w:t>**</w:t>
            </w:r>
            <w:r w:rsidR="00A84137" w:rsidRPr="00D161AB">
              <w:rPr>
                <w:rFonts w:eastAsia="MS Mincho"/>
                <w:i/>
                <w:lang w:val="ru-RU" w:eastAsia="ja-JP"/>
              </w:rPr>
              <w:t xml:space="preserve"> и </w:t>
            </w:r>
            <w:r w:rsidRPr="00D161AB">
              <w:rPr>
                <w:rFonts w:eastAsia="MS Mincho"/>
                <w:i/>
                <w:lang w:val="ru-RU" w:eastAsia="ja-JP"/>
              </w:rPr>
              <w:t>паклитаксел</w:t>
            </w:r>
            <w:r w:rsidR="00B006B8" w:rsidRPr="00D161AB">
              <w:rPr>
                <w:rFonts w:eastAsia="MS Mincho"/>
                <w:i/>
                <w:lang w:val="ru-RU" w:eastAsia="ja-JP"/>
              </w:rPr>
              <w:t>+альбумин</w:t>
            </w:r>
            <w:r w:rsidRPr="00D161AB">
              <w:rPr>
                <w:rFonts w:eastAsia="MS Mincho"/>
                <w:i/>
                <w:lang w:val="ru-RU" w:eastAsia="ja-JP"/>
              </w:rPr>
              <w:t>;</w:t>
            </w:r>
          </w:p>
          <w:p w14:paraId="4CD58643" w14:textId="23BA33C9" w:rsidR="001257F9" w:rsidRPr="00D161AB" w:rsidRDefault="00A15E8D" w:rsidP="00482166">
            <w:pPr>
              <w:numPr>
                <w:ilvl w:val="0"/>
                <w:numId w:val="11"/>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1257F9" w:rsidRPr="00D161AB">
              <w:rPr>
                <w:rFonts w:eastAsia="MS Mincho"/>
                <w:i/>
                <w:lang w:eastAsia="ja-JP"/>
              </w:rPr>
              <w:t>ECOG</w:t>
            </w:r>
            <w:r w:rsidR="001257F9" w:rsidRPr="00D161AB">
              <w:rPr>
                <w:rFonts w:eastAsia="MS Mincho"/>
                <w:i/>
                <w:lang w:val="ru-RU" w:eastAsia="ja-JP"/>
              </w:rPr>
              <w:t xml:space="preserve"> 0-1</w:t>
            </w:r>
            <w:r w:rsidR="001537BF" w:rsidRPr="00D161AB">
              <w:rPr>
                <w:rFonts w:eastAsia="MS Mincho"/>
                <w:i/>
                <w:lang w:val="ru-RU" w:eastAsia="ja-JP"/>
              </w:rPr>
              <w:t xml:space="preserve"> </w:t>
            </w:r>
            <w:r w:rsidR="001537BF" w:rsidRPr="00D161AB">
              <w:rPr>
                <w:i/>
                <w:lang w:val="ru-RU"/>
              </w:rPr>
              <w:t>(приложение Г1)</w:t>
            </w:r>
            <w:r w:rsidR="001257F9" w:rsidRPr="00D161AB">
              <w:rPr>
                <w:rFonts w:eastAsia="MS Mincho"/>
                <w:i/>
                <w:lang w:val="ru-RU" w:eastAsia="ja-JP"/>
              </w:rPr>
              <w:t xml:space="preserve">; </w:t>
            </w:r>
          </w:p>
          <w:p w14:paraId="368C8764" w14:textId="77777777" w:rsidR="001257F9" w:rsidRPr="00D161AB" w:rsidRDefault="001257F9"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Общий билирубин &lt;1,5 х верхняя граница нормы;</w:t>
            </w:r>
          </w:p>
          <w:p w14:paraId="4832D301" w14:textId="77777777" w:rsidR="001257F9" w:rsidRPr="00D161AB" w:rsidRDefault="001257F9"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Отсутствие серьезных осложнений опухолевого процесса и сопутствующих заболеваний;</w:t>
            </w:r>
          </w:p>
          <w:p w14:paraId="60D5B8BC" w14:textId="77777777" w:rsidR="001257F9" w:rsidRPr="00D161AB" w:rsidRDefault="001257F9"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Возможность госпитализации в профильное учреждение при возникновении жизнеугрожающих осложнений.</w:t>
            </w:r>
          </w:p>
        </w:tc>
      </w:tr>
      <w:tr w:rsidR="00FD133D" w:rsidRPr="0060277C" w14:paraId="4A45A66D" w14:textId="77777777" w:rsidTr="003B3375">
        <w:trPr>
          <w:trHeight w:val="1049"/>
        </w:trPr>
        <w:tc>
          <w:tcPr>
            <w:tcW w:w="4077" w:type="dxa"/>
            <w:hideMark/>
          </w:tcPr>
          <w:p w14:paraId="2A2F031E" w14:textId="7B565AFD" w:rsidR="00E028C0" w:rsidRPr="00D161AB" w:rsidRDefault="00A07E50" w:rsidP="000B3A53">
            <w:pPr>
              <w:tabs>
                <w:tab w:val="left" w:pos="284"/>
              </w:tabs>
              <w:spacing w:line="240" w:lineRule="auto"/>
              <w:ind w:firstLine="0"/>
              <w:rPr>
                <w:i/>
                <w:lang w:val="ru-RU"/>
              </w:rPr>
            </w:pPr>
            <w:r w:rsidRPr="00D161AB">
              <w:rPr>
                <w:i/>
                <w:lang w:val="ru-RU"/>
              </w:rPr>
              <w:t xml:space="preserve">#Гемцитабин** 1000 мг/м2 в/в капельно 1, 8 дни + #цисплатин** </w:t>
            </w:r>
            <w:r w:rsidR="00E028C0" w:rsidRPr="00D161AB">
              <w:rPr>
                <w:i/>
                <w:lang w:val="ru-RU"/>
              </w:rPr>
              <w:t>25-</w:t>
            </w:r>
            <w:r w:rsidR="00D771D1">
              <w:rPr>
                <w:i/>
                <w:lang w:val="ru-RU"/>
              </w:rPr>
              <w:t>75</w:t>
            </w:r>
            <w:r w:rsidR="00D771D1" w:rsidRPr="00D161AB">
              <w:rPr>
                <w:i/>
                <w:lang w:val="ru-RU"/>
              </w:rPr>
              <w:t xml:space="preserve"> </w:t>
            </w:r>
            <w:r w:rsidRPr="00D161AB">
              <w:rPr>
                <w:i/>
                <w:lang w:val="ru-RU"/>
              </w:rPr>
              <w:t>мг/м</w:t>
            </w:r>
            <w:r w:rsidRPr="00D161AB">
              <w:rPr>
                <w:i/>
                <w:vertAlign w:val="superscript"/>
                <w:lang w:val="ru-RU"/>
              </w:rPr>
              <w:t>2</w:t>
            </w:r>
            <w:r w:rsidRPr="00D161AB">
              <w:rPr>
                <w:i/>
                <w:lang w:val="ru-RU"/>
              </w:rPr>
              <w:t xml:space="preserve"> в/в капельно 1 день 21-дневного курса</w:t>
            </w:r>
            <w:r w:rsidR="00E028C0" w:rsidRPr="00D161AB">
              <w:rPr>
                <w:i/>
                <w:lang w:val="ru-RU"/>
              </w:rPr>
              <w:t xml:space="preserve"> </w:t>
            </w:r>
            <w:r w:rsidR="00C15198" w:rsidRPr="00D161AB">
              <w:rPr>
                <w:i/>
              </w:rPr>
              <w:fldChar w:fldCharType="begin"/>
            </w:r>
            <w:r w:rsidR="004034C1">
              <w:rPr>
                <w:i/>
                <w:lang w:val="ru-RU"/>
              </w:rPr>
              <w:instrText xml:space="preserve"> ADDIN ZOTERO_ITEM CSL_CITATION {"citationID":"KxPH7TIg","properties":{"formattedCitation":"[99,100]","plainCitation":"[99,100]","noteIndex":0},"citationItems":[{"id":17,"uris":["http://zotero.org/users/5363772/items/5E67WK6G",["http://zotero.org/users/5363772/items/5E67WK6G"]],"itemData":{"id":17,"type":"article-journal","abstract":"Purpose Single-agent gemcitabine became standard first-line treatment for advanced pancreatic cancer after demonstration of superiority compared with fluorouracil. The Gruppo Italiano Pancreas 1 randomized phase III trial aimed to compare gemcitabine plus cisplatin versus gemcitabine alone (ClinicalTrials.gov ID NCT00813696). Patients and Methods Patients with locally advanced or metastatic pancreatic cancer, age 18 to 75 years, and Karnofsky performance status (KPS) ≥ 50, were randomly assigned to receive gemcitabine (arm A) or gemcitabine plus cisplatin (arm B). Arm A: gemcitabine 1,000 mg/m2 weekly for 7 weeks, and, after a 1-week rest, on days 1, 8, and 15 every 4 weeks. Arm B: cisplatin 25 mg/m2 added weekly to gemcitabine, except cycle 1 day 22. Primary end point was overall survival. To have 8% power of detecting a 0.74 hazard ratio (HR) of death, with bilateral α .05, 355 events were needed and 400 patients planned. Results Four hundred patients were enrolled (arm A: 199; arm B: 201). Median age was 63, 59% were male, 84% had stage IV, and 83% had KPS ≥ 80. Median overall survival was 8.3 months versus 7.2 months in arm A and B, respectively (HR, 1.10; 95% CI, 0.89 to 1.35; P = .38). Median progression-free survival was 3.9 months versus 3.8 months in arm A and B, respectively (HR, 0.97; 95% CI, 0.80 to 1.19; P = .80). The objective response rate was 10.1% in A and 12.9% in B (P = .37). Clinical benefit was experienced by 23.0% in A and 15.1% in B (P = .057). Combination therapy produced more hematologic toxicity, without relevant differences in nonhematologic toxicity. Conclusion The addition of weekly cisplatin to gemcitabine failed to demonstrate any improvement as first-line treatment of advanced pancreatic cancer.","container-title":"Journal of Clinical Oncology","DOI":"10.1200/JCO.2009.25.4433","ISSN":"0732-183X","issue":"10","journalAbbreviation":"JCO","page":"1645-1651","title":"Randomized Phase III Trial of Gemcitabine Plus Cisplatin Compared With Single-Agent Gemcitabine As First-Line Treatment of Patients With Advanced Pancreatic Cancer: The GIP-1 Study","volume":"28","author":[{"family":"Colucci","given":"Giuseppe"},{"family":"Labianca","given":"Roberto"},{"family":"Di Costanzo","given":"Francesco"},{"family":"Gebbia","given":"Vittorio"},{"family":"Cartenì","given":"Giacomo"},{"family":"Massidda","given":"Bruno"},{"family":"Dapretto","given":"Elisa"},{"family":"Manzione","given":"Luigi"},{"family":"Piazza","given":"Elena"},{"family":"Sannicolò","given":"Mirella"},{"family":"Ciaparrone","given":"Marco"},{"family":"Cavanna","given":"Luigi"},{"family":"Giuliani","given":"Francesco"},{"family":"Maiello","given":"Evaristo"},{"family":"Testa","given":"Antonio"},{"family":"Pederzoli","given":"Paolo"},{"family":"Falconi","given":"Massimo"},{"family":"Gallo","given":"Ciro"},{"family":"Di Maio","given":"Massimo"},{"family":"Perrone","given":"Francesco"}],"issued":{"date-parts":[["2010",3,1]]}}},{"id":1096,"uris":["http://zotero.org/users/5363772/items/RI4JVIXY",["http://zotero.org/users/5363772/items/RI4JVIXY"]],"itemData":{"id":1096,"type":"article-journal","container-title":"International Journal of Hyperthermia","DOI":"10.3109/02656736.2012.740764","ISSN":"0265-6736, 1464-5157","issue":"1","journalAbbreviation":"International Journal of Hyperthermia","language":"en","page":"8-16","source":"DOI.org (Crossref)","title":"Gemcitabine and cisplatin combined with regional hyperthermia as second-line treatment in patients with gemcitabine-refractory advanced pancreatic cancer","volume":"29","author":[{"family":"Tschoep-Lechner","given":"Katharina Elisabeth"},{"family":"Milani","given":"Valeria"},{"family":"Berger","given":"Frank"},{"family":"Dieterle","given":"Nelli"},{"family":"Abdel-Rahman","given":"Sultan"},{"family":"Salat","given":"Christoph"},{"family":"Issels","given":"Rolf-Dieter"}],"issued":{"date-parts":[["2013",2]]}}}],"schema":"https://github.com/citation-style-language/schema/raw/master/csl-citation.json"} </w:instrText>
            </w:r>
            <w:r w:rsidR="00C15198" w:rsidRPr="00D161AB">
              <w:rPr>
                <w:i/>
              </w:rPr>
              <w:fldChar w:fldCharType="separate"/>
            </w:r>
            <w:r w:rsidR="004034C1" w:rsidRPr="004034C1">
              <w:rPr>
                <w:lang w:val="ru-RU"/>
              </w:rPr>
              <w:t>[99,100]</w:t>
            </w:r>
            <w:r w:rsidR="00C15198" w:rsidRPr="00D161AB">
              <w:rPr>
                <w:i/>
              </w:rPr>
              <w:fldChar w:fldCharType="end"/>
            </w:r>
          </w:p>
          <w:p w14:paraId="68976F10" w14:textId="77777777" w:rsidR="00A07E50" w:rsidRPr="00D161AB" w:rsidRDefault="00A07E50" w:rsidP="000B3A53">
            <w:pPr>
              <w:tabs>
                <w:tab w:val="left" w:pos="284"/>
              </w:tabs>
              <w:spacing w:line="240" w:lineRule="auto"/>
              <w:ind w:firstLine="0"/>
              <w:rPr>
                <w:i/>
                <w:lang w:val="ru-RU"/>
              </w:rPr>
            </w:pPr>
            <w:r w:rsidRPr="00D161AB">
              <w:rPr>
                <w:i/>
                <w:lang w:val="ru-RU"/>
              </w:rPr>
              <w:t>или</w:t>
            </w:r>
          </w:p>
          <w:p w14:paraId="148CAF80" w14:textId="4BC2DD9A" w:rsidR="001257F9" w:rsidRPr="00D161AB" w:rsidRDefault="00A07E50" w:rsidP="00822E22">
            <w:pPr>
              <w:tabs>
                <w:tab w:val="left" w:pos="284"/>
              </w:tabs>
              <w:spacing w:line="240" w:lineRule="auto"/>
              <w:ind w:firstLine="0"/>
              <w:contextualSpacing/>
              <w:jc w:val="left"/>
              <w:rPr>
                <w:rFonts w:eastAsia="MS Mincho"/>
                <w:i/>
                <w:lang w:val="ru-RU" w:eastAsia="ja-JP"/>
              </w:rPr>
            </w:pPr>
            <w:r w:rsidRPr="00D161AB">
              <w:rPr>
                <w:i/>
                <w:lang w:val="ru-RU"/>
              </w:rPr>
              <w:t>#Гемцитабин** 1000 мг/м</w:t>
            </w:r>
            <w:r w:rsidRPr="00D161AB">
              <w:rPr>
                <w:i/>
                <w:vertAlign w:val="superscript"/>
                <w:lang w:val="ru-RU"/>
              </w:rPr>
              <w:t>2</w:t>
            </w:r>
            <w:r w:rsidRPr="00D161AB">
              <w:rPr>
                <w:i/>
                <w:lang w:val="ru-RU"/>
              </w:rPr>
              <w:t xml:space="preserve"> в/в капельно + #Оксалиплатин** </w:t>
            </w:r>
            <w:r w:rsidR="00712131" w:rsidRPr="00D161AB">
              <w:rPr>
                <w:i/>
                <w:lang w:val="ru-RU"/>
              </w:rPr>
              <w:t>85-</w:t>
            </w:r>
            <w:r w:rsidRPr="00D161AB">
              <w:rPr>
                <w:i/>
                <w:lang w:val="ru-RU"/>
              </w:rPr>
              <w:t>100 мг/м</w:t>
            </w:r>
            <w:r w:rsidRPr="00D161AB">
              <w:rPr>
                <w:i/>
                <w:vertAlign w:val="superscript"/>
                <w:lang w:val="ru-RU"/>
              </w:rPr>
              <w:t>2</w:t>
            </w:r>
            <w:r w:rsidRPr="00D161AB">
              <w:rPr>
                <w:i/>
                <w:lang w:val="ru-RU"/>
              </w:rPr>
              <w:t xml:space="preserve"> в/в капельно каждые 2 недели</w:t>
            </w:r>
            <w:r w:rsidRPr="00D161AB" w:rsidDel="00A07E50">
              <w:rPr>
                <w:rFonts w:eastAsia="MS Mincho"/>
                <w:i/>
                <w:lang w:val="ru-RU" w:eastAsia="ja-JP"/>
              </w:rPr>
              <w:t xml:space="preserve"> </w:t>
            </w:r>
            <w:r w:rsidR="00C15198" w:rsidRPr="00D161AB">
              <w:rPr>
                <w:rFonts w:eastAsia="MS Mincho"/>
                <w:i/>
                <w:lang w:val="ru-RU" w:eastAsia="ja-JP"/>
              </w:rPr>
              <w:fldChar w:fldCharType="begin"/>
            </w:r>
            <w:r w:rsidR="004034C1">
              <w:rPr>
                <w:rFonts w:eastAsia="MS Mincho"/>
                <w:i/>
                <w:lang w:val="ru-RU" w:eastAsia="ja-JP"/>
              </w:rPr>
              <w:instrText xml:space="preserve"> ADDIN ZOTERO_ITEM CSL_CITATION {"citationID":"6G8Cu7ir","properties":{"formattedCitation":"[101,102]","plainCitation":"[101,102]","noteIndex":0},"citationItems":[{"id":1049,"uris":["http://zotero.org/users/5363772/items/MCPQCGA8",["http://zotero.org/users/5363772/items/MCPQCGA8"]],"itemData":{"id":1049,"type":"article-journal","container-title":"British Journal of Cancer","DOI":"10.1038/sj.bjc.6602966","ISSN":"0007-0920, 1532-1827","issue":"4","journalAbbreviation":"Br J Cancer","language":"en","page":"481-485","source":"DOI.org (Crossref)","title":"Gemcitabine and oxaliplatin (GEMOX) in gemcitabine refractory advanced pancreatic adenocarcinoma: a phase II study","title-short":"Gemcitabine and oxaliplatin (GEMOX) in gemcitabine refractory advanced pancreatic adenocarcinoma","volume":"94","author":[{"family":"Demols","given":"A"},{"family":"Peeters","given":"M"},{"family":"Polus","given":"M"},{"family":"Marechal","given":"R"},{"family":"Gay","given":"F"},{"family":"Monsaert","given":"E"},{"family":"Hendlisz","given":"A"},{"family":"Van Laethem","given":"J L"}],"issued":{"date-parts":[["2006",2]]}}},{"id":1097,"uris":["http://zotero.org/users/5363772/items/6W7UPQGW",["http://zotero.org/users/5363772/items/6W7UPQGW"]],"itemData":{"id":1097,"type":"article-journal","container-title":"Oncology","DOI":"10.1159/000328767","ISSN":"1423-0232, 0030-2414","issue":"1-2","journalAbbreviation":"Oncology","language":"en","page":"97-101","source":"DOI.org (Crossref)","title":"Gemcitabine and Oxaliplatin Combination Chemotherapy for Patients with Refractory Pancreatic Cancer","volume":"80","author":[{"family":"Isayama","given":"Hiroyuki"},{"family":"Nakai","given":"Yousuke"},{"family":"Yamamoto","given":"Keisuke"},{"family":"Sasaki","given":"Takashi"},{"family":"Mizuno","given":"Suguru"},{"family":"Yagioka","given":"Hiroshi"},{"family":"Yashima","given":"Yoko"},{"family":"Kawakubo","given":"Kazumichi"},{"family":"Kogure","given":"Hirofumi"},{"family":"Arizumi","given":"Toshihiko"},{"family":"Togawa","given":"Osamu"},{"family":"Ito","given":"Yukiko"},{"family":"Matsubara","given":"Saburo"},{"family":"Yamamoto","given":"Natsuyo"},{"family":"Sasahira","given":"Naoki"},{"family":"Hirano","given":"Kenji"},{"family":"Tsujino","given":"Takeshi"},{"family":"Tada","given":"Minoru"},{"family":"Omata","given":"Masao"},{"family":"Koike","given":"Kazuhiko"}],"issued":{"date-parts":[["2011"]]}}}],"schema":"https://github.com/citation-style-language/schema/raw/master/csl-citation.json"} </w:instrText>
            </w:r>
            <w:r w:rsidR="00C15198" w:rsidRPr="00D161AB">
              <w:rPr>
                <w:rFonts w:eastAsia="MS Mincho"/>
                <w:i/>
                <w:lang w:val="ru-RU" w:eastAsia="ja-JP"/>
              </w:rPr>
              <w:fldChar w:fldCharType="separate"/>
            </w:r>
            <w:r w:rsidR="004034C1" w:rsidRPr="004034C1">
              <w:rPr>
                <w:rFonts w:eastAsia="MS Mincho"/>
                <w:lang w:val="ru-RU"/>
              </w:rPr>
              <w:t>[101,102]</w:t>
            </w:r>
            <w:r w:rsidR="00C15198" w:rsidRPr="00D161AB">
              <w:rPr>
                <w:rFonts w:eastAsia="MS Mincho"/>
                <w:i/>
                <w:lang w:val="ru-RU" w:eastAsia="ja-JP"/>
              </w:rPr>
              <w:fldChar w:fldCharType="end"/>
            </w:r>
          </w:p>
        </w:tc>
        <w:tc>
          <w:tcPr>
            <w:tcW w:w="5387" w:type="dxa"/>
            <w:hideMark/>
          </w:tcPr>
          <w:p w14:paraId="7435908C" w14:textId="77777777" w:rsidR="001257F9" w:rsidRPr="00D161AB" w:rsidRDefault="00A7410A"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Ранее не использовался гемцитабин</w:t>
            </w:r>
            <w:r w:rsidR="002A790A" w:rsidRPr="00D161AB">
              <w:rPr>
                <w:i/>
                <w:lang w:val="ru-RU"/>
              </w:rPr>
              <w:t>**</w:t>
            </w:r>
            <w:r w:rsidRPr="00D161AB">
              <w:rPr>
                <w:rFonts w:eastAsia="MS Mincho"/>
                <w:i/>
                <w:lang w:val="ru-RU" w:eastAsia="ja-JP"/>
              </w:rPr>
              <w:t xml:space="preserve"> и </w:t>
            </w:r>
            <w:r w:rsidR="00576568" w:rsidRPr="00D161AB">
              <w:rPr>
                <w:rFonts w:eastAsia="MS Mincho"/>
                <w:i/>
                <w:lang w:val="ru-RU" w:eastAsia="ja-JP"/>
              </w:rPr>
              <w:t xml:space="preserve">соединение </w:t>
            </w:r>
            <w:r w:rsidRPr="00D161AB">
              <w:rPr>
                <w:rFonts w:eastAsia="MS Mincho"/>
                <w:i/>
                <w:lang w:val="ru-RU" w:eastAsia="ja-JP"/>
              </w:rPr>
              <w:t>платины;</w:t>
            </w:r>
          </w:p>
          <w:p w14:paraId="45F73CE6" w14:textId="696ACF82" w:rsidR="001257F9" w:rsidRPr="00D161AB" w:rsidRDefault="00A15E8D" w:rsidP="00482166">
            <w:pPr>
              <w:numPr>
                <w:ilvl w:val="0"/>
                <w:numId w:val="11"/>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A7410A" w:rsidRPr="00D161AB">
              <w:rPr>
                <w:rFonts w:eastAsia="MS Mincho"/>
                <w:i/>
                <w:lang w:eastAsia="ja-JP"/>
              </w:rPr>
              <w:t>ECOG</w:t>
            </w:r>
            <w:r w:rsidR="00A7410A" w:rsidRPr="00D161AB">
              <w:rPr>
                <w:rFonts w:eastAsia="MS Mincho"/>
                <w:i/>
                <w:lang w:val="ru-RU" w:eastAsia="ja-JP"/>
              </w:rPr>
              <w:t xml:space="preserve"> 0-2</w:t>
            </w:r>
            <w:r w:rsidR="001537BF" w:rsidRPr="00D161AB">
              <w:rPr>
                <w:rFonts w:eastAsia="MS Mincho"/>
                <w:i/>
                <w:lang w:val="ru-RU" w:eastAsia="ja-JP"/>
              </w:rPr>
              <w:t xml:space="preserve"> </w:t>
            </w:r>
            <w:r w:rsidR="001537BF" w:rsidRPr="00D161AB">
              <w:rPr>
                <w:i/>
                <w:lang w:val="ru-RU"/>
              </w:rPr>
              <w:t>(приложение Г1)</w:t>
            </w:r>
            <w:r w:rsidR="00A7410A" w:rsidRPr="00D161AB">
              <w:rPr>
                <w:rFonts w:eastAsia="MS Mincho"/>
                <w:i/>
                <w:lang w:val="ru-RU" w:eastAsia="ja-JP"/>
              </w:rPr>
              <w:t xml:space="preserve">; </w:t>
            </w:r>
          </w:p>
          <w:p w14:paraId="38E82F14" w14:textId="77777777" w:rsidR="001257F9" w:rsidRPr="00D161AB" w:rsidRDefault="00A7410A"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Общий билирубин &lt;1,5 </w:t>
            </w:r>
            <w:r w:rsidRPr="00D161AB">
              <w:rPr>
                <w:rFonts w:eastAsia="MS Mincho"/>
                <w:i/>
                <w:lang w:eastAsia="ja-JP"/>
              </w:rPr>
              <w:t>x</w:t>
            </w:r>
            <w:r w:rsidRPr="00D161AB">
              <w:rPr>
                <w:rFonts w:eastAsia="MS Mincho"/>
                <w:i/>
                <w:lang w:val="ru-RU" w:eastAsia="ja-JP"/>
              </w:rPr>
              <w:t xml:space="preserve"> верхняя граница нормы;</w:t>
            </w:r>
          </w:p>
          <w:p w14:paraId="3E62DED8" w14:textId="77777777" w:rsidR="001257F9" w:rsidRPr="00D161AB" w:rsidRDefault="00A7410A"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Отсутствие серьезных осложнений опухолевого процесса и сопутствующих заболеваний;</w:t>
            </w:r>
          </w:p>
          <w:p w14:paraId="720BD05E" w14:textId="77777777" w:rsidR="001257F9" w:rsidRPr="00D161AB" w:rsidRDefault="00A7410A" w:rsidP="00C02B4B">
            <w:pPr>
              <w:numPr>
                <w:ilvl w:val="0"/>
                <w:numId w:val="12"/>
              </w:numPr>
              <w:tabs>
                <w:tab w:val="left" w:pos="284"/>
              </w:tabs>
              <w:spacing w:line="240" w:lineRule="auto"/>
              <w:ind w:left="357" w:hanging="357"/>
              <w:contextualSpacing/>
              <w:jc w:val="left"/>
              <w:rPr>
                <w:rFonts w:eastAsia="MS Mincho"/>
                <w:i/>
                <w:lang w:val="ru-RU" w:eastAsia="ja-JP"/>
              </w:rPr>
            </w:pPr>
            <w:r w:rsidRPr="00D161AB">
              <w:rPr>
                <w:rFonts w:eastAsia="MS Mincho"/>
                <w:i/>
                <w:lang w:val="ru-RU" w:eastAsia="ja-JP"/>
              </w:rPr>
              <w:t xml:space="preserve">Наличие герминальной или соматической мутации </w:t>
            </w:r>
            <w:r w:rsidR="00964910" w:rsidRPr="00D161AB">
              <w:rPr>
                <w:rFonts w:eastAsia="MS Mincho"/>
                <w:i/>
                <w:lang w:eastAsia="ja-JP"/>
              </w:rPr>
              <w:t>BRCA</w:t>
            </w:r>
            <w:r w:rsidRPr="00D161AB">
              <w:rPr>
                <w:rFonts w:eastAsia="MS Mincho"/>
                <w:i/>
                <w:lang w:val="ru-RU" w:eastAsia="ja-JP"/>
              </w:rPr>
              <w:t xml:space="preserve"> </w:t>
            </w:r>
            <w:r w:rsidR="00C02B4B" w:rsidRPr="00D161AB">
              <w:rPr>
                <w:rFonts w:eastAsia="MS Mincho"/>
                <w:i/>
                <w:lang w:val="ru-RU" w:eastAsia="ja-JP"/>
              </w:rPr>
              <w:t xml:space="preserve">или </w:t>
            </w:r>
            <w:r w:rsidR="00964910" w:rsidRPr="00D161AB">
              <w:rPr>
                <w:rFonts w:eastAsia="MS Mincho"/>
                <w:i/>
                <w:lang w:eastAsia="ja-JP"/>
              </w:rPr>
              <w:t>PALB</w:t>
            </w:r>
            <w:r w:rsidR="00964910" w:rsidRPr="00D161AB">
              <w:rPr>
                <w:rFonts w:eastAsia="MS Mincho"/>
                <w:i/>
                <w:lang w:val="ru-RU" w:eastAsia="ja-JP"/>
              </w:rPr>
              <w:t>2</w:t>
            </w:r>
            <w:r w:rsidR="00C02B4B" w:rsidRPr="00D161AB">
              <w:rPr>
                <w:rFonts w:eastAsia="MS Mincho"/>
                <w:i/>
                <w:lang w:val="ru-RU" w:eastAsia="ja-JP"/>
              </w:rPr>
              <w:t xml:space="preserve"> </w:t>
            </w:r>
            <w:r w:rsidRPr="00D161AB">
              <w:rPr>
                <w:rFonts w:eastAsia="MS Mincho"/>
                <w:i/>
                <w:lang w:val="ru-RU" w:eastAsia="ja-JP"/>
              </w:rPr>
              <w:t xml:space="preserve"> </w:t>
            </w:r>
          </w:p>
        </w:tc>
      </w:tr>
      <w:tr w:rsidR="00FD133D" w:rsidRPr="0060277C" w14:paraId="56202503" w14:textId="77777777" w:rsidTr="003B3375">
        <w:trPr>
          <w:trHeight w:val="1049"/>
        </w:trPr>
        <w:tc>
          <w:tcPr>
            <w:tcW w:w="4077" w:type="dxa"/>
            <w:hideMark/>
          </w:tcPr>
          <w:p w14:paraId="6D0E7C3C" w14:textId="6A3D680E" w:rsidR="001257F9" w:rsidRPr="00D161AB" w:rsidRDefault="00964910" w:rsidP="00AB5CFE">
            <w:pPr>
              <w:pStyle w:val="a4"/>
              <w:ind w:firstLine="0"/>
              <w:rPr>
                <w:i/>
                <w:sz w:val="24"/>
                <w:szCs w:val="24"/>
                <w:lang w:val="ru-RU"/>
              </w:rPr>
            </w:pPr>
            <w:r w:rsidRPr="00D161AB">
              <w:rPr>
                <w:rFonts w:eastAsia="MS Mincho"/>
                <w:i/>
                <w:iCs/>
                <w:sz w:val="24"/>
                <w:szCs w:val="24"/>
                <w:lang w:val="ru-RU" w:eastAsia="ja-JP"/>
              </w:rPr>
              <w:lastRenderedPageBreak/>
              <w:t>#</w:t>
            </w:r>
            <w:r w:rsidR="001257F9" w:rsidRPr="00D161AB">
              <w:rPr>
                <w:rFonts w:eastAsia="MS Mincho"/>
                <w:i/>
                <w:iCs/>
                <w:sz w:val="24"/>
                <w:szCs w:val="24"/>
                <w:lang w:val="ru-RU" w:eastAsia="ja-JP"/>
              </w:rPr>
              <w:t>Гемцитабин</w:t>
            </w:r>
            <w:r w:rsidR="002A790A" w:rsidRPr="00D161AB">
              <w:rPr>
                <w:i/>
                <w:sz w:val="24"/>
                <w:szCs w:val="24"/>
                <w:lang w:val="ru-RU"/>
              </w:rPr>
              <w:t>**</w:t>
            </w:r>
            <w:r w:rsidR="001257F9" w:rsidRPr="00D161AB">
              <w:rPr>
                <w:rFonts w:eastAsia="MS Mincho"/>
                <w:i/>
                <w:sz w:val="24"/>
                <w:szCs w:val="24"/>
                <w:lang w:val="ru-RU" w:eastAsia="ja-JP"/>
              </w:rPr>
              <w:t xml:space="preserve"> 1000 мг/м2 в/в</w:t>
            </w:r>
            <w:r w:rsidR="002D738B" w:rsidRPr="00D161AB">
              <w:rPr>
                <w:rFonts w:eastAsia="MS Mincho"/>
                <w:i/>
                <w:sz w:val="24"/>
                <w:szCs w:val="24"/>
                <w:lang w:val="ru-RU" w:eastAsia="ja-JP"/>
              </w:rPr>
              <w:t xml:space="preserve"> капельно 30 минут</w:t>
            </w:r>
            <w:r w:rsidR="001257F9" w:rsidRPr="00D161AB">
              <w:rPr>
                <w:rFonts w:eastAsia="MS Mincho"/>
                <w:i/>
                <w:sz w:val="24"/>
                <w:szCs w:val="24"/>
                <w:lang w:val="ru-RU" w:eastAsia="ja-JP"/>
              </w:rPr>
              <w:t xml:space="preserve"> </w:t>
            </w:r>
            <w:r w:rsidR="00AB5CFE" w:rsidRPr="00D161AB">
              <w:rPr>
                <w:rFonts w:eastAsia="MS Mincho"/>
                <w:i/>
                <w:sz w:val="24"/>
                <w:szCs w:val="24"/>
                <w:lang w:val="ru-RU" w:eastAsia="ja-JP"/>
              </w:rPr>
              <w:t xml:space="preserve">(возможна редукция дозы до 750 мг/м2) </w:t>
            </w:r>
            <w:r w:rsidR="001257F9" w:rsidRPr="00D161AB">
              <w:rPr>
                <w:rFonts w:eastAsia="MS Mincho"/>
                <w:i/>
                <w:sz w:val="24"/>
                <w:szCs w:val="24"/>
                <w:lang w:val="ru-RU" w:eastAsia="ja-JP"/>
              </w:rPr>
              <w:t>1,8,15 дни 28-дневного курса</w:t>
            </w:r>
            <w:r w:rsidR="00CB323C" w:rsidRPr="00D161AB">
              <w:rPr>
                <w:rFonts w:eastAsia="MS Mincho"/>
                <w:i/>
                <w:sz w:val="24"/>
                <w:szCs w:val="24"/>
                <w:lang w:val="ru-RU" w:eastAsia="ja-JP"/>
              </w:rPr>
              <w:t xml:space="preserve"> </w:t>
            </w:r>
            <w:r w:rsidR="00C15198" w:rsidRPr="00D161AB">
              <w:rPr>
                <w:rFonts w:eastAsia="MS Mincho"/>
                <w:i/>
                <w:sz w:val="24"/>
                <w:szCs w:val="24"/>
                <w:lang w:val="ru-RU" w:eastAsia="ja-JP"/>
              </w:rPr>
              <w:fldChar w:fldCharType="begin"/>
            </w:r>
            <w:r w:rsidR="004034C1">
              <w:rPr>
                <w:rFonts w:eastAsia="MS Mincho"/>
                <w:i/>
                <w:sz w:val="24"/>
                <w:szCs w:val="24"/>
                <w:lang w:val="ru-RU" w:eastAsia="ja-JP"/>
              </w:rPr>
              <w:instrText xml:space="preserve"> ADDIN ZOTERO_ITEM CSL_CITATION {"citationID":"ExBCqx46","properties":{"formattedCitation":"[103,104]","plainCitation":"[103,104]","noteIndex":0},"citationItems":[{"id":1102,"uris":["http://zotero.org/users/5363772/items/XAAR2NZU",["http://zotero.org/users/5363772/items/XAAR2NZU"]],"itemData":{"id":1102,"type":"article-journal","container-title":"Digestive and Liver Disease","DOI":"10.1016/j.dld.2017.02.007","ISSN":"15908658","issue":"6","journalAbbreviation":"Digestive and Liver Disease","language":"en","page":"692-696","source":"DOI.org (Crossref)","title":"Gemcitabine as second-line chemotherapy after Folfirinox failure in advanced pancreatic adenocarcinoma: A retrospective study","title-short":"Gemcitabine as second-line chemotherapy after Folfirinox failure in advanced pancreatic adenocarcinoma","volume":"49","author":[{"family":"Viaud","given":"Juliette"},{"family":"Brac","given":"Clémence"},{"family":"Artru","given":"Pascal"},{"family":"Le Pabic","given":"Estelle"},{"family":"Leconte","given":"Bérengère"},{"family":"Bodère","given":"Anaïs"},{"family":"Pracht","given":"Marc"},{"family":"Le Sourd","given":"Samuel"},{"family":"Edeline","given":"Julien"},{"family":"Lièvre","given":"Astrid"}],"issued":{"date-parts":[["2017",6]]}}},{"id":1100,"uris":["http://zotero.org/users/5363772/items/LT88U7J5",["http://zotero.org/users/5363772/items/LT88U7J5"]],"itemData":{"id":1100,"type":"article-journal","abstract":"BACKGROUND: Cancer of the exocrine pancreas is a highly lethal malignancy. Surgical resection is the only potentially curative treatment. Unfortunately, because of the late presentation, the majority have either locally advanced cancer at initial diagnosis. Systemic chemotherapy provides benefit to patients with advanced pancreatic cancer, improving disease-related symptoms and survival when compared to best supportive care alone. Based on fase III study, FOLFIRINOX regimen became the standard first-line treatment. But, the optimal management strategy for patients who fail initial FOLFIRINOX is undefined. Despite the lack of clinical trials that report the real benefit of gemcitabine in patients with advanced exocrine pancreatic cancer as second line treatment. We aim at reporting our experience with this regimen. METHODS: Patients with advanced exocrine pancreatic cancer who received gemcitabine (1.000 mg/m(2) on days 1, 8 and 15 every 4 weeks) until disease progression, as second-line therapy at our institution were retrospectively evaluated. Progression-free survival (PFS) and overall survival (OS) were estimated by the Kaplan-Meier method. RESULTS: A total of 20 patients were reviewed. Median age was 57 years (range, 43-74 years), and 55% were older than 60 years. Most patients were male (80%), had metastatic disease (60%), and ECOG performance status of 0 or 1 (65%). PFS and OS were 2.0 (95% CI, 1.2-2.8) and 5.7 months (95% CI, 3.9-7.4), respectively. There were no deaths due to the treatment. CONCLUSIONS: In this study, gemcitabine was a reasonable second-line treatment option for patients with advanced pancreatic adenocarcinoma and good ECOG performance status. Phase III trials are urgently needed comparing gemcitabine versus best supportive of care (BSC) can evaluate the real benefit of this chemotherapy after progression on FOLFIRINOX.","archive":"PubMed","archive_location":"26487945","container-title":"Journal of gastrointestinal oncology","DOI":"10.3978/j.issn.2078-6891.2015.041","ISSN":"2078-6891","issue":"5","journalAbbreviation":"J Gastrointest Oncol","language":"eng","page":"511-515","title":"Role of gemcitabine as second-line therapy after progression on FOLFIRINOX in advanced pancreatic cancer: a retrospective analysis","volume":"6","author":[{"family":"Rocha Lino","given":"Aline","non-dropping-particle":"da"},{"family":"Abrahão","given":"Carina Meira"},{"family":"Brandão","given":"Raphael Moreira"},{"family":"Gomes","given":"Jessica Ribeiro"},{"family":"Ferrian","given":"Andrea Malta"},{"family":"Machado","given":"Marcel Cerqueira César"},{"family":"Buzaid","given":"Antonio Carlos"},{"family":"Maluf","given":"Fernando Cotait"},{"family":"Peixoto","given":"Renata D'Alpino"}],"issued":{"date-parts":[["2015",10]]}}}],"schema":"https://github.com/citation-style-language/schema/raw/master/csl-citation.json"} </w:instrText>
            </w:r>
            <w:r w:rsidR="00C15198" w:rsidRPr="00D161AB">
              <w:rPr>
                <w:rFonts w:eastAsia="MS Mincho"/>
                <w:i/>
                <w:sz w:val="24"/>
                <w:szCs w:val="24"/>
                <w:lang w:val="ru-RU" w:eastAsia="ja-JP"/>
              </w:rPr>
              <w:fldChar w:fldCharType="separate"/>
            </w:r>
            <w:r w:rsidR="004034C1" w:rsidRPr="004034C1">
              <w:rPr>
                <w:sz w:val="24"/>
                <w:lang w:val="ru-RU"/>
              </w:rPr>
              <w:t>[103,104]</w:t>
            </w:r>
            <w:r w:rsidR="00C15198" w:rsidRPr="00D161AB">
              <w:rPr>
                <w:rFonts w:eastAsia="MS Mincho"/>
                <w:i/>
                <w:sz w:val="24"/>
                <w:szCs w:val="24"/>
                <w:lang w:val="ru-RU" w:eastAsia="ja-JP"/>
              </w:rPr>
              <w:fldChar w:fldCharType="end"/>
            </w:r>
            <w:r w:rsidR="006C370D" w:rsidRPr="00D161AB">
              <w:rPr>
                <w:rFonts w:eastAsia="MS Mincho"/>
                <w:i/>
                <w:sz w:val="24"/>
                <w:szCs w:val="24"/>
                <w:lang w:val="ru-RU" w:eastAsia="ja-JP"/>
              </w:rPr>
              <w:t xml:space="preserve"> </w:t>
            </w:r>
          </w:p>
        </w:tc>
        <w:tc>
          <w:tcPr>
            <w:tcW w:w="5387" w:type="dxa"/>
            <w:hideMark/>
          </w:tcPr>
          <w:p w14:paraId="5FC1056D" w14:textId="77777777" w:rsidR="001257F9" w:rsidRPr="00D161AB" w:rsidRDefault="001257F9"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Ранее не использовался гемцитабин</w:t>
            </w:r>
            <w:r w:rsidR="002A790A" w:rsidRPr="00D161AB">
              <w:rPr>
                <w:i/>
                <w:lang w:val="ru-RU"/>
              </w:rPr>
              <w:t>**</w:t>
            </w:r>
            <w:r w:rsidRPr="00D161AB">
              <w:rPr>
                <w:rFonts w:eastAsia="MS Mincho"/>
                <w:i/>
                <w:lang w:val="ru-RU" w:eastAsia="ja-JP"/>
              </w:rPr>
              <w:t xml:space="preserve">; </w:t>
            </w:r>
          </w:p>
          <w:p w14:paraId="0AFA1BB7" w14:textId="3F3C0FAE" w:rsidR="001257F9" w:rsidRPr="00D161AB" w:rsidRDefault="00A15E8D" w:rsidP="00482166">
            <w:pPr>
              <w:numPr>
                <w:ilvl w:val="0"/>
                <w:numId w:val="11"/>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1257F9" w:rsidRPr="00D161AB">
              <w:rPr>
                <w:rFonts w:eastAsia="MS Mincho"/>
                <w:i/>
                <w:lang w:eastAsia="ja-JP"/>
              </w:rPr>
              <w:t>ECOG</w:t>
            </w:r>
            <w:r w:rsidR="001257F9" w:rsidRPr="00D161AB">
              <w:rPr>
                <w:rFonts w:eastAsia="MS Mincho"/>
                <w:i/>
                <w:lang w:val="ru-RU" w:eastAsia="ja-JP"/>
              </w:rPr>
              <w:t xml:space="preserve"> 1-2</w:t>
            </w:r>
            <w:r w:rsidR="001537BF" w:rsidRPr="00D161AB">
              <w:rPr>
                <w:rFonts w:eastAsia="MS Mincho"/>
                <w:i/>
                <w:lang w:val="ru-RU" w:eastAsia="ja-JP"/>
              </w:rPr>
              <w:t xml:space="preserve"> </w:t>
            </w:r>
            <w:r w:rsidR="001537BF" w:rsidRPr="00D161AB">
              <w:rPr>
                <w:i/>
                <w:lang w:val="ru-RU"/>
              </w:rPr>
              <w:t>(приложение Г1)</w:t>
            </w:r>
            <w:r w:rsidR="001257F9" w:rsidRPr="00D161AB">
              <w:rPr>
                <w:rFonts w:eastAsia="MS Mincho"/>
                <w:i/>
                <w:lang w:val="ru-RU" w:eastAsia="ja-JP"/>
              </w:rPr>
              <w:t xml:space="preserve">; </w:t>
            </w:r>
          </w:p>
          <w:p w14:paraId="3805EB49" w14:textId="77777777" w:rsidR="001257F9" w:rsidRPr="00D161AB" w:rsidRDefault="001257F9" w:rsidP="00482166">
            <w:pPr>
              <w:numPr>
                <w:ilvl w:val="0"/>
                <w:numId w:val="11"/>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Общий билирубин &lt;3 </w:t>
            </w:r>
            <w:r w:rsidRPr="00D161AB">
              <w:rPr>
                <w:rFonts w:eastAsia="MS Mincho"/>
                <w:i/>
                <w:lang w:eastAsia="ja-JP"/>
              </w:rPr>
              <w:t>x</w:t>
            </w:r>
            <w:r w:rsidRPr="00D161AB">
              <w:rPr>
                <w:rFonts w:eastAsia="MS Mincho"/>
                <w:i/>
                <w:lang w:val="ru-RU" w:eastAsia="ja-JP"/>
              </w:rPr>
              <w:t xml:space="preserve"> верхняя граница нормы.</w:t>
            </w:r>
          </w:p>
        </w:tc>
      </w:tr>
      <w:tr w:rsidR="00FD133D" w:rsidRPr="0060277C" w14:paraId="7C88D305" w14:textId="77777777" w:rsidTr="003B3375">
        <w:trPr>
          <w:trHeight w:val="420"/>
        </w:trPr>
        <w:tc>
          <w:tcPr>
            <w:tcW w:w="4077" w:type="dxa"/>
            <w:hideMark/>
          </w:tcPr>
          <w:p w14:paraId="2A38C799" w14:textId="3E998142" w:rsidR="006C370D" w:rsidRPr="004034C1" w:rsidRDefault="00A7410A" w:rsidP="00D37C90">
            <w:pPr>
              <w:tabs>
                <w:tab w:val="left" w:pos="284"/>
              </w:tabs>
              <w:spacing w:line="240" w:lineRule="auto"/>
              <w:ind w:firstLine="0"/>
              <w:rPr>
                <w:rFonts w:eastAsia="MS Mincho"/>
                <w:i/>
                <w:lang w:val="ru-RU"/>
              </w:rPr>
            </w:pPr>
            <w:r w:rsidRPr="00D161AB">
              <w:rPr>
                <w:rFonts w:eastAsia="MS Mincho"/>
                <w:i/>
                <w:lang w:eastAsia="ja-JP"/>
              </w:rPr>
              <w:t>mFOLFIRINOX</w:t>
            </w:r>
            <w:r w:rsidR="00C15198" w:rsidRPr="00D161AB">
              <w:rPr>
                <w:rFonts w:eastAsia="MS Mincho"/>
                <w:i/>
                <w:lang w:eastAsia="ja-JP"/>
              </w:rPr>
              <w:fldChar w:fldCharType="begin"/>
            </w:r>
            <w:r w:rsidR="004034C1" w:rsidRPr="004034C1">
              <w:rPr>
                <w:rFonts w:eastAsia="MS Mincho"/>
                <w:i/>
                <w:lang w:val="ru-RU"/>
              </w:rPr>
              <w:instrText xml:space="preserve"> </w:instrText>
            </w:r>
            <w:r w:rsidR="004034C1">
              <w:rPr>
                <w:rFonts w:eastAsia="MS Mincho"/>
                <w:i/>
              </w:rPr>
              <w:instrText>ADDIN</w:instrText>
            </w:r>
            <w:r w:rsidR="004034C1" w:rsidRPr="004034C1">
              <w:rPr>
                <w:rFonts w:eastAsia="MS Mincho"/>
                <w:i/>
                <w:lang w:val="ru-RU"/>
              </w:rPr>
              <w:instrText xml:space="preserve"> </w:instrText>
            </w:r>
            <w:r w:rsidR="004034C1">
              <w:rPr>
                <w:rFonts w:eastAsia="MS Mincho"/>
                <w:i/>
              </w:rPr>
              <w:instrText>ZOTERO</w:instrText>
            </w:r>
            <w:r w:rsidR="004034C1" w:rsidRPr="004034C1">
              <w:rPr>
                <w:rFonts w:eastAsia="MS Mincho"/>
                <w:i/>
                <w:lang w:val="ru-RU"/>
              </w:rPr>
              <w:instrText>_</w:instrText>
            </w:r>
            <w:r w:rsidR="004034C1">
              <w:rPr>
                <w:rFonts w:eastAsia="MS Mincho"/>
                <w:i/>
              </w:rPr>
              <w:instrText>ITEM</w:instrText>
            </w:r>
            <w:r w:rsidR="004034C1" w:rsidRPr="004034C1">
              <w:rPr>
                <w:rFonts w:eastAsia="MS Mincho"/>
                <w:i/>
                <w:lang w:val="ru-RU"/>
              </w:rPr>
              <w:instrText xml:space="preserve"> </w:instrText>
            </w:r>
            <w:r w:rsidR="004034C1">
              <w:rPr>
                <w:rFonts w:eastAsia="MS Mincho"/>
                <w:i/>
              </w:rPr>
              <w:instrText>CSL</w:instrText>
            </w:r>
            <w:r w:rsidR="004034C1" w:rsidRPr="004034C1">
              <w:rPr>
                <w:rFonts w:eastAsia="MS Mincho"/>
                <w:i/>
                <w:lang w:val="ru-RU"/>
              </w:rPr>
              <w:instrText>_</w:instrText>
            </w:r>
            <w:r w:rsidR="004034C1">
              <w:rPr>
                <w:rFonts w:eastAsia="MS Mincho"/>
                <w:i/>
              </w:rPr>
              <w:instrText>CITATION</w:instrText>
            </w:r>
            <w:r w:rsidR="004034C1" w:rsidRPr="004034C1">
              <w:rPr>
                <w:rFonts w:eastAsia="MS Mincho"/>
                <w:i/>
                <w:lang w:val="ru-RU"/>
              </w:rPr>
              <w:instrText xml:space="preserve"> {"</w:instrText>
            </w:r>
            <w:r w:rsidR="004034C1">
              <w:rPr>
                <w:rFonts w:eastAsia="MS Mincho"/>
                <w:i/>
              </w:rPr>
              <w:instrText>citationID</w:instrText>
            </w:r>
            <w:r w:rsidR="004034C1" w:rsidRPr="004034C1">
              <w:rPr>
                <w:rFonts w:eastAsia="MS Mincho"/>
                <w:i/>
                <w:lang w:val="ru-RU"/>
              </w:rPr>
              <w:instrText>":"3</w:instrText>
            </w:r>
            <w:r w:rsidR="004034C1">
              <w:rPr>
                <w:rFonts w:eastAsia="MS Mincho"/>
                <w:i/>
              </w:rPr>
              <w:instrText>nXGN</w:instrText>
            </w:r>
            <w:r w:rsidR="004034C1" w:rsidRPr="004034C1">
              <w:rPr>
                <w:rFonts w:eastAsia="MS Mincho"/>
                <w:i/>
                <w:lang w:val="ru-RU"/>
              </w:rPr>
              <w:instrText>9</w:instrText>
            </w:r>
            <w:r w:rsidR="004034C1">
              <w:rPr>
                <w:rFonts w:eastAsia="MS Mincho"/>
                <w:i/>
              </w:rPr>
              <w:instrText>dJ</w:instrText>
            </w:r>
            <w:r w:rsidR="004034C1" w:rsidRPr="004034C1">
              <w:rPr>
                <w:rFonts w:eastAsia="MS Mincho"/>
                <w:i/>
                <w:lang w:val="ru-RU"/>
              </w:rPr>
              <w:instrText>","</w:instrText>
            </w:r>
            <w:r w:rsidR="004034C1">
              <w:rPr>
                <w:rFonts w:eastAsia="MS Mincho"/>
                <w:i/>
              </w:rPr>
              <w:instrText>properties</w:instrText>
            </w:r>
            <w:r w:rsidR="004034C1" w:rsidRPr="004034C1">
              <w:rPr>
                <w:rFonts w:eastAsia="MS Mincho"/>
                <w:i/>
                <w:lang w:val="ru-RU"/>
              </w:rPr>
              <w:instrText>":{"</w:instrText>
            </w:r>
            <w:r w:rsidR="004034C1">
              <w:rPr>
                <w:rFonts w:eastAsia="MS Mincho"/>
                <w:i/>
              </w:rPr>
              <w:instrText>formattedCitation</w:instrText>
            </w:r>
            <w:r w:rsidR="004034C1" w:rsidRPr="004034C1">
              <w:rPr>
                <w:rFonts w:eastAsia="MS Mincho"/>
                <w:i/>
                <w:lang w:val="ru-RU"/>
              </w:rPr>
              <w:instrText>":"[105,106]","</w:instrText>
            </w:r>
            <w:r w:rsidR="004034C1">
              <w:rPr>
                <w:rFonts w:eastAsia="MS Mincho"/>
                <w:i/>
              </w:rPr>
              <w:instrText>plainCitation</w:instrText>
            </w:r>
            <w:r w:rsidR="004034C1" w:rsidRPr="004034C1">
              <w:rPr>
                <w:rFonts w:eastAsia="MS Mincho"/>
                <w:i/>
                <w:lang w:val="ru-RU"/>
              </w:rPr>
              <w:instrText>":"[105,106]","</w:instrText>
            </w:r>
            <w:r w:rsidR="004034C1">
              <w:rPr>
                <w:rFonts w:eastAsia="MS Mincho"/>
                <w:i/>
              </w:rPr>
              <w:instrText>noteIndex</w:instrText>
            </w:r>
            <w:r w:rsidR="004034C1" w:rsidRPr="004034C1">
              <w:rPr>
                <w:rFonts w:eastAsia="MS Mincho"/>
                <w:i/>
                <w:lang w:val="ru-RU"/>
              </w:rPr>
              <w:instrText>":0},"</w:instrText>
            </w:r>
            <w:r w:rsidR="004034C1">
              <w:rPr>
                <w:rFonts w:eastAsia="MS Mincho"/>
                <w:i/>
              </w:rPr>
              <w:instrText>citationItems</w:instrText>
            </w:r>
            <w:r w:rsidR="004034C1" w:rsidRPr="004034C1">
              <w:rPr>
                <w:rFonts w:eastAsia="MS Mincho"/>
                <w:i/>
                <w:lang w:val="ru-RU"/>
              </w:rPr>
              <w:instrText>":[{"</w:instrText>
            </w:r>
            <w:r w:rsidR="004034C1">
              <w:rPr>
                <w:rFonts w:eastAsia="MS Mincho"/>
                <w:i/>
              </w:rPr>
              <w:instrText>id</w:instrText>
            </w:r>
            <w:r w:rsidR="004034C1" w:rsidRPr="004034C1">
              <w:rPr>
                <w:rFonts w:eastAsia="MS Mincho"/>
                <w:i/>
                <w:lang w:val="ru-RU"/>
              </w:rPr>
              <w:instrText>":1104,"</w:instrText>
            </w:r>
            <w:r w:rsidR="004034C1">
              <w:rPr>
                <w:rFonts w:eastAsia="MS Mincho"/>
                <w:i/>
              </w:rPr>
              <w:instrText>uris</w:instrText>
            </w:r>
            <w:r w:rsidR="004034C1" w:rsidRPr="004034C1">
              <w:rPr>
                <w:rFonts w:eastAsia="MS Mincho"/>
                <w:i/>
                <w:lang w:val="ru-RU"/>
              </w:rPr>
              <w:instrText>":["</w:instrText>
            </w:r>
            <w:r w:rsidR="004034C1">
              <w:rPr>
                <w:rFonts w:eastAsia="MS Mincho"/>
                <w:i/>
              </w:rPr>
              <w:instrText>http</w:instrText>
            </w:r>
            <w:r w:rsidR="004034C1" w:rsidRPr="004034C1">
              <w:rPr>
                <w:rFonts w:eastAsia="MS Mincho"/>
                <w:i/>
                <w:lang w:val="ru-RU"/>
              </w:rPr>
              <w:instrText>://</w:instrText>
            </w:r>
            <w:r w:rsidR="004034C1">
              <w:rPr>
                <w:rFonts w:eastAsia="MS Mincho"/>
                <w:i/>
              </w:rPr>
              <w:instrText>zotero</w:instrText>
            </w:r>
            <w:r w:rsidR="004034C1" w:rsidRPr="004034C1">
              <w:rPr>
                <w:rFonts w:eastAsia="MS Mincho"/>
                <w:i/>
                <w:lang w:val="ru-RU"/>
              </w:rPr>
              <w:instrText>.</w:instrText>
            </w:r>
            <w:r w:rsidR="004034C1">
              <w:rPr>
                <w:rFonts w:eastAsia="MS Mincho"/>
                <w:i/>
              </w:rPr>
              <w:instrText>org</w:instrText>
            </w:r>
            <w:r w:rsidR="004034C1" w:rsidRPr="004034C1">
              <w:rPr>
                <w:rFonts w:eastAsia="MS Mincho"/>
                <w:i/>
                <w:lang w:val="ru-RU"/>
              </w:rPr>
              <w:instrText>/</w:instrText>
            </w:r>
            <w:r w:rsidR="004034C1">
              <w:rPr>
                <w:rFonts w:eastAsia="MS Mincho"/>
                <w:i/>
              </w:rPr>
              <w:instrText>users</w:instrText>
            </w:r>
            <w:r w:rsidR="004034C1" w:rsidRPr="004034C1">
              <w:rPr>
                <w:rFonts w:eastAsia="MS Mincho"/>
                <w:i/>
                <w:lang w:val="ru-RU"/>
              </w:rPr>
              <w:instrText>/5363772/</w:instrText>
            </w:r>
            <w:r w:rsidR="004034C1">
              <w:rPr>
                <w:rFonts w:eastAsia="MS Mincho"/>
                <w:i/>
              </w:rPr>
              <w:instrText>items</w:instrText>
            </w:r>
            <w:r w:rsidR="004034C1" w:rsidRPr="004034C1">
              <w:rPr>
                <w:rFonts w:eastAsia="MS Mincho"/>
                <w:i/>
                <w:lang w:val="ru-RU"/>
              </w:rPr>
              <w:instrText>/</w:instrText>
            </w:r>
            <w:r w:rsidR="004034C1">
              <w:rPr>
                <w:rFonts w:eastAsia="MS Mincho"/>
                <w:i/>
              </w:rPr>
              <w:instrText>SWWQ</w:instrText>
            </w:r>
            <w:r w:rsidR="004034C1" w:rsidRPr="004034C1">
              <w:rPr>
                <w:rFonts w:eastAsia="MS Mincho"/>
                <w:i/>
                <w:lang w:val="ru-RU"/>
              </w:rPr>
              <w:instrText>2</w:instrText>
            </w:r>
            <w:r w:rsidR="004034C1">
              <w:rPr>
                <w:rFonts w:eastAsia="MS Mincho"/>
                <w:i/>
              </w:rPr>
              <w:instrText>YRX</w:instrText>
            </w:r>
            <w:r w:rsidR="004034C1" w:rsidRPr="004034C1">
              <w:rPr>
                <w:rFonts w:eastAsia="MS Mincho"/>
                <w:i/>
                <w:lang w:val="ru-RU"/>
              </w:rPr>
              <w:instrText>",["</w:instrText>
            </w:r>
            <w:r w:rsidR="004034C1">
              <w:rPr>
                <w:rFonts w:eastAsia="MS Mincho"/>
                <w:i/>
              </w:rPr>
              <w:instrText>http</w:instrText>
            </w:r>
            <w:r w:rsidR="004034C1" w:rsidRPr="004034C1">
              <w:rPr>
                <w:rFonts w:eastAsia="MS Mincho"/>
                <w:i/>
                <w:lang w:val="ru-RU"/>
              </w:rPr>
              <w:instrText>://</w:instrText>
            </w:r>
            <w:r w:rsidR="004034C1">
              <w:rPr>
                <w:rFonts w:eastAsia="MS Mincho"/>
                <w:i/>
              </w:rPr>
              <w:instrText>zotero</w:instrText>
            </w:r>
            <w:r w:rsidR="004034C1" w:rsidRPr="004034C1">
              <w:rPr>
                <w:rFonts w:eastAsia="MS Mincho"/>
                <w:i/>
                <w:lang w:val="ru-RU"/>
              </w:rPr>
              <w:instrText>.</w:instrText>
            </w:r>
            <w:r w:rsidR="004034C1">
              <w:rPr>
                <w:rFonts w:eastAsia="MS Mincho"/>
                <w:i/>
              </w:rPr>
              <w:instrText>org</w:instrText>
            </w:r>
            <w:r w:rsidR="004034C1" w:rsidRPr="004034C1">
              <w:rPr>
                <w:rFonts w:eastAsia="MS Mincho"/>
                <w:i/>
                <w:lang w:val="ru-RU"/>
              </w:rPr>
              <w:instrText>/</w:instrText>
            </w:r>
            <w:r w:rsidR="004034C1">
              <w:rPr>
                <w:rFonts w:eastAsia="MS Mincho"/>
                <w:i/>
              </w:rPr>
              <w:instrText>users</w:instrText>
            </w:r>
            <w:r w:rsidR="004034C1" w:rsidRPr="004034C1">
              <w:rPr>
                <w:rFonts w:eastAsia="MS Mincho"/>
                <w:i/>
                <w:lang w:val="ru-RU"/>
              </w:rPr>
              <w:instrText>/5363772/</w:instrText>
            </w:r>
            <w:r w:rsidR="004034C1">
              <w:rPr>
                <w:rFonts w:eastAsia="MS Mincho"/>
                <w:i/>
              </w:rPr>
              <w:instrText>items</w:instrText>
            </w:r>
            <w:r w:rsidR="004034C1" w:rsidRPr="004034C1">
              <w:rPr>
                <w:rFonts w:eastAsia="MS Mincho"/>
                <w:i/>
                <w:lang w:val="ru-RU"/>
              </w:rPr>
              <w:instrText>/</w:instrText>
            </w:r>
            <w:r w:rsidR="004034C1">
              <w:rPr>
                <w:rFonts w:eastAsia="MS Mincho"/>
                <w:i/>
              </w:rPr>
              <w:instrText>SWWQ</w:instrText>
            </w:r>
            <w:r w:rsidR="004034C1" w:rsidRPr="004034C1">
              <w:rPr>
                <w:rFonts w:eastAsia="MS Mincho"/>
                <w:i/>
                <w:lang w:val="ru-RU"/>
              </w:rPr>
              <w:instrText>2</w:instrText>
            </w:r>
            <w:r w:rsidR="004034C1">
              <w:rPr>
                <w:rFonts w:eastAsia="MS Mincho"/>
                <w:i/>
              </w:rPr>
              <w:instrText>YRX</w:instrText>
            </w:r>
            <w:r w:rsidR="004034C1" w:rsidRPr="004034C1">
              <w:rPr>
                <w:rFonts w:eastAsia="MS Mincho"/>
                <w:i/>
                <w:lang w:val="ru-RU"/>
              </w:rPr>
              <w:instrText>"]],"</w:instrText>
            </w:r>
            <w:r w:rsidR="004034C1">
              <w:rPr>
                <w:rFonts w:eastAsia="MS Mincho"/>
                <w:i/>
              </w:rPr>
              <w:instrText>itemData</w:instrText>
            </w:r>
            <w:r w:rsidR="004034C1" w:rsidRPr="004034C1">
              <w:rPr>
                <w:rFonts w:eastAsia="MS Mincho"/>
                <w:i/>
                <w:lang w:val="ru-RU"/>
              </w:rPr>
              <w:instrText>":{"</w:instrText>
            </w:r>
            <w:r w:rsidR="004034C1">
              <w:rPr>
                <w:rFonts w:eastAsia="MS Mincho"/>
                <w:i/>
              </w:rPr>
              <w:instrText>id</w:instrText>
            </w:r>
            <w:r w:rsidR="004034C1" w:rsidRPr="004034C1">
              <w:rPr>
                <w:rFonts w:eastAsia="MS Mincho"/>
                <w:i/>
                <w:lang w:val="ru-RU"/>
              </w:rPr>
              <w:instrText>":1104,"</w:instrText>
            </w:r>
            <w:r w:rsidR="004034C1">
              <w:rPr>
                <w:rFonts w:eastAsia="MS Mincho"/>
                <w:i/>
              </w:rPr>
              <w:instrText>type</w:instrText>
            </w:r>
            <w:r w:rsidR="004034C1" w:rsidRPr="004034C1">
              <w:rPr>
                <w:rFonts w:eastAsia="MS Mincho"/>
                <w:i/>
                <w:lang w:val="ru-RU"/>
              </w:rPr>
              <w:instrText>":"</w:instrText>
            </w:r>
            <w:r w:rsidR="004034C1">
              <w:rPr>
                <w:rFonts w:eastAsia="MS Mincho"/>
                <w:i/>
              </w:rPr>
              <w:instrText>article</w:instrText>
            </w:r>
            <w:r w:rsidR="004034C1" w:rsidRPr="004034C1">
              <w:rPr>
                <w:rFonts w:eastAsia="MS Mincho"/>
                <w:i/>
                <w:lang w:val="ru-RU"/>
              </w:rPr>
              <w:instrText>-</w:instrText>
            </w:r>
            <w:r w:rsidR="004034C1">
              <w:rPr>
                <w:rFonts w:eastAsia="MS Mincho"/>
                <w:i/>
              </w:rPr>
              <w:instrText>journal</w:instrText>
            </w:r>
            <w:r w:rsidR="004034C1" w:rsidRPr="004034C1">
              <w:rPr>
                <w:rFonts w:eastAsia="MS Mincho"/>
                <w:i/>
                <w:lang w:val="ru-RU"/>
              </w:rPr>
              <w:instrText>","</w:instrText>
            </w:r>
            <w:r w:rsidR="004034C1">
              <w:rPr>
                <w:rFonts w:eastAsia="MS Mincho"/>
                <w:i/>
              </w:rPr>
              <w:instrText>container</w:instrText>
            </w:r>
            <w:r w:rsidR="004034C1" w:rsidRPr="004034C1">
              <w:rPr>
                <w:rFonts w:eastAsia="MS Mincho"/>
                <w:i/>
                <w:lang w:val="ru-RU"/>
              </w:rPr>
              <w:instrText>-</w:instrText>
            </w:r>
            <w:r w:rsidR="004034C1">
              <w:rPr>
                <w:rFonts w:eastAsia="MS Mincho"/>
                <w:i/>
              </w:rPr>
              <w:instrText>title</w:instrText>
            </w:r>
            <w:r w:rsidR="004034C1" w:rsidRPr="004034C1">
              <w:rPr>
                <w:rFonts w:eastAsia="MS Mincho"/>
                <w:i/>
                <w:lang w:val="ru-RU"/>
              </w:rPr>
              <w:instrText>":"</w:instrText>
            </w:r>
            <w:r w:rsidR="004034C1">
              <w:rPr>
                <w:rFonts w:eastAsia="MS Mincho"/>
                <w:i/>
              </w:rPr>
              <w:instrText>World</w:instrText>
            </w:r>
            <w:r w:rsidR="004034C1" w:rsidRPr="004034C1">
              <w:rPr>
                <w:rFonts w:eastAsia="MS Mincho"/>
                <w:i/>
                <w:lang w:val="ru-RU"/>
              </w:rPr>
              <w:instrText xml:space="preserve"> </w:instrText>
            </w:r>
            <w:r w:rsidR="004034C1">
              <w:rPr>
                <w:rFonts w:eastAsia="MS Mincho"/>
                <w:i/>
              </w:rPr>
              <w:instrText>Journal</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Gastrointestinal</w:instrText>
            </w:r>
            <w:r w:rsidR="004034C1" w:rsidRPr="004034C1">
              <w:rPr>
                <w:rFonts w:eastAsia="MS Mincho"/>
                <w:i/>
                <w:lang w:val="ru-RU"/>
              </w:rPr>
              <w:instrText xml:space="preserve"> </w:instrText>
            </w:r>
            <w:r w:rsidR="004034C1">
              <w:rPr>
                <w:rFonts w:eastAsia="MS Mincho"/>
                <w:i/>
              </w:rPr>
              <w:instrText>Oncology</w:instrText>
            </w:r>
            <w:r w:rsidR="004034C1" w:rsidRPr="004034C1">
              <w:rPr>
                <w:rFonts w:eastAsia="MS Mincho"/>
                <w:i/>
                <w:lang w:val="ru-RU"/>
              </w:rPr>
              <w:instrText>","</w:instrText>
            </w:r>
            <w:r w:rsidR="004034C1">
              <w:rPr>
                <w:rFonts w:eastAsia="MS Mincho"/>
                <w:i/>
              </w:rPr>
              <w:instrText>DOI</w:instrText>
            </w:r>
            <w:r w:rsidR="004034C1" w:rsidRPr="004034C1">
              <w:rPr>
                <w:rFonts w:eastAsia="MS Mincho"/>
                <w:i/>
                <w:lang w:val="ru-RU"/>
              </w:rPr>
              <w:instrText>":"10.4251/</w:instrText>
            </w:r>
            <w:r w:rsidR="004034C1">
              <w:rPr>
                <w:rFonts w:eastAsia="MS Mincho"/>
                <w:i/>
              </w:rPr>
              <w:instrText>wjgo</w:instrText>
            </w:r>
            <w:r w:rsidR="004034C1" w:rsidRPr="004034C1">
              <w:rPr>
                <w:rFonts w:eastAsia="MS Mincho"/>
                <w:i/>
                <w:lang w:val="ru-RU"/>
              </w:rPr>
              <w:instrText>.</w:instrText>
            </w:r>
            <w:r w:rsidR="004034C1">
              <w:rPr>
                <w:rFonts w:eastAsia="MS Mincho"/>
                <w:i/>
              </w:rPr>
              <w:instrText>v</w:instrText>
            </w:r>
            <w:r w:rsidR="004034C1" w:rsidRPr="004034C1">
              <w:rPr>
                <w:rFonts w:eastAsia="MS Mincho"/>
                <w:i/>
                <w:lang w:val="ru-RU"/>
              </w:rPr>
              <w:instrText>10.</w:instrText>
            </w:r>
            <w:r w:rsidR="004034C1">
              <w:rPr>
                <w:rFonts w:eastAsia="MS Mincho"/>
                <w:i/>
              </w:rPr>
              <w:instrText>i</w:instrText>
            </w:r>
            <w:r w:rsidR="004034C1" w:rsidRPr="004034C1">
              <w:rPr>
                <w:rFonts w:eastAsia="MS Mincho"/>
                <w:i/>
                <w:lang w:val="ru-RU"/>
              </w:rPr>
              <w:instrText>12.505","</w:instrText>
            </w:r>
            <w:r w:rsidR="004034C1">
              <w:rPr>
                <w:rFonts w:eastAsia="MS Mincho"/>
                <w:i/>
              </w:rPr>
              <w:instrText>ISSN</w:instrText>
            </w:r>
            <w:r w:rsidR="004034C1" w:rsidRPr="004034C1">
              <w:rPr>
                <w:rFonts w:eastAsia="MS Mincho"/>
                <w:i/>
                <w:lang w:val="ru-RU"/>
              </w:rPr>
              <w:instrText>":"1948-5204","</w:instrText>
            </w:r>
            <w:r w:rsidR="004034C1">
              <w:rPr>
                <w:rFonts w:eastAsia="MS Mincho"/>
                <w:i/>
              </w:rPr>
              <w:instrText>issue</w:instrText>
            </w:r>
            <w:r w:rsidR="004034C1" w:rsidRPr="004034C1">
              <w:rPr>
                <w:rFonts w:eastAsia="MS Mincho"/>
                <w:i/>
                <w:lang w:val="ru-RU"/>
              </w:rPr>
              <w:instrText>":"12","</w:instrText>
            </w:r>
            <w:r w:rsidR="004034C1">
              <w:rPr>
                <w:rFonts w:eastAsia="MS Mincho"/>
                <w:i/>
              </w:rPr>
              <w:instrText>journalAbbreviation</w:instrText>
            </w:r>
            <w:r w:rsidR="004034C1" w:rsidRPr="004034C1">
              <w:rPr>
                <w:rFonts w:eastAsia="MS Mincho"/>
                <w:i/>
                <w:lang w:val="ru-RU"/>
              </w:rPr>
              <w:instrText>":"</w:instrText>
            </w:r>
            <w:r w:rsidR="004034C1">
              <w:rPr>
                <w:rFonts w:eastAsia="MS Mincho"/>
                <w:i/>
              </w:rPr>
              <w:instrText>WJGO</w:instrText>
            </w:r>
            <w:r w:rsidR="004034C1" w:rsidRPr="004034C1">
              <w:rPr>
                <w:rFonts w:eastAsia="MS Mincho"/>
                <w:i/>
                <w:lang w:val="ru-RU"/>
              </w:rPr>
              <w:instrText>","</w:instrText>
            </w:r>
            <w:r w:rsidR="004034C1">
              <w:rPr>
                <w:rFonts w:eastAsia="MS Mincho"/>
                <w:i/>
              </w:rPr>
              <w:instrText>page</w:instrText>
            </w:r>
            <w:r w:rsidR="004034C1" w:rsidRPr="004034C1">
              <w:rPr>
                <w:rFonts w:eastAsia="MS Mincho"/>
                <w:i/>
                <w:lang w:val="ru-RU"/>
              </w:rPr>
              <w:instrText>":"505-515","</w:instrText>
            </w:r>
            <w:r w:rsidR="004034C1">
              <w:rPr>
                <w:rFonts w:eastAsia="MS Mincho"/>
                <w:i/>
              </w:rPr>
              <w:instrText>source</w:instrText>
            </w:r>
            <w:r w:rsidR="004034C1" w:rsidRPr="004034C1">
              <w:rPr>
                <w:rFonts w:eastAsia="MS Mincho"/>
                <w:i/>
                <w:lang w:val="ru-RU"/>
              </w:rPr>
              <w:instrText>":"</w:instrText>
            </w:r>
            <w:r w:rsidR="004034C1">
              <w:rPr>
                <w:rFonts w:eastAsia="MS Mincho"/>
                <w:i/>
              </w:rPr>
              <w:instrText>DOI</w:instrText>
            </w:r>
            <w:r w:rsidR="004034C1" w:rsidRPr="004034C1">
              <w:rPr>
                <w:rFonts w:eastAsia="MS Mincho"/>
                <w:i/>
                <w:lang w:val="ru-RU"/>
              </w:rPr>
              <w:instrText>.</w:instrText>
            </w:r>
            <w:r w:rsidR="004034C1">
              <w:rPr>
                <w:rFonts w:eastAsia="MS Mincho"/>
                <w:i/>
              </w:rPr>
              <w:instrText>org</w:instrText>
            </w:r>
            <w:r w:rsidR="004034C1" w:rsidRPr="004034C1">
              <w:rPr>
                <w:rFonts w:eastAsia="MS Mincho"/>
                <w:i/>
                <w:lang w:val="ru-RU"/>
              </w:rPr>
              <w:instrText xml:space="preserve"> (</w:instrText>
            </w:r>
            <w:r w:rsidR="004034C1">
              <w:rPr>
                <w:rFonts w:eastAsia="MS Mincho"/>
                <w:i/>
              </w:rPr>
              <w:instrText>Crossref</w:instrText>
            </w:r>
            <w:r w:rsidR="004034C1" w:rsidRPr="004034C1">
              <w:rPr>
                <w:rFonts w:eastAsia="MS Mincho"/>
                <w:i/>
                <w:lang w:val="ru-RU"/>
              </w:rPr>
              <w:instrText>)","</w:instrText>
            </w:r>
            <w:r w:rsidR="004034C1">
              <w:rPr>
                <w:rFonts w:eastAsia="MS Mincho"/>
                <w:i/>
              </w:rPr>
              <w:instrText>title</w:instrText>
            </w:r>
            <w:r w:rsidR="004034C1" w:rsidRPr="004034C1">
              <w:rPr>
                <w:rFonts w:eastAsia="MS Mincho"/>
                <w:i/>
                <w:lang w:val="ru-RU"/>
              </w:rPr>
              <w:instrText>":"</w:instrText>
            </w:r>
            <w:r w:rsidR="004034C1">
              <w:rPr>
                <w:rFonts w:eastAsia="MS Mincho"/>
                <w:i/>
              </w:rPr>
              <w:instrText>Multicenter</w:instrText>
            </w:r>
            <w:r w:rsidR="004034C1" w:rsidRPr="004034C1">
              <w:rPr>
                <w:rFonts w:eastAsia="MS Mincho"/>
                <w:i/>
                <w:lang w:val="ru-RU"/>
              </w:rPr>
              <w:instrText xml:space="preserve"> </w:instrText>
            </w:r>
            <w:r w:rsidR="004034C1">
              <w:rPr>
                <w:rFonts w:eastAsia="MS Mincho"/>
                <w:i/>
              </w:rPr>
              <w:instrText>phase</w:instrText>
            </w:r>
            <w:r w:rsidR="004034C1" w:rsidRPr="004034C1">
              <w:rPr>
                <w:rFonts w:eastAsia="MS Mincho"/>
                <w:i/>
                <w:lang w:val="ru-RU"/>
              </w:rPr>
              <w:instrText xml:space="preserve"> </w:instrText>
            </w:r>
            <w:r w:rsidR="004034C1">
              <w:rPr>
                <w:rFonts w:eastAsia="MS Mincho"/>
                <w:i/>
              </w:rPr>
              <w:instrText>II</w:instrText>
            </w:r>
            <w:r w:rsidR="004034C1" w:rsidRPr="004034C1">
              <w:rPr>
                <w:rFonts w:eastAsia="MS Mincho"/>
                <w:i/>
                <w:lang w:val="ru-RU"/>
              </w:rPr>
              <w:instrText xml:space="preserve"> </w:instrText>
            </w:r>
            <w:r w:rsidR="004034C1">
              <w:rPr>
                <w:rFonts w:eastAsia="MS Mincho"/>
                <w:i/>
              </w:rPr>
              <w:instrText>trial</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modified</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 xml:space="preserve"> </w:instrText>
            </w:r>
            <w:r w:rsidR="004034C1">
              <w:rPr>
                <w:rFonts w:eastAsia="MS Mincho"/>
                <w:i/>
              </w:rPr>
              <w:instrText>in</w:instrText>
            </w:r>
            <w:r w:rsidR="004034C1" w:rsidRPr="004034C1">
              <w:rPr>
                <w:rFonts w:eastAsia="MS Mincho"/>
                <w:i/>
                <w:lang w:val="ru-RU"/>
              </w:rPr>
              <w:instrText xml:space="preserve"> </w:instrText>
            </w:r>
            <w:r w:rsidR="004034C1">
              <w:rPr>
                <w:rFonts w:eastAsia="MS Mincho"/>
                <w:i/>
              </w:rPr>
              <w:instrText>gemcitabine</w:instrText>
            </w:r>
            <w:r w:rsidR="004034C1" w:rsidRPr="004034C1">
              <w:rPr>
                <w:rFonts w:eastAsia="MS Mincho"/>
                <w:i/>
                <w:lang w:val="ru-RU"/>
              </w:rPr>
              <w:instrText>-</w:instrText>
            </w:r>
            <w:r w:rsidR="004034C1">
              <w:rPr>
                <w:rFonts w:eastAsia="MS Mincho"/>
                <w:i/>
              </w:rPr>
              <w:instrText>refractory</w:instrText>
            </w:r>
            <w:r w:rsidR="004034C1" w:rsidRPr="004034C1">
              <w:rPr>
                <w:rFonts w:eastAsia="MS Mincho"/>
                <w:i/>
                <w:lang w:val="ru-RU"/>
              </w:rPr>
              <w:instrText xml:space="preserve"> </w:instrText>
            </w:r>
            <w:r w:rsidR="004034C1">
              <w:rPr>
                <w:rFonts w:eastAsia="MS Mincho"/>
                <w:i/>
              </w:rPr>
              <w:instrText>pancreatic</w:instrText>
            </w:r>
            <w:r w:rsidR="004034C1" w:rsidRPr="004034C1">
              <w:rPr>
                <w:rFonts w:eastAsia="MS Mincho"/>
                <w:i/>
                <w:lang w:val="ru-RU"/>
              </w:rPr>
              <w:instrText xml:space="preserve"> </w:instrText>
            </w:r>
            <w:r w:rsidR="004034C1">
              <w:rPr>
                <w:rFonts w:eastAsia="MS Mincho"/>
                <w:i/>
              </w:rPr>
              <w:instrText>cancer</w:instrText>
            </w:r>
            <w:r w:rsidR="004034C1" w:rsidRPr="004034C1">
              <w:rPr>
                <w:rFonts w:eastAsia="MS Mincho"/>
                <w:i/>
                <w:lang w:val="ru-RU"/>
              </w:rPr>
              <w:instrText>","</w:instrText>
            </w:r>
            <w:r w:rsidR="004034C1">
              <w:rPr>
                <w:rFonts w:eastAsia="MS Mincho"/>
                <w:i/>
              </w:rPr>
              <w:instrText>volume</w:instrText>
            </w:r>
            <w:r w:rsidR="004034C1" w:rsidRPr="004034C1">
              <w:rPr>
                <w:rFonts w:eastAsia="MS Mincho"/>
                <w:i/>
                <w:lang w:val="ru-RU"/>
              </w:rPr>
              <w:instrText>":"10","</w:instrText>
            </w:r>
            <w:r w:rsidR="004034C1">
              <w:rPr>
                <w:rFonts w:eastAsia="MS Mincho"/>
                <w:i/>
              </w:rPr>
              <w:instrText>author</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Chung</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Moon</w:instrText>
            </w:r>
            <w:r w:rsidR="004034C1" w:rsidRPr="004034C1">
              <w:rPr>
                <w:rFonts w:eastAsia="MS Mincho"/>
                <w:i/>
                <w:lang w:val="ru-RU"/>
              </w:rPr>
              <w:instrText xml:space="preserve"> </w:instrText>
            </w:r>
            <w:r w:rsidR="004034C1">
              <w:rPr>
                <w:rFonts w:eastAsia="MS Mincho"/>
                <w:i/>
              </w:rPr>
              <w:instrText>Jae</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Kang</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Huapyong</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Kim</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Ho</w:instrText>
            </w:r>
            <w:r w:rsidR="004034C1" w:rsidRPr="004034C1">
              <w:rPr>
                <w:rFonts w:eastAsia="MS Mincho"/>
                <w:i/>
                <w:lang w:val="ru-RU"/>
              </w:rPr>
              <w:instrText xml:space="preserve"> </w:instrText>
            </w:r>
            <w:r w:rsidR="004034C1">
              <w:rPr>
                <w:rFonts w:eastAsia="MS Mincho"/>
                <w:i/>
              </w:rPr>
              <w:instrText>Gak</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Hyun</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Jong</w:instrText>
            </w:r>
            <w:r w:rsidR="004034C1" w:rsidRPr="004034C1">
              <w:rPr>
                <w:rFonts w:eastAsia="MS Mincho"/>
                <w:i/>
                <w:lang w:val="ru-RU"/>
              </w:rPr>
              <w:instrText xml:space="preserve"> </w:instrText>
            </w:r>
            <w:r w:rsidR="004034C1">
              <w:rPr>
                <w:rFonts w:eastAsia="MS Mincho"/>
                <w:i/>
              </w:rPr>
              <w:instrText>Jin</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Lee</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Jun</w:instrText>
            </w:r>
            <w:r w:rsidR="004034C1" w:rsidRPr="004034C1">
              <w:rPr>
                <w:rFonts w:eastAsia="MS Mincho"/>
                <w:i/>
                <w:lang w:val="ru-RU"/>
              </w:rPr>
              <w:instrText xml:space="preserve"> </w:instrText>
            </w:r>
            <w:r w:rsidR="004034C1">
              <w:rPr>
                <w:rFonts w:eastAsia="MS Mincho"/>
                <w:i/>
              </w:rPr>
              <w:instrText>Kyu</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Lee</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Kwang</w:instrText>
            </w:r>
            <w:r w:rsidR="004034C1" w:rsidRPr="004034C1">
              <w:rPr>
                <w:rFonts w:eastAsia="MS Mincho"/>
                <w:i/>
                <w:lang w:val="ru-RU"/>
              </w:rPr>
              <w:instrText xml:space="preserve"> </w:instrText>
            </w:r>
            <w:r w:rsidR="004034C1">
              <w:rPr>
                <w:rFonts w:eastAsia="MS Mincho"/>
                <w:i/>
              </w:rPr>
              <w:instrText>Hyuck</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Noh</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Myung</w:instrText>
            </w:r>
            <w:r w:rsidR="004034C1" w:rsidRPr="004034C1">
              <w:rPr>
                <w:rFonts w:eastAsia="MS Mincho"/>
                <w:i/>
                <w:lang w:val="ru-RU"/>
              </w:rPr>
              <w:instrText xml:space="preserve"> </w:instrText>
            </w:r>
            <w:r w:rsidR="004034C1">
              <w:rPr>
                <w:rFonts w:eastAsia="MS Mincho"/>
                <w:i/>
              </w:rPr>
              <w:instrText>Hwan</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Kang</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Dae</w:instrText>
            </w:r>
            <w:r w:rsidR="004034C1" w:rsidRPr="004034C1">
              <w:rPr>
                <w:rFonts w:eastAsia="MS Mincho"/>
                <w:i/>
                <w:lang w:val="ru-RU"/>
              </w:rPr>
              <w:instrText xml:space="preserve"> </w:instrText>
            </w:r>
            <w:r w:rsidR="004034C1">
              <w:rPr>
                <w:rFonts w:eastAsia="MS Mincho"/>
                <w:i/>
              </w:rPr>
              <w:instrText>Hwan</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Lee</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Sang</w:instrText>
            </w:r>
            <w:r w:rsidR="004034C1" w:rsidRPr="004034C1">
              <w:rPr>
                <w:rFonts w:eastAsia="MS Mincho"/>
                <w:i/>
                <w:lang w:val="ru-RU"/>
              </w:rPr>
              <w:instrText xml:space="preserve"> </w:instrText>
            </w:r>
            <w:r w:rsidR="004034C1">
              <w:rPr>
                <w:rFonts w:eastAsia="MS Mincho"/>
                <w:i/>
              </w:rPr>
              <w:instrText>Hyub</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Bang</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Seungmin</w:instrText>
            </w:r>
            <w:r w:rsidR="004034C1" w:rsidRPr="004034C1">
              <w:rPr>
                <w:rFonts w:eastAsia="MS Mincho"/>
                <w:i/>
                <w:lang w:val="ru-RU"/>
              </w:rPr>
              <w:instrText>"}],"</w:instrText>
            </w:r>
            <w:r w:rsidR="004034C1">
              <w:rPr>
                <w:rFonts w:eastAsia="MS Mincho"/>
                <w:i/>
              </w:rPr>
              <w:instrText>issued</w:instrText>
            </w:r>
            <w:r w:rsidR="004034C1" w:rsidRPr="004034C1">
              <w:rPr>
                <w:rFonts w:eastAsia="MS Mincho"/>
                <w:i/>
                <w:lang w:val="ru-RU"/>
              </w:rPr>
              <w:instrText>":{"</w:instrText>
            </w:r>
            <w:r w:rsidR="004034C1">
              <w:rPr>
                <w:rFonts w:eastAsia="MS Mincho"/>
                <w:i/>
              </w:rPr>
              <w:instrText>date</w:instrText>
            </w:r>
            <w:r w:rsidR="004034C1" w:rsidRPr="004034C1">
              <w:rPr>
                <w:rFonts w:eastAsia="MS Mincho"/>
                <w:i/>
                <w:lang w:val="ru-RU"/>
              </w:rPr>
              <w:instrText>-</w:instrText>
            </w:r>
            <w:r w:rsidR="004034C1">
              <w:rPr>
                <w:rFonts w:eastAsia="MS Mincho"/>
                <w:i/>
              </w:rPr>
              <w:instrText>parts</w:instrText>
            </w:r>
            <w:r w:rsidR="004034C1" w:rsidRPr="004034C1">
              <w:rPr>
                <w:rFonts w:eastAsia="MS Mincho"/>
                <w:i/>
                <w:lang w:val="ru-RU"/>
              </w:rPr>
              <w:instrText>":[["2018",12,15]]}}},{"</w:instrText>
            </w:r>
            <w:r w:rsidR="004034C1">
              <w:rPr>
                <w:rFonts w:eastAsia="MS Mincho"/>
                <w:i/>
              </w:rPr>
              <w:instrText>id</w:instrText>
            </w:r>
            <w:r w:rsidR="004034C1" w:rsidRPr="004034C1">
              <w:rPr>
                <w:rFonts w:eastAsia="MS Mincho"/>
                <w:i/>
                <w:lang w:val="ru-RU"/>
              </w:rPr>
              <w:instrText>":1107,"</w:instrText>
            </w:r>
            <w:r w:rsidR="004034C1">
              <w:rPr>
                <w:rFonts w:eastAsia="MS Mincho"/>
                <w:i/>
              </w:rPr>
              <w:instrText>uris</w:instrText>
            </w:r>
            <w:r w:rsidR="004034C1" w:rsidRPr="004034C1">
              <w:rPr>
                <w:rFonts w:eastAsia="MS Mincho"/>
                <w:i/>
                <w:lang w:val="ru-RU"/>
              </w:rPr>
              <w:instrText>":["</w:instrText>
            </w:r>
            <w:r w:rsidR="004034C1">
              <w:rPr>
                <w:rFonts w:eastAsia="MS Mincho"/>
                <w:i/>
              </w:rPr>
              <w:instrText>http</w:instrText>
            </w:r>
            <w:r w:rsidR="004034C1" w:rsidRPr="004034C1">
              <w:rPr>
                <w:rFonts w:eastAsia="MS Mincho"/>
                <w:i/>
                <w:lang w:val="ru-RU"/>
              </w:rPr>
              <w:instrText>://</w:instrText>
            </w:r>
            <w:r w:rsidR="004034C1">
              <w:rPr>
                <w:rFonts w:eastAsia="MS Mincho"/>
                <w:i/>
              </w:rPr>
              <w:instrText>zotero</w:instrText>
            </w:r>
            <w:r w:rsidR="004034C1" w:rsidRPr="004034C1">
              <w:rPr>
                <w:rFonts w:eastAsia="MS Mincho"/>
                <w:i/>
                <w:lang w:val="ru-RU"/>
              </w:rPr>
              <w:instrText>.</w:instrText>
            </w:r>
            <w:r w:rsidR="004034C1">
              <w:rPr>
                <w:rFonts w:eastAsia="MS Mincho"/>
                <w:i/>
              </w:rPr>
              <w:instrText>org</w:instrText>
            </w:r>
            <w:r w:rsidR="004034C1" w:rsidRPr="004034C1">
              <w:rPr>
                <w:rFonts w:eastAsia="MS Mincho"/>
                <w:i/>
                <w:lang w:val="ru-RU"/>
              </w:rPr>
              <w:instrText>/</w:instrText>
            </w:r>
            <w:r w:rsidR="004034C1">
              <w:rPr>
                <w:rFonts w:eastAsia="MS Mincho"/>
                <w:i/>
              </w:rPr>
              <w:instrText>users</w:instrText>
            </w:r>
            <w:r w:rsidR="004034C1" w:rsidRPr="004034C1">
              <w:rPr>
                <w:rFonts w:eastAsia="MS Mincho"/>
                <w:i/>
                <w:lang w:val="ru-RU"/>
              </w:rPr>
              <w:instrText>/5363772/</w:instrText>
            </w:r>
            <w:r w:rsidR="004034C1">
              <w:rPr>
                <w:rFonts w:eastAsia="MS Mincho"/>
                <w:i/>
              </w:rPr>
              <w:instrText>items</w:instrText>
            </w:r>
            <w:r w:rsidR="004034C1" w:rsidRPr="004034C1">
              <w:rPr>
                <w:rFonts w:eastAsia="MS Mincho"/>
                <w:i/>
                <w:lang w:val="ru-RU"/>
              </w:rPr>
              <w:instrText>/5</w:instrText>
            </w:r>
            <w:r w:rsidR="004034C1">
              <w:rPr>
                <w:rFonts w:eastAsia="MS Mincho"/>
                <w:i/>
              </w:rPr>
              <w:instrText>L</w:instrText>
            </w:r>
            <w:r w:rsidR="004034C1" w:rsidRPr="004034C1">
              <w:rPr>
                <w:rFonts w:eastAsia="MS Mincho"/>
                <w:i/>
                <w:lang w:val="ru-RU"/>
              </w:rPr>
              <w:instrText>5</w:instrText>
            </w:r>
            <w:r w:rsidR="004034C1">
              <w:rPr>
                <w:rFonts w:eastAsia="MS Mincho"/>
                <w:i/>
              </w:rPr>
              <w:instrText>L</w:instrText>
            </w:r>
            <w:r w:rsidR="004034C1" w:rsidRPr="004034C1">
              <w:rPr>
                <w:rFonts w:eastAsia="MS Mincho"/>
                <w:i/>
                <w:lang w:val="ru-RU"/>
              </w:rPr>
              <w:instrText>7</w:instrText>
            </w:r>
            <w:r w:rsidR="004034C1">
              <w:rPr>
                <w:rFonts w:eastAsia="MS Mincho"/>
                <w:i/>
              </w:rPr>
              <w:instrText>HW</w:instrText>
            </w:r>
            <w:r w:rsidR="004034C1" w:rsidRPr="004034C1">
              <w:rPr>
                <w:rFonts w:eastAsia="MS Mincho"/>
                <w:i/>
                <w:lang w:val="ru-RU"/>
              </w:rPr>
              <w:instrText>7",["</w:instrText>
            </w:r>
            <w:r w:rsidR="004034C1">
              <w:rPr>
                <w:rFonts w:eastAsia="MS Mincho"/>
                <w:i/>
              </w:rPr>
              <w:instrText>http</w:instrText>
            </w:r>
            <w:r w:rsidR="004034C1" w:rsidRPr="004034C1">
              <w:rPr>
                <w:rFonts w:eastAsia="MS Mincho"/>
                <w:i/>
                <w:lang w:val="ru-RU"/>
              </w:rPr>
              <w:instrText>://</w:instrText>
            </w:r>
            <w:r w:rsidR="004034C1">
              <w:rPr>
                <w:rFonts w:eastAsia="MS Mincho"/>
                <w:i/>
              </w:rPr>
              <w:instrText>zotero</w:instrText>
            </w:r>
            <w:r w:rsidR="004034C1" w:rsidRPr="004034C1">
              <w:rPr>
                <w:rFonts w:eastAsia="MS Mincho"/>
                <w:i/>
                <w:lang w:val="ru-RU"/>
              </w:rPr>
              <w:instrText>.</w:instrText>
            </w:r>
            <w:r w:rsidR="004034C1">
              <w:rPr>
                <w:rFonts w:eastAsia="MS Mincho"/>
                <w:i/>
              </w:rPr>
              <w:instrText>org</w:instrText>
            </w:r>
            <w:r w:rsidR="004034C1" w:rsidRPr="004034C1">
              <w:rPr>
                <w:rFonts w:eastAsia="MS Mincho"/>
                <w:i/>
                <w:lang w:val="ru-RU"/>
              </w:rPr>
              <w:instrText>/</w:instrText>
            </w:r>
            <w:r w:rsidR="004034C1">
              <w:rPr>
                <w:rFonts w:eastAsia="MS Mincho"/>
                <w:i/>
              </w:rPr>
              <w:instrText>users</w:instrText>
            </w:r>
            <w:r w:rsidR="004034C1" w:rsidRPr="004034C1">
              <w:rPr>
                <w:rFonts w:eastAsia="MS Mincho"/>
                <w:i/>
                <w:lang w:val="ru-RU"/>
              </w:rPr>
              <w:instrText>/5363772/</w:instrText>
            </w:r>
            <w:r w:rsidR="004034C1">
              <w:rPr>
                <w:rFonts w:eastAsia="MS Mincho"/>
                <w:i/>
              </w:rPr>
              <w:instrText>items</w:instrText>
            </w:r>
            <w:r w:rsidR="004034C1" w:rsidRPr="004034C1">
              <w:rPr>
                <w:rFonts w:eastAsia="MS Mincho"/>
                <w:i/>
                <w:lang w:val="ru-RU"/>
              </w:rPr>
              <w:instrText>/5</w:instrText>
            </w:r>
            <w:r w:rsidR="004034C1">
              <w:rPr>
                <w:rFonts w:eastAsia="MS Mincho"/>
                <w:i/>
              </w:rPr>
              <w:instrText>L</w:instrText>
            </w:r>
            <w:r w:rsidR="004034C1" w:rsidRPr="004034C1">
              <w:rPr>
                <w:rFonts w:eastAsia="MS Mincho"/>
                <w:i/>
                <w:lang w:val="ru-RU"/>
              </w:rPr>
              <w:instrText>5</w:instrText>
            </w:r>
            <w:r w:rsidR="004034C1">
              <w:rPr>
                <w:rFonts w:eastAsia="MS Mincho"/>
                <w:i/>
              </w:rPr>
              <w:instrText>L</w:instrText>
            </w:r>
            <w:r w:rsidR="004034C1" w:rsidRPr="004034C1">
              <w:rPr>
                <w:rFonts w:eastAsia="MS Mincho"/>
                <w:i/>
                <w:lang w:val="ru-RU"/>
              </w:rPr>
              <w:instrText>7</w:instrText>
            </w:r>
            <w:r w:rsidR="004034C1">
              <w:rPr>
                <w:rFonts w:eastAsia="MS Mincho"/>
                <w:i/>
              </w:rPr>
              <w:instrText>HW</w:instrText>
            </w:r>
            <w:r w:rsidR="004034C1" w:rsidRPr="004034C1">
              <w:rPr>
                <w:rFonts w:eastAsia="MS Mincho"/>
                <w:i/>
                <w:lang w:val="ru-RU"/>
              </w:rPr>
              <w:instrText>7"]],"</w:instrText>
            </w:r>
            <w:r w:rsidR="004034C1">
              <w:rPr>
                <w:rFonts w:eastAsia="MS Mincho"/>
                <w:i/>
              </w:rPr>
              <w:instrText>itemData</w:instrText>
            </w:r>
            <w:r w:rsidR="004034C1" w:rsidRPr="004034C1">
              <w:rPr>
                <w:rFonts w:eastAsia="MS Mincho"/>
                <w:i/>
                <w:lang w:val="ru-RU"/>
              </w:rPr>
              <w:instrText>":{"</w:instrText>
            </w:r>
            <w:r w:rsidR="004034C1">
              <w:rPr>
                <w:rFonts w:eastAsia="MS Mincho"/>
                <w:i/>
              </w:rPr>
              <w:instrText>id</w:instrText>
            </w:r>
            <w:r w:rsidR="004034C1" w:rsidRPr="004034C1">
              <w:rPr>
                <w:rFonts w:eastAsia="MS Mincho"/>
                <w:i/>
                <w:lang w:val="ru-RU"/>
              </w:rPr>
              <w:instrText>":1107,"</w:instrText>
            </w:r>
            <w:r w:rsidR="004034C1">
              <w:rPr>
                <w:rFonts w:eastAsia="MS Mincho"/>
                <w:i/>
              </w:rPr>
              <w:instrText>type</w:instrText>
            </w:r>
            <w:r w:rsidR="004034C1" w:rsidRPr="004034C1">
              <w:rPr>
                <w:rFonts w:eastAsia="MS Mincho"/>
                <w:i/>
                <w:lang w:val="ru-RU"/>
              </w:rPr>
              <w:instrText>":"</w:instrText>
            </w:r>
            <w:r w:rsidR="004034C1">
              <w:rPr>
                <w:rFonts w:eastAsia="MS Mincho"/>
                <w:i/>
              </w:rPr>
              <w:instrText>article</w:instrText>
            </w:r>
            <w:r w:rsidR="004034C1" w:rsidRPr="004034C1">
              <w:rPr>
                <w:rFonts w:eastAsia="MS Mincho"/>
                <w:i/>
                <w:lang w:val="ru-RU"/>
              </w:rPr>
              <w:instrText>-</w:instrText>
            </w:r>
            <w:r w:rsidR="004034C1">
              <w:rPr>
                <w:rFonts w:eastAsia="MS Mincho"/>
                <w:i/>
              </w:rPr>
              <w:instrText>journal</w:instrText>
            </w:r>
            <w:r w:rsidR="004034C1" w:rsidRPr="004034C1">
              <w:rPr>
                <w:rFonts w:eastAsia="MS Mincho"/>
                <w:i/>
                <w:lang w:val="ru-RU"/>
              </w:rPr>
              <w:instrText>","</w:instrText>
            </w:r>
            <w:r w:rsidR="004034C1">
              <w:rPr>
                <w:rFonts w:eastAsia="MS Mincho"/>
                <w:i/>
              </w:rPr>
              <w:instrText>abstract</w:instrText>
            </w:r>
            <w:r w:rsidR="004034C1" w:rsidRPr="004034C1">
              <w:rPr>
                <w:rFonts w:eastAsia="MS Mincho"/>
                <w:i/>
                <w:lang w:val="ru-RU"/>
              </w:rPr>
              <w:instrText>":"</w:instrText>
            </w:r>
            <w:r w:rsidR="004034C1">
              <w:rPr>
                <w:rFonts w:eastAsia="MS Mincho"/>
                <w:i/>
              </w:rPr>
              <w:instrText>Background</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 xml:space="preserve"> </w:instrText>
            </w:r>
            <w:r w:rsidR="004034C1">
              <w:rPr>
                <w:rFonts w:eastAsia="MS Mincho"/>
                <w:i/>
              </w:rPr>
              <w:instrText>is</w:instrText>
            </w:r>
            <w:r w:rsidR="004034C1" w:rsidRPr="004034C1">
              <w:rPr>
                <w:rFonts w:eastAsia="MS Mincho"/>
                <w:i/>
                <w:lang w:val="ru-RU"/>
              </w:rPr>
              <w:instrText xml:space="preserve"> </w:instrText>
            </w:r>
            <w:r w:rsidR="004034C1">
              <w:rPr>
                <w:rFonts w:eastAsia="MS Mincho"/>
                <w:i/>
              </w:rPr>
              <w:instrText>emerging</w:instrText>
            </w:r>
            <w:r w:rsidR="004034C1" w:rsidRPr="004034C1">
              <w:rPr>
                <w:rFonts w:eastAsia="MS Mincho"/>
                <w:i/>
                <w:lang w:val="ru-RU"/>
              </w:rPr>
              <w:instrText xml:space="preserve"> </w:instrText>
            </w:r>
            <w:r w:rsidR="004034C1">
              <w:rPr>
                <w:rFonts w:eastAsia="MS Mincho"/>
                <w:i/>
              </w:rPr>
              <w:instrText>as</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standard</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care</w:instrText>
            </w:r>
            <w:r w:rsidR="004034C1" w:rsidRPr="004034C1">
              <w:rPr>
                <w:rFonts w:eastAsia="MS Mincho"/>
                <w:i/>
                <w:lang w:val="ru-RU"/>
              </w:rPr>
              <w:instrText xml:space="preserve"> </w:instrText>
            </w:r>
            <w:r w:rsidR="004034C1">
              <w:rPr>
                <w:rFonts w:eastAsia="MS Mincho"/>
                <w:i/>
              </w:rPr>
              <w:instrText>for</w:instrText>
            </w:r>
            <w:r w:rsidR="004034C1" w:rsidRPr="004034C1">
              <w:rPr>
                <w:rFonts w:eastAsia="MS Mincho"/>
                <w:i/>
                <w:lang w:val="ru-RU"/>
              </w:rPr>
              <w:instrText xml:space="preserve"> </w:instrText>
            </w:r>
            <w:r w:rsidR="004034C1">
              <w:rPr>
                <w:rFonts w:eastAsia="MS Mincho"/>
                <w:i/>
              </w:rPr>
              <w:instrText>fit</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metastatic</w:instrText>
            </w:r>
            <w:r w:rsidR="004034C1" w:rsidRPr="004034C1">
              <w:rPr>
                <w:rFonts w:eastAsia="MS Mincho"/>
                <w:i/>
                <w:lang w:val="ru-RU"/>
              </w:rPr>
              <w:instrText xml:space="preserve"> </w:instrText>
            </w:r>
            <w:r w:rsidR="004034C1">
              <w:rPr>
                <w:rFonts w:eastAsia="MS Mincho"/>
                <w:i/>
              </w:rPr>
              <w:instrText>pancreatic cancer (MPC). However, use FOLFIRINOX associated with high toxicity rates reported in earlier studies; some physicians are reluctant to use it. We reviewed our experience with FOLFIRINOX in pancreatic adenocarcinoma, focusing on dose adjustments, toxicity, and efficacy. This study aims to evaluate FOLFIRINOX in the treatment of locally advance or metastatic pancreatic adenocarcinoma adult patients at King Fahd Medical City, Riyadh from January 2012 to December 2017.\nMethods: We were review data for all locally advanced, or metastatic pancreatic adenocarcinoma adult patients treated with FOLFIRINOX in King Fahd Medical City between January 2012 to December</w:instrText>
            </w:r>
            <w:r w:rsidR="004034C1" w:rsidRPr="004034C1">
              <w:rPr>
                <w:rFonts w:eastAsia="MS Mincho"/>
                <w:i/>
                <w:lang w:val="ru-RU"/>
              </w:rPr>
              <w:instrText xml:space="preserve"> 2017. </w:instrText>
            </w:r>
            <w:r w:rsidR="004034C1">
              <w:rPr>
                <w:rFonts w:eastAsia="MS Mincho"/>
                <w:i/>
              </w:rPr>
              <w:instrText>Eficacy</w:instrText>
            </w:r>
            <w:r w:rsidR="004034C1" w:rsidRPr="004034C1">
              <w:rPr>
                <w:rFonts w:eastAsia="MS Mincho"/>
                <w:i/>
                <w:lang w:val="ru-RU"/>
              </w:rPr>
              <w:instrText xml:space="preserve">, </w:instrText>
            </w:r>
            <w:r w:rsidR="004034C1">
              <w:rPr>
                <w:rFonts w:eastAsia="MS Mincho"/>
                <w:i/>
              </w:rPr>
              <w:instrText>toxicity</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tolerability</w:instrText>
            </w:r>
            <w:r w:rsidR="004034C1" w:rsidRPr="004034C1">
              <w:rPr>
                <w:rFonts w:eastAsia="MS Mincho"/>
                <w:i/>
                <w:lang w:val="ru-RU"/>
              </w:rPr>
              <w:instrText xml:space="preserve"> </w:instrText>
            </w:r>
            <w:r w:rsidR="004034C1">
              <w:rPr>
                <w:rFonts w:eastAsia="MS Mincho"/>
                <w:i/>
              </w:rPr>
              <w:instrText>were</w:instrText>
            </w:r>
            <w:r w:rsidR="004034C1" w:rsidRPr="004034C1">
              <w:rPr>
                <w:rFonts w:eastAsia="MS Mincho"/>
                <w:i/>
                <w:lang w:val="ru-RU"/>
              </w:rPr>
              <w:instrText xml:space="preserve"> </w:instrText>
            </w:r>
            <w:r w:rsidR="004034C1">
              <w:rPr>
                <w:rFonts w:eastAsia="MS Mincho"/>
                <w:i/>
              </w:rPr>
              <w:instrText>evaluated</w:instrText>
            </w:r>
            <w:r w:rsidR="004034C1" w:rsidRPr="004034C1">
              <w:rPr>
                <w:rFonts w:eastAsia="MS Mincho"/>
                <w:i/>
                <w:lang w:val="ru-RU"/>
              </w:rPr>
              <w:instrText>.\</w:instrText>
            </w:r>
            <w:r w:rsidR="004034C1">
              <w:rPr>
                <w:rFonts w:eastAsia="MS Mincho"/>
                <w:i/>
              </w:rPr>
              <w:instrText>nResults</w:instrText>
            </w:r>
            <w:r w:rsidR="004034C1" w:rsidRPr="004034C1">
              <w:rPr>
                <w:rFonts w:eastAsia="MS Mincho"/>
                <w:i/>
                <w:lang w:val="ru-RU"/>
              </w:rPr>
              <w:instrText xml:space="preserve">: </w:instrText>
            </w:r>
            <w:r w:rsidR="004034C1">
              <w:rPr>
                <w:rFonts w:eastAsia="MS Mincho"/>
                <w:i/>
              </w:rPr>
              <w:instrText>Twenty</w:instrText>
            </w:r>
            <w:r w:rsidR="004034C1" w:rsidRPr="004034C1">
              <w:rPr>
                <w:rFonts w:eastAsia="MS Mincho"/>
                <w:i/>
                <w:lang w:val="ru-RU"/>
              </w:rPr>
              <w:instrText>-</w:instrText>
            </w:r>
            <w:r w:rsidR="004034C1">
              <w:rPr>
                <w:rFonts w:eastAsia="MS Mincho"/>
                <w:i/>
              </w:rPr>
              <w:instrText>five</w:instrText>
            </w:r>
            <w:r w:rsidR="004034C1" w:rsidRPr="004034C1">
              <w:rPr>
                <w:rFonts w:eastAsia="MS Mincho"/>
                <w:i/>
                <w:lang w:val="ru-RU"/>
              </w:rPr>
              <w:instrText xml:space="preserve"> </w:instrText>
            </w:r>
            <w:r w:rsidR="004034C1">
              <w:rPr>
                <w:rFonts w:eastAsia="MS Mincho"/>
                <w:i/>
              </w:rPr>
              <w:instrText>patient</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locally</w:instrText>
            </w:r>
            <w:r w:rsidR="004034C1" w:rsidRPr="004034C1">
              <w:rPr>
                <w:rFonts w:eastAsia="MS Mincho"/>
                <w:i/>
                <w:lang w:val="ru-RU"/>
              </w:rPr>
              <w:instrText xml:space="preserve"> </w:instrText>
            </w:r>
            <w:r w:rsidR="004034C1">
              <w:rPr>
                <w:rFonts w:eastAsia="MS Mincho"/>
                <w:i/>
              </w:rPr>
              <w:instrText>advance</w:instrText>
            </w:r>
            <w:r w:rsidR="004034C1" w:rsidRPr="004034C1">
              <w:rPr>
                <w:rFonts w:eastAsia="MS Mincho"/>
                <w:i/>
                <w:lang w:val="ru-RU"/>
              </w:rPr>
              <w:instrText xml:space="preserve"> </w:instrText>
            </w:r>
            <w:r w:rsidR="004034C1">
              <w:rPr>
                <w:rFonts w:eastAsia="MS Mincho"/>
                <w:i/>
              </w:rPr>
              <w:instrText>pancreatic</w:instrText>
            </w:r>
            <w:r w:rsidR="004034C1" w:rsidRPr="004034C1">
              <w:rPr>
                <w:rFonts w:eastAsia="MS Mincho"/>
                <w:i/>
                <w:lang w:val="ru-RU"/>
              </w:rPr>
              <w:instrText xml:space="preserve"> </w:instrText>
            </w:r>
            <w:r w:rsidR="004034C1">
              <w:rPr>
                <w:rFonts w:eastAsia="MS Mincho"/>
                <w:i/>
              </w:rPr>
              <w:instrText>cancer</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twenty</w:instrText>
            </w:r>
            <w:r w:rsidR="004034C1" w:rsidRPr="004034C1">
              <w:rPr>
                <w:rFonts w:eastAsia="MS Mincho"/>
                <w:i/>
                <w:lang w:val="ru-RU"/>
              </w:rPr>
              <w:instrText>-</w:instrText>
            </w:r>
            <w:r w:rsidR="004034C1">
              <w:rPr>
                <w:rFonts w:eastAsia="MS Mincho"/>
                <w:i/>
              </w:rPr>
              <w:instrText>four</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metastatic</w:instrText>
            </w:r>
            <w:r w:rsidR="004034C1" w:rsidRPr="004034C1">
              <w:rPr>
                <w:rFonts w:eastAsia="MS Mincho"/>
                <w:i/>
                <w:lang w:val="ru-RU"/>
              </w:rPr>
              <w:instrText xml:space="preserve"> </w:instrText>
            </w:r>
            <w:r w:rsidR="004034C1">
              <w:rPr>
                <w:rFonts w:eastAsia="MS Mincho"/>
                <w:i/>
              </w:rPr>
              <w:instrText>pancreatic</w:instrText>
            </w:r>
            <w:r w:rsidR="004034C1" w:rsidRPr="004034C1">
              <w:rPr>
                <w:rFonts w:eastAsia="MS Mincho"/>
                <w:i/>
                <w:lang w:val="ru-RU"/>
              </w:rPr>
              <w:instrText xml:space="preserve"> </w:instrText>
            </w:r>
            <w:r w:rsidR="004034C1">
              <w:rPr>
                <w:rFonts w:eastAsia="MS Mincho"/>
                <w:i/>
              </w:rPr>
              <w:instrText>cancer</w:instrText>
            </w:r>
            <w:r w:rsidR="004034C1" w:rsidRPr="004034C1">
              <w:rPr>
                <w:rFonts w:eastAsia="MS Mincho"/>
                <w:i/>
                <w:lang w:val="ru-RU"/>
              </w:rPr>
              <w:instrText xml:space="preserve"> </w:instrText>
            </w:r>
            <w:r w:rsidR="004034C1">
              <w:rPr>
                <w:rFonts w:eastAsia="MS Mincho"/>
                <w:i/>
              </w:rPr>
              <w:instrText>were</w:instrText>
            </w:r>
            <w:r w:rsidR="004034C1" w:rsidRPr="004034C1">
              <w:rPr>
                <w:rFonts w:eastAsia="MS Mincho"/>
                <w:i/>
                <w:lang w:val="ru-RU"/>
              </w:rPr>
              <w:instrText xml:space="preserve"> </w:instrText>
            </w:r>
            <w:r w:rsidR="004034C1">
              <w:rPr>
                <w:rFonts w:eastAsia="MS Mincho"/>
                <w:i/>
              </w:rPr>
              <w:instrText>treated</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overall</w:instrText>
            </w:r>
            <w:r w:rsidR="004034C1" w:rsidRPr="004034C1">
              <w:rPr>
                <w:rFonts w:eastAsia="MS Mincho"/>
                <w:i/>
                <w:lang w:val="ru-RU"/>
              </w:rPr>
              <w:instrText xml:space="preserve"> </w:instrText>
            </w:r>
            <w:r w:rsidR="004034C1">
              <w:rPr>
                <w:rFonts w:eastAsia="MS Mincho"/>
                <w:i/>
              </w:rPr>
              <w:instrText>median</w:instrText>
            </w:r>
            <w:r w:rsidR="004034C1" w:rsidRPr="004034C1">
              <w:rPr>
                <w:rFonts w:eastAsia="MS Mincho"/>
                <w:i/>
                <w:lang w:val="ru-RU"/>
              </w:rPr>
              <w:instrText xml:space="preserve"> </w:instrText>
            </w:r>
            <w:r w:rsidR="004034C1">
              <w:rPr>
                <w:rFonts w:eastAsia="MS Mincho"/>
                <w:i/>
              </w:rPr>
              <w:instrText>survival</w:instrText>
            </w:r>
            <w:r w:rsidR="004034C1" w:rsidRPr="004034C1">
              <w:rPr>
                <w:rFonts w:eastAsia="MS Mincho"/>
                <w:i/>
                <w:lang w:val="ru-RU"/>
              </w:rPr>
              <w:instrText xml:space="preserve"> </w:instrText>
            </w:r>
            <w:r w:rsidR="004034C1">
              <w:rPr>
                <w:rFonts w:eastAsia="MS Mincho"/>
                <w:i/>
              </w:rPr>
              <w:instrText>time</w:instrText>
            </w:r>
            <w:r w:rsidR="004034C1" w:rsidRPr="004034C1">
              <w:rPr>
                <w:rFonts w:eastAsia="MS Mincho"/>
                <w:i/>
                <w:lang w:val="ru-RU"/>
              </w:rPr>
              <w:instrText xml:space="preserve"> 9.27 </w:instrText>
            </w:r>
            <w:r w:rsidR="004034C1">
              <w:rPr>
                <w:rFonts w:eastAsia="MS Mincho"/>
                <w:i/>
              </w:rPr>
              <w:instrText>month</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overall</w:instrText>
            </w:r>
            <w:r w:rsidR="004034C1" w:rsidRPr="004034C1">
              <w:rPr>
                <w:rFonts w:eastAsia="MS Mincho"/>
                <w:i/>
                <w:lang w:val="ru-RU"/>
              </w:rPr>
              <w:instrText xml:space="preserve"> </w:instrText>
            </w:r>
            <w:r w:rsidR="004034C1">
              <w:rPr>
                <w:rFonts w:eastAsia="MS Mincho"/>
                <w:i/>
              </w:rPr>
              <w:instrText>median</w:instrText>
            </w:r>
            <w:r w:rsidR="004034C1" w:rsidRPr="004034C1">
              <w:rPr>
                <w:rFonts w:eastAsia="MS Mincho"/>
                <w:i/>
                <w:lang w:val="ru-RU"/>
              </w:rPr>
              <w:instrText xml:space="preserve"> </w:instrText>
            </w:r>
            <w:r w:rsidR="004034C1">
              <w:rPr>
                <w:rFonts w:eastAsia="MS Mincho"/>
                <w:i/>
              </w:rPr>
              <w:instrText>progression</w:instrText>
            </w:r>
            <w:r w:rsidR="004034C1" w:rsidRPr="004034C1">
              <w:rPr>
                <w:rFonts w:eastAsia="MS Mincho"/>
                <w:i/>
                <w:lang w:val="ru-RU"/>
              </w:rPr>
              <w:instrText>-</w:instrText>
            </w:r>
            <w:r w:rsidR="004034C1">
              <w:rPr>
                <w:rFonts w:eastAsia="MS Mincho"/>
                <w:i/>
              </w:rPr>
              <w:instrText>free</w:instrText>
            </w:r>
            <w:r w:rsidR="004034C1" w:rsidRPr="004034C1">
              <w:rPr>
                <w:rFonts w:eastAsia="MS Mincho"/>
                <w:i/>
                <w:lang w:val="ru-RU"/>
              </w:rPr>
              <w:instrText xml:space="preserve"> </w:instrText>
            </w:r>
            <w:r w:rsidR="004034C1">
              <w:rPr>
                <w:rFonts w:eastAsia="MS Mincho"/>
                <w:i/>
              </w:rPr>
              <w:instrText>survival</w:instrText>
            </w:r>
            <w:r w:rsidR="004034C1" w:rsidRPr="004034C1">
              <w:rPr>
                <w:rFonts w:eastAsia="MS Mincho"/>
                <w:i/>
                <w:lang w:val="ru-RU"/>
              </w:rPr>
              <w:instrText xml:space="preserve"> </w:instrText>
            </w:r>
            <w:r w:rsidR="004034C1">
              <w:rPr>
                <w:rFonts w:eastAsia="MS Mincho"/>
                <w:i/>
              </w:rPr>
              <w:instrText>was</w:instrText>
            </w:r>
            <w:r w:rsidR="004034C1" w:rsidRPr="004034C1">
              <w:rPr>
                <w:rFonts w:eastAsia="MS Mincho"/>
                <w:i/>
                <w:lang w:val="ru-RU"/>
              </w:rPr>
              <w:instrText xml:space="preserve"> 7.44 </w:instrText>
            </w:r>
            <w:r w:rsidR="004034C1">
              <w:rPr>
                <w:rFonts w:eastAsia="MS Mincho"/>
                <w:i/>
              </w:rPr>
              <w:instrText>month</w:instrText>
            </w:r>
            <w:r w:rsidR="004034C1" w:rsidRPr="004034C1">
              <w:rPr>
                <w:rFonts w:eastAsia="MS Mincho"/>
                <w:i/>
                <w:lang w:val="ru-RU"/>
              </w:rPr>
              <w:instrText xml:space="preserve">. </w:instrText>
            </w:r>
            <w:r w:rsidR="004034C1">
              <w:rPr>
                <w:rFonts w:eastAsia="MS Mincho"/>
                <w:i/>
              </w:rPr>
              <w:instrText>Patient</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LAPC</w:instrText>
            </w:r>
            <w:r w:rsidR="004034C1" w:rsidRPr="004034C1">
              <w:rPr>
                <w:rFonts w:eastAsia="MS Mincho"/>
                <w:i/>
                <w:lang w:val="ru-RU"/>
              </w:rPr>
              <w:instrText xml:space="preserve"> </w:instrText>
            </w:r>
            <w:r w:rsidR="004034C1">
              <w:rPr>
                <w:rFonts w:eastAsia="MS Mincho"/>
                <w:i/>
              </w:rPr>
              <w:instrText>had</w:instrText>
            </w:r>
            <w:r w:rsidR="004034C1" w:rsidRPr="004034C1">
              <w:rPr>
                <w:rFonts w:eastAsia="MS Mincho"/>
                <w:i/>
                <w:lang w:val="ru-RU"/>
              </w:rPr>
              <w:instrText xml:space="preserve"> </w:instrText>
            </w:r>
            <w:r w:rsidR="004034C1">
              <w:rPr>
                <w:rFonts w:eastAsia="MS Mincho"/>
                <w:i/>
              </w:rPr>
              <w:instrText>median</w:instrText>
            </w:r>
            <w:r w:rsidR="004034C1" w:rsidRPr="004034C1">
              <w:rPr>
                <w:rFonts w:eastAsia="MS Mincho"/>
                <w:i/>
                <w:lang w:val="ru-RU"/>
              </w:rPr>
              <w:instrText xml:space="preserve"> </w:instrText>
            </w:r>
            <w:r w:rsidR="004034C1">
              <w:rPr>
                <w:rFonts w:eastAsia="MS Mincho"/>
                <w:i/>
              </w:rPr>
              <w:instrText>PFS</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OS</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9.7 </w:instrText>
            </w:r>
            <w:r w:rsidR="004034C1">
              <w:rPr>
                <w:rFonts w:eastAsia="MS Mincho"/>
                <w:i/>
              </w:rPr>
              <w:instrText>and</w:instrText>
            </w:r>
            <w:r w:rsidR="004034C1" w:rsidRPr="004034C1">
              <w:rPr>
                <w:rFonts w:eastAsia="MS Mincho"/>
                <w:i/>
                <w:lang w:val="ru-RU"/>
              </w:rPr>
              <w:instrText xml:space="preserve"> 12.7 </w:instrText>
            </w:r>
            <w:r w:rsidR="004034C1">
              <w:rPr>
                <w:rFonts w:eastAsia="MS Mincho"/>
                <w:i/>
              </w:rPr>
              <w:instrText>months</w:instrText>
            </w:r>
            <w:r w:rsidR="004034C1" w:rsidRPr="004034C1">
              <w:rPr>
                <w:rFonts w:eastAsia="MS Mincho"/>
                <w:i/>
                <w:lang w:val="ru-RU"/>
              </w:rPr>
              <w:instrText xml:space="preserve">, </w:instrText>
            </w:r>
            <w:r w:rsidR="004034C1">
              <w:rPr>
                <w:rFonts w:eastAsia="MS Mincho"/>
                <w:i/>
              </w:rPr>
              <w:instrText>respectively</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patient</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MPC</w:instrText>
            </w:r>
            <w:r w:rsidR="004034C1" w:rsidRPr="004034C1">
              <w:rPr>
                <w:rFonts w:eastAsia="MS Mincho"/>
                <w:i/>
                <w:lang w:val="ru-RU"/>
              </w:rPr>
              <w:instrText xml:space="preserve"> </w:instrText>
            </w:r>
            <w:r w:rsidR="004034C1">
              <w:rPr>
                <w:rFonts w:eastAsia="MS Mincho"/>
                <w:i/>
              </w:rPr>
              <w:instrText>median</w:instrText>
            </w:r>
            <w:r w:rsidR="004034C1" w:rsidRPr="004034C1">
              <w:rPr>
                <w:rFonts w:eastAsia="MS Mincho"/>
                <w:i/>
                <w:lang w:val="ru-RU"/>
              </w:rPr>
              <w:instrText xml:space="preserve"> </w:instrText>
            </w:r>
            <w:r w:rsidR="004034C1">
              <w:rPr>
                <w:rFonts w:eastAsia="MS Mincho"/>
                <w:i/>
              </w:rPr>
              <w:instrText>PFS</w:instrText>
            </w:r>
            <w:r w:rsidR="004034C1" w:rsidRPr="004034C1">
              <w:rPr>
                <w:rFonts w:eastAsia="MS Mincho"/>
                <w:i/>
                <w:lang w:val="ru-RU"/>
              </w:rPr>
              <w:instrText xml:space="preserve"> 5.3 </w:instrText>
            </w:r>
            <w:r w:rsidR="004034C1">
              <w:rPr>
                <w:rFonts w:eastAsia="MS Mincho"/>
                <w:i/>
              </w:rPr>
              <w:instrText>month</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OS</w:instrText>
            </w:r>
            <w:r w:rsidR="004034C1" w:rsidRPr="004034C1">
              <w:rPr>
                <w:rFonts w:eastAsia="MS Mincho"/>
                <w:i/>
                <w:lang w:val="ru-RU"/>
              </w:rPr>
              <w:instrText xml:space="preserve"> 6.7 </w:instrText>
            </w:r>
            <w:r w:rsidR="004034C1">
              <w:rPr>
                <w:rFonts w:eastAsia="MS Mincho"/>
                <w:i/>
              </w:rPr>
              <w:instrText>months</w:instrText>
            </w:r>
            <w:r w:rsidR="004034C1" w:rsidRPr="004034C1">
              <w:rPr>
                <w:rFonts w:eastAsia="MS Mincho"/>
                <w:i/>
                <w:lang w:val="ru-RU"/>
              </w:rPr>
              <w:instrText xml:space="preserve">. </w:instrText>
            </w:r>
            <w:r w:rsidR="004034C1">
              <w:rPr>
                <w:rFonts w:eastAsia="MS Mincho"/>
                <w:i/>
              </w:rPr>
              <w:instrText>Forty</w:instrText>
            </w:r>
            <w:r w:rsidR="004034C1" w:rsidRPr="004034C1">
              <w:rPr>
                <w:rFonts w:eastAsia="MS Mincho"/>
                <w:i/>
                <w:lang w:val="ru-RU"/>
              </w:rPr>
              <w:instrText>-</w:instrText>
            </w:r>
            <w:r w:rsidR="004034C1">
              <w:rPr>
                <w:rFonts w:eastAsia="MS Mincho"/>
                <w:i/>
              </w:rPr>
              <w:instrText>seven</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 xml:space="preserve"> (96%) </w:instrText>
            </w:r>
            <w:r w:rsidR="004034C1">
              <w:rPr>
                <w:rFonts w:eastAsia="MS Mincho"/>
                <w:i/>
              </w:rPr>
              <w:instrText>received</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 xml:space="preserve"> </w:instrText>
            </w:r>
            <w:r w:rsidR="004034C1">
              <w:rPr>
                <w:rFonts w:eastAsia="MS Mincho"/>
                <w:i/>
              </w:rPr>
              <w:instrText>in</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first</w:instrText>
            </w:r>
            <w:r w:rsidR="004034C1" w:rsidRPr="004034C1">
              <w:rPr>
                <w:rFonts w:eastAsia="MS Mincho"/>
                <w:i/>
                <w:lang w:val="ru-RU"/>
              </w:rPr>
              <w:instrText xml:space="preserve"> </w:instrText>
            </w:r>
            <w:r w:rsidR="004034C1">
              <w:rPr>
                <w:rFonts w:eastAsia="MS Mincho"/>
                <w:i/>
              </w:rPr>
              <w:instrText>line</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median</w:instrText>
            </w:r>
            <w:r w:rsidR="004034C1" w:rsidRPr="004034C1">
              <w:rPr>
                <w:rFonts w:eastAsia="MS Mincho"/>
                <w:i/>
                <w:lang w:val="ru-RU"/>
              </w:rPr>
              <w:instrText xml:space="preserve"> </w:instrText>
            </w:r>
            <w:r w:rsidR="004034C1">
              <w:rPr>
                <w:rFonts w:eastAsia="MS Mincho"/>
                <w:i/>
              </w:rPr>
              <w:instrText>PFS</w:instrText>
            </w:r>
            <w:r w:rsidR="004034C1" w:rsidRPr="004034C1">
              <w:rPr>
                <w:rFonts w:eastAsia="MS Mincho"/>
                <w:i/>
                <w:lang w:val="ru-RU"/>
              </w:rPr>
              <w:instrText xml:space="preserve"> 7.4 </w:instrText>
            </w:r>
            <w:r w:rsidR="004034C1">
              <w:rPr>
                <w:rFonts w:eastAsia="MS Mincho"/>
                <w:i/>
              </w:rPr>
              <w:instrText>month</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OS</w:instrText>
            </w:r>
            <w:r w:rsidR="004034C1" w:rsidRPr="004034C1">
              <w:rPr>
                <w:rFonts w:eastAsia="MS Mincho"/>
                <w:i/>
                <w:lang w:val="ru-RU"/>
              </w:rPr>
              <w:instrText xml:space="preserve"> 9.27 </w:instrText>
            </w:r>
            <w:r w:rsidR="004034C1">
              <w:rPr>
                <w:rFonts w:eastAsia="MS Mincho"/>
                <w:i/>
              </w:rPr>
              <w:instrText>month</w:instrText>
            </w:r>
            <w:r w:rsidR="004034C1" w:rsidRPr="004034C1">
              <w:rPr>
                <w:rFonts w:eastAsia="MS Mincho"/>
                <w:i/>
                <w:lang w:val="ru-RU"/>
              </w:rPr>
              <w:instrText xml:space="preserve">. </w:instrText>
            </w:r>
            <w:r w:rsidR="004034C1">
              <w:rPr>
                <w:rFonts w:eastAsia="MS Mincho"/>
                <w:i/>
              </w:rPr>
              <w:instrText>In</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whole</w:instrText>
            </w:r>
            <w:r w:rsidR="004034C1" w:rsidRPr="004034C1">
              <w:rPr>
                <w:rFonts w:eastAsia="MS Mincho"/>
                <w:i/>
                <w:lang w:val="ru-RU"/>
              </w:rPr>
              <w:instrText xml:space="preserve"> </w:instrText>
            </w:r>
            <w:r w:rsidR="004034C1">
              <w:rPr>
                <w:rFonts w:eastAsia="MS Mincho"/>
                <w:i/>
              </w:rPr>
              <w:instrText>cohort</w:instrText>
            </w:r>
            <w:r w:rsidR="004034C1" w:rsidRPr="004034C1">
              <w:rPr>
                <w:rFonts w:eastAsia="MS Mincho"/>
                <w:i/>
                <w:lang w:val="ru-RU"/>
              </w:rPr>
              <w:instrText xml:space="preserve"> (</w:instrText>
            </w:r>
            <w:r w:rsidR="004034C1">
              <w:rPr>
                <w:rFonts w:eastAsia="MS Mincho"/>
                <w:i/>
              </w:rPr>
              <w:instrText>LAPC</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MPC</w:instrText>
            </w:r>
            <w:r w:rsidR="004034C1" w:rsidRPr="004034C1">
              <w:rPr>
                <w:rFonts w:eastAsia="MS Mincho"/>
                <w:i/>
                <w:lang w:val="ru-RU"/>
              </w:rPr>
              <w:instrText xml:space="preserve">), </w:instrText>
            </w:r>
            <w:r w:rsidR="004034C1">
              <w:rPr>
                <w:rFonts w:eastAsia="MS Mincho"/>
                <w:i/>
              </w:rPr>
              <w:instrText>ten</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 xml:space="preserve"> (20%) </w:instrText>
            </w:r>
            <w:r w:rsidR="004034C1">
              <w:rPr>
                <w:rFonts w:eastAsia="MS Mincho"/>
                <w:i/>
              </w:rPr>
              <w:instrText>had</w:instrText>
            </w:r>
            <w:r w:rsidR="004034C1" w:rsidRPr="004034C1">
              <w:rPr>
                <w:rFonts w:eastAsia="MS Mincho"/>
                <w:i/>
                <w:lang w:val="ru-RU"/>
              </w:rPr>
              <w:instrText xml:space="preserve"> </w:instrText>
            </w:r>
            <w:r w:rsidR="004034C1">
              <w:rPr>
                <w:rFonts w:eastAsia="MS Mincho"/>
                <w:i/>
              </w:rPr>
              <w:instrText>partial</w:instrText>
            </w:r>
            <w:r w:rsidR="004034C1" w:rsidRPr="004034C1">
              <w:rPr>
                <w:rFonts w:eastAsia="MS Mincho"/>
                <w:i/>
                <w:lang w:val="ru-RU"/>
              </w:rPr>
              <w:instrText xml:space="preserve"> </w:instrText>
            </w:r>
            <w:r w:rsidR="004034C1">
              <w:rPr>
                <w:rFonts w:eastAsia="MS Mincho"/>
                <w:i/>
              </w:rPr>
              <w:instrText>response</w:instrText>
            </w:r>
            <w:r w:rsidR="004034C1" w:rsidRPr="004034C1">
              <w:rPr>
                <w:rFonts w:eastAsia="MS Mincho"/>
                <w:i/>
                <w:lang w:val="ru-RU"/>
              </w:rPr>
              <w:instrText xml:space="preserve"> </w:instrText>
            </w:r>
            <w:r w:rsidR="004034C1">
              <w:rPr>
                <w:rFonts w:eastAsia="MS Mincho"/>
                <w:i/>
              </w:rPr>
              <w:instrText>to</w:instrText>
            </w:r>
            <w:r w:rsidR="004034C1" w:rsidRPr="004034C1">
              <w:rPr>
                <w:rFonts w:eastAsia="MS Mincho"/>
                <w:i/>
                <w:lang w:val="ru-RU"/>
              </w:rPr>
              <w:instrText xml:space="preserve"> </w:instrText>
            </w:r>
            <w:r w:rsidR="004034C1">
              <w:rPr>
                <w:rFonts w:eastAsia="MS Mincho"/>
                <w:i/>
              </w:rPr>
              <w:instrText>chemotherapy</w:instrText>
            </w:r>
            <w:r w:rsidR="004034C1" w:rsidRPr="004034C1">
              <w:rPr>
                <w:rFonts w:eastAsia="MS Mincho"/>
                <w:i/>
                <w:lang w:val="ru-RU"/>
              </w:rPr>
              <w:instrText xml:space="preserve">. </w:instrText>
            </w:r>
            <w:r w:rsidR="004034C1">
              <w:rPr>
                <w:rFonts w:eastAsia="MS Mincho"/>
                <w:i/>
              </w:rPr>
              <w:instrText>Further</w:instrText>
            </w:r>
            <w:r w:rsidR="004034C1" w:rsidRPr="004034C1">
              <w:rPr>
                <w:rFonts w:eastAsia="MS Mincho"/>
                <w:i/>
                <w:lang w:val="ru-RU"/>
              </w:rPr>
              <w:instrText xml:space="preserve">, 18 </w:instrText>
            </w:r>
            <w:r w:rsidR="004034C1">
              <w:rPr>
                <w:rFonts w:eastAsia="MS Mincho"/>
                <w:i/>
              </w:rPr>
              <w:instrText>patients</w:instrText>
            </w:r>
            <w:r w:rsidR="004034C1" w:rsidRPr="004034C1">
              <w:rPr>
                <w:rFonts w:eastAsia="MS Mincho"/>
                <w:i/>
                <w:lang w:val="ru-RU"/>
              </w:rPr>
              <w:instrText xml:space="preserve"> (36%) </w:instrText>
            </w:r>
            <w:r w:rsidR="004034C1">
              <w:rPr>
                <w:rFonts w:eastAsia="MS Mincho"/>
                <w:i/>
              </w:rPr>
              <w:instrText>have</w:instrText>
            </w:r>
            <w:r w:rsidR="004034C1" w:rsidRPr="004034C1">
              <w:rPr>
                <w:rFonts w:eastAsia="MS Mincho"/>
                <w:i/>
                <w:lang w:val="ru-RU"/>
              </w:rPr>
              <w:instrText xml:space="preserve"> </w:instrText>
            </w:r>
            <w:r w:rsidR="004034C1">
              <w:rPr>
                <w:rFonts w:eastAsia="MS Mincho"/>
                <w:i/>
              </w:rPr>
              <w:instrText>stable</w:instrText>
            </w:r>
            <w:r w:rsidR="004034C1" w:rsidRPr="004034C1">
              <w:rPr>
                <w:rFonts w:eastAsia="MS Mincho"/>
                <w:i/>
                <w:lang w:val="ru-RU"/>
              </w:rPr>
              <w:instrText xml:space="preserve"> </w:instrText>
            </w:r>
            <w:r w:rsidR="004034C1">
              <w:rPr>
                <w:rFonts w:eastAsia="MS Mincho"/>
                <w:i/>
              </w:rPr>
              <w:instrText>disease</w:instrText>
            </w:r>
            <w:r w:rsidR="004034C1" w:rsidRPr="004034C1">
              <w:rPr>
                <w:rFonts w:eastAsia="MS Mincho"/>
                <w:i/>
                <w:lang w:val="ru-RU"/>
              </w:rPr>
              <w:instrText xml:space="preserve">. </w:instrText>
            </w:r>
            <w:r w:rsidR="004034C1">
              <w:rPr>
                <w:rFonts w:eastAsia="MS Mincho"/>
                <w:i/>
              </w:rPr>
              <w:instrText>Twenty</w:instrText>
            </w:r>
            <w:r w:rsidR="004034C1" w:rsidRPr="004034C1">
              <w:rPr>
                <w:rFonts w:eastAsia="MS Mincho"/>
                <w:i/>
                <w:lang w:val="ru-RU"/>
              </w:rPr>
              <w:instrText>-</w:instrText>
            </w:r>
            <w:r w:rsidR="004034C1">
              <w:rPr>
                <w:rFonts w:eastAsia="MS Mincho"/>
                <w:i/>
              </w:rPr>
              <w:instrText>One</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 xml:space="preserve"> (42%) </w:instrText>
            </w:r>
            <w:r w:rsidR="004034C1">
              <w:rPr>
                <w:rFonts w:eastAsia="MS Mincho"/>
                <w:i/>
              </w:rPr>
              <w:instrText>had</w:instrText>
            </w:r>
            <w:r w:rsidR="004034C1" w:rsidRPr="004034C1">
              <w:rPr>
                <w:rFonts w:eastAsia="MS Mincho"/>
                <w:i/>
                <w:lang w:val="ru-RU"/>
              </w:rPr>
              <w:instrText xml:space="preserve"> </w:instrText>
            </w:r>
            <w:r w:rsidR="004034C1">
              <w:rPr>
                <w:rFonts w:eastAsia="MS Mincho"/>
                <w:i/>
              </w:rPr>
              <w:instrText>no</w:instrText>
            </w:r>
            <w:r w:rsidR="004034C1" w:rsidRPr="004034C1">
              <w:rPr>
                <w:rFonts w:eastAsia="MS Mincho"/>
                <w:i/>
                <w:lang w:val="ru-RU"/>
              </w:rPr>
              <w:instrText xml:space="preserve"> </w:instrText>
            </w:r>
            <w:r w:rsidR="004034C1">
              <w:rPr>
                <w:rFonts w:eastAsia="MS Mincho"/>
                <w:i/>
              </w:rPr>
              <w:instrText>response</w:instrText>
            </w:r>
            <w:r w:rsidR="004034C1" w:rsidRPr="004034C1">
              <w:rPr>
                <w:rFonts w:eastAsia="MS Mincho"/>
                <w:i/>
                <w:lang w:val="ru-RU"/>
              </w:rPr>
              <w:instrText xml:space="preserve"> </w:instrText>
            </w:r>
            <w:r w:rsidR="004034C1">
              <w:rPr>
                <w:rFonts w:eastAsia="MS Mincho"/>
                <w:i/>
              </w:rPr>
              <w:instrText>as</w:instrText>
            </w:r>
            <w:r w:rsidR="004034C1" w:rsidRPr="004034C1">
              <w:rPr>
                <w:rFonts w:eastAsia="MS Mincho"/>
                <w:i/>
                <w:lang w:val="ru-RU"/>
              </w:rPr>
              <w:instrText xml:space="preserve"> </w:instrText>
            </w:r>
            <w:r w:rsidR="004034C1">
              <w:rPr>
                <w:rFonts w:eastAsia="MS Mincho"/>
                <w:i/>
              </w:rPr>
              <w:instrText>they</w:instrText>
            </w:r>
            <w:r w:rsidR="004034C1" w:rsidRPr="004034C1">
              <w:rPr>
                <w:rFonts w:eastAsia="MS Mincho"/>
                <w:i/>
                <w:lang w:val="ru-RU"/>
              </w:rPr>
              <w:instrText xml:space="preserve"> </w:instrText>
            </w:r>
            <w:r w:rsidR="004034C1">
              <w:rPr>
                <w:rFonts w:eastAsia="MS Mincho"/>
                <w:i/>
              </w:rPr>
              <w:instrText>progressed</w:instrText>
            </w:r>
            <w:r w:rsidR="004034C1" w:rsidRPr="004034C1">
              <w:rPr>
                <w:rFonts w:eastAsia="MS Mincho"/>
                <w:i/>
                <w:lang w:val="ru-RU"/>
              </w:rPr>
              <w:instrText xml:space="preserve"> </w:instrText>
            </w:r>
            <w:r w:rsidR="004034C1">
              <w:rPr>
                <w:rFonts w:eastAsia="MS Mincho"/>
                <w:i/>
              </w:rPr>
              <w:instrText>on</w:instrText>
            </w:r>
            <w:r w:rsidR="004034C1" w:rsidRPr="004034C1">
              <w:rPr>
                <w:rFonts w:eastAsia="MS Mincho"/>
                <w:i/>
                <w:lang w:val="ru-RU"/>
              </w:rPr>
              <w:instrText xml:space="preserve"> </w:instrText>
            </w:r>
            <w:r w:rsidR="004034C1">
              <w:rPr>
                <w:rFonts w:eastAsia="MS Mincho"/>
                <w:i/>
              </w:rPr>
              <w:instrText>FOLFORIRNOX</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most</w:instrText>
            </w:r>
            <w:r w:rsidR="004034C1" w:rsidRPr="004034C1">
              <w:rPr>
                <w:rFonts w:eastAsia="MS Mincho"/>
                <w:i/>
                <w:lang w:val="ru-RU"/>
              </w:rPr>
              <w:instrText xml:space="preserve"> </w:instrText>
            </w:r>
            <w:r w:rsidR="004034C1">
              <w:rPr>
                <w:rFonts w:eastAsia="MS Mincho"/>
                <w:i/>
              </w:rPr>
              <w:instrText>frequent</w:instrText>
            </w:r>
            <w:r w:rsidR="004034C1" w:rsidRPr="004034C1">
              <w:rPr>
                <w:rFonts w:eastAsia="MS Mincho"/>
                <w:i/>
                <w:lang w:val="ru-RU"/>
              </w:rPr>
              <w:instrText xml:space="preserve"> </w:instrText>
            </w:r>
            <w:r w:rsidR="004034C1">
              <w:rPr>
                <w:rFonts w:eastAsia="MS Mincho"/>
                <w:i/>
              </w:rPr>
              <w:instrText>grade</w:instrText>
            </w:r>
            <w:r w:rsidR="004034C1" w:rsidRPr="004034C1">
              <w:rPr>
                <w:rFonts w:eastAsia="MS Mincho"/>
                <w:i/>
                <w:lang w:val="ru-RU"/>
              </w:rPr>
              <w:instrText xml:space="preserve"> ¾ </w:instrText>
            </w:r>
            <w:r w:rsidR="004034C1">
              <w:rPr>
                <w:rFonts w:eastAsia="MS Mincho"/>
                <w:i/>
              </w:rPr>
              <w:instrText>toxicity</w:instrText>
            </w:r>
            <w:r w:rsidR="004034C1" w:rsidRPr="004034C1">
              <w:rPr>
                <w:rFonts w:eastAsia="MS Mincho"/>
                <w:i/>
                <w:lang w:val="ru-RU"/>
              </w:rPr>
              <w:instrText xml:space="preserve"> </w:instrText>
            </w:r>
            <w:r w:rsidR="004034C1">
              <w:rPr>
                <w:rFonts w:eastAsia="MS Mincho"/>
                <w:i/>
              </w:rPr>
              <w:instrText>was</w:instrText>
            </w:r>
            <w:r w:rsidR="004034C1" w:rsidRPr="004034C1">
              <w:rPr>
                <w:rFonts w:eastAsia="MS Mincho"/>
                <w:i/>
                <w:lang w:val="ru-RU"/>
              </w:rPr>
              <w:instrText xml:space="preserve"> </w:instrText>
            </w:r>
            <w:r w:rsidR="004034C1">
              <w:rPr>
                <w:rFonts w:eastAsia="MS Mincho"/>
                <w:i/>
              </w:rPr>
              <w:instrText>neutropenia</w:instrText>
            </w:r>
            <w:r w:rsidR="004034C1" w:rsidRPr="004034C1">
              <w:rPr>
                <w:rFonts w:eastAsia="MS Mincho"/>
                <w:i/>
                <w:lang w:val="ru-RU"/>
              </w:rPr>
              <w:instrText xml:space="preserve"> (42%) </w:instrText>
            </w:r>
            <w:r w:rsidR="004034C1">
              <w:rPr>
                <w:rFonts w:eastAsia="MS Mincho"/>
                <w:i/>
              </w:rPr>
              <w:instrText>renal</w:instrText>
            </w:r>
            <w:r w:rsidR="004034C1" w:rsidRPr="004034C1">
              <w:rPr>
                <w:rFonts w:eastAsia="MS Mincho"/>
                <w:i/>
                <w:lang w:val="ru-RU"/>
              </w:rPr>
              <w:instrText xml:space="preserve"> </w:instrText>
            </w:r>
            <w:r w:rsidR="004034C1">
              <w:rPr>
                <w:rFonts w:eastAsia="MS Mincho"/>
                <w:i/>
              </w:rPr>
              <w:instrText>toxicity</w:instrText>
            </w:r>
            <w:r w:rsidR="004034C1" w:rsidRPr="004034C1">
              <w:rPr>
                <w:rFonts w:eastAsia="MS Mincho"/>
                <w:i/>
                <w:lang w:val="ru-RU"/>
              </w:rPr>
              <w:instrText xml:space="preserve"> (4%)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liver</w:instrText>
            </w:r>
            <w:r w:rsidR="004034C1" w:rsidRPr="004034C1">
              <w:rPr>
                <w:rFonts w:eastAsia="MS Mincho"/>
                <w:i/>
                <w:lang w:val="ru-RU"/>
              </w:rPr>
              <w:instrText xml:space="preserve"> </w:instrText>
            </w:r>
            <w:r w:rsidR="004034C1">
              <w:rPr>
                <w:rFonts w:eastAsia="MS Mincho"/>
                <w:i/>
              </w:rPr>
              <w:instrText>toxicity</w:instrText>
            </w:r>
            <w:r w:rsidR="004034C1" w:rsidRPr="004034C1">
              <w:rPr>
                <w:rFonts w:eastAsia="MS Mincho"/>
                <w:i/>
                <w:lang w:val="ru-RU"/>
              </w:rPr>
              <w:instrText xml:space="preserve"> (6%), </w:instrText>
            </w:r>
            <w:r w:rsidR="004034C1">
              <w:rPr>
                <w:rFonts w:eastAsia="MS Mincho"/>
                <w:i/>
              </w:rPr>
              <w:instrText>required</w:instrText>
            </w:r>
            <w:r w:rsidR="004034C1" w:rsidRPr="004034C1">
              <w:rPr>
                <w:rFonts w:eastAsia="MS Mincho"/>
                <w:i/>
                <w:lang w:val="ru-RU"/>
              </w:rPr>
              <w:instrText xml:space="preserve"> </w:instrText>
            </w:r>
            <w:r w:rsidR="004034C1">
              <w:rPr>
                <w:rFonts w:eastAsia="MS Mincho"/>
                <w:i/>
              </w:rPr>
              <w:instrText>emergency</w:instrText>
            </w:r>
            <w:r w:rsidR="004034C1" w:rsidRPr="004034C1">
              <w:rPr>
                <w:rFonts w:eastAsia="MS Mincho"/>
                <w:i/>
                <w:lang w:val="ru-RU"/>
              </w:rPr>
              <w:instrText xml:space="preserve"> </w:instrText>
            </w:r>
            <w:r w:rsidR="004034C1">
              <w:rPr>
                <w:rFonts w:eastAsia="MS Mincho"/>
                <w:i/>
              </w:rPr>
              <w:instrText>admission</w:instrText>
            </w:r>
            <w:r w:rsidR="004034C1" w:rsidRPr="004034C1">
              <w:rPr>
                <w:rFonts w:eastAsia="MS Mincho"/>
                <w:i/>
                <w:lang w:val="ru-RU"/>
              </w:rPr>
              <w:instrText xml:space="preserve"> (51%)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patients</w:instrText>
            </w:r>
            <w:r w:rsidR="004034C1" w:rsidRPr="004034C1">
              <w:rPr>
                <w:rFonts w:eastAsia="MS Mincho"/>
                <w:i/>
                <w:lang w:val="ru-RU"/>
              </w:rPr>
              <w:instrText>.\</w:instrText>
            </w:r>
            <w:r w:rsidR="004034C1">
              <w:rPr>
                <w:rFonts w:eastAsia="MS Mincho"/>
                <w:i/>
              </w:rPr>
              <w:instrText>nConclusion</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efficacy</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 xml:space="preserve"> </w:instrText>
            </w:r>
            <w:r w:rsidR="004034C1">
              <w:rPr>
                <w:rFonts w:eastAsia="MS Mincho"/>
                <w:i/>
              </w:rPr>
              <w:instrText>for</w:instrText>
            </w:r>
            <w:r w:rsidR="004034C1" w:rsidRPr="004034C1">
              <w:rPr>
                <w:rFonts w:eastAsia="MS Mincho"/>
                <w:i/>
                <w:lang w:val="ru-RU"/>
              </w:rPr>
              <w:instrText xml:space="preserve"> </w:instrText>
            </w:r>
            <w:r w:rsidR="004034C1">
              <w:rPr>
                <w:rFonts w:eastAsia="MS Mincho"/>
                <w:i/>
              </w:rPr>
              <w:instrText>pancreatic</w:instrText>
            </w:r>
            <w:r w:rsidR="004034C1" w:rsidRPr="004034C1">
              <w:rPr>
                <w:rFonts w:eastAsia="MS Mincho"/>
                <w:i/>
                <w:lang w:val="ru-RU"/>
              </w:rPr>
              <w:instrText xml:space="preserve"> </w:instrText>
            </w:r>
            <w:r w:rsidR="004034C1">
              <w:rPr>
                <w:rFonts w:eastAsia="MS Mincho"/>
                <w:i/>
              </w:rPr>
              <w:instrText>cancer</w:instrText>
            </w:r>
            <w:r w:rsidR="004034C1" w:rsidRPr="004034C1">
              <w:rPr>
                <w:rFonts w:eastAsia="MS Mincho"/>
                <w:i/>
                <w:lang w:val="ru-RU"/>
              </w:rPr>
              <w:instrText xml:space="preserve"> </w:instrText>
            </w:r>
            <w:r w:rsidR="004034C1">
              <w:rPr>
                <w:rFonts w:eastAsia="MS Mincho"/>
                <w:i/>
              </w:rPr>
              <w:instrText>was</w:instrText>
            </w:r>
            <w:r w:rsidR="004034C1" w:rsidRPr="004034C1">
              <w:rPr>
                <w:rFonts w:eastAsia="MS Mincho"/>
                <w:i/>
                <w:lang w:val="ru-RU"/>
              </w:rPr>
              <w:instrText xml:space="preserve"> </w:instrText>
            </w:r>
            <w:r w:rsidR="004034C1">
              <w:rPr>
                <w:rFonts w:eastAsia="MS Mincho"/>
                <w:i/>
              </w:rPr>
              <w:instrText>less</w:instrText>
            </w:r>
            <w:r w:rsidR="004034C1" w:rsidRPr="004034C1">
              <w:rPr>
                <w:rFonts w:eastAsia="MS Mincho"/>
                <w:i/>
                <w:lang w:val="ru-RU"/>
              </w:rPr>
              <w:instrText xml:space="preserve"> </w:instrText>
            </w:r>
            <w:r w:rsidR="004034C1">
              <w:rPr>
                <w:rFonts w:eastAsia="MS Mincho"/>
                <w:i/>
              </w:rPr>
              <w:instrText>than</w:instrText>
            </w:r>
            <w:r w:rsidR="004034C1" w:rsidRPr="004034C1">
              <w:rPr>
                <w:rFonts w:eastAsia="MS Mincho"/>
                <w:i/>
                <w:lang w:val="ru-RU"/>
              </w:rPr>
              <w:instrText xml:space="preserve"> </w:instrText>
            </w:r>
            <w:r w:rsidR="004034C1">
              <w:rPr>
                <w:rFonts w:eastAsia="MS Mincho"/>
                <w:i/>
              </w:rPr>
              <w:instrText>reported</w:instrText>
            </w:r>
            <w:r w:rsidR="004034C1" w:rsidRPr="004034C1">
              <w:rPr>
                <w:rFonts w:eastAsia="MS Mincho"/>
                <w:i/>
                <w:lang w:val="ru-RU"/>
              </w:rPr>
              <w:instrText xml:space="preserve"> </w:instrText>
            </w:r>
            <w:r w:rsidR="004034C1">
              <w:rPr>
                <w:rFonts w:eastAsia="MS Mincho"/>
                <w:i/>
              </w:rPr>
              <w:instrText>in</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clinical</w:instrText>
            </w:r>
            <w:r w:rsidR="004034C1" w:rsidRPr="004034C1">
              <w:rPr>
                <w:rFonts w:eastAsia="MS Mincho"/>
                <w:i/>
                <w:lang w:val="ru-RU"/>
              </w:rPr>
              <w:instrText xml:space="preserve"> </w:instrText>
            </w:r>
            <w:r w:rsidR="004034C1">
              <w:rPr>
                <w:rFonts w:eastAsia="MS Mincho"/>
                <w:i/>
              </w:rPr>
              <w:instrText>trial</w:instrText>
            </w:r>
            <w:r w:rsidR="004034C1" w:rsidRPr="004034C1">
              <w:rPr>
                <w:rFonts w:eastAsia="MS Mincho"/>
                <w:i/>
                <w:lang w:val="ru-RU"/>
              </w:rPr>
              <w:instrText xml:space="preserve"> </w:instrText>
            </w:r>
            <w:r w:rsidR="004034C1">
              <w:rPr>
                <w:rFonts w:eastAsia="MS Mincho"/>
                <w:i/>
              </w:rPr>
              <w:instrText>while</w:instrText>
            </w:r>
            <w:r w:rsidR="004034C1" w:rsidRPr="004034C1">
              <w:rPr>
                <w:rFonts w:eastAsia="MS Mincho"/>
                <w:i/>
                <w:lang w:val="ru-RU"/>
              </w:rPr>
              <w:instrText xml:space="preserve"> </w:instrText>
            </w:r>
            <w:r w:rsidR="004034C1">
              <w:rPr>
                <w:rFonts w:eastAsia="MS Mincho"/>
                <w:i/>
              </w:rPr>
              <w:instrText>toxicity</w:instrText>
            </w:r>
            <w:r w:rsidR="004034C1" w:rsidRPr="004034C1">
              <w:rPr>
                <w:rFonts w:eastAsia="MS Mincho"/>
                <w:i/>
                <w:lang w:val="ru-RU"/>
              </w:rPr>
              <w:instrText xml:space="preserve"> </w:instrText>
            </w:r>
            <w:r w:rsidR="004034C1">
              <w:rPr>
                <w:rFonts w:eastAsia="MS Mincho"/>
                <w:i/>
              </w:rPr>
              <w:instrText>was</w:instrText>
            </w:r>
            <w:r w:rsidR="004034C1" w:rsidRPr="004034C1">
              <w:rPr>
                <w:rFonts w:eastAsia="MS Mincho"/>
                <w:i/>
                <w:lang w:val="ru-RU"/>
              </w:rPr>
              <w:instrText xml:space="preserve"> </w:instrText>
            </w:r>
            <w:r w:rsidR="004034C1">
              <w:rPr>
                <w:rFonts w:eastAsia="MS Mincho"/>
                <w:i/>
              </w:rPr>
              <w:instrText>similar</w:instrText>
            </w:r>
            <w:r w:rsidR="004034C1" w:rsidRPr="004034C1">
              <w:rPr>
                <w:rFonts w:eastAsia="MS Mincho"/>
                <w:i/>
                <w:lang w:val="ru-RU"/>
              </w:rPr>
              <w:instrText xml:space="preserve"> </w:instrText>
            </w:r>
            <w:r w:rsidR="004034C1">
              <w:rPr>
                <w:rFonts w:eastAsia="MS Mincho"/>
                <w:i/>
              </w:rPr>
              <w:instrText>to</w:instrText>
            </w:r>
            <w:r w:rsidR="004034C1" w:rsidRPr="004034C1">
              <w:rPr>
                <w:rFonts w:eastAsia="MS Mincho"/>
                <w:i/>
                <w:lang w:val="ru-RU"/>
              </w:rPr>
              <w:instrText xml:space="preserve"> </w:instrText>
            </w:r>
            <w:r w:rsidR="004034C1">
              <w:rPr>
                <w:rFonts w:eastAsia="MS Mincho"/>
                <w:i/>
              </w:rPr>
              <w:instrText>that</w:instrText>
            </w:r>
            <w:r w:rsidR="004034C1" w:rsidRPr="004034C1">
              <w:rPr>
                <w:rFonts w:eastAsia="MS Mincho"/>
                <w:i/>
                <w:lang w:val="ru-RU"/>
              </w:rPr>
              <w:instrText xml:space="preserve"> </w:instrText>
            </w:r>
            <w:r w:rsidR="004034C1">
              <w:rPr>
                <w:rFonts w:eastAsia="MS Mincho"/>
                <w:i/>
              </w:rPr>
              <w:instrText>report</w:instrText>
            </w:r>
            <w:r w:rsidR="004034C1" w:rsidRPr="004034C1">
              <w:rPr>
                <w:rFonts w:eastAsia="MS Mincho"/>
                <w:i/>
                <w:lang w:val="ru-RU"/>
              </w:rPr>
              <w:instrText xml:space="preserve">, </w:instrText>
            </w:r>
            <w:r w:rsidR="004034C1">
              <w:rPr>
                <w:rFonts w:eastAsia="MS Mincho"/>
                <w:i/>
              </w:rPr>
              <w:instrText>selected</w:instrText>
            </w:r>
            <w:r w:rsidR="004034C1" w:rsidRPr="004034C1">
              <w:rPr>
                <w:rFonts w:eastAsia="MS Mincho"/>
                <w:i/>
                <w:lang w:val="ru-RU"/>
              </w:rPr>
              <w:instrText xml:space="preserve"> </w:instrText>
            </w:r>
            <w:r w:rsidR="004034C1">
              <w:rPr>
                <w:rFonts w:eastAsia="MS Mincho"/>
                <w:i/>
              </w:rPr>
              <w:instrText>patient</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careful</w:instrText>
            </w:r>
            <w:r w:rsidR="004034C1" w:rsidRPr="004034C1">
              <w:rPr>
                <w:rFonts w:eastAsia="MS Mincho"/>
                <w:i/>
                <w:lang w:val="ru-RU"/>
              </w:rPr>
              <w:instrText xml:space="preserve"> </w:instrText>
            </w:r>
            <w:r w:rsidR="004034C1">
              <w:rPr>
                <w:rFonts w:eastAsia="MS Mincho"/>
                <w:i/>
              </w:rPr>
              <w:instrText>monitored</w:instrText>
            </w:r>
            <w:r w:rsidR="004034C1" w:rsidRPr="004034C1">
              <w:rPr>
                <w:rFonts w:eastAsia="MS Mincho"/>
                <w:i/>
                <w:lang w:val="ru-RU"/>
              </w:rPr>
              <w:instrText xml:space="preserve"> </w:instrText>
            </w:r>
            <w:r w:rsidR="004034C1">
              <w:rPr>
                <w:rFonts w:eastAsia="MS Mincho"/>
                <w:i/>
              </w:rPr>
              <w:instrText>toxicity</w:instrText>
            </w:r>
            <w:r w:rsidR="004034C1" w:rsidRPr="004034C1">
              <w:rPr>
                <w:rFonts w:eastAsia="MS Mincho"/>
                <w:i/>
                <w:lang w:val="ru-RU"/>
              </w:rPr>
              <w:instrText xml:space="preserve"> </w:instrText>
            </w:r>
            <w:r w:rsidR="004034C1">
              <w:rPr>
                <w:rFonts w:eastAsia="MS Mincho"/>
                <w:i/>
              </w:rPr>
              <w:instrText>can</w:instrText>
            </w:r>
            <w:r w:rsidR="004034C1" w:rsidRPr="004034C1">
              <w:rPr>
                <w:rFonts w:eastAsia="MS Mincho"/>
                <w:i/>
                <w:lang w:val="ru-RU"/>
              </w:rPr>
              <w:instrText xml:space="preserve"> </w:instrText>
            </w:r>
            <w:r w:rsidR="004034C1">
              <w:rPr>
                <w:rFonts w:eastAsia="MS Mincho"/>
                <w:i/>
              </w:rPr>
              <w:instrText>help</w:instrText>
            </w:r>
            <w:r w:rsidR="004034C1" w:rsidRPr="004034C1">
              <w:rPr>
                <w:rFonts w:eastAsia="MS Mincho"/>
                <w:i/>
                <w:lang w:val="ru-RU"/>
              </w:rPr>
              <w:instrText xml:space="preserve"> </w:instrText>
            </w:r>
            <w:r w:rsidR="004034C1">
              <w:rPr>
                <w:rFonts w:eastAsia="MS Mincho"/>
                <w:i/>
              </w:rPr>
              <w:instrText>the</w:instrText>
            </w:r>
            <w:r w:rsidR="004034C1" w:rsidRPr="004034C1">
              <w:rPr>
                <w:rFonts w:eastAsia="MS Mincho"/>
                <w:i/>
                <w:lang w:val="ru-RU"/>
              </w:rPr>
              <w:instrText xml:space="preserve"> </w:instrText>
            </w:r>
            <w:r w:rsidR="004034C1">
              <w:rPr>
                <w:rFonts w:eastAsia="MS Mincho"/>
                <w:i/>
              </w:rPr>
              <w:instrText>patient</w:instrText>
            </w:r>
            <w:r w:rsidR="004034C1" w:rsidRPr="004034C1">
              <w:rPr>
                <w:rFonts w:eastAsia="MS Mincho"/>
                <w:i/>
                <w:lang w:val="ru-RU"/>
              </w:rPr>
              <w:instrText>.","</w:instrText>
            </w:r>
            <w:r w:rsidR="004034C1">
              <w:rPr>
                <w:rFonts w:eastAsia="MS Mincho"/>
                <w:i/>
              </w:rPr>
              <w:instrText>language</w:instrText>
            </w:r>
            <w:r w:rsidR="004034C1" w:rsidRPr="004034C1">
              <w:rPr>
                <w:rFonts w:eastAsia="MS Mincho"/>
                <w:i/>
                <w:lang w:val="ru-RU"/>
              </w:rPr>
              <w:instrText>":"</w:instrText>
            </w:r>
            <w:r w:rsidR="004034C1">
              <w:rPr>
                <w:rFonts w:eastAsia="MS Mincho"/>
                <w:i/>
              </w:rPr>
              <w:instrText>en</w:instrText>
            </w:r>
            <w:r w:rsidR="004034C1" w:rsidRPr="004034C1">
              <w:rPr>
                <w:rFonts w:eastAsia="MS Mincho"/>
                <w:i/>
                <w:lang w:val="ru-RU"/>
              </w:rPr>
              <w:instrText>","</w:instrText>
            </w:r>
            <w:r w:rsidR="004034C1">
              <w:rPr>
                <w:rFonts w:eastAsia="MS Mincho"/>
                <w:i/>
              </w:rPr>
              <w:instrText>page</w:instrText>
            </w:r>
            <w:r w:rsidR="004034C1" w:rsidRPr="004034C1">
              <w:rPr>
                <w:rFonts w:eastAsia="MS Mincho"/>
                <w:i/>
                <w:lang w:val="ru-RU"/>
              </w:rPr>
              <w:instrText>":"5","</w:instrText>
            </w:r>
            <w:r w:rsidR="004034C1">
              <w:rPr>
                <w:rFonts w:eastAsia="MS Mincho"/>
                <w:i/>
              </w:rPr>
              <w:instrText>source</w:instrText>
            </w:r>
            <w:r w:rsidR="004034C1" w:rsidRPr="004034C1">
              <w:rPr>
                <w:rFonts w:eastAsia="MS Mincho"/>
                <w:i/>
                <w:lang w:val="ru-RU"/>
              </w:rPr>
              <w:instrText>":"</w:instrText>
            </w:r>
            <w:r w:rsidR="004034C1">
              <w:rPr>
                <w:rFonts w:eastAsia="MS Mincho"/>
                <w:i/>
              </w:rPr>
              <w:instrText>Zotero</w:instrText>
            </w:r>
            <w:r w:rsidR="004034C1" w:rsidRPr="004034C1">
              <w:rPr>
                <w:rFonts w:eastAsia="MS Mincho"/>
                <w:i/>
                <w:lang w:val="ru-RU"/>
              </w:rPr>
              <w:instrText>","</w:instrText>
            </w:r>
            <w:r w:rsidR="004034C1">
              <w:rPr>
                <w:rFonts w:eastAsia="MS Mincho"/>
                <w:i/>
              </w:rPr>
              <w:instrText>title</w:instrText>
            </w:r>
            <w:r w:rsidR="004034C1" w:rsidRPr="004034C1">
              <w:rPr>
                <w:rFonts w:eastAsia="MS Mincho"/>
                <w:i/>
                <w:lang w:val="ru-RU"/>
              </w:rPr>
              <w:instrText>":"</w:instrText>
            </w:r>
            <w:r w:rsidR="004034C1">
              <w:rPr>
                <w:rFonts w:eastAsia="MS Mincho"/>
                <w:i/>
              </w:rPr>
              <w:instrText>Treatment</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Pancreatic</w:instrText>
            </w:r>
            <w:r w:rsidR="004034C1" w:rsidRPr="004034C1">
              <w:rPr>
                <w:rFonts w:eastAsia="MS Mincho"/>
                <w:i/>
                <w:lang w:val="ru-RU"/>
              </w:rPr>
              <w:instrText xml:space="preserve"> </w:instrText>
            </w:r>
            <w:r w:rsidR="004034C1">
              <w:rPr>
                <w:rFonts w:eastAsia="MS Mincho"/>
                <w:i/>
              </w:rPr>
              <w:instrText>Adenocarcinoma</w:instrText>
            </w:r>
            <w:r w:rsidR="004034C1" w:rsidRPr="004034C1">
              <w:rPr>
                <w:rFonts w:eastAsia="MS Mincho"/>
                <w:i/>
                <w:lang w:val="ru-RU"/>
              </w:rPr>
              <w:instrText xml:space="preserve"> </w:instrText>
            </w:r>
            <w:r w:rsidR="004034C1">
              <w:rPr>
                <w:rFonts w:eastAsia="MS Mincho"/>
                <w:i/>
              </w:rPr>
              <w:instrText>with</w:instrText>
            </w:r>
            <w:r w:rsidR="004034C1" w:rsidRPr="004034C1">
              <w:rPr>
                <w:rFonts w:eastAsia="MS Mincho"/>
                <w:i/>
                <w:lang w:val="ru-RU"/>
              </w:rPr>
              <w:instrText xml:space="preserve"> </w:instrText>
            </w:r>
            <w:r w:rsidR="004034C1">
              <w:rPr>
                <w:rFonts w:eastAsia="MS Mincho"/>
                <w:i/>
              </w:rPr>
              <w:instrText>FOLFIRINOX</w:instrText>
            </w:r>
            <w:r w:rsidR="004034C1" w:rsidRPr="004034C1">
              <w:rPr>
                <w:rFonts w:eastAsia="MS Mincho"/>
                <w:i/>
                <w:lang w:val="ru-RU"/>
              </w:rPr>
              <w:instrText>-</w:instrText>
            </w:r>
            <w:r w:rsidR="004034C1">
              <w:rPr>
                <w:rFonts w:eastAsia="MS Mincho"/>
                <w:i/>
              </w:rPr>
              <w:instrText>A</w:instrText>
            </w:r>
            <w:r w:rsidR="004034C1" w:rsidRPr="004034C1">
              <w:rPr>
                <w:rFonts w:eastAsia="MS Mincho"/>
                <w:i/>
                <w:lang w:val="ru-RU"/>
              </w:rPr>
              <w:instrText xml:space="preserve"> </w:instrText>
            </w:r>
            <w:r w:rsidR="004034C1">
              <w:rPr>
                <w:rFonts w:eastAsia="MS Mincho"/>
                <w:i/>
              </w:rPr>
              <w:instrText>Study</w:instrText>
            </w:r>
            <w:r w:rsidR="004034C1" w:rsidRPr="004034C1">
              <w:rPr>
                <w:rFonts w:eastAsia="MS Mincho"/>
                <w:i/>
                <w:lang w:val="ru-RU"/>
              </w:rPr>
              <w:instrText xml:space="preserve"> </w:instrText>
            </w:r>
            <w:r w:rsidR="004034C1">
              <w:rPr>
                <w:rFonts w:eastAsia="MS Mincho"/>
                <w:i/>
              </w:rPr>
              <w:instrText>of</w:instrText>
            </w:r>
            <w:r w:rsidR="004034C1" w:rsidRPr="004034C1">
              <w:rPr>
                <w:rFonts w:eastAsia="MS Mincho"/>
                <w:i/>
                <w:lang w:val="ru-RU"/>
              </w:rPr>
              <w:instrText xml:space="preserve"> </w:instrText>
            </w:r>
            <w:r w:rsidR="004034C1">
              <w:rPr>
                <w:rFonts w:eastAsia="MS Mincho"/>
                <w:i/>
              </w:rPr>
              <w:instrText>Efficacy</w:instrText>
            </w:r>
            <w:r w:rsidR="004034C1" w:rsidRPr="004034C1">
              <w:rPr>
                <w:rFonts w:eastAsia="MS Mincho"/>
                <w:i/>
                <w:lang w:val="ru-RU"/>
              </w:rPr>
              <w:instrText xml:space="preserve"> </w:instrText>
            </w:r>
            <w:r w:rsidR="004034C1">
              <w:rPr>
                <w:rFonts w:eastAsia="MS Mincho"/>
                <w:i/>
              </w:rPr>
              <w:instrText>and</w:instrText>
            </w:r>
            <w:r w:rsidR="004034C1" w:rsidRPr="004034C1">
              <w:rPr>
                <w:rFonts w:eastAsia="MS Mincho"/>
                <w:i/>
                <w:lang w:val="ru-RU"/>
              </w:rPr>
              <w:instrText xml:space="preserve"> </w:instrText>
            </w:r>
            <w:r w:rsidR="004034C1">
              <w:rPr>
                <w:rFonts w:eastAsia="MS Mincho"/>
                <w:i/>
              </w:rPr>
              <w:instrText>Safety</w:instrText>
            </w:r>
            <w:r w:rsidR="004034C1" w:rsidRPr="004034C1">
              <w:rPr>
                <w:rFonts w:eastAsia="MS Mincho"/>
                <w:i/>
                <w:lang w:val="ru-RU"/>
              </w:rPr>
              <w:instrText xml:space="preserve"> </w:instrText>
            </w:r>
            <w:r w:rsidR="004034C1">
              <w:rPr>
                <w:rFonts w:eastAsia="MS Mincho"/>
                <w:i/>
              </w:rPr>
              <w:instrText>in</w:instrText>
            </w:r>
            <w:r w:rsidR="004034C1" w:rsidRPr="004034C1">
              <w:rPr>
                <w:rFonts w:eastAsia="MS Mincho"/>
                <w:i/>
                <w:lang w:val="ru-RU"/>
              </w:rPr>
              <w:instrText xml:space="preserve"> </w:instrText>
            </w:r>
            <w:r w:rsidR="004034C1">
              <w:rPr>
                <w:rFonts w:eastAsia="MS Mincho"/>
                <w:i/>
              </w:rPr>
              <w:instrText>a</w:instrText>
            </w:r>
            <w:r w:rsidR="004034C1" w:rsidRPr="004034C1">
              <w:rPr>
                <w:rFonts w:eastAsia="MS Mincho"/>
                <w:i/>
                <w:lang w:val="ru-RU"/>
              </w:rPr>
              <w:instrText xml:space="preserve"> </w:instrText>
            </w:r>
            <w:r w:rsidR="004034C1">
              <w:rPr>
                <w:rFonts w:eastAsia="MS Mincho"/>
                <w:i/>
              </w:rPr>
              <w:instrText>Saudi</w:instrText>
            </w:r>
            <w:r w:rsidR="004034C1" w:rsidRPr="004034C1">
              <w:rPr>
                <w:rFonts w:eastAsia="MS Mincho"/>
                <w:i/>
                <w:lang w:val="ru-RU"/>
              </w:rPr>
              <w:instrText xml:space="preserve"> </w:instrText>
            </w:r>
            <w:r w:rsidR="004034C1">
              <w:rPr>
                <w:rFonts w:eastAsia="MS Mincho"/>
                <w:i/>
              </w:rPr>
              <w:instrText>Population</w:instrText>
            </w:r>
            <w:r w:rsidR="004034C1" w:rsidRPr="004034C1">
              <w:rPr>
                <w:rFonts w:eastAsia="MS Mincho"/>
                <w:i/>
                <w:lang w:val="ru-RU"/>
              </w:rPr>
              <w:instrText>","</w:instrText>
            </w:r>
            <w:r w:rsidR="004034C1">
              <w:rPr>
                <w:rFonts w:eastAsia="MS Mincho"/>
                <w:i/>
              </w:rPr>
              <w:instrText>author</w:instrText>
            </w:r>
            <w:r w:rsidR="004034C1" w:rsidRPr="004034C1">
              <w:rPr>
                <w:rFonts w:eastAsia="MS Mincho"/>
                <w:i/>
                <w:lang w:val="ru-RU"/>
              </w:rPr>
              <w:instrText>":[{"</w:instrText>
            </w:r>
            <w:r w:rsidR="004034C1">
              <w:rPr>
                <w:rFonts w:eastAsia="MS Mincho"/>
                <w:i/>
              </w:rPr>
              <w:instrText>family</w:instrText>
            </w:r>
            <w:r w:rsidR="004034C1" w:rsidRPr="004034C1">
              <w:rPr>
                <w:rFonts w:eastAsia="MS Mincho"/>
                <w:i/>
                <w:lang w:val="ru-RU"/>
              </w:rPr>
              <w:instrText>":"</w:instrText>
            </w:r>
            <w:r w:rsidR="004034C1">
              <w:rPr>
                <w:rFonts w:eastAsia="MS Mincho"/>
                <w:i/>
              </w:rPr>
              <w:instrText>Taher</w:instrText>
            </w:r>
            <w:r w:rsidR="004034C1" w:rsidRPr="004034C1">
              <w:rPr>
                <w:rFonts w:eastAsia="MS Mincho"/>
                <w:i/>
                <w:lang w:val="ru-RU"/>
              </w:rPr>
              <w:instrText>","</w:instrText>
            </w:r>
            <w:r w:rsidR="004034C1">
              <w:rPr>
                <w:rFonts w:eastAsia="MS Mincho"/>
                <w:i/>
              </w:rPr>
              <w:instrText>given</w:instrText>
            </w:r>
            <w:r w:rsidR="004034C1" w:rsidRPr="004034C1">
              <w:rPr>
                <w:rFonts w:eastAsia="MS Mincho"/>
                <w:i/>
                <w:lang w:val="ru-RU"/>
              </w:rPr>
              <w:instrText>":"</w:instrText>
            </w:r>
            <w:r w:rsidR="004034C1">
              <w:rPr>
                <w:rFonts w:eastAsia="MS Mincho"/>
                <w:i/>
              </w:rPr>
              <w:instrText>Khaled</w:instrText>
            </w:r>
            <w:r w:rsidR="004034C1" w:rsidRPr="004034C1">
              <w:rPr>
                <w:rFonts w:eastAsia="MS Mincho"/>
                <w:i/>
                <w:lang w:val="ru-RU"/>
              </w:rPr>
              <w:instrText>"}],"</w:instrText>
            </w:r>
            <w:r w:rsidR="004034C1">
              <w:rPr>
                <w:rFonts w:eastAsia="MS Mincho"/>
                <w:i/>
              </w:rPr>
              <w:instrText>issued</w:instrText>
            </w:r>
            <w:r w:rsidR="004034C1" w:rsidRPr="004034C1">
              <w:rPr>
                <w:rFonts w:eastAsia="MS Mincho"/>
                <w:i/>
                <w:lang w:val="ru-RU"/>
              </w:rPr>
              <w:instrText>":{"</w:instrText>
            </w:r>
            <w:r w:rsidR="004034C1">
              <w:rPr>
                <w:rFonts w:eastAsia="MS Mincho"/>
                <w:i/>
              </w:rPr>
              <w:instrText>date</w:instrText>
            </w:r>
            <w:r w:rsidR="004034C1" w:rsidRPr="004034C1">
              <w:rPr>
                <w:rFonts w:eastAsia="MS Mincho"/>
                <w:i/>
                <w:lang w:val="ru-RU"/>
              </w:rPr>
              <w:instrText>-</w:instrText>
            </w:r>
            <w:r w:rsidR="004034C1">
              <w:rPr>
                <w:rFonts w:eastAsia="MS Mincho"/>
                <w:i/>
              </w:rPr>
              <w:instrText>parts</w:instrText>
            </w:r>
            <w:r w:rsidR="004034C1" w:rsidRPr="004034C1">
              <w:rPr>
                <w:rFonts w:eastAsia="MS Mincho"/>
                <w:i/>
                <w:lang w:val="ru-RU"/>
              </w:rPr>
              <w:instrText>":[["2019"]]}}}],"</w:instrText>
            </w:r>
            <w:r w:rsidR="004034C1">
              <w:rPr>
                <w:rFonts w:eastAsia="MS Mincho"/>
                <w:i/>
              </w:rPr>
              <w:instrText>schema</w:instrText>
            </w:r>
            <w:r w:rsidR="004034C1" w:rsidRPr="004034C1">
              <w:rPr>
                <w:rFonts w:eastAsia="MS Mincho"/>
                <w:i/>
                <w:lang w:val="ru-RU"/>
              </w:rPr>
              <w:instrText>":"</w:instrText>
            </w:r>
            <w:r w:rsidR="004034C1">
              <w:rPr>
                <w:rFonts w:eastAsia="MS Mincho"/>
                <w:i/>
              </w:rPr>
              <w:instrText>https</w:instrText>
            </w:r>
            <w:r w:rsidR="004034C1" w:rsidRPr="004034C1">
              <w:rPr>
                <w:rFonts w:eastAsia="MS Mincho"/>
                <w:i/>
                <w:lang w:val="ru-RU"/>
              </w:rPr>
              <w:instrText>://</w:instrText>
            </w:r>
            <w:r w:rsidR="004034C1">
              <w:rPr>
                <w:rFonts w:eastAsia="MS Mincho"/>
                <w:i/>
              </w:rPr>
              <w:instrText>github</w:instrText>
            </w:r>
            <w:r w:rsidR="004034C1" w:rsidRPr="004034C1">
              <w:rPr>
                <w:rFonts w:eastAsia="MS Mincho"/>
                <w:i/>
                <w:lang w:val="ru-RU"/>
              </w:rPr>
              <w:instrText>.</w:instrText>
            </w:r>
            <w:r w:rsidR="004034C1">
              <w:rPr>
                <w:rFonts w:eastAsia="MS Mincho"/>
                <w:i/>
              </w:rPr>
              <w:instrText>com</w:instrText>
            </w:r>
            <w:r w:rsidR="004034C1" w:rsidRPr="004034C1">
              <w:rPr>
                <w:rFonts w:eastAsia="MS Mincho"/>
                <w:i/>
                <w:lang w:val="ru-RU"/>
              </w:rPr>
              <w:instrText>/</w:instrText>
            </w:r>
            <w:r w:rsidR="004034C1">
              <w:rPr>
                <w:rFonts w:eastAsia="MS Mincho"/>
                <w:i/>
              </w:rPr>
              <w:instrText>citation</w:instrText>
            </w:r>
            <w:r w:rsidR="004034C1" w:rsidRPr="004034C1">
              <w:rPr>
                <w:rFonts w:eastAsia="MS Mincho"/>
                <w:i/>
                <w:lang w:val="ru-RU"/>
              </w:rPr>
              <w:instrText>-</w:instrText>
            </w:r>
            <w:r w:rsidR="004034C1">
              <w:rPr>
                <w:rFonts w:eastAsia="MS Mincho"/>
                <w:i/>
              </w:rPr>
              <w:instrText>style</w:instrText>
            </w:r>
            <w:r w:rsidR="004034C1" w:rsidRPr="004034C1">
              <w:rPr>
                <w:rFonts w:eastAsia="MS Mincho"/>
                <w:i/>
                <w:lang w:val="ru-RU"/>
              </w:rPr>
              <w:instrText>-</w:instrText>
            </w:r>
            <w:r w:rsidR="004034C1">
              <w:rPr>
                <w:rFonts w:eastAsia="MS Mincho"/>
                <w:i/>
              </w:rPr>
              <w:instrText>language</w:instrText>
            </w:r>
            <w:r w:rsidR="004034C1" w:rsidRPr="004034C1">
              <w:rPr>
                <w:rFonts w:eastAsia="MS Mincho"/>
                <w:i/>
                <w:lang w:val="ru-RU"/>
              </w:rPr>
              <w:instrText>/</w:instrText>
            </w:r>
            <w:r w:rsidR="004034C1">
              <w:rPr>
                <w:rFonts w:eastAsia="MS Mincho"/>
                <w:i/>
              </w:rPr>
              <w:instrText>schema</w:instrText>
            </w:r>
            <w:r w:rsidR="004034C1" w:rsidRPr="004034C1">
              <w:rPr>
                <w:rFonts w:eastAsia="MS Mincho"/>
                <w:i/>
                <w:lang w:val="ru-RU"/>
              </w:rPr>
              <w:instrText>/</w:instrText>
            </w:r>
            <w:r w:rsidR="004034C1">
              <w:rPr>
                <w:rFonts w:eastAsia="MS Mincho"/>
                <w:i/>
              </w:rPr>
              <w:instrText>raw</w:instrText>
            </w:r>
            <w:r w:rsidR="004034C1" w:rsidRPr="004034C1">
              <w:rPr>
                <w:rFonts w:eastAsia="MS Mincho"/>
                <w:i/>
                <w:lang w:val="ru-RU"/>
              </w:rPr>
              <w:instrText>/</w:instrText>
            </w:r>
            <w:r w:rsidR="004034C1">
              <w:rPr>
                <w:rFonts w:eastAsia="MS Mincho"/>
                <w:i/>
              </w:rPr>
              <w:instrText>master</w:instrText>
            </w:r>
            <w:r w:rsidR="004034C1" w:rsidRPr="004034C1">
              <w:rPr>
                <w:rFonts w:eastAsia="MS Mincho"/>
                <w:i/>
                <w:lang w:val="ru-RU"/>
              </w:rPr>
              <w:instrText>/</w:instrText>
            </w:r>
            <w:r w:rsidR="004034C1">
              <w:rPr>
                <w:rFonts w:eastAsia="MS Mincho"/>
                <w:i/>
              </w:rPr>
              <w:instrText>csl</w:instrText>
            </w:r>
            <w:r w:rsidR="004034C1" w:rsidRPr="004034C1">
              <w:rPr>
                <w:rFonts w:eastAsia="MS Mincho"/>
                <w:i/>
                <w:lang w:val="ru-RU"/>
              </w:rPr>
              <w:instrText>-</w:instrText>
            </w:r>
            <w:r w:rsidR="004034C1">
              <w:rPr>
                <w:rFonts w:eastAsia="MS Mincho"/>
                <w:i/>
              </w:rPr>
              <w:instrText>citation</w:instrText>
            </w:r>
            <w:r w:rsidR="004034C1" w:rsidRPr="004034C1">
              <w:rPr>
                <w:rFonts w:eastAsia="MS Mincho"/>
                <w:i/>
                <w:lang w:val="ru-RU"/>
              </w:rPr>
              <w:instrText>.</w:instrText>
            </w:r>
            <w:r w:rsidR="004034C1">
              <w:rPr>
                <w:rFonts w:eastAsia="MS Mincho"/>
                <w:i/>
              </w:rPr>
              <w:instrText>json</w:instrText>
            </w:r>
            <w:r w:rsidR="004034C1" w:rsidRPr="004034C1">
              <w:rPr>
                <w:rFonts w:eastAsia="MS Mincho"/>
                <w:i/>
                <w:lang w:val="ru-RU"/>
              </w:rPr>
              <w:instrText xml:space="preserve">"} </w:instrText>
            </w:r>
            <w:r w:rsidR="00C15198" w:rsidRPr="00D161AB">
              <w:rPr>
                <w:rFonts w:eastAsia="MS Mincho"/>
                <w:i/>
                <w:lang w:eastAsia="ja-JP"/>
              </w:rPr>
              <w:fldChar w:fldCharType="separate"/>
            </w:r>
            <w:r w:rsidR="004034C1" w:rsidRPr="004034C1">
              <w:rPr>
                <w:lang w:val="ru-RU"/>
              </w:rPr>
              <w:t>[105,106]</w:t>
            </w:r>
            <w:r w:rsidR="00C15198" w:rsidRPr="00D161AB">
              <w:rPr>
                <w:rFonts w:eastAsia="MS Mincho"/>
                <w:i/>
                <w:lang w:eastAsia="ja-JP"/>
              </w:rPr>
              <w:fldChar w:fldCharType="end"/>
            </w:r>
            <w:r w:rsidR="00964910" w:rsidRPr="004034C1">
              <w:rPr>
                <w:rFonts w:eastAsia="MS Mincho"/>
                <w:i/>
                <w:lang w:val="ru-RU"/>
              </w:rPr>
              <w:t xml:space="preserve"> (#</w:t>
            </w:r>
            <w:r w:rsidRPr="00D161AB">
              <w:rPr>
                <w:rFonts w:eastAsia="MS Mincho"/>
                <w:i/>
                <w:iCs/>
                <w:lang w:val="ru-RU" w:eastAsia="ja-JP"/>
              </w:rPr>
              <w:t>оксалиплатин</w:t>
            </w:r>
            <w:r w:rsidR="00964910" w:rsidRPr="004034C1">
              <w:rPr>
                <w:i/>
                <w:lang w:val="ru-RU"/>
              </w:rPr>
              <w:t>**</w:t>
            </w:r>
            <w:r w:rsidR="00964910" w:rsidRPr="004034C1">
              <w:rPr>
                <w:rFonts w:eastAsia="MS Mincho"/>
                <w:i/>
                <w:lang w:val="ru-RU"/>
              </w:rPr>
              <w:t xml:space="preserve"> 60-85 </w:t>
            </w:r>
            <w:r w:rsidRPr="00D161AB">
              <w:rPr>
                <w:rFonts w:eastAsia="MS Mincho"/>
                <w:i/>
                <w:lang w:val="ru-RU" w:eastAsia="ja-JP"/>
              </w:rPr>
              <w:t>мг</w:t>
            </w:r>
            <w:r w:rsidR="00964910" w:rsidRPr="004034C1">
              <w:rPr>
                <w:rFonts w:eastAsia="MS Mincho"/>
                <w:i/>
                <w:lang w:val="ru-RU"/>
              </w:rPr>
              <w:t>/</w:t>
            </w:r>
            <w:r w:rsidRPr="00D161AB">
              <w:rPr>
                <w:rFonts w:eastAsia="MS Mincho"/>
                <w:i/>
                <w:lang w:val="ru-RU" w:eastAsia="ja-JP"/>
              </w:rPr>
              <w:t>м</w:t>
            </w:r>
            <w:r w:rsidR="00964910" w:rsidRPr="004034C1">
              <w:rPr>
                <w:rFonts w:eastAsia="MS Mincho"/>
                <w:i/>
                <w:vertAlign w:val="superscript"/>
                <w:lang w:val="ru-RU"/>
              </w:rPr>
              <w:t>2</w:t>
            </w:r>
            <w:r w:rsidR="00964910" w:rsidRPr="004034C1">
              <w:rPr>
                <w:rFonts w:eastAsia="MS Mincho"/>
                <w:i/>
                <w:lang w:val="ru-RU"/>
              </w:rPr>
              <w:t xml:space="preserve"> </w:t>
            </w:r>
            <w:r w:rsidRPr="00D161AB">
              <w:rPr>
                <w:rFonts w:eastAsia="MS Mincho"/>
                <w:i/>
                <w:lang w:val="ru-RU" w:eastAsia="ja-JP"/>
              </w:rPr>
              <w:t>в</w:t>
            </w:r>
            <w:r w:rsidR="00964910" w:rsidRPr="004034C1">
              <w:rPr>
                <w:rFonts w:eastAsia="MS Mincho"/>
                <w:i/>
                <w:lang w:val="ru-RU"/>
              </w:rPr>
              <w:t>/</w:t>
            </w:r>
            <w:r w:rsidRPr="00D161AB">
              <w:rPr>
                <w:rFonts w:eastAsia="MS Mincho"/>
                <w:i/>
                <w:lang w:val="ru-RU" w:eastAsia="ja-JP"/>
              </w:rPr>
              <w:t>в</w:t>
            </w:r>
            <w:r w:rsidR="00964910" w:rsidRPr="004034C1">
              <w:rPr>
                <w:rFonts w:eastAsia="MS Mincho"/>
                <w:i/>
                <w:lang w:val="ru-RU"/>
              </w:rPr>
              <w:t xml:space="preserve"> 120 </w:t>
            </w:r>
            <w:r w:rsidRPr="00D161AB">
              <w:rPr>
                <w:rFonts w:eastAsia="MS Mincho"/>
                <w:i/>
                <w:lang w:val="ru-RU" w:eastAsia="ja-JP"/>
              </w:rPr>
              <w:t>мин</w:t>
            </w:r>
            <w:r w:rsidR="00964910" w:rsidRPr="004034C1">
              <w:rPr>
                <w:rFonts w:eastAsia="MS Mincho"/>
                <w:i/>
                <w:lang w:val="ru-RU"/>
              </w:rPr>
              <w:t>, #</w:t>
            </w:r>
            <w:r w:rsidRPr="00D161AB">
              <w:rPr>
                <w:rFonts w:eastAsia="MS Mincho"/>
                <w:i/>
                <w:iCs/>
                <w:lang w:val="ru-RU" w:eastAsia="ja-JP"/>
              </w:rPr>
              <w:t>иринотекан</w:t>
            </w:r>
            <w:r w:rsidR="00964910" w:rsidRPr="004034C1">
              <w:rPr>
                <w:i/>
                <w:lang w:val="ru-RU"/>
              </w:rPr>
              <w:t>**</w:t>
            </w:r>
            <w:r w:rsidR="00964910" w:rsidRPr="004034C1">
              <w:rPr>
                <w:rFonts w:eastAsia="MS Mincho"/>
                <w:i/>
                <w:lang w:val="ru-RU"/>
              </w:rPr>
              <w:t xml:space="preserve"> 120-180 </w:t>
            </w:r>
            <w:r w:rsidRPr="00D161AB">
              <w:rPr>
                <w:rFonts w:eastAsia="MS Mincho"/>
                <w:i/>
                <w:lang w:val="ru-RU" w:eastAsia="ja-JP"/>
              </w:rPr>
              <w:t>мг</w:t>
            </w:r>
            <w:r w:rsidR="00964910" w:rsidRPr="004034C1">
              <w:rPr>
                <w:rFonts w:eastAsia="MS Mincho"/>
                <w:i/>
                <w:lang w:val="ru-RU"/>
              </w:rPr>
              <w:t>/</w:t>
            </w:r>
            <w:r w:rsidRPr="00D161AB">
              <w:rPr>
                <w:rFonts w:eastAsia="MS Mincho"/>
                <w:i/>
                <w:lang w:val="ru-RU" w:eastAsia="ja-JP"/>
              </w:rPr>
              <w:t>м</w:t>
            </w:r>
            <w:r w:rsidR="00964910" w:rsidRPr="004034C1">
              <w:rPr>
                <w:rFonts w:eastAsia="MS Mincho"/>
                <w:i/>
                <w:vertAlign w:val="superscript"/>
                <w:lang w:val="ru-RU"/>
              </w:rPr>
              <w:t>2</w:t>
            </w:r>
            <w:r w:rsidR="00964910" w:rsidRPr="004034C1">
              <w:rPr>
                <w:rFonts w:eastAsia="MS Mincho"/>
                <w:i/>
                <w:lang w:val="ru-RU"/>
              </w:rPr>
              <w:t xml:space="preserve"> </w:t>
            </w:r>
            <w:r w:rsidRPr="00D161AB">
              <w:rPr>
                <w:rFonts w:eastAsia="MS Mincho"/>
                <w:i/>
                <w:lang w:val="ru-RU" w:eastAsia="ja-JP"/>
              </w:rPr>
              <w:t>в</w:t>
            </w:r>
            <w:r w:rsidR="00964910" w:rsidRPr="004034C1">
              <w:rPr>
                <w:rFonts w:eastAsia="MS Mincho"/>
                <w:i/>
                <w:lang w:val="ru-RU"/>
              </w:rPr>
              <w:t>/</w:t>
            </w:r>
            <w:r w:rsidRPr="00D161AB">
              <w:rPr>
                <w:rFonts w:eastAsia="MS Mincho"/>
                <w:i/>
                <w:lang w:val="ru-RU" w:eastAsia="ja-JP"/>
              </w:rPr>
              <w:t>в</w:t>
            </w:r>
            <w:r w:rsidR="00964910" w:rsidRPr="004034C1">
              <w:rPr>
                <w:rFonts w:eastAsia="MS Mincho"/>
                <w:i/>
                <w:lang w:val="ru-RU"/>
              </w:rPr>
              <w:t xml:space="preserve"> 90 </w:t>
            </w:r>
            <w:r w:rsidRPr="00D161AB">
              <w:rPr>
                <w:rFonts w:eastAsia="MS Mincho"/>
                <w:i/>
                <w:lang w:val="ru-RU" w:eastAsia="ja-JP"/>
              </w:rPr>
              <w:t>мин</w:t>
            </w:r>
            <w:r w:rsidR="00964910" w:rsidRPr="004034C1">
              <w:rPr>
                <w:rFonts w:eastAsia="MS Mincho"/>
                <w:i/>
                <w:lang w:val="ru-RU"/>
              </w:rPr>
              <w:t>, #</w:t>
            </w:r>
            <w:r w:rsidRPr="00D161AB">
              <w:rPr>
                <w:rFonts w:eastAsia="MS Mincho"/>
                <w:i/>
                <w:lang w:val="ru-RU" w:eastAsia="ja-JP"/>
              </w:rPr>
              <w:t>кальция</w:t>
            </w:r>
            <w:r w:rsidR="00964910" w:rsidRPr="004034C1">
              <w:rPr>
                <w:rFonts w:eastAsia="MS Mincho"/>
                <w:i/>
                <w:lang w:val="ru-RU"/>
              </w:rPr>
              <w:t xml:space="preserve"> </w:t>
            </w:r>
            <w:r w:rsidRPr="00D161AB">
              <w:rPr>
                <w:rFonts w:eastAsia="MS Mincho"/>
                <w:i/>
                <w:lang w:val="ru-RU" w:eastAsia="ja-JP"/>
              </w:rPr>
              <w:t>фолинат</w:t>
            </w:r>
            <w:r w:rsidR="00964910" w:rsidRPr="004034C1">
              <w:rPr>
                <w:i/>
                <w:lang w:val="ru-RU"/>
              </w:rPr>
              <w:t>**</w:t>
            </w:r>
            <w:r w:rsidR="00964910" w:rsidRPr="004034C1">
              <w:rPr>
                <w:rFonts w:eastAsia="MS Mincho"/>
                <w:i/>
                <w:lang w:val="ru-RU"/>
              </w:rPr>
              <w:t xml:space="preserve"> 400 </w:t>
            </w:r>
            <w:r w:rsidRPr="00D161AB">
              <w:rPr>
                <w:rFonts w:eastAsia="MS Mincho"/>
                <w:i/>
                <w:lang w:val="ru-RU" w:eastAsia="ja-JP"/>
              </w:rPr>
              <w:t>мг</w:t>
            </w:r>
            <w:r w:rsidR="00964910" w:rsidRPr="004034C1">
              <w:rPr>
                <w:rFonts w:eastAsia="MS Mincho"/>
                <w:i/>
                <w:lang w:val="ru-RU"/>
              </w:rPr>
              <w:t>/</w:t>
            </w:r>
            <w:r w:rsidRPr="00D161AB">
              <w:rPr>
                <w:rFonts w:eastAsia="MS Mincho"/>
                <w:i/>
                <w:lang w:val="ru-RU" w:eastAsia="ja-JP"/>
              </w:rPr>
              <w:t>м</w:t>
            </w:r>
            <w:r w:rsidR="00964910" w:rsidRPr="004034C1">
              <w:rPr>
                <w:rFonts w:eastAsia="MS Mincho"/>
                <w:i/>
                <w:vertAlign w:val="superscript"/>
                <w:lang w:val="ru-RU"/>
              </w:rPr>
              <w:t>2</w:t>
            </w:r>
            <w:r w:rsidR="00964910" w:rsidRPr="004034C1">
              <w:rPr>
                <w:rFonts w:eastAsia="MS Mincho"/>
                <w:i/>
                <w:lang w:val="ru-RU"/>
              </w:rPr>
              <w:t xml:space="preserve"> </w:t>
            </w:r>
            <w:r w:rsidRPr="00D161AB">
              <w:rPr>
                <w:rFonts w:eastAsia="MS Mincho"/>
                <w:i/>
                <w:lang w:val="ru-RU" w:eastAsia="ja-JP"/>
              </w:rPr>
              <w:t>в</w:t>
            </w:r>
            <w:r w:rsidR="00964910" w:rsidRPr="004034C1">
              <w:rPr>
                <w:rFonts w:eastAsia="MS Mincho"/>
                <w:i/>
                <w:lang w:val="ru-RU"/>
              </w:rPr>
              <w:t>/</w:t>
            </w:r>
            <w:r w:rsidRPr="00D161AB">
              <w:rPr>
                <w:rFonts w:eastAsia="MS Mincho"/>
                <w:i/>
                <w:lang w:val="ru-RU" w:eastAsia="ja-JP"/>
              </w:rPr>
              <w:t>в</w:t>
            </w:r>
            <w:r w:rsidR="00964910" w:rsidRPr="004034C1">
              <w:rPr>
                <w:rFonts w:eastAsia="MS Mincho"/>
                <w:i/>
                <w:lang w:val="ru-RU"/>
              </w:rPr>
              <w:t xml:space="preserve"> 120 </w:t>
            </w:r>
            <w:r w:rsidRPr="00D161AB">
              <w:rPr>
                <w:rFonts w:eastAsia="MS Mincho"/>
                <w:i/>
                <w:lang w:val="ru-RU" w:eastAsia="ja-JP"/>
              </w:rPr>
              <w:t>мин</w:t>
            </w:r>
            <w:r w:rsidR="00964910" w:rsidRPr="004034C1">
              <w:rPr>
                <w:rFonts w:eastAsia="MS Mincho"/>
                <w:i/>
                <w:lang w:val="ru-RU"/>
              </w:rPr>
              <w:t>, #</w:t>
            </w:r>
            <w:r w:rsidR="007478A2" w:rsidRPr="00D161AB">
              <w:rPr>
                <w:rFonts w:eastAsia="MS Mincho"/>
                <w:i/>
                <w:iCs/>
                <w:lang w:val="ru-RU" w:eastAsia="ja-JP"/>
              </w:rPr>
              <w:t>фторурацил</w:t>
            </w:r>
            <w:r w:rsidR="00964910" w:rsidRPr="004034C1">
              <w:rPr>
                <w:i/>
                <w:lang w:val="ru-RU"/>
              </w:rPr>
              <w:t>**</w:t>
            </w:r>
            <w:r w:rsidR="00964910" w:rsidRPr="004034C1">
              <w:rPr>
                <w:rFonts w:eastAsia="MS Mincho"/>
                <w:i/>
                <w:lang w:val="ru-RU"/>
              </w:rPr>
              <w:t xml:space="preserve"> 2000-2400 </w:t>
            </w:r>
            <w:r w:rsidRPr="00D161AB">
              <w:rPr>
                <w:rFonts w:eastAsia="MS Mincho"/>
                <w:i/>
                <w:lang w:val="ru-RU" w:eastAsia="ja-JP"/>
              </w:rPr>
              <w:t>мг</w:t>
            </w:r>
            <w:r w:rsidR="00964910" w:rsidRPr="004034C1">
              <w:rPr>
                <w:rFonts w:eastAsia="MS Mincho"/>
                <w:i/>
                <w:lang w:val="ru-RU"/>
              </w:rPr>
              <w:t>/</w:t>
            </w:r>
            <w:r w:rsidRPr="00D161AB">
              <w:rPr>
                <w:rFonts w:eastAsia="MS Mincho"/>
                <w:i/>
                <w:lang w:val="ru-RU" w:eastAsia="ja-JP"/>
              </w:rPr>
              <w:t>м</w:t>
            </w:r>
            <w:r w:rsidR="00964910" w:rsidRPr="004034C1">
              <w:rPr>
                <w:rFonts w:eastAsia="MS Mincho"/>
                <w:i/>
                <w:vertAlign w:val="superscript"/>
                <w:lang w:val="ru-RU"/>
              </w:rPr>
              <w:t>2</w:t>
            </w:r>
            <w:r w:rsidR="00964910" w:rsidRPr="004034C1">
              <w:rPr>
                <w:rFonts w:eastAsia="MS Mincho"/>
                <w:i/>
                <w:lang w:val="ru-RU"/>
              </w:rPr>
              <w:t xml:space="preserve"> </w:t>
            </w:r>
            <w:r w:rsidRPr="00D161AB">
              <w:rPr>
                <w:rFonts w:eastAsia="MS Mincho"/>
                <w:i/>
                <w:lang w:val="ru-RU" w:eastAsia="ja-JP"/>
              </w:rPr>
              <w:t>в</w:t>
            </w:r>
            <w:r w:rsidR="00964910" w:rsidRPr="004034C1">
              <w:rPr>
                <w:rFonts w:eastAsia="MS Mincho"/>
                <w:i/>
                <w:lang w:val="ru-RU"/>
              </w:rPr>
              <w:t>/</w:t>
            </w:r>
            <w:r w:rsidRPr="00D161AB">
              <w:rPr>
                <w:rFonts w:eastAsia="MS Mincho"/>
                <w:i/>
                <w:lang w:val="ru-RU" w:eastAsia="ja-JP"/>
              </w:rPr>
              <w:t>в</w:t>
            </w:r>
            <w:r w:rsidR="00964910" w:rsidRPr="004034C1">
              <w:rPr>
                <w:rFonts w:eastAsia="MS Mincho"/>
                <w:i/>
                <w:lang w:val="ru-RU"/>
              </w:rPr>
              <w:t xml:space="preserve"> </w:t>
            </w:r>
            <w:r w:rsidRPr="00D161AB">
              <w:rPr>
                <w:rFonts w:eastAsia="MS Mincho"/>
                <w:i/>
                <w:lang w:val="ru-RU" w:eastAsia="ja-JP"/>
              </w:rPr>
              <w:t>инфузия</w:t>
            </w:r>
            <w:r w:rsidR="00964910" w:rsidRPr="004034C1">
              <w:rPr>
                <w:rFonts w:eastAsia="MS Mincho"/>
                <w:i/>
                <w:lang w:val="ru-RU"/>
              </w:rPr>
              <w:t xml:space="preserve"> </w:t>
            </w:r>
            <w:r w:rsidRPr="00D161AB">
              <w:rPr>
                <w:rFonts w:eastAsia="MS Mincho"/>
                <w:i/>
                <w:lang w:val="ru-RU" w:eastAsia="ja-JP"/>
              </w:rPr>
              <w:t>в</w:t>
            </w:r>
            <w:r w:rsidR="00964910" w:rsidRPr="004034C1">
              <w:rPr>
                <w:rFonts w:eastAsia="MS Mincho"/>
                <w:i/>
                <w:lang w:val="ru-RU"/>
              </w:rPr>
              <w:t xml:space="preserve"> </w:t>
            </w:r>
            <w:r w:rsidRPr="00D161AB">
              <w:rPr>
                <w:rFonts w:eastAsia="MS Mincho"/>
                <w:i/>
                <w:lang w:val="ru-RU" w:eastAsia="ja-JP"/>
              </w:rPr>
              <w:t>течение</w:t>
            </w:r>
            <w:r w:rsidR="00964910" w:rsidRPr="004034C1">
              <w:rPr>
                <w:rFonts w:eastAsia="MS Mincho"/>
                <w:i/>
                <w:lang w:val="ru-RU"/>
              </w:rPr>
              <w:t xml:space="preserve"> 46 </w:t>
            </w:r>
            <w:r w:rsidRPr="00D161AB">
              <w:rPr>
                <w:rFonts w:eastAsia="MS Mincho"/>
                <w:i/>
                <w:lang w:val="ru-RU" w:eastAsia="ja-JP"/>
              </w:rPr>
              <w:t>часов</w:t>
            </w:r>
            <w:r w:rsidR="00964910" w:rsidRPr="004034C1">
              <w:rPr>
                <w:rFonts w:eastAsia="MS Mincho"/>
                <w:i/>
                <w:lang w:val="ru-RU"/>
              </w:rPr>
              <w:t xml:space="preserve">, </w:t>
            </w:r>
            <w:r w:rsidRPr="00D161AB">
              <w:rPr>
                <w:rFonts w:eastAsia="MS Mincho"/>
                <w:i/>
                <w:lang w:val="ru-RU" w:eastAsia="ja-JP"/>
              </w:rPr>
              <w:t>интервал</w:t>
            </w:r>
            <w:r w:rsidR="00964910" w:rsidRPr="004034C1">
              <w:rPr>
                <w:rFonts w:eastAsia="MS Mincho"/>
                <w:i/>
                <w:lang w:val="ru-RU"/>
              </w:rPr>
              <w:t xml:space="preserve"> </w:t>
            </w:r>
            <w:r w:rsidRPr="00D161AB">
              <w:rPr>
                <w:rFonts w:eastAsia="MS Mincho"/>
                <w:i/>
                <w:lang w:val="ru-RU" w:eastAsia="ja-JP"/>
              </w:rPr>
              <w:t>между</w:t>
            </w:r>
            <w:r w:rsidR="00964910" w:rsidRPr="004034C1">
              <w:rPr>
                <w:rFonts w:eastAsia="MS Mincho"/>
                <w:i/>
                <w:lang w:val="ru-RU"/>
              </w:rPr>
              <w:t xml:space="preserve"> </w:t>
            </w:r>
            <w:r w:rsidRPr="00D161AB">
              <w:rPr>
                <w:rFonts w:eastAsia="MS Mincho"/>
                <w:i/>
                <w:lang w:val="ru-RU" w:eastAsia="ja-JP"/>
              </w:rPr>
              <w:t>циклами</w:t>
            </w:r>
            <w:r w:rsidR="00964910" w:rsidRPr="004034C1">
              <w:rPr>
                <w:rFonts w:eastAsia="MS Mincho"/>
                <w:i/>
                <w:lang w:val="ru-RU"/>
              </w:rPr>
              <w:t xml:space="preserve"> 14 </w:t>
            </w:r>
            <w:r w:rsidRPr="00D161AB">
              <w:rPr>
                <w:rFonts w:eastAsia="MS Mincho"/>
                <w:i/>
                <w:lang w:val="ru-RU" w:eastAsia="ja-JP"/>
              </w:rPr>
              <w:t>дней</w:t>
            </w:r>
            <w:r w:rsidR="00964910" w:rsidRPr="004034C1">
              <w:rPr>
                <w:rFonts w:eastAsia="MS Mincho"/>
                <w:i/>
                <w:lang w:val="ru-RU"/>
              </w:rPr>
              <w:t>)</w:t>
            </w:r>
            <w:r w:rsidR="00A15E8D" w:rsidRPr="004034C1">
              <w:rPr>
                <w:rFonts w:eastAsia="MS Mincho"/>
                <w:i/>
                <w:vertAlign w:val="superscript"/>
                <w:lang w:val="ru-RU"/>
              </w:rPr>
              <w:t>1</w:t>
            </w:r>
            <w:r w:rsidR="00964910" w:rsidRPr="004034C1">
              <w:rPr>
                <w:rFonts w:eastAsia="MS Mincho"/>
                <w:i/>
                <w:lang w:val="ru-RU"/>
              </w:rPr>
              <w:t xml:space="preserve">; </w:t>
            </w:r>
          </w:p>
        </w:tc>
        <w:tc>
          <w:tcPr>
            <w:tcW w:w="5387" w:type="dxa"/>
            <w:hideMark/>
          </w:tcPr>
          <w:p w14:paraId="5F4DF473"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Ранее использовался гемцитабин</w:t>
            </w:r>
            <w:r w:rsidR="002A790A" w:rsidRPr="00D161AB">
              <w:rPr>
                <w:i/>
                <w:lang w:val="ru-RU"/>
              </w:rPr>
              <w:t>**</w:t>
            </w:r>
            <w:r w:rsidRPr="00D161AB">
              <w:rPr>
                <w:rFonts w:eastAsia="MS Mincho"/>
                <w:i/>
                <w:lang w:val="ru-RU" w:eastAsia="ja-JP"/>
              </w:rPr>
              <w:t>;</w:t>
            </w:r>
          </w:p>
          <w:p w14:paraId="4CA7BEA3" w14:textId="58D00426" w:rsidR="001257F9" w:rsidRPr="00D161AB" w:rsidRDefault="00A15E8D" w:rsidP="00482166">
            <w:pPr>
              <w:numPr>
                <w:ilvl w:val="0"/>
                <w:numId w:val="10"/>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A7410A" w:rsidRPr="00D161AB">
              <w:rPr>
                <w:rFonts w:eastAsia="MS Mincho"/>
                <w:i/>
                <w:lang w:eastAsia="ja-JP"/>
              </w:rPr>
              <w:t>ECOG</w:t>
            </w:r>
            <w:r w:rsidR="00A7410A" w:rsidRPr="00D161AB">
              <w:rPr>
                <w:rFonts w:eastAsia="MS Mincho"/>
                <w:i/>
                <w:lang w:val="ru-RU" w:eastAsia="ja-JP"/>
              </w:rPr>
              <w:t xml:space="preserve"> 0-1</w:t>
            </w:r>
            <w:r w:rsidR="001537BF" w:rsidRPr="00D161AB">
              <w:rPr>
                <w:rFonts w:eastAsia="MS Mincho"/>
                <w:i/>
                <w:lang w:val="ru-RU" w:eastAsia="ja-JP"/>
              </w:rPr>
              <w:t xml:space="preserve"> </w:t>
            </w:r>
            <w:r w:rsidR="001537BF" w:rsidRPr="00D161AB">
              <w:rPr>
                <w:i/>
                <w:lang w:val="ru-RU"/>
              </w:rPr>
              <w:t>(приложение Г1)</w:t>
            </w:r>
            <w:r w:rsidR="00A7410A" w:rsidRPr="00D161AB">
              <w:rPr>
                <w:rFonts w:eastAsia="MS Mincho"/>
                <w:i/>
                <w:lang w:val="ru-RU" w:eastAsia="ja-JP"/>
              </w:rPr>
              <w:t xml:space="preserve">; </w:t>
            </w:r>
          </w:p>
          <w:p w14:paraId="5A494B67"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Общий билирубин &lt;1,5 </w:t>
            </w:r>
            <w:r w:rsidRPr="00D161AB">
              <w:rPr>
                <w:rFonts w:eastAsia="MS Mincho"/>
                <w:i/>
                <w:lang w:eastAsia="ja-JP"/>
              </w:rPr>
              <w:t>x</w:t>
            </w:r>
            <w:r w:rsidRPr="00D161AB">
              <w:rPr>
                <w:rFonts w:eastAsia="MS Mincho"/>
                <w:i/>
                <w:lang w:val="ru-RU" w:eastAsia="ja-JP"/>
              </w:rPr>
              <w:t xml:space="preserve"> верхняя граница нормы;</w:t>
            </w:r>
          </w:p>
          <w:p w14:paraId="48DEA69A"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Отсутствие серьезных осложнений опухолевого процесса и сопутствующих заболеваний;</w:t>
            </w:r>
          </w:p>
          <w:p w14:paraId="20AA4946" w14:textId="5421F148"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Возможность </w:t>
            </w:r>
            <w:r w:rsidR="00F55E3F">
              <w:rPr>
                <w:rFonts w:eastAsia="MS Mincho"/>
                <w:i/>
                <w:lang w:val="ru-RU" w:eastAsia="ja-JP"/>
              </w:rPr>
              <w:t>организации</w:t>
            </w:r>
            <w:r w:rsidRPr="00D161AB">
              <w:rPr>
                <w:rFonts w:eastAsia="MS Mincho"/>
                <w:i/>
                <w:lang w:val="ru-RU" w:eastAsia="ja-JP"/>
              </w:rPr>
              <w:t xml:space="preserve"> центрального венозного доступа;</w:t>
            </w:r>
          </w:p>
          <w:p w14:paraId="3FC9C86A"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Возможность проведения двухсуточной инфузии фторурацила с помощью инфузомата</w:t>
            </w:r>
            <w:r w:rsidR="007D33A2" w:rsidRPr="00D161AB">
              <w:rPr>
                <w:rFonts w:eastAsia="MS Mincho"/>
                <w:i/>
                <w:lang w:val="ru-RU" w:eastAsia="ja-JP"/>
              </w:rPr>
              <w:t xml:space="preserve"> </w:t>
            </w:r>
            <w:r w:rsidR="007D33A2" w:rsidRPr="00D161AB">
              <w:rPr>
                <w:i/>
                <w:lang w:val="ru-RU"/>
              </w:rPr>
              <w:t>с солнцезащитной капельной системой</w:t>
            </w:r>
            <w:r w:rsidRPr="00D161AB">
              <w:rPr>
                <w:rFonts w:eastAsia="MS Mincho"/>
                <w:i/>
                <w:lang w:val="ru-RU" w:eastAsia="ja-JP"/>
              </w:rPr>
              <w:t xml:space="preserve"> / инфузионной помпы</w:t>
            </w:r>
            <w:r w:rsidR="00244495" w:rsidRPr="00D161AB">
              <w:rPr>
                <w:rFonts w:eastAsia="MS Mincho"/>
                <w:i/>
                <w:lang w:val="ru-RU" w:eastAsia="ja-JP"/>
              </w:rPr>
              <w:t>;</w:t>
            </w:r>
          </w:p>
          <w:p w14:paraId="3B1A5703" w14:textId="77777777" w:rsidR="001257F9" w:rsidRPr="00D161AB" w:rsidRDefault="00A7410A" w:rsidP="00482166">
            <w:pPr>
              <w:numPr>
                <w:ilvl w:val="0"/>
                <w:numId w:val="12"/>
              </w:numPr>
              <w:tabs>
                <w:tab w:val="left" w:pos="284"/>
              </w:tabs>
              <w:spacing w:line="240" w:lineRule="auto"/>
              <w:ind w:left="357" w:hanging="357"/>
              <w:contextualSpacing/>
              <w:jc w:val="left"/>
              <w:rPr>
                <w:rFonts w:eastAsia="MS Mincho"/>
                <w:i/>
                <w:lang w:val="ru-RU" w:eastAsia="ja-JP"/>
              </w:rPr>
            </w:pPr>
            <w:r w:rsidRPr="00D161AB">
              <w:rPr>
                <w:rFonts w:eastAsia="MS Mincho"/>
                <w:i/>
                <w:lang w:val="ru-RU" w:eastAsia="ja-JP"/>
              </w:rPr>
              <w:t>Возможность госпитализации в профильное учреждение при возникновении жизнеугрожающих осложнений.</w:t>
            </w:r>
          </w:p>
        </w:tc>
      </w:tr>
      <w:tr w:rsidR="00FD133D" w:rsidRPr="0060277C" w14:paraId="640E7D71" w14:textId="77777777" w:rsidTr="003B3375">
        <w:tc>
          <w:tcPr>
            <w:tcW w:w="4077" w:type="dxa"/>
          </w:tcPr>
          <w:p w14:paraId="28146B37" w14:textId="56650CDF" w:rsidR="001257F9" w:rsidRPr="00D161AB" w:rsidRDefault="00A7410A" w:rsidP="00482166">
            <w:pPr>
              <w:tabs>
                <w:tab w:val="left" w:pos="284"/>
              </w:tabs>
              <w:spacing w:line="240" w:lineRule="auto"/>
              <w:ind w:firstLine="0"/>
              <w:contextualSpacing/>
              <w:rPr>
                <w:rFonts w:eastAsia="MS Mincho"/>
                <w:i/>
                <w:lang w:val="ru-RU" w:eastAsia="ja-JP"/>
              </w:rPr>
            </w:pPr>
            <w:r w:rsidRPr="00D161AB">
              <w:rPr>
                <w:rFonts w:eastAsia="MS Mincho"/>
                <w:i/>
                <w:lang w:eastAsia="ja-JP"/>
              </w:rPr>
              <w:t>FOLFOX</w:t>
            </w:r>
            <w:r w:rsidR="00C15198" w:rsidRPr="00D161AB">
              <w:rPr>
                <w:rFonts w:eastAsia="MS Mincho"/>
                <w:i/>
                <w:lang w:eastAsia="ja-JP"/>
              </w:rPr>
              <w:fldChar w:fldCharType="begin"/>
            </w:r>
            <w:r w:rsidR="004034C1">
              <w:rPr>
                <w:rFonts w:eastAsia="MS Mincho"/>
                <w:i/>
                <w:lang w:val="ru-RU" w:eastAsia="ja-JP"/>
              </w:rPr>
              <w:instrText xml:space="preserve"> ADDIN ZOTERO_ITEM CSL_CITATION {"citationID":"ze6WlFf4","properties":{"formattedCitation":"[107]","plainCitation":"[107]","noteIndex":0},"citationItems":[{"id":355,"uris":["http://zotero.org/users/5363772/items/N2CZJDAI",["http://zotero.org/users/5363772/items/N2CZJDAI"]],"itemData":{"id":355,"type":"article-journal","container-title":"BMC cancer","DOI":"10.1186/1471-2407-14-441","journalAbbreviation":"BMC cancer","page":"441","title":"FOLFOX as second-line chemotherapy in patients with pretreated metastatic pancreatic cancer from the FIRGEM study","volume":"14","author":[{"family":"Zaanan","given":"Aziz"},{"family":"Trouilloud","given":"Isabelle"},{"family":"Markoutsaki","given":"Theofano"},{"family":"Gauthier","given":"Mélanie"},{"family":"Dupont-Gossart","given":"Anne-Claire"},{"family":"Lecomte","given":"Thierry"},{"family":"Aparicio","given":"Thomas"},{"family":"Artru","given":"Pascal"},{"family":"Thirot-Bidault","given":"Anne"},{"family":"Joubert","given":"Fanny"},{"family":"Fanica","given":"Daniela"},{"family":"Taieb","given":"Julien"}],"issued":{"date-parts":[["2014",6,14]]}}}],"schema":"https://github.com/citation-style-language/schema/raw/master/csl-citation.json"} </w:instrText>
            </w:r>
            <w:r w:rsidR="00C15198" w:rsidRPr="00D161AB">
              <w:rPr>
                <w:rFonts w:eastAsia="MS Mincho"/>
                <w:i/>
                <w:lang w:eastAsia="ja-JP"/>
              </w:rPr>
              <w:fldChar w:fldCharType="separate"/>
            </w:r>
            <w:r w:rsidR="004034C1" w:rsidRPr="004034C1">
              <w:rPr>
                <w:lang w:val="ru-RU"/>
              </w:rPr>
              <w:t>[107]</w:t>
            </w:r>
            <w:r w:rsidR="00C15198" w:rsidRPr="00D161AB">
              <w:rPr>
                <w:rFonts w:eastAsia="MS Mincho"/>
                <w:i/>
                <w:lang w:eastAsia="ja-JP"/>
              </w:rPr>
              <w:fldChar w:fldCharType="end"/>
            </w:r>
            <w:r w:rsidR="007478A2" w:rsidRPr="00D161AB">
              <w:rPr>
                <w:rFonts w:eastAsia="MS Mincho"/>
                <w:i/>
                <w:lang w:val="ru-RU" w:eastAsia="ja-JP"/>
              </w:rPr>
              <w:t xml:space="preserve"> (</w:t>
            </w:r>
            <w:r w:rsidR="002A790A" w:rsidRPr="00D161AB">
              <w:rPr>
                <w:rFonts w:eastAsia="MS Mincho"/>
                <w:i/>
                <w:lang w:val="ru-RU" w:eastAsia="ja-JP"/>
              </w:rPr>
              <w:t>#</w:t>
            </w:r>
            <w:r w:rsidR="007478A2" w:rsidRPr="00D161AB">
              <w:rPr>
                <w:rFonts w:eastAsia="MS Mincho"/>
                <w:i/>
                <w:lang w:val="ru-RU" w:eastAsia="ja-JP"/>
              </w:rPr>
              <w:t>оксалиплатин</w:t>
            </w:r>
            <w:r w:rsidR="002A790A" w:rsidRPr="00D161AB">
              <w:rPr>
                <w:i/>
                <w:lang w:val="ru-RU"/>
              </w:rPr>
              <w:t>**</w:t>
            </w:r>
            <w:r w:rsidRPr="00D161AB">
              <w:rPr>
                <w:rFonts w:eastAsia="MS Mincho"/>
                <w:i/>
                <w:lang w:val="ru-RU" w:eastAsia="ja-JP"/>
              </w:rPr>
              <w:t xml:space="preserve"> 85 мг/м</w:t>
            </w:r>
            <w:r w:rsidRPr="00D161AB">
              <w:rPr>
                <w:rFonts w:eastAsia="MS Mincho"/>
                <w:i/>
                <w:vertAlign w:val="superscript"/>
                <w:lang w:val="ru-RU" w:eastAsia="ja-JP"/>
              </w:rPr>
              <w:t>2</w:t>
            </w:r>
            <w:r w:rsidRPr="00D161AB">
              <w:rPr>
                <w:rFonts w:eastAsia="MS Mincho"/>
                <w:i/>
                <w:lang w:val="ru-RU" w:eastAsia="ja-JP"/>
              </w:rPr>
              <w:t xml:space="preserve"> в/в 120 мин, </w:t>
            </w:r>
            <w:r w:rsidR="002A790A" w:rsidRPr="00D161AB">
              <w:rPr>
                <w:rFonts w:eastAsia="MS Mincho"/>
                <w:i/>
                <w:lang w:val="ru-RU" w:eastAsia="ja-JP"/>
              </w:rPr>
              <w:t>#</w:t>
            </w:r>
            <w:r w:rsidRPr="00D161AB">
              <w:rPr>
                <w:rFonts w:eastAsia="MS Mincho"/>
                <w:i/>
                <w:lang w:val="ru-RU" w:eastAsia="ja-JP"/>
              </w:rPr>
              <w:t>кальция фолинат</w:t>
            </w:r>
            <w:r w:rsidR="002A790A" w:rsidRPr="00D161AB">
              <w:rPr>
                <w:i/>
                <w:lang w:val="ru-RU"/>
              </w:rPr>
              <w:t>**</w:t>
            </w:r>
            <w:r w:rsidRPr="00D161AB">
              <w:rPr>
                <w:rFonts w:eastAsia="MS Mincho"/>
                <w:i/>
                <w:lang w:val="ru-RU" w:eastAsia="ja-JP"/>
              </w:rPr>
              <w:t xml:space="preserve"> 400 мг/м</w:t>
            </w:r>
            <w:r w:rsidRPr="00D161AB">
              <w:rPr>
                <w:rFonts w:eastAsia="MS Mincho"/>
                <w:i/>
                <w:vertAlign w:val="superscript"/>
                <w:lang w:val="ru-RU" w:eastAsia="ja-JP"/>
              </w:rPr>
              <w:t>2</w:t>
            </w:r>
            <w:r w:rsidRPr="00D161AB">
              <w:rPr>
                <w:rFonts w:eastAsia="MS Mincho"/>
                <w:i/>
                <w:lang w:val="ru-RU" w:eastAsia="ja-JP"/>
              </w:rPr>
              <w:t xml:space="preserve"> в/в 120 мин, </w:t>
            </w:r>
            <w:r w:rsidR="002A790A" w:rsidRPr="00D161AB">
              <w:rPr>
                <w:rFonts w:eastAsia="MS Mincho"/>
                <w:i/>
                <w:lang w:val="ru-RU" w:eastAsia="ja-JP"/>
              </w:rPr>
              <w:t>#</w:t>
            </w:r>
            <w:r w:rsidRPr="00D161AB">
              <w:rPr>
                <w:rFonts w:eastAsia="MS Mincho"/>
                <w:i/>
                <w:lang w:val="ru-RU" w:eastAsia="ja-JP"/>
              </w:rPr>
              <w:t>фторурацил</w:t>
            </w:r>
            <w:r w:rsidR="002A790A" w:rsidRPr="00D161AB">
              <w:rPr>
                <w:i/>
                <w:lang w:val="ru-RU"/>
              </w:rPr>
              <w:t>**</w:t>
            </w:r>
            <w:r w:rsidRPr="00D161AB">
              <w:rPr>
                <w:rFonts w:eastAsia="MS Mincho"/>
                <w:i/>
                <w:lang w:val="ru-RU" w:eastAsia="ja-JP"/>
              </w:rPr>
              <w:t xml:space="preserve"> 400 мг/м</w:t>
            </w:r>
            <w:r w:rsidRPr="00D161AB">
              <w:rPr>
                <w:rFonts w:eastAsia="MS Mincho"/>
                <w:i/>
                <w:vertAlign w:val="superscript"/>
                <w:lang w:val="ru-RU" w:eastAsia="ja-JP"/>
              </w:rPr>
              <w:t>2</w:t>
            </w:r>
            <w:r w:rsidRPr="00D161AB">
              <w:rPr>
                <w:rFonts w:eastAsia="MS Mincho"/>
                <w:i/>
                <w:lang w:val="ru-RU" w:eastAsia="ja-JP"/>
              </w:rPr>
              <w:t xml:space="preserve"> в/в болюс, </w:t>
            </w:r>
            <w:r w:rsidR="002A790A" w:rsidRPr="00D161AB">
              <w:rPr>
                <w:rFonts w:eastAsia="MS Mincho"/>
                <w:i/>
                <w:lang w:val="ru-RU" w:eastAsia="ja-JP"/>
              </w:rPr>
              <w:t>#</w:t>
            </w:r>
            <w:r w:rsidR="007478A2" w:rsidRPr="00D161AB">
              <w:rPr>
                <w:rFonts w:eastAsia="MS Mincho"/>
                <w:i/>
                <w:lang w:val="ru-RU" w:eastAsia="ja-JP"/>
              </w:rPr>
              <w:t>фторурацил</w:t>
            </w:r>
            <w:r w:rsidR="002A790A" w:rsidRPr="00D161AB">
              <w:rPr>
                <w:i/>
                <w:lang w:val="ru-RU"/>
              </w:rPr>
              <w:t>**</w:t>
            </w:r>
            <w:r w:rsidRPr="00D161AB">
              <w:rPr>
                <w:rFonts w:eastAsia="MS Mincho"/>
                <w:i/>
                <w:lang w:val="ru-RU" w:eastAsia="ja-JP"/>
              </w:rPr>
              <w:t xml:space="preserve"> 2400 мг/м</w:t>
            </w:r>
            <w:r w:rsidRPr="00D161AB">
              <w:rPr>
                <w:rFonts w:eastAsia="MS Mincho"/>
                <w:i/>
                <w:vertAlign w:val="superscript"/>
                <w:lang w:val="ru-RU" w:eastAsia="ja-JP"/>
              </w:rPr>
              <w:t>2</w:t>
            </w:r>
            <w:r w:rsidRPr="00D161AB">
              <w:rPr>
                <w:rFonts w:eastAsia="MS Mincho"/>
                <w:i/>
                <w:lang w:val="ru-RU" w:eastAsia="ja-JP"/>
              </w:rPr>
              <w:t xml:space="preserve"> в/в инфузия в течение 46 часов, интервал между циклами 14 дней);</w:t>
            </w:r>
          </w:p>
          <w:p w14:paraId="3261F552" w14:textId="397FBA7D" w:rsidR="001257F9" w:rsidRPr="00D161AB" w:rsidRDefault="00A7410A" w:rsidP="00482166">
            <w:pPr>
              <w:tabs>
                <w:tab w:val="left" w:pos="284"/>
              </w:tabs>
              <w:spacing w:line="240" w:lineRule="auto"/>
              <w:ind w:firstLine="0"/>
              <w:contextualSpacing/>
              <w:rPr>
                <w:rFonts w:eastAsia="MS Mincho"/>
                <w:i/>
                <w:lang w:val="ru-RU" w:eastAsia="ja-JP"/>
              </w:rPr>
            </w:pPr>
            <w:r w:rsidRPr="00D161AB">
              <w:rPr>
                <w:rFonts w:eastAsia="MS Mincho"/>
                <w:i/>
                <w:lang w:eastAsia="ja-JP"/>
              </w:rPr>
              <w:t>XELOX</w:t>
            </w:r>
            <w:r w:rsidR="00CB323C" w:rsidRPr="00D161AB">
              <w:rPr>
                <w:rFonts w:eastAsia="MS Mincho"/>
                <w:i/>
                <w:lang w:val="ru-RU" w:eastAsia="ja-JP"/>
              </w:rPr>
              <w:t xml:space="preserve"> </w:t>
            </w:r>
            <w:r w:rsidR="00C15198" w:rsidRPr="00D161AB">
              <w:rPr>
                <w:rFonts w:eastAsia="MS Mincho"/>
                <w:i/>
                <w:lang w:eastAsia="ja-JP"/>
              </w:rPr>
              <w:fldChar w:fldCharType="begin"/>
            </w:r>
            <w:r w:rsidR="004034C1">
              <w:rPr>
                <w:rFonts w:eastAsia="MS Mincho"/>
                <w:i/>
                <w:lang w:val="ru-RU" w:eastAsia="ja-JP"/>
              </w:rPr>
              <w:instrText xml:space="preserve"> ADDIN ZOTERO_ITEM CSL_CITATION {"citationID":"UCObZWSW","properties":{"formattedCitation":"[108]","plainCitation":"[108]","noteIndex":0},"citationItems":[{"id":1063,"uris":["http://zotero.org/users/5363772/items/WMU42DWP",["http://zotero.org/users/5363772/items/WMU42DWP"]],"itemData":{"id":1063,"type":"article-journal","container-title":"Hepatogastroenterology","DOI":"10.5754/hge12181","ISSN":"01726390","journalAbbreviation":"HGE","source":"DOI.org (Crossref)","title":"XELOX versus FOLFOX4 as Second Line Chemotherapy in Advanced Pancreatic Cancer","URL":"https://www.hepato-gastroenterology.org/?p=4619","author":[{"family":"Berk","given":"Veli"},{"family":"Ozdemir","given":"Nuriye"},{"family":"Ozkan","given":"Metin"},{"family":"Aksoy","given":"Sercan"},{"family":"Turan","given":"Nedim"},{"family":"Inal","given":"Ali"},{"family":"Balakan","given":"Ozan"},{"family":"Yasar","given":"Nurgul"},{"family":"Unal","given":"Olcun Umit"},{"family":"Benekli","given":"Mustafa"},{"family":"Durnali","given":"Ayse"},{"family":"Colak","given":"Dilsen"},{"family":"Sonmez","given":"Ozlem Uysal"}],"accessed":{"date-parts":[["2019",12,9]]},"issued":{"date-parts":[["2012",4,25]]}}}],"schema":"https://github.com/citation-style-language/schema/raw/master/csl-citation.json"} </w:instrText>
            </w:r>
            <w:r w:rsidR="00C15198" w:rsidRPr="00D161AB">
              <w:rPr>
                <w:rFonts w:eastAsia="MS Mincho"/>
                <w:i/>
                <w:lang w:eastAsia="ja-JP"/>
              </w:rPr>
              <w:fldChar w:fldCharType="separate"/>
            </w:r>
            <w:r w:rsidR="004034C1" w:rsidRPr="004034C1">
              <w:rPr>
                <w:lang w:val="ru-RU"/>
              </w:rPr>
              <w:t>[108]</w:t>
            </w:r>
            <w:r w:rsidR="00C15198" w:rsidRPr="00D161AB">
              <w:rPr>
                <w:rFonts w:eastAsia="MS Mincho"/>
                <w:i/>
                <w:lang w:eastAsia="ja-JP"/>
              </w:rPr>
              <w:fldChar w:fldCharType="end"/>
            </w:r>
            <w:r w:rsidRPr="00D161AB">
              <w:rPr>
                <w:rFonts w:eastAsia="MS Mincho"/>
                <w:i/>
                <w:lang w:val="ru-RU" w:eastAsia="ja-JP"/>
              </w:rPr>
              <w:t xml:space="preserve"> (</w:t>
            </w:r>
            <w:r w:rsidR="002A790A" w:rsidRPr="00D161AB">
              <w:rPr>
                <w:rFonts w:eastAsia="MS Mincho"/>
                <w:i/>
                <w:lang w:val="ru-RU" w:eastAsia="ja-JP"/>
              </w:rPr>
              <w:t>#</w:t>
            </w:r>
            <w:r w:rsidRPr="00D161AB">
              <w:rPr>
                <w:rFonts w:eastAsia="MS Mincho"/>
                <w:i/>
                <w:lang w:val="ru-RU" w:eastAsia="ja-JP"/>
              </w:rPr>
              <w:t>оксалиплатин</w:t>
            </w:r>
            <w:r w:rsidR="002A790A" w:rsidRPr="00D161AB">
              <w:rPr>
                <w:i/>
                <w:lang w:val="ru-RU"/>
              </w:rPr>
              <w:t>**</w:t>
            </w:r>
            <w:r w:rsidRPr="00D161AB">
              <w:rPr>
                <w:rFonts w:eastAsia="MS Mincho"/>
                <w:i/>
                <w:lang w:val="ru-RU" w:eastAsia="ja-JP"/>
              </w:rPr>
              <w:t xml:space="preserve"> 130 мг/м</w:t>
            </w:r>
            <w:r w:rsidRPr="00D161AB">
              <w:rPr>
                <w:rFonts w:eastAsia="MS Mincho"/>
                <w:i/>
                <w:vertAlign w:val="superscript"/>
                <w:lang w:val="ru-RU" w:eastAsia="ja-JP"/>
              </w:rPr>
              <w:t>2</w:t>
            </w:r>
            <w:r w:rsidRPr="00D161AB">
              <w:rPr>
                <w:rFonts w:eastAsia="MS Mincho"/>
                <w:i/>
                <w:lang w:val="ru-RU" w:eastAsia="ja-JP"/>
              </w:rPr>
              <w:t xml:space="preserve"> в/в 120 мин в день 1, </w:t>
            </w:r>
            <w:r w:rsidR="002A790A" w:rsidRPr="00D161AB">
              <w:rPr>
                <w:rFonts w:eastAsia="MS Mincho"/>
                <w:i/>
                <w:lang w:val="ru-RU" w:eastAsia="ja-JP"/>
              </w:rPr>
              <w:t>#</w:t>
            </w:r>
            <w:r w:rsidRPr="00D161AB">
              <w:rPr>
                <w:rFonts w:eastAsia="MS Mincho"/>
                <w:i/>
                <w:lang w:val="ru-RU" w:eastAsia="ja-JP"/>
              </w:rPr>
              <w:t>капецитабин</w:t>
            </w:r>
            <w:r w:rsidR="002A790A" w:rsidRPr="00D161AB">
              <w:rPr>
                <w:i/>
                <w:lang w:val="ru-RU"/>
              </w:rPr>
              <w:t>**</w:t>
            </w:r>
            <w:r w:rsidRPr="00D161AB">
              <w:rPr>
                <w:rFonts w:eastAsia="MS Mincho"/>
                <w:i/>
                <w:lang w:val="ru-RU" w:eastAsia="ja-JP"/>
              </w:rPr>
              <w:t xml:space="preserve"> 2000 мг/м</w:t>
            </w:r>
            <w:r w:rsidRPr="00D161AB">
              <w:rPr>
                <w:rFonts w:eastAsia="MS Mincho"/>
                <w:i/>
                <w:vertAlign w:val="superscript"/>
                <w:lang w:val="ru-RU" w:eastAsia="ja-JP"/>
              </w:rPr>
              <w:t>2</w:t>
            </w:r>
            <w:r w:rsidRPr="00D161AB">
              <w:rPr>
                <w:rFonts w:eastAsia="MS Mincho"/>
                <w:i/>
                <w:lang w:val="ru-RU" w:eastAsia="ja-JP"/>
              </w:rPr>
              <w:t xml:space="preserve"> </w:t>
            </w:r>
            <w:r w:rsidR="00470F72" w:rsidRPr="00D161AB">
              <w:rPr>
                <w:rFonts w:eastAsia="MS Mincho"/>
                <w:i/>
                <w:lang w:val="ru-RU" w:eastAsia="ja-JP"/>
              </w:rPr>
              <w:t xml:space="preserve">в сутки </w:t>
            </w:r>
            <w:r w:rsidRPr="00D161AB">
              <w:rPr>
                <w:rFonts w:eastAsia="MS Mincho"/>
                <w:i/>
                <w:lang w:val="ru-RU" w:eastAsia="ja-JP"/>
              </w:rPr>
              <w:t>внутрь 1-14 дни 21-дневного цикла);</w:t>
            </w:r>
          </w:p>
          <w:p w14:paraId="730D2A8B" w14:textId="09142939" w:rsidR="001257F9" w:rsidRPr="00D161AB" w:rsidRDefault="00A7410A" w:rsidP="00482166">
            <w:pPr>
              <w:tabs>
                <w:tab w:val="left" w:pos="284"/>
              </w:tabs>
              <w:spacing w:line="240" w:lineRule="auto"/>
              <w:ind w:firstLine="0"/>
              <w:contextualSpacing/>
              <w:rPr>
                <w:rFonts w:eastAsia="MS Mincho"/>
                <w:i/>
                <w:lang w:val="ru-RU" w:eastAsia="ja-JP"/>
              </w:rPr>
            </w:pPr>
            <w:r w:rsidRPr="00D161AB">
              <w:rPr>
                <w:rFonts w:eastAsia="MS Mincho"/>
                <w:i/>
                <w:lang w:eastAsia="ja-JP"/>
              </w:rPr>
              <w:t>FOLFIRI</w:t>
            </w:r>
            <w:r w:rsidRPr="00D161AB">
              <w:rPr>
                <w:rFonts w:eastAsia="MS Mincho"/>
                <w:i/>
                <w:lang w:val="ru-RU" w:eastAsia="ja-JP"/>
              </w:rPr>
              <w:t>.3</w:t>
            </w:r>
            <w:r w:rsidR="00CB323C" w:rsidRPr="00D161AB">
              <w:rPr>
                <w:rFonts w:eastAsia="MS Mincho"/>
                <w:i/>
                <w:lang w:val="ru-RU" w:eastAsia="ja-JP"/>
              </w:rPr>
              <w:t xml:space="preserve"> </w:t>
            </w:r>
            <w:r w:rsidR="00C15198" w:rsidRPr="00D161AB">
              <w:rPr>
                <w:rFonts w:eastAsia="MS Mincho"/>
                <w:i/>
                <w:lang w:val="ru-RU" w:eastAsia="ja-JP"/>
              </w:rPr>
              <w:fldChar w:fldCharType="begin"/>
            </w:r>
            <w:r w:rsidR="004034C1">
              <w:rPr>
                <w:rFonts w:eastAsia="MS Mincho"/>
                <w:i/>
                <w:lang w:val="ru-RU" w:eastAsia="ja-JP"/>
              </w:rPr>
              <w:instrText xml:space="preserve"> ADDIN ZOTERO_ITEM CSL_CITATION {"citationID":"85yLwtq4","properties":{"formattedCitation":"[109,110, p. 3]","plainCitation":"[109,110, p. 3]","noteIndex":0},"citationItems":[{"id":1109,"uris":["http://zotero.org/users/5363772/items/EEXR5S5Y",["http://zotero.org/users/5363772/items/EEXR5S5Y"]],"itemData":{"id":1109,"type":"article-journal","language":"en","page":"8","source":"Zotero","title":"Optimal Second Line Treatment Options for Gemcitabine Refractory Advanced Pancreatic Cancer Patients. Can We Establish Standard of Care with Available Data?","author":[{"family":"Kang","given":"Soonmo Peter"},{"family":"Saif","given":"Muhammad Wasif"}]}},{"id":1110,"uris":["http://zotero.org/users/5363772/items/58BT38QE",["http://zotero.org/users/5363772/items/58BT38QE"]],"itemData":{"id":1110,"type":"article-journal","container-title":"British Journal of Cancer","DOI":"10.1038/sj.bjc.6605374","ISSN":"0007-0920, 1532-1827","issue":"10","journalAbbreviation":"Br J Cancer","language":"en","page":"1658-1663","source":"DOI.org (Crossref)","title":"A randomised phase II study of modified FOLFIRI.3 vs modified FOLFOX as second-line therapy in patients with gemcitabine-refractory advanced pancreatic cancer","volume":"101","author":[{"family":"Yoo","given":"C"},{"family":"Hwang","given":"J Y"},{"family":"Kim","given":"J-E"},{"family":"Kim","given":"T W"},{"family":"Lee","given":"J S"},{"family":"Park","given":"D H"},{"family":"Lee","given":"S S"},{"family":"Seo","given":"D W"},{"family":"Lee","given":"S K"},{"family":"Kim","given":"M-H"},{"family":"Han","given":"D J"},{"family":"Kim","given":"S C"},{"family":"Lee","given":"J-L"}],"issued":{"date-parts":[["2009",11]]}},"locator":"3"}],"schema":"https://github.com/citation-style-language/schema/raw/master/csl-citation.json"} </w:instrText>
            </w:r>
            <w:r w:rsidR="00C15198" w:rsidRPr="00D161AB">
              <w:rPr>
                <w:rFonts w:eastAsia="MS Mincho"/>
                <w:i/>
                <w:lang w:val="ru-RU" w:eastAsia="ja-JP"/>
              </w:rPr>
              <w:fldChar w:fldCharType="separate"/>
            </w:r>
            <w:r w:rsidR="004034C1" w:rsidRPr="004034C1">
              <w:rPr>
                <w:lang w:val="ru-RU"/>
              </w:rPr>
              <w:t xml:space="preserve">[109,110, </w:t>
            </w:r>
            <w:r w:rsidR="004034C1" w:rsidRPr="004034C1">
              <w:t>p</w:t>
            </w:r>
            <w:r w:rsidR="004034C1" w:rsidRPr="004034C1">
              <w:rPr>
                <w:lang w:val="ru-RU"/>
              </w:rPr>
              <w:t>. 3]</w:t>
            </w:r>
            <w:r w:rsidR="00C15198" w:rsidRPr="00D161AB">
              <w:rPr>
                <w:rFonts w:eastAsia="MS Mincho"/>
                <w:i/>
                <w:lang w:val="ru-RU" w:eastAsia="ja-JP"/>
              </w:rPr>
              <w:fldChar w:fldCharType="end"/>
            </w:r>
            <w:r w:rsidRPr="00D161AB">
              <w:rPr>
                <w:rFonts w:eastAsia="MS Mincho"/>
                <w:i/>
                <w:lang w:val="ru-RU" w:eastAsia="ja-JP"/>
              </w:rPr>
              <w:t xml:space="preserve"> (</w:t>
            </w:r>
            <w:r w:rsidR="002A790A" w:rsidRPr="00D161AB">
              <w:rPr>
                <w:rFonts w:eastAsia="MS Mincho"/>
                <w:i/>
                <w:lang w:val="ru-RU" w:eastAsia="ja-JP"/>
              </w:rPr>
              <w:t>#</w:t>
            </w:r>
            <w:r w:rsidRPr="00D161AB">
              <w:rPr>
                <w:rFonts w:eastAsia="MS Mincho"/>
                <w:i/>
                <w:lang w:val="ru-RU" w:eastAsia="ja-JP"/>
              </w:rPr>
              <w:t>иринотекан</w:t>
            </w:r>
            <w:r w:rsidR="002A790A" w:rsidRPr="00D161AB">
              <w:rPr>
                <w:i/>
                <w:lang w:val="ru-RU"/>
              </w:rPr>
              <w:t>**</w:t>
            </w:r>
            <w:r w:rsidRPr="00D161AB">
              <w:rPr>
                <w:rFonts w:eastAsia="MS Mincho"/>
                <w:i/>
                <w:lang w:val="ru-RU" w:eastAsia="ja-JP"/>
              </w:rPr>
              <w:t xml:space="preserve"> </w:t>
            </w:r>
            <w:r w:rsidR="006C370D" w:rsidRPr="00D161AB">
              <w:rPr>
                <w:rFonts w:eastAsia="MS Mincho"/>
                <w:i/>
                <w:lang w:val="ru-RU" w:eastAsia="ja-JP"/>
              </w:rPr>
              <w:t>70-</w:t>
            </w:r>
            <w:r w:rsidRPr="00D161AB">
              <w:rPr>
                <w:rFonts w:eastAsia="MS Mincho"/>
                <w:i/>
                <w:lang w:val="ru-RU" w:eastAsia="ja-JP"/>
              </w:rPr>
              <w:t>90 мг/м</w:t>
            </w:r>
            <w:r w:rsidRPr="00D161AB">
              <w:rPr>
                <w:rFonts w:eastAsia="MS Mincho"/>
                <w:i/>
                <w:vertAlign w:val="superscript"/>
                <w:lang w:val="ru-RU" w:eastAsia="ja-JP"/>
              </w:rPr>
              <w:t>2</w:t>
            </w:r>
            <w:r w:rsidRPr="00D161AB">
              <w:rPr>
                <w:rFonts w:eastAsia="MS Mincho"/>
                <w:i/>
                <w:lang w:val="ru-RU" w:eastAsia="ja-JP"/>
              </w:rPr>
              <w:t xml:space="preserve"> в/в 60 мин в день 1, </w:t>
            </w:r>
            <w:r w:rsidR="002A790A" w:rsidRPr="00D161AB">
              <w:rPr>
                <w:rFonts w:eastAsia="MS Mincho"/>
                <w:i/>
                <w:lang w:val="ru-RU" w:eastAsia="ja-JP"/>
              </w:rPr>
              <w:t>#</w:t>
            </w:r>
            <w:r w:rsidRPr="00D161AB">
              <w:rPr>
                <w:rFonts w:eastAsia="MS Mincho"/>
                <w:i/>
                <w:lang w:val="ru-RU" w:eastAsia="ja-JP"/>
              </w:rPr>
              <w:t>кальция фолинат</w:t>
            </w:r>
            <w:r w:rsidR="002A790A" w:rsidRPr="00D161AB">
              <w:rPr>
                <w:i/>
                <w:lang w:val="ru-RU"/>
              </w:rPr>
              <w:t>**</w:t>
            </w:r>
            <w:r w:rsidRPr="00D161AB">
              <w:rPr>
                <w:rFonts w:eastAsia="MS Mincho"/>
                <w:i/>
                <w:lang w:val="ru-RU" w:eastAsia="ja-JP"/>
              </w:rPr>
              <w:t xml:space="preserve"> 400 мг/м</w:t>
            </w:r>
            <w:r w:rsidRPr="00D161AB">
              <w:rPr>
                <w:rFonts w:eastAsia="MS Mincho"/>
                <w:i/>
                <w:vertAlign w:val="superscript"/>
                <w:lang w:val="ru-RU" w:eastAsia="ja-JP"/>
              </w:rPr>
              <w:t>2</w:t>
            </w:r>
            <w:r w:rsidRPr="00D161AB">
              <w:rPr>
                <w:rFonts w:eastAsia="MS Mincho"/>
                <w:i/>
                <w:lang w:val="ru-RU" w:eastAsia="ja-JP"/>
              </w:rPr>
              <w:t xml:space="preserve"> в/в 120 мин в день 1, </w:t>
            </w:r>
            <w:r w:rsidR="002A790A" w:rsidRPr="00D161AB">
              <w:rPr>
                <w:rFonts w:eastAsia="MS Mincho"/>
                <w:i/>
                <w:lang w:val="ru-RU" w:eastAsia="ja-JP"/>
              </w:rPr>
              <w:t>#</w:t>
            </w:r>
            <w:r w:rsidR="007478A2" w:rsidRPr="00D161AB">
              <w:rPr>
                <w:rFonts w:eastAsia="MS Mincho"/>
                <w:i/>
                <w:lang w:val="ru-RU" w:eastAsia="ja-JP"/>
              </w:rPr>
              <w:t>фторурацил</w:t>
            </w:r>
            <w:r w:rsidR="002A790A" w:rsidRPr="00D161AB">
              <w:rPr>
                <w:i/>
                <w:lang w:val="ru-RU"/>
              </w:rPr>
              <w:t>**</w:t>
            </w:r>
            <w:r w:rsidRPr="00D161AB">
              <w:rPr>
                <w:rFonts w:eastAsia="MS Mincho"/>
                <w:i/>
                <w:lang w:val="ru-RU" w:eastAsia="ja-JP"/>
              </w:rPr>
              <w:t xml:space="preserve"> 2000 мг/м</w:t>
            </w:r>
            <w:r w:rsidRPr="00D161AB">
              <w:rPr>
                <w:rFonts w:eastAsia="MS Mincho"/>
                <w:i/>
                <w:vertAlign w:val="superscript"/>
                <w:lang w:val="ru-RU" w:eastAsia="ja-JP"/>
              </w:rPr>
              <w:t>2</w:t>
            </w:r>
            <w:r w:rsidRPr="00D161AB">
              <w:rPr>
                <w:rFonts w:eastAsia="MS Mincho"/>
                <w:i/>
                <w:lang w:val="ru-RU" w:eastAsia="ja-JP"/>
              </w:rPr>
              <w:t xml:space="preserve"> в/в инфузия в течение 46 часов, </w:t>
            </w:r>
            <w:r w:rsidR="002A790A" w:rsidRPr="00D161AB">
              <w:rPr>
                <w:rFonts w:eastAsia="MS Mincho"/>
                <w:i/>
                <w:lang w:val="ru-RU" w:eastAsia="ja-JP"/>
              </w:rPr>
              <w:t>#</w:t>
            </w:r>
            <w:r w:rsidRPr="00D161AB">
              <w:rPr>
                <w:rFonts w:eastAsia="MS Mincho"/>
                <w:i/>
                <w:lang w:val="ru-RU" w:eastAsia="ja-JP"/>
              </w:rPr>
              <w:t>иринотекан</w:t>
            </w:r>
            <w:r w:rsidR="002A790A" w:rsidRPr="00D161AB">
              <w:rPr>
                <w:i/>
                <w:lang w:val="ru-RU"/>
              </w:rPr>
              <w:t>**</w:t>
            </w:r>
            <w:r w:rsidRPr="00D161AB">
              <w:rPr>
                <w:rFonts w:eastAsia="MS Mincho"/>
                <w:i/>
                <w:lang w:val="ru-RU" w:eastAsia="ja-JP"/>
              </w:rPr>
              <w:t xml:space="preserve"> </w:t>
            </w:r>
            <w:r w:rsidR="006C370D" w:rsidRPr="00D161AB">
              <w:rPr>
                <w:rFonts w:eastAsia="MS Mincho"/>
                <w:i/>
                <w:lang w:val="ru-RU" w:eastAsia="ja-JP"/>
              </w:rPr>
              <w:t>70-</w:t>
            </w:r>
            <w:r w:rsidRPr="00D161AB">
              <w:rPr>
                <w:rFonts w:eastAsia="MS Mincho"/>
                <w:i/>
                <w:lang w:val="ru-RU" w:eastAsia="ja-JP"/>
              </w:rPr>
              <w:t>90 мг/м</w:t>
            </w:r>
            <w:r w:rsidRPr="00D161AB">
              <w:rPr>
                <w:rFonts w:eastAsia="MS Mincho"/>
                <w:i/>
                <w:vertAlign w:val="superscript"/>
                <w:lang w:val="ru-RU" w:eastAsia="ja-JP"/>
              </w:rPr>
              <w:t>2</w:t>
            </w:r>
            <w:r w:rsidRPr="00D161AB">
              <w:rPr>
                <w:rFonts w:eastAsia="MS Mincho"/>
                <w:i/>
                <w:lang w:val="ru-RU" w:eastAsia="ja-JP"/>
              </w:rPr>
              <w:t xml:space="preserve"> в/в 60 мин в день 3 после окончания инфузии </w:t>
            </w:r>
            <w:r w:rsidR="002A790A" w:rsidRPr="00D161AB">
              <w:rPr>
                <w:rFonts w:eastAsia="MS Mincho"/>
                <w:i/>
                <w:lang w:val="ru-RU" w:eastAsia="ja-JP"/>
              </w:rPr>
              <w:t>#</w:t>
            </w:r>
            <w:r w:rsidRPr="00D161AB">
              <w:rPr>
                <w:rFonts w:eastAsia="MS Mincho"/>
                <w:i/>
                <w:lang w:val="ru-RU" w:eastAsia="ja-JP"/>
              </w:rPr>
              <w:t>фторурацила</w:t>
            </w:r>
            <w:r w:rsidR="002A790A" w:rsidRPr="00D161AB">
              <w:rPr>
                <w:i/>
                <w:lang w:val="ru-RU"/>
              </w:rPr>
              <w:t>**</w:t>
            </w:r>
            <w:r w:rsidRPr="00D161AB">
              <w:rPr>
                <w:rFonts w:eastAsia="MS Mincho"/>
                <w:i/>
                <w:lang w:val="ru-RU" w:eastAsia="ja-JP"/>
              </w:rPr>
              <w:t>, интервал между циклами 14 дней);</w:t>
            </w:r>
            <w:r w:rsidR="006C370D" w:rsidRPr="00D161AB">
              <w:rPr>
                <w:i/>
                <w:lang w:val="ru-RU"/>
              </w:rPr>
              <w:t xml:space="preserve">  </w:t>
            </w:r>
          </w:p>
          <w:p w14:paraId="5B261BF1" w14:textId="61594B52" w:rsidR="001257F9" w:rsidRPr="00D161AB" w:rsidRDefault="00A7410A" w:rsidP="00482166">
            <w:pPr>
              <w:tabs>
                <w:tab w:val="left" w:pos="284"/>
              </w:tabs>
              <w:spacing w:line="240" w:lineRule="auto"/>
              <w:ind w:firstLine="0"/>
              <w:rPr>
                <w:rFonts w:eastAsia="MS Mincho"/>
                <w:i/>
                <w:lang w:val="ru-RU" w:eastAsia="ja-JP"/>
              </w:rPr>
            </w:pPr>
            <w:r w:rsidRPr="00D161AB">
              <w:rPr>
                <w:rFonts w:eastAsia="MS Mincho"/>
                <w:i/>
                <w:lang w:eastAsia="ja-JP"/>
              </w:rPr>
              <w:t>CAPIRI</w:t>
            </w:r>
            <w:r w:rsidR="00CB323C" w:rsidRPr="00D161AB">
              <w:rPr>
                <w:rFonts w:eastAsia="MS Mincho"/>
                <w:i/>
                <w:lang w:val="ru-RU" w:eastAsia="ja-JP"/>
              </w:rPr>
              <w:t xml:space="preserve"> </w:t>
            </w:r>
            <w:r w:rsidR="00C15198" w:rsidRPr="00D161AB">
              <w:rPr>
                <w:rFonts w:eastAsia="MS Mincho"/>
                <w:i/>
                <w:lang w:eastAsia="ja-JP"/>
              </w:rPr>
              <w:fldChar w:fldCharType="begin"/>
            </w:r>
            <w:r w:rsidR="004034C1">
              <w:rPr>
                <w:rFonts w:eastAsia="MS Mincho"/>
                <w:i/>
                <w:lang w:val="ru-RU" w:eastAsia="ja-JP"/>
              </w:rPr>
              <w:instrText xml:space="preserve"> ADDIN ZOTERO_ITEM CSL_CITATION {"citationID":"e0X3pkY3","properties":{"formattedCitation":"[111]","plainCitation":"[111]","noteIndex":0},"citationItems":[{"id":1064,"uris":["http://zotero.org/users/5363772/items/W2CHITFL",["http://zotero.org/users/5363772/items/W2CHITFL"]],"itemData":{"id":1064,"type":"article-journal","abstract":"Background: More than half of patients with pancreatic adenocarcinoma (PA) are candidates for further treatment when they experience upfront treatment failure. Patients and Methods: Patients with gemcitabine-resistant PA, age &lt;76 years and Karnofski performance status (KPS) &gt;50 were treated with a XELIRI or FOLFIRI regimen until progressive disease or a maximum of six months. As this was an observational study, no statistical design was performed. Results: Between July 2007 and December 2009, 34 patients (median age 60 years; median KPS 90) were treated with XELIRI (26) or FOLFIRI (8) regimen. Grade &gt;2 toxicity consisted of neutropenia in 9% of patients, anemia and fatigue in 3% and hand-foot syndrome in 12%. Median progression-free survival was two months (range 1-4). Maximum response was stable disease in four patients (12%). Median survival was 4.2 (range 1-15) months. Conclusion: Fluoropyrimidine and irinotecan combination does not seem to have any role in the treatment of gemcitabine-resistant PA.","container-title":"Anticancer Research","issue":"11","journalAbbreviation":"Anticancer Research","page":"4785-4790","title":"XELIRI or FOLFIRI as Salvage Therapy in Advanced Pancreatic Cancer","volume":"30","author":[{"family":"Cereda","given":"STEFANO"},{"family":"RENI","given":"MICHELE"},{"family":"ROGNONE","given":"ALESSIA"},{"family":"GHIDINI","given":"MICHELE"},{"family":"BELLI","given":"CARMEN"},{"family":"LONGONI","given":"SIMONA"},{"family":"FUGAZZA","given":"CLARA"},{"family":"BRIOSCHI","given":"MATTEO"},{"family":"NICOLETTI","given":"ROBERTO"},{"family":"BALZANO","given":"GIANPAOLO"},{"family":"PASSONI","given":"PAOLO"},{"family":"VILLA","given":"EUGENIO"}],"issued":{"date-parts":[["2010",11,1]]}}}],"schema":"https://github.com/citation-style-language/schema/raw/master/csl-citation.json"} </w:instrText>
            </w:r>
            <w:r w:rsidR="00C15198" w:rsidRPr="00D161AB">
              <w:rPr>
                <w:rFonts w:eastAsia="MS Mincho"/>
                <w:i/>
                <w:lang w:eastAsia="ja-JP"/>
              </w:rPr>
              <w:fldChar w:fldCharType="separate"/>
            </w:r>
            <w:r w:rsidR="004034C1" w:rsidRPr="004034C1">
              <w:rPr>
                <w:lang w:val="ru-RU"/>
              </w:rPr>
              <w:t>[111]</w:t>
            </w:r>
            <w:r w:rsidR="00C15198" w:rsidRPr="00D161AB">
              <w:rPr>
                <w:rFonts w:eastAsia="MS Mincho"/>
                <w:i/>
                <w:lang w:eastAsia="ja-JP"/>
              </w:rPr>
              <w:fldChar w:fldCharType="end"/>
            </w:r>
            <w:r w:rsidRPr="00D161AB">
              <w:rPr>
                <w:rFonts w:eastAsia="MS Mincho"/>
                <w:i/>
                <w:lang w:val="ru-RU" w:eastAsia="ja-JP"/>
              </w:rPr>
              <w:t xml:space="preserve"> (</w:t>
            </w:r>
            <w:r w:rsidR="002A790A" w:rsidRPr="00D161AB">
              <w:rPr>
                <w:rFonts w:eastAsia="MS Mincho"/>
                <w:i/>
                <w:lang w:val="ru-RU" w:eastAsia="ja-JP"/>
              </w:rPr>
              <w:t>#</w:t>
            </w:r>
            <w:r w:rsidRPr="00D161AB">
              <w:rPr>
                <w:rFonts w:eastAsia="MS Mincho"/>
                <w:i/>
                <w:lang w:val="ru-RU" w:eastAsia="ja-JP"/>
              </w:rPr>
              <w:t>иринотекан</w:t>
            </w:r>
            <w:r w:rsidR="002A790A" w:rsidRPr="00D161AB">
              <w:rPr>
                <w:i/>
                <w:lang w:val="ru-RU"/>
              </w:rPr>
              <w:t>**</w:t>
            </w:r>
            <w:r w:rsidRPr="00D161AB">
              <w:rPr>
                <w:rFonts w:eastAsia="MS Mincho"/>
                <w:i/>
                <w:lang w:val="ru-RU" w:eastAsia="ja-JP"/>
              </w:rPr>
              <w:t xml:space="preserve"> 200 мг/м</w:t>
            </w:r>
            <w:r w:rsidRPr="00D161AB">
              <w:rPr>
                <w:rFonts w:eastAsia="MS Mincho"/>
                <w:i/>
                <w:vertAlign w:val="superscript"/>
                <w:lang w:val="ru-RU" w:eastAsia="ja-JP"/>
              </w:rPr>
              <w:t>2</w:t>
            </w:r>
            <w:r w:rsidRPr="00D161AB">
              <w:rPr>
                <w:rFonts w:eastAsia="MS Mincho"/>
                <w:i/>
                <w:lang w:val="ru-RU" w:eastAsia="ja-JP"/>
              </w:rPr>
              <w:t xml:space="preserve"> в/в 90 мин в день 1, </w:t>
            </w:r>
            <w:r w:rsidR="002A790A" w:rsidRPr="00D161AB">
              <w:rPr>
                <w:rFonts w:eastAsia="MS Mincho"/>
                <w:i/>
                <w:lang w:val="ru-RU" w:eastAsia="ja-JP"/>
              </w:rPr>
              <w:t>#</w:t>
            </w:r>
            <w:r w:rsidRPr="00D161AB">
              <w:rPr>
                <w:rFonts w:eastAsia="MS Mincho"/>
                <w:i/>
                <w:lang w:val="ru-RU" w:eastAsia="ja-JP"/>
              </w:rPr>
              <w:t>капецитабин</w:t>
            </w:r>
            <w:r w:rsidR="002A790A" w:rsidRPr="00D161AB">
              <w:rPr>
                <w:i/>
                <w:lang w:val="ru-RU"/>
              </w:rPr>
              <w:t>**</w:t>
            </w:r>
            <w:r w:rsidRPr="00D161AB">
              <w:rPr>
                <w:rFonts w:eastAsia="MS Mincho"/>
                <w:i/>
                <w:lang w:val="ru-RU" w:eastAsia="ja-JP"/>
              </w:rPr>
              <w:t xml:space="preserve"> 1600</w:t>
            </w:r>
            <w:r w:rsidR="005459FC" w:rsidRPr="00D161AB">
              <w:rPr>
                <w:rFonts w:eastAsia="MS Mincho"/>
                <w:i/>
                <w:lang w:val="ru-RU" w:eastAsia="ja-JP"/>
              </w:rPr>
              <w:t>-2000</w:t>
            </w:r>
            <w:r w:rsidRPr="00D161AB">
              <w:rPr>
                <w:rFonts w:eastAsia="MS Mincho"/>
                <w:i/>
                <w:lang w:val="ru-RU" w:eastAsia="ja-JP"/>
              </w:rPr>
              <w:t xml:space="preserve"> мг/м</w:t>
            </w:r>
            <w:r w:rsidRPr="00D161AB">
              <w:rPr>
                <w:rFonts w:eastAsia="MS Mincho"/>
                <w:i/>
                <w:vertAlign w:val="superscript"/>
                <w:lang w:val="ru-RU" w:eastAsia="ja-JP"/>
              </w:rPr>
              <w:t>2</w:t>
            </w:r>
            <w:r w:rsidRPr="00D161AB">
              <w:rPr>
                <w:rFonts w:eastAsia="MS Mincho"/>
                <w:i/>
                <w:lang w:val="ru-RU" w:eastAsia="ja-JP"/>
              </w:rPr>
              <w:t xml:space="preserve"> внутрь 1-14 дни 21-дневного цикла).</w:t>
            </w:r>
          </w:p>
          <w:p w14:paraId="600AD9B8" w14:textId="20B7FF69" w:rsidR="002B42E0" w:rsidRPr="00A15E8D" w:rsidRDefault="00FA71E1" w:rsidP="00482166">
            <w:pPr>
              <w:tabs>
                <w:tab w:val="left" w:pos="284"/>
              </w:tabs>
              <w:spacing w:line="240" w:lineRule="auto"/>
              <w:ind w:firstLine="0"/>
              <w:rPr>
                <w:rFonts w:eastAsia="MS Mincho"/>
                <w:i/>
                <w:vertAlign w:val="superscript"/>
                <w:lang w:val="ru-RU" w:eastAsia="ja-JP"/>
              </w:rPr>
            </w:pPr>
            <w:r w:rsidRPr="00D161AB">
              <w:rPr>
                <w:i/>
              </w:rPr>
              <w:t>OFF</w:t>
            </w:r>
            <w:r w:rsidR="00CB323C" w:rsidRPr="00D161AB">
              <w:rPr>
                <w:i/>
                <w:lang w:val="ru-RU"/>
              </w:rPr>
              <w:t xml:space="preserve"> </w:t>
            </w:r>
            <w:r w:rsidR="00C15198" w:rsidRPr="00D161AB">
              <w:rPr>
                <w:i/>
              </w:rPr>
              <w:fldChar w:fldCharType="begin"/>
            </w:r>
            <w:r w:rsidR="004034C1">
              <w:rPr>
                <w:i/>
                <w:lang w:val="ru-RU"/>
              </w:rPr>
              <w:instrText xml:space="preserve"> ADDIN ZOTERO_ITEM CSL_CITATION {"citationID":"INrmLZVN","properties":{"formattedCitation":"[112]","plainCitation":"[112]","noteIndex":0},"citationItems":[{"id":357,"uris":["http://zotero.org/users/5363772/items/KJLQTKWD",["http://zotero.org/users/5363772/items/KJLQTKWD"]],"itemData":{"id":357,"type":"article-journal","container-title":"European Journal of Cancer","DOI":"10.1016/j.ejca.2011.04.011","ISSN":"0959-8049","issue":"11","page":"1676-1681","title":"Best supportive care (BSC) versus oxaliplatin, folinic acid and 5-fluorouracil (OFF) plus BSC in patients for second-line advanced pancreatic cancer: A phase III-study from the German CONKO-study group","volume":"47","author":[{"family":"Pelzer","given":"Uwe"},{"family":"Schwaner","given":"Ingo"},{"family":"Stieler","given":"Jens"},{"family":"Adler","given":"Mathias"},{"family":"Seraphin","given":"Jörg"},{"family":"Dörken","given":"Bernd"},{"family":"Riess","given":"Hanno"},{"family":"Oettle","given":"Helmut"}],"issued":{"date-parts":[["2011",7,1]]}}}],"schema":"https://github.com/citation-style-language/schema/raw/master/csl-citation.json"} </w:instrText>
            </w:r>
            <w:r w:rsidR="00C15198" w:rsidRPr="00D161AB">
              <w:rPr>
                <w:i/>
              </w:rPr>
              <w:fldChar w:fldCharType="separate"/>
            </w:r>
            <w:r w:rsidR="004034C1" w:rsidRPr="004034C1">
              <w:rPr>
                <w:lang w:val="ru-RU"/>
              </w:rPr>
              <w:t>[112]</w:t>
            </w:r>
            <w:r w:rsidR="00C15198" w:rsidRPr="00D161AB">
              <w:rPr>
                <w:i/>
              </w:rPr>
              <w:fldChar w:fldCharType="end"/>
            </w:r>
            <w:r w:rsidR="002A790A" w:rsidRPr="00D161AB">
              <w:rPr>
                <w:i/>
                <w:lang w:val="ru-RU"/>
              </w:rPr>
              <w:t xml:space="preserve"> (#оксалиплатин**</w:t>
            </w:r>
            <w:r w:rsidRPr="00D161AB">
              <w:rPr>
                <w:i/>
                <w:lang w:val="ru-RU"/>
              </w:rPr>
              <w:t xml:space="preserve"> 85 мг/м</w:t>
            </w:r>
            <w:r w:rsidRPr="00D161AB">
              <w:rPr>
                <w:i/>
                <w:vertAlign w:val="superscript"/>
                <w:lang w:val="ru-RU"/>
              </w:rPr>
              <w:t>2</w:t>
            </w:r>
            <w:r w:rsidRPr="00D161AB">
              <w:rPr>
                <w:i/>
                <w:lang w:val="ru-RU"/>
              </w:rPr>
              <w:t xml:space="preserve"> в/в 120 мин. в </w:t>
            </w:r>
            <w:r w:rsidR="0044449A" w:rsidRPr="00D161AB">
              <w:rPr>
                <w:i/>
                <w:lang w:val="ru-RU"/>
              </w:rPr>
              <w:t>8</w:t>
            </w:r>
            <w:r w:rsidR="003D1956" w:rsidRPr="00D161AB">
              <w:rPr>
                <w:i/>
                <w:lang w:val="ru-RU"/>
              </w:rPr>
              <w:t>, 22</w:t>
            </w:r>
            <w:r w:rsidRPr="00D161AB">
              <w:rPr>
                <w:i/>
                <w:lang w:val="ru-RU"/>
              </w:rPr>
              <w:t xml:space="preserve"> д</w:t>
            </w:r>
            <w:r w:rsidR="0044449A" w:rsidRPr="00D161AB">
              <w:rPr>
                <w:i/>
                <w:lang w:val="ru-RU"/>
              </w:rPr>
              <w:t>ни</w:t>
            </w:r>
            <w:r w:rsidRPr="00D161AB">
              <w:rPr>
                <w:i/>
                <w:lang w:val="ru-RU"/>
              </w:rPr>
              <w:t xml:space="preserve">, </w:t>
            </w:r>
            <w:r w:rsidR="002A790A" w:rsidRPr="00D161AB">
              <w:rPr>
                <w:i/>
                <w:lang w:val="ru-RU"/>
              </w:rPr>
              <w:t>#</w:t>
            </w:r>
            <w:r w:rsidR="002B42E0" w:rsidRPr="00D161AB">
              <w:rPr>
                <w:i/>
                <w:lang w:val="ru-RU"/>
              </w:rPr>
              <w:t>кальция фолинат</w:t>
            </w:r>
            <w:r w:rsidR="002A790A" w:rsidRPr="00D161AB">
              <w:rPr>
                <w:i/>
                <w:lang w:val="ru-RU"/>
              </w:rPr>
              <w:t>**</w:t>
            </w:r>
            <w:r w:rsidRPr="00D161AB">
              <w:rPr>
                <w:i/>
                <w:lang w:val="ru-RU"/>
              </w:rPr>
              <w:t xml:space="preserve"> 200 мг/м</w:t>
            </w:r>
            <w:r w:rsidRPr="00D161AB">
              <w:rPr>
                <w:i/>
                <w:vertAlign w:val="superscript"/>
                <w:lang w:val="ru-RU"/>
              </w:rPr>
              <w:t>2</w:t>
            </w:r>
            <w:r w:rsidRPr="00D161AB">
              <w:rPr>
                <w:i/>
                <w:lang w:val="ru-RU"/>
              </w:rPr>
              <w:t xml:space="preserve"> в/в </w:t>
            </w:r>
            <w:r w:rsidR="003D1956" w:rsidRPr="00D161AB">
              <w:rPr>
                <w:i/>
                <w:lang w:val="ru-RU"/>
              </w:rPr>
              <w:t>30</w:t>
            </w:r>
            <w:r w:rsidR="005459FC" w:rsidRPr="00D161AB">
              <w:rPr>
                <w:i/>
                <w:lang w:val="ru-RU"/>
              </w:rPr>
              <w:t xml:space="preserve"> </w:t>
            </w:r>
            <w:r w:rsidRPr="00D161AB">
              <w:rPr>
                <w:i/>
                <w:lang w:val="ru-RU"/>
              </w:rPr>
              <w:t>мин. в 1,8,15</w:t>
            </w:r>
            <w:r w:rsidR="003D1956" w:rsidRPr="00D161AB">
              <w:rPr>
                <w:i/>
                <w:lang w:val="ru-RU"/>
              </w:rPr>
              <w:t>,22</w:t>
            </w:r>
            <w:r w:rsidRPr="00D161AB">
              <w:rPr>
                <w:i/>
                <w:lang w:val="ru-RU"/>
              </w:rPr>
              <w:t xml:space="preserve"> дни, </w:t>
            </w:r>
            <w:r w:rsidR="002A790A" w:rsidRPr="00D161AB">
              <w:rPr>
                <w:i/>
                <w:lang w:val="ru-RU"/>
              </w:rPr>
              <w:t>#</w:t>
            </w:r>
            <w:r w:rsidRPr="00D161AB">
              <w:rPr>
                <w:i/>
                <w:lang w:val="ru-RU"/>
              </w:rPr>
              <w:t>фторурацил</w:t>
            </w:r>
            <w:r w:rsidR="002A790A" w:rsidRPr="00D161AB">
              <w:rPr>
                <w:i/>
                <w:lang w:val="ru-RU"/>
              </w:rPr>
              <w:t>**</w:t>
            </w:r>
            <w:r w:rsidRPr="00D161AB">
              <w:rPr>
                <w:i/>
                <w:lang w:val="ru-RU"/>
              </w:rPr>
              <w:t xml:space="preserve"> 2000 </w:t>
            </w:r>
            <w:r w:rsidRPr="00D161AB">
              <w:rPr>
                <w:i/>
                <w:lang w:val="ru-RU"/>
              </w:rPr>
              <w:lastRenderedPageBreak/>
              <w:t>мг/м</w:t>
            </w:r>
            <w:r w:rsidRPr="00D161AB">
              <w:rPr>
                <w:i/>
                <w:vertAlign w:val="superscript"/>
                <w:lang w:val="ru-RU"/>
              </w:rPr>
              <w:t>2</w:t>
            </w:r>
            <w:r w:rsidRPr="00D161AB">
              <w:rPr>
                <w:i/>
                <w:lang w:val="ru-RU"/>
              </w:rPr>
              <w:t xml:space="preserve"> в/в инфузия в течение 24 часов в 1,8,15</w:t>
            </w:r>
            <w:r w:rsidR="003D1956" w:rsidRPr="00D161AB">
              <w:rPr>
                <w:i/>
                <w:lang w:val="ru-RU"/>
              </w:rPr>
              <w:t>,22</w:t>
            </w:r>
            <w:r w:rsidRPr="00D161AB">
              <w:rPr>
                <w:i/>
                <w:lang w:val="ru-RU"/>
              </w:rPr>
              <w:t xml:space="preserve"> дни </w:t>
            </w:r>
            <w:r w:rsidR="0044449A" w:rsidRPr="00D161AB">
              <w:rPr>
                <w:rFonts w:eastAsia="MS Mincho"/>
                <w:i/>
                <w:lang w:val="ru-RU" w:eastAsia="ja-JP"/>
              </w:rPr>
              <w:t>43</w:t>
            </w:r>
            <w:r w:rsidR="002B42E0" w:rsidRPr="00D161AB">
              <w:rPr>
                <w:rFonts w:eastAsia="MS Mincho"/>
                <w:i/>
                <w:lang w:val="ru-RU" w:eastAsia="ja-JP"/>
              </w:rPr>
              <w:t>-дневного цикла</w:t>
            </w:r>
            <w:r w:rsidR="00A15E8D">
              <w:rPr>
                <w:rFonts w:eastAsia="MS Mincho"/>
                <w:i/>
                <w:vertAlign w:val="superscript"/>
                <w:lang w:val="ru-RU" w:eastAsia="ja-JP"/>
              </w:rPr>
              <w:t>1</w:t>
            </w:r>
          </w:p>
        </w:tc>
        <w:tc>
          <w:tcPr>
            <w:tcW w:w="5387" w:type="dxa"/>
          </w:tcPr>
          <w:p w14:paraId="1B4F5AA3"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lastRenderedPageBreak/>
              <w:t>Ранее использовался гемцитабин</w:t>
            </w:r>
            <w:r w:rsidR="002A790A" w:rsidRPr="00D161AB">
              <w:rPr>
                <w:i/>
                <w:lang w:val="ru-RU"/>
              </w:rPr>
              <w:t>**</w:t>
            </w:r>
            <w:r w:rsidRPr="00D161AB">
              <w:rPr>
                <w:rFonts w:eastAsia="MS Mincho"/>
                <w:i/>
                <w:lang w:val="ru-RU" w:eastAsia="ja-JP"/>
              </w:rPr>
              <w:t>;</w:t>
            </w:r>
          </w:p>
          <w:p w14:paraId="4E54DD2E" w14:textId="255C2404" w:rsidR="001257F9" w:rsidRPr="00D161AB" w:rsidRDefault="00A15E8D" w:rsidP="00482166">
            <w:pPr>
              <w:numPr>
                <w:ilvl w:val="0"/>
                <w:numId w:val="10"/>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A7410A" w:rsidRPr="00D161AB">
              <w:rPr>
                <w:rFonts w:eastAsia="MS Mincho"/>
                <w:i/>
                <w:lang w:eastAsia="ja-JP"/>
              </w:rPr>
              <w:t>ECOG</w:t>
            </w:r>
            <w:r w:rsidR="00A7410A" w:rsidRPr="00D161AB">
              <w:rPr>
                <w:rFonts w:eastAsia="MS Mincho"/>
                <w:i/>
                <w:lang w:val="ru-RU" w:eastAsia="ja-JP"/>
              </w:rPr>
              <w:t xml:space="preserve"> 0-1</w:t>
            </w:r>
            <w:r w:rsidR="001537BF" w:rsidRPr="00D161AB">
              <w:rPr>
                <w:rFonts w:eastAsia="MS Mincho"/>
                <w:i/>
                <w:lang w:val="ru-RU" w:eastAsia="ja-JP"/>
              </w:rPr>
              <w:t xml:space="preserve"> </w:t>
            </w:r>
            <w:r w:rsidR="001537BF" w:rsidRPr="00D161AB">
              <w:rPr>
                <w:i/>
                <w:lang w:val="ru-RU"/>
              </w:rPr>
              <w:t>(приложение Г1)</w:t>
            </w:r>
            <w:r w:rsidR="00A7410A" w:rsidRPr="00D161AB">
              <w:rPr>
                <w:rFonts w:eastAsia="MS Mincho"/>
                <w:i/>
                <w:lang w:val="ru-RU" w:eastAsia="ja-JP"/>
              </w:rPr>
              <w:t xml:space="preserve">; </w:t>
            </w:r>
          </w:p>
          <w:p w14:paraId="28B60FDE"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Общий билирубин &lt;1,5 </w:t>
            </w:r>
            <w:r w:rsidRPr="00D161AB">
              <w:rPr>
                <w:rFonts w:eastAsia="MS Mincho"/>
                <w:i/>
                <w:lang w:eastAsia="ja-JP"/>
              </w:rPr>
              <w:t>x</w:t>
            </w:r>
            <w:r w:rsidRPr="00D161AB">
              <w:rPr>
                <w:rFonts w:eastAsia="MS Mincho"/>
                <w:i/>
                <w:lang w:val="ru-RU" w:eastAsia="ja-JP"/>
              </w:rPr>
              <w:t xml:space="preserve"> верхняя граница нормы;</w:t>
            </w:r>
          </w:p>
          <w:p w14:paraId="6B8B8F89" w14:textId="77777777" w:rsidR="001257F9" w:rsidRPr="00D161AB" w:rsidRDefault="00A7410A"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Отсутствие серьезных осложнений опухолевого процесса и сопутствующих заболеваний.</w:t>
            </w:r>
          </w:p>
        </w:tc>
      </w:tr>
      <w:tr w:rsidR="002B42E0" w:rsidRPr="0060277C" w14:paraId="447F4970" w14:textId="77777777" w:rsidTr="003B3375">
        <w:tc>
          <w:tcPr>
            <w:tcW w:w="4077" w:type="dxa"/>
          </w:tcPr>
          <w:p w14:paraId="28D3099A" w14:textId="30E1454E" w:rsidR="002B42E0" w:rsidRPr="00B3655D" w:rsidRDefault="002A790A" w:rsidP="00B3655D">
            <w:pPr>
              <w:tabs>
                <w:tab w:val="left" w:pos="284"/>
              </w:tabs>
              <w:spacing w:line="240" w:lineRule="auto"/>
              <w:ind w:firstLine="0"/>
              <w:contextualSpacing/>
              <w:rPr>
                <w:i/>
                <w:lang w:val="ru-RU"/>
              </w:rPr>
            </w:pPr>
            <w:r w:rsidRPr="00B3655D">
              <w:rPr>
                <w:i/>
                <w:lang w:val="ru-RU"/>
              </w:rPr>
              <w:t>Пембролизумаб</w:t>
            </w:r>
            <w:r w:rsidR="004A668A" w:rsidRPr="00B3655D">
              <w:rPr>
                <w:i/>
                <w:lang w:val="ru-RU"/>
              </w:rPr>
              <w:t>**</w:t>
            </w:r>
            <w:r w:rsidR="00FA71E1" w:rsidRPr="00B3655D">
              <w:rPr>
                <w:i/>
                <w:lang w:val="ru-RU"/>
              </w:rPr>
              <w:t xml:space="preserve"> 200 мг в/в 30 мин. 1 раз в 3 недели</w:t>
            </w:r>
            <w:r w:rsidR="00CB323C" w:rsidRPr="00B3655D">
              <w:rPr>
                <w:i/>
                <w:lang w:val="ru-RU"/>
              </w:rPr>
              <w:t xml:space="preserve"> </w:t>
            </w:r>
            <w:r w:rsidR="00C15198" w:rsidRPr="00B3655D">
              <w:rPr>
                <w:i/>
                <w:lang w:val="ru-RU"/>
              </w:rPr>
              <w:fldChar w:fldCharType="begin"/>
            </w:r>
            <w:r w:rsidR="004034C1">
              <w:rPr>
                <w:i/>
                <w:lang w:val="ru-RU"/>
              </w:rPr>
              <w:instrText xml:space="preserve"> ADDIN ZOTERO_ITEM CSL_CITATION {"citationID":"Ad1lDuSR","properties":{"formattedCitation":"[45,113]","plainCitation":"[45,113]","noteIndex":0},"citationItems":[{"id":359,"uris":["http://zotero.org/users/5363772/items/VTNJ95LT",["http://zotero.org/users/5363772/items/VTNJ95LT"]],"itemData":{"id":359,"type":"article-journal","abstract":"Purpose: Immune checkpoint inhibition has been shown to generate profound and durable responses in mismatch repair deficient (MMR-D) solid tumors and has elicited interest in detection tools and strategies to guide therapeutic decision-making. Herein we address questions on the appropriate screening, detection methods, patient selection, and initiation of therapy for MMR-D pancreatic ductal adenocarcinoma (PDAC) and assess the utility of next-generation sequencing (NGS) in providing additional prognostic and predictive information for MMR-D PDAC.Experimental Design: Archival and prospectively acquired samples and matched normal DNA from N = 833 PDAC cases were analyzed using a hybridization capture-based, NGS assay designed to perform targeted deep sequencing of all exons and selected introns of 341 to 468 cancer-associated genes. A computational program using NGS data derived the MSI status from the tumor-normal paired genome sequencing data. Available germline testing, IHC, and microsatellite instability (MSI) PCR results were reviewed to assess and confirm MMR-D and MSI status.Results: MMR-D in PDAC is a rare event among PDAC patients (7/833), occurring at a frequency of 0.8%. Loss of MMR protein expression by IHC, high mutational load, and elevated MSIsensor scores were correlated with MMR-D PDAC. All 7 MMR-D PDAC patients in the study were found to have Lynch syndrome. Four (57%) of the MMR-D patients treated with immune checkpoint blockade had treatment benefit (1 complete response, 2 partial responses, 1 stable disease).Conclusions: An integrated approach of germline testing and somatic analyses of tumor tissues in advanced PDAC using NGS may help guide future development of immune and molecularly directed therapies in PDAC patients. Clin Cancer Res; 24(6); 1326-36. ©2018 AACR.","archive":"PubMed","archive_location":"29367431","container-title":"Clinical cancer research : an official journal of the American Association for Cancer Research","DOI":"10.1158/1078-0432.CCR-17-3099","ISSN":"1078-0432","issue":"6","journalAbbreviation":"Clin Cancer Res","language":"eng","page":"1326-1336","title":"Evaluating Mismatch Repair Deficiency in Pancreatic Adenocarcinoma: Challenges and Recommendations","volume":"24","author":[{"family":"Hu","given":"Zishuo I"},{"family":"Shia","given":"Jinru"},{"family":"Stadler","given":"Zsofia K"},{"family":"Varghese","given":"Anna M"},{"family":"Capanu","given":"Marinela"},{"family":"Salo-Mullen","given":"Erin"},{"family":"Lowery","given":"Maeve A"},{"family":"Diaz","given":"Luis A","suffix":"Jr"},{"family":"Mandelker","given":"Diana"},{"family":"Yu","given":"Kenneth H"},{"family":"Zervoudakis","given":"Alice"},{"family":"Kelsen","given":"David P"},{"family":"Iacobuzio-Donahue","given":"Christine A"},{"family":"Klimstra","given":"David S"},{"family":"Saltz","given":"Leonard B"},{"family":"Sahin","given":"Ibrahim H"},{"family":"O'Reilly","given":"Eileen M"}],"issued":{"date-parts":[["2018",3,15]]}}},{"id":466,"uris":["http://zotero.org/users/5363772/items/89ALZ77T",["http://zotero.org/users/5363772/items/89ALZ77T"]],"itemData":{"id":466,"type":"article-journal","abstract":"The genomes of cancers deficient in mismatch repair contain exceptionally high numbers of somatic mutations. In a proof-of-concept study, we previously showed that colorectal cancers with mismatch repair deficiency were sensitive to immune checkpoint blockade with antibodies to programmed death receptor-1 (PD-1). We have now expanded this study to evaluate the efficacy of PD-1 blockade in patients with advanced mismatch repair-deficient cancers across 12 different tumor types. Objective radiographic responses were observed in 53% of patients, and complete responses were achieved in 21% of patients. Responses were durable, with median progression-free survival and overall survival still not reached. Functional analysis in a responding patient demonstrated rapid in vivo expansion of neoantigen-specific T cell clones that were reactive to mutant neopeptides found in the tumor. These data support the hypothesis that the large proportion of mutant neoantigens in mismatch repair-deficient cancers make them sensitive to immune checkpoint blockade, regardless of the cancers' tissue of origin.","archive":"PubMed","archive_location":"28596308","container-title":"Science (New York, N.Y.)","DOI":"10.1126/science.aan6733","ISSN":"1095-9203","issue":"6349","journalAbbreviation":"Science","language":"eng","page":"409-413","title":"Mismatch repair deficiency predicts response of solid tumors to PD-1 blockade","volume":"357","author":[{"family":"Le","given":"Dung T"},{"family":"Durham","given":"Jennifer N"},{"family":"Smith","given":"Kellie N"},{"family":"Wang","given":"Hao"},{"family":"Bartlett","given":"Bjarne R"},{"family":"Aulakh","given":"Laveet K"},{"family":"Lu","given":"Steve"},{"family":"Kemberling","given":"Holly"},{"family":"Wilt","given":"Cara"},{"family":"Luber","given":"Brandon S"},{"family":"Wong","given":"Fay"},{"family":"Azad","given":"Nilofer S"},{"family":"Rucki","given":"Agnieszka A"},{"family":"Laheru","given":"Dan"},{"family":"Donehower","given":"Ross"},{"family":"Zaheer","given":"Atif"},{"family":"Fisher","given":"George A"},{"family":"Crocenzi","given":"Todd S"},{"family":"Lee","given":"James J"},{"family":"Greten","given":"Tim F"},{"family":"Duffy","given":"Austin G"},{"family":"Ciombor","given":"Kristen K"},{"family":"Eyring","given":"Aleksandra D"},{"family":"Lam","given":"Bao H"},{"family":"Joe","given":"Andrew"},{"family":"Kang","given":"S Peter"},{"family":"Holdhoff","given":"Matthias"},{"family":"Danilova","given":"Ludmila"},{"family":"Cope","given":"Leslie"},{"family":"Meyer","given":"Christian"},{"family":"Zhou","given":"Shibin"},{"family":"Goldberg","given":"Richard M"},{"family":"Armstrong","given":"Deborah K"},{"family":"Bever","given":"Katherine M"},{"family":"Fader","given":"Amanda N"},{"family":"Taube","given":"Janis"},{"family":"Housseau","given":"Franck"},{"family":"Spetzler","given":"David"},{"family":"Xiao","given":"Nianqing"},{"family":"Pardoll","given":"Drew M"},{"family":"Papadopoulos","given":"Nickolas"},{"family":"Kinzler","given":"Kenneth W"},{"family":"Eshleman","given":"James R"},{"family":"Vogelstein","given":"Bert"},{"family":"Anders","given":"Robert A"},{"family":"Diaz","given":"Luis A","suffix":"Jr"}],"issued":{"date-parts":[["2017",7,28]]}}}],"schema":"https://github.com/citation-style-language/schema/raw/master/csl-citation.json"} </w:instrText>
            </w:r>
            <w:r w:rsidR="00C15198" w:rsidRPr="00B3655D">
              <w:rPr>
                <w:i/>
                <w:lang w:val="ru-RU"/>
              </w:rPr>
              <w:fldChar w:fldCharType="separate"/>
            </w:r>
            <w:r w:rsidR="004034C1" w:rsidRPr="004034C1">
              <w:rPr>
                <w:lang w:val="ru-RU"/>
              </w:rPr>
              <w:t>[45,113]</w:t>
            </w:r>
            <w:r w:rsidR="00C15198" w:rsidRPr="00B3655D">
              <w:rPr>
                <w:i/>
                <w:lang w:val="ru-RU"/>
              </w:rPr>
              <w:fldChar w:fldCharType="end"/>
            </w:r>
            <w:r w:rsidR="005821FE">
              <w:rPr>
                <w:i/>
                <w:lang w:val="ru-RU"/>
              </w:rPr>
              <w:t>;</w:t>
            </w:r>
            <w:r w:rsidR="00FA71E1" w:rsidRPr="00B3655D">
              <w:rPr>
                <w:i/>
                <w:lang w:val="ru-RU"/>
              </w:rPr>
              <w:t xml:space="preserve"> </w:t>
            </w:r>
          </w:p>
          <w:p w14:paraId="4B8C1253" w14:textId="213D8EBC" w:rsidR="00FB488C" w:rsidRPr="004E104D" w:rsidRDefault="004A29E9" w:rsidP="004E104D">
            <w:pPr>
              <w:widowControl w:val="0"/>
              <w:spacing w:line="240" w:lineRule="auto"/>
              <w:ind w:firstLine="0"/>
              <w:rPr>
                <w:i/>
                <w:lang w:val="ru-RU"/>
              </w:rPr>
            </w:pPr>
            <w:r w:rsidRPr="004A29E9">
              <w:rPr>
                <w:i/>
                <w:lang w:val="ru-RU"/>
              </w:rPr>
              <w:t>#</w:t>
            </w:r>
            <w:r w:rsidR="00FB488C" w:rsidRPr="004E104D">
              <w:rPr>
                <w:i/>
                <w:lang w:val="ru-RU"/>
              </w:rPr>
              <w:t>Ниволумаб</w:t>
            </w:r>
            <w:r w:rsidRPr="00D161AB">
              <w:rPr>
                <w:i/>
                <w:lang w:val="ru-RU"/>
              </w:rPr>
              <w:t>**</w:t>
            </w:r>
            <w:r w:rsidR="00FB488C" w:rsidRPr="004E104D">
              <w:rPr>
                <w:i/>
                <w:lang w:val="ru-RU"/>
              </w:rPr>
              <w:t xml:space="preserve"> 240 мг или 3 мг/кг в/в 30 минут каждые 2 недели или 480 мг в/в каждые 4 недели</w:t>
            </w:r>
            <w:r w:rsidR="00B3655D" w:rsidRPr="004E104D">
              <w:rPr>
                <w:i/>
                <w:lang w:val="ru-RU"/>
              </w:rPr>
              <w:fldChar w:fldCharType="begin"/>
            </w:r>
            <w:r w:rsidR="004034C1">
              <w:rPr>
                <w:i/>
                <w:lang w:val="ru-RU"/>
              </w:rPr>
              <w:instrText xml:space="preserve"> ADDIN ZOTERO_ITEM CSL_CITATION {"citationID":"MvjUrbLH","properties":{"formattedCitation":"[114]","plainCitation":"[114]","noteIndex":0},"citationItems":[{"id":1315,"uris":["http://zotero.org/users/5363772/items/K6J27SL7"],"itemData":{"id":1315,"type":"article-journal","abstract":"Immune checkpoint inhibitors (ICIs) provide substantial benefits to a small subset of patients with advanced cancer with mismatch repair deficiency (MMRD) or microsatellite instability (MSI), including patients with pancreatic ductal adenocarcinoma (PDAC). However, the long duration of ICI treatment presents a considerable financial burden. We present the case of a 63-year-old woman with metastatic PDAC refractory to conventional chemotherapy. Genetic analyses identified an\n              MSH6\n              germline mutation and a high tumor mutation burden (TMB). Complete response (CR) was achieved after a short course of low-dose nivolumab (20 mg once every 2 weeks) with chemotherapy. CR was maintained for over 1 year with low-dose nivolumab and de-escalated chemotherapy without any immune-related adverse events. This case supports the further exploration of low-dose, affordable ICI-containing regimens in patients with advanced MSI-high/TMB-high cancer.","container-title":"Frontiers in Immunology","DOI":"10.3389/fimmu.2022.1077840","ISSN":"1664-3224","journalAbbreviation":"Front. Immunol.","page":"1077840","source":"DOI.org (Crossref)","title":"Maintenance therapy of low-dose nivolumab, S-1, and leucovorin in metastatic pancreatic adenocarcinoma with a germline mutation of MSH6: A case report","title-short":"Maintenance therapy of low-dose nivolumab, S-1, and leucovorin in metastatic pancreatic adenocarcinoma with a germline mutation of MSH6","volume":"13","author":[{"family":"Peng","given":"Shang-Hsuan"},{"family":"Chen","given":"Bang-Bin"},{"family":"Kuo","given":"Ting-Chun"},{"family":"Lee","given":"Jen-Chieh"},{"family":"Yang","given":"Shih-Hung"}],"issued":{"date-parts":[["2022",12,13]]}}}],"schema":"https://github.com/citation-style-language/schema/raw/master/csl-citation.json"} </w:instrText>
            </w:r>
            <w:r w:rsidR="00B3655D" w:rsidRPr="004E104D">
              <w:rPr>
                <w:i/>
                <w:lang w:val="ru-RU"/>
              </w:rPr>
              <w:fldChar w:fldCharType="separate"/>
            </w:r>
            <w:r w:rsidR="004034C1" w:rsidRPr="004034C1">
              <w:rPr>
                <w:lang w:val="ru-RU"/>
              </w:rPr>
              <w:t>[114]</w:t>
            </w:r>
            <w:r w:rsidR="00B3655D" w:rsidRPr="004E104D">
              <w:rPr>
                <w:i/>
                <w:lang w:val="ru-RU"/>
              </w:rPr>
              <w:fldChar w:fldCharType="end"/>
            </w:r>
            <w:r w:rsidR="00FB488C" w:rsidRPr="004E104D">
              <w:rPr>
                <w:i/>
                <w:lang w:val="ru-RU"/>
              </w:rPr>
              <w:t>;</w:t>
            </w:r>
          </w:p>
          <w:p w14:paraId="57A7E48D" w14:textId="63CC159D" w:rsidR="00FB488C" w:rsidRPr="004E104D" w:rsidRDefault="004A29E9" w:rsidP="004E104D">
            <w:pPr>
              <w:widowControl w:val="0"/>
              <w:spacing w:line="240" w:lineRule="auto"/>
              <w:ind w:firstLine="0"/>
              <w:rPr>
                <w:i/>
                <w:lang w:val="ru-RU"/>
              </w:rPr>
            </w:pPr>
            <w:r w:rsidRPr="004A29E9">
              <w:rPr>
                <w:i/>
                <w:lang w:val="ru-RU"/>
              </w:rPr>
              <w:t>#</w:t>
            </w:r>
            <w:r w:rsidR="00FB488C" w:rsidRPr="004E104D">
              <w:rPr>
                <w:i/>
                <w:lang w:val="ru-RU"/>
              </w:rPr>
              <w:t xml:space="preserve">Ниволумаб 3 мг/кг в/в 30 минут каждые 3 недели и </w:t>
            </w:r>
            <w:r w:rsidRPr="004A29E9">
              <w:rPr>
                <w:i/>
                <w:lang w:val="ru-RU"/>
              </w:rPr>
              <w:t>#</w:t>
            </w:r>
            <w:r w:rsidR="00FB488C" w:rsidRPr="004E104D">
              <w:rPr>
                <w:i/>
                <w:lang w:val="ru-RU"/>
              </w:rPr>
              <w:t>ипилимумаб</w:t>
            </w:r>
            <w:r w:rsidRPr="00D161AB">
              <w:rPr>
                <w:i/>
                <w:lang w:val="ru-RU"/>
              </w:rPr>
              <w:t>**</w:t>
            </w:r>
            <w:r w:rsidR="00FB488C" w:rsidRPr="004E104D">
              <w:rPr>
                <w:i/>
                <w:lang w:val="ru-RU"/>
              </w:rPr>
              <w:t xml:space="preserve"> 1 мг/кг в/в 30 минут 1 раз в 3 недели (4 введения, в дальнейшем продолжается монотерапия ниволумабом в дозе 240 мг или 3 мг/кг в/в 1 раз в 2 недели или 480 мг в/в капельно 1 раз в 4 недели)</w:t>
            </w:r>
            <w:r w:rsidR="00B3655D" w:rsidRPr="004E104D">
              <w:rPr>
                <w:i/>
                <w:lang w:val="ru-RU"/>
              </w:rPr>
              <w:fldChar w:fldCharType="begin"/>
            </w:r>
            <w:r w:rsidR="004034C1">
              <w:rPr>
                <w:i/>
                <w:lang w:val="ru-RU"/>
              </w:rPr>
              <w:instrText xml:space="preserve"> ADDIN ZOTERO_ITEM CSL_CITATION {"citationID":"QBV6p0pU","properties":{"formattedCitation":"[115,116]","plainCitation":"[115,116]","noteIndex":0},"citationItems":[{"id":1317,"uris":["http://zotero.org/users/5363772/items/FIPZYI2J"],"itemData":{"id":1317,"type":"article-journal","abstract":"PURPOSE\n              To evaluate the clinical benefit of nivolumab with or without ipilimumab in combination with stereotactic body radiotherapy (SBRT) in patients with refractory metastatic pancreatic cancer (mPC).\n            \n            \n              METHODS\n              Between November 2016 and December 2019, patients with refractory mPC were randomly assigned 1:1 to SBRT of 15 Gy with nivolumab or nivolumab/ipilimumab stratified by performance status (ClinicalTrials.gov identifier: NCT02866383 ). The primary end point was the clinical benefit rate (CBR), defined as the percentage of patients with complete or partial response (PR) or stable disease, according to RECIST 1.1. Simon's 2-stage phase II optimal design was used independently for both arms, with CBR determining expansion to the second stage. Secondary end points included safety, response rate, duration of response, progression-free survival, and overall survival. Exploratory analyses included biomarkers related to the benefits.\n            \n            \n              RESULTS\n              Eighty-four patients (41 SBRT/nivolumab and 43 SBRT/nivolumab/ipilimumab) received at least one dose of study treatment. CBR was 17.1% (8.0 to 30.6) for patients receiving SBRT/nivolumab and 37.2% (24.0 to 52.1) for SBRT/nivolumab/ipilimumab. PR was observed in one patient receiving SBRT/nivolumab and lasted for 4.6 months. Six patients receiving SBRT/nivolumab/ipilimumab achieved a PR with a median duration of response of 5.4 months (4.2 to not reached). Grade 3 or higher treatment-related adverse events occurred in 10 (24.4%) and 13 (30.2%) patients in the SBRT/nivolumab and SBRT/nivolumab/ipilimumab groups, respectively. Programmed cell death ligand-1 expression by tumor proportion score or combined positivity score of ≥ 1% was not associated with clinical benefits. On-treatment decreased serum interleukin-6, interleukin-8, and C-reactive protein levels were associated with better overall survival.\n            \n            \n              CONCLUSION\n              Clinically meaningful antitumor activity and favorable safety profiles were demonstrated after treatment with SBRT/nivolumab/ipilimumab in patients with refractory mPC. However, the contribution from SBRT is unknown. Further studies are warranted.","container-title":"Journal of Clinical Oncology","DOI":"10.1200/JCO.21.02511","ISSN":"0732-183X, 1527-7755","issue":"27","journalAbbreviation":"JCO","language":"en","page":"3180-3189","source":"DOI.org (Crossref)","title":"Randomized Phase II Study of Nivolumab With or Without Ipilimumab Combined With Stereotactic Body Radiotherapy for Refractory Metastatic Pancreatic Cancer (CheckPAC)","volume":"40","author":[{"family":"Chen","given":"Inna M."},{"family":"Johansen","given":"Julia S."},{"family":"Theile","given":"Susann"},{"family":"Hjaltelin","given":"Jessica X."},{"family":"Novitski","given":"Sif I."},{"family":"Brunak","given":"Søren"},{"family":"Hasselby","given":"Jane P."},{"family":"Willemoe","given":"Gro L."},{"family":"Lorentzen","given":"Torben"},{"family":"Madsen","given":"Kasper"},{"family":"Jensen","given":"Benny V."},{"family":"Wilken","given":"Eva E."},{"family":"Geertsen","given":"Poul"},{"family":"Behrens","given":"Claus"},{"family":"Nolsoe","given":"Christian"},{"family":"Hermann","given":"Kirstine L."},{"family":"Svane","given":"Inge Marie"},{"family":"Nielsen","given":"Dorte"}],"issued":{"date-parts":[["2022",9,20]]}}},{"id":1318,"uris":["http://zotero.org/users/5363772/items/YMXVHZLH"],"itemData":{"id":1318,"type":"article-journal","container-title":"JAMA Oncology","DOI":"10.1001/jamaoncol.2022.0611","ISSN":"2374-2437","issue":"6","journalAbbreviation":"JAMA Oncol","language":"en","page":"938","source":"DOI.org (Crossref)","title":"Ipilimumab/Nivolumab Therapy in Patients With Metastatic Pancreatic or Biliary Cancer With Homologous Recombination Deficiency Pathogenic Germline Variants","volume":"8","author":[{"family":"Terrero","given":"Gretel"},{"family":"Datta","given":"Jashodeep"},{"family":"Dennison","given":"Jessica"},{"family":"Sussman","given":"Daniel A."},{"family":"Lohse","given":"Ines"},{"family":"Merchant","given":"Nipun B."},{"family":"Hosein","given":"Peter J."}],"issued":{"date-parts":[["2022",6,1]]}}}],"schema":"https://github.com/citation-style-language/schema/raw/master/csl-citation.json"} </w:instrText>
            </w:r>
            <w:r w:rsidR="00B3655D" w:rsidRPr="004E104D">
              <w:rPr>
                <w:i/>
                <w:lang w:val="ru-RU"/>
              </w:rPr>
              <w:fldChar w:fldCharType="separate"/>
            </w:r>
            <w:r w:rsidR="004034C1" w:rsidRPr="004034C1">
              <w:rPr>
                <w:lang w:val="ru-RU"/>
              </w:rPr>
              <w:t>[115,116]</w:t>
            </w:r>
            <w:r w:rsidR="00B3655D" w:rsidRPr="004E104D">
              <w:rPr>
                <w:i/>
                <w:lang w:val="ru-RU"/>
              </w:rPr>
              <w:fldChar w:fldCharType="end"/>
            </w:r>
            <w:r w:rsidR="00FB488C" w:rsidRPr="004E104D">
              <w:rPr>
                <w:i/>
                <w:lang w:val="ru-RU"/>
              </w:rPr>
              <w:t xml:space="preserve">; </w:t>
            </w:r>
          </w:p>
          <w:p w14:paraId="1AEF4FDD" w14:textId="37A57567" w:rsidR="00FB488C" w:rsidRPr="00B3655D" w:rsidRDefault="007462C0" w:rsidP="00B3655D">
            <w:pPr>
              <w:tabs>
                <w:tab w:val="left" w:pos="284"/>
              </w:tabs>
              <w:spacing w:line="240" w:lineRule="auto"/>
              <w:ind w:firstLine="0"/>
              <w:contextualSpacing/>
              <w:rPr>
                <w:rFonts w:eastAsia="MS Mincho"/>
                <w:i/>
                <w:lang w:val="ru-RU" w:eastAsia="ja-JP"/>
              </w:rPr>
            </w:pPr>
            <w:r w:rsidRPr="007462C0">
              <w:rPr>
                <w:i/>
                <w:lang w:val="ru-RU"/>
              </w:rPr>
              <w:t>#</w:t>
            </w:r>
            <w:r w:rsidR="00FB488C" w:rsidRPr="004E104D">
              <w:rPr>
                <w:i/>
                <w:lang w:val="ru-RU"/>
              </w:rPr>
              <w:t>Ниволумаб</w:t>
            </w:r>
            <w:r w:rsidRPr="00D161AB">
              <w:rPr>
                <w:i/>
                <w:lang w:val="ru-RU"/>
              </w:rPr>
              <w:t>**</w:t>
            </w:r>
            <w:r w:rsidR="00FB488C" w:rsidRPr="004E104D">
              <w:rPr>
                <w:i/>
                <w:lang w:val="ru-RU"/>
              </w:rPr>
              <w:t xml:space="preserve"> 3 мг/кг в/в 30 минут каждые 2 недели и </w:t>
            </w:r>
            <w:r w:rsidRPr="007462C0">
              <w:rPr>
                <w:i/>
                <w:lang w:val="ru-RU"/>
              </w:rPr>
              <w:t>#</w:t>
            </w:r>
            <w:r w:rsidR="00FB488C" w:rsidRPr="004E104D">
              <w:rPr>
                <w:i/>
                <w:lang w:val="ru-RU"/>
              </w:rPr>
              <w:t>ипилимумаб</w:t>
            </w:r>
            <w:r w:rsidRPr="00D161AB">
              <w:rPr>
                <w:i/>
                <w:lang w:val="ru-RU"/>
              </w:rPr>
              <w:t>**</w:t>
            </w:r>
            <w:r w:rsidR="00FB488C" w:rsidRPr="004E104D">
              <w:rPr>
                <w:i/>
                <w:lang w:val="ru-RU"/>
              </w:rPr>
              <w:t xml:space="preserve"> 1 мг/кг в/в 30 минут 1 раз в 6 недель до прогрессирования или непереносимой токсичности</w:t>
            </w:r>
            <w:r w:rsidR="00B3655D" w:rsidRPr="004E104D">
              <w:rPr>
                <w:i/>
                <w:lang w:val="ru-RU"/>
              </w:rPr>
              <w:fldChar w:fldCharType="begin"/>
            </w:r>
            <w:r w:rsidR="004034C1">
              <w:rPr>
                <w:i/>
                <w:lang w:val="ru-RU"/>
              </w:rPr>
              <w:instrText xml:space="preserve"> ADDIN ZOTERO_ITEM CSL_CITATION {"citationID":"4x32H2ci","properties":{"formattedCitation":"[115]","plainCitation":"[115]","noteIndex":0},"citationItems":[{"id":1317,"uris":["http://zotero.org/users/5363772/items/FIPZYI2J"],"itemData":{"id":1317,"type":"article-journal","abstract":"PURPOSE\n              To evaluate the clinical benefit of nivolumab with or without ipilimumab in combination with stereotactic body radiotherapy (SBRT) in patients with refractory metastatic pancreatic cancer (mPC).\n            \n            \n              METHODS\n              Between November 2016 and December 2019, patients with refractory mPC were randomly assigned 1:1 to SBRT of 15 Gy with nivolumab or nivolumab/ipilimumab stratified by performance status (ClinicalTrials.gov identifier: NCT02866383 ). The primary end point was the clinical benefit rate (CBR), defined as the percentage of patients with complete or partial response (PR) or stable disease, according to RECIST 1.1. Simon's 2-stage phase II optimal design was used independently for both arms, with CBR determining expansion to the second stage. Secondary end points included safety, response rate, duration of response, progression-free survival, and overall survival. Exploratory analyses included biomarkers related to the benefits.\n            \n            \n              RESULTS\n              Eighty-four patients (41 SBRT/nivolumab and 43 SBRT/nivolumab/ipilimumab) received at least one dose of study treatment. CBR was 17.1% (8.0 to 30.6) for patients receiving SBRT/nivolumab and 37.2% (24.0 to 52.1) for SBRT/nivolumab/ipilimumab. PR was observed in one patient receiving SBRT/nivolumab and lasted for 4.6 months. Six patients receiving SBRT/nivolumab/ipilimumab achieved a PR with a median duration of response of 5.4 months (4.2 to not reached). Grade 3 or higher treatment-related adverse events occurred in 10 (24.4%) and 13 (30.2%) patients in the SBRT/nivolumab and SBRT/nivolumab/ipilimumab groups, respectively. Programmed cell death ligand-1 expression by tumor proportion score or combined positivity score of ≥ 1% was not associated with clinical benefits. On-treatment decreased serum interleukin-6, interleukin-8, and C-reactive protein levels were associated with better overall survival.\n            \n            \n              CONCLUSION\n              Clinically meaningful antitumor activity and favorable safety profiles were demonstrated after treatment with SBRT/nivolumab/ipilimumab in patients with refractory mPC. However, the contribution from SBRT is unknown. Further studies are warranted.","container-title":"Journal of Clinical Oncology","DOI":"10.1200/JCO.21.02511","ISSN":"0732-183X, 1527-7755","issue":"27","journalAbbreviation":"JCO","language":"en","page":"3180-3189","source":"DOI.org (Crossref)","title":"Randomized Phase II Study of Nivolumab With or Without Ipilimumab Combined With Stereotactic Body Radiotherapy for Refractory Metastatic Pancreatic Cancer (CheckPAC)","volume":"40","author":[{"family":"Chen","given":"Inna M."},{"family":"Johansen","given":"Julia S."},{"family":"Theile","given":"Susann"},{"family":"Hjaltelin","given":"Jessica X."},{"family":"Novitski","given":"Sif I."},{"family":"Brunak","given":"Søren"},{"family":"Hasselby","given":"Jane P."},{"family":"Willemoe","given":"Gro L."},{"family":"Lorentzen","given":"Torben"},{"family":"Madsen","given":"Kasper"},{"family":"Jensen","given":"Benny V."},{"family":"Wilken","given":"Eva E."},{"family":"Geertsen","given":"Poul"},{"family":"Behrens","given":"Claus"},{"family":"Nolsoe","given":"Christian"},{"family":"Hermann","given":"Kirstine L."},{"family":"Svane","given":"Inge Marie"},{"family":"Nielsen","given":"Dorte"}],"issued":{"date-parts":[["2022",9,20]]}}}],"schema":"https://github.com/citation-style-language/schema/raw/master/csl-citation.json"} </w:instrText>
            </w:r>
            <w:r w:rsidR="00B3655D" w:rsidRPr="004E104D">
              <w:rPr>
                <w:i/>
                <w:lang w:val="ru-RU"/>
              </w:rPr>
              <w:fldChar w:fldCharType="separate"/>
            </w:r>
            <w:r w:rsidR="004034C1" w:rsidRPr="004034C1">
              <w:rPr>
                <w:lang w:val="ru-RU"/>
              </w:rPr>
              <w:t>[115]</w:t>
            </w:r>
            <w:r w:rsidR="00B3655D" w:rsidRPr="004E104D">
              <w:rPr>
                <w:i/>
                <w:lang w:val="ru-RU"/>
              </w:rPr>
              <w:fldChar w:fldCharType="end"/>
            </w:r>
          </w:p>
        </w:tc>
        <w:tc>
          <w:tcPr>
            <w:tcW w:w="5387" w:type="dxa"/>
          </w:tcPr>
          <w:p w14:paraId="0E998128" w14:textId="77777777" w:rsidR="00FA71E1" w:rsidRPr="00D161AB" w:rsidRDefault="00FA71E1" w:rsidP="00482166">
            <w:pPr>
              <w:numPr>
                <w:ilvl w:val="0"/>
                <w:numId w:val="10"/>
              </w:numPr>
              <w:tabs>
                <w:tab w:val="left" w:pos="284"/>
                <w:tab w:val="left" w:pos="426"/>
              </w:tabs>
              <w:spacing w:line="240" w:lineRule="auto"/>
              <w:ind w:left="0" w:firstLine="0"/>
              <w:rPr>
                <w:i/>
                <w:lang w:val="ru-RU"/>
              </w:rPr>
            </w:pPr>
            <w:r w:rsidRPr="00D161AB">
              <w:rPr>
                <w:i/>
                <w:lang w:val="ru-RU"/>
              </w:rPr>
              <w:t xml:space="preserve">Состояние по шкале </w:t>
            </w:r>
            <w:r w:rsidRPr="00D161AB">
              <w:rPr>
                <w:i/>
              </w:rPr>
              <w:t>ECOG</w:t>
            </w:r>
            <w:r w:rsidRPr="00D161AB">
              <w:rPr>
                <w:i/>
                <w:lang w:val="ru-RU"/>
              </w:rPr>
              <w:t xml:space="preserve"> 0-2</w:t>
            </w:r>
            <w:r w:rsidR="00D35431" w:rsidRPr="00D161AB">
              <w:rPr>
                <w:i/>
                <w:lang w:val="ru-RU"/>
              </w:rPr>
              <w:t xml:space="preserve"> </w:t>
            </w:r>
            <w:r w:rsidR="001537BF" w:rsidRPr="00D161AB">
              <w:rPr>
                <w:i/>
                <w:lang w:val="ru-RU"/>
              </w:rPr>
              <w:t>(приложение Г1)</w:t>
            </w:r>
            <w:r w:rsidRPr="00D161AB">
              <w:rPr>
                <w:i/>
                <w:lang w:val="ru-RU"/>
              </w:rPr>
              <w:t xml:space="preserve">; </w:t>
            </w:r>
          </w:p>
          <w:p w14:paraId="31FCA629" w14:textId="0641BA46" w:rsidR="002B42E0" w:rsidRPr="00D161AB" w:rsidRDefault="00A15E8D" w:rsidP="00482166">
            <w:pPr>
              <w:numPr>
                <w:ilvl w:val="0"/>
                <w:numId w:val="10"/>
              </w:numPr>
              <w:tabs>
                <w:tab w:val="left" w:pos="284"/>
              </w:tabs>
              <w:spacing w:line="240" w:lineRule="auto"/>
              <w:ind w:left="357" w:hanging="357"/>
              <w:jc w:val="left"/>
              <w:rPr>
                <w:rFonts w:eastAsia="MS Mincho"/>
                <w:i/>
                <w:lang w:val="ru-RU" w:eastAsia="ja-JP"/>
              </w:rPr>
            </w:pPr>
            <w:r>
              <w:rPr>
                <w:i/>
                <w:lang w:val="ru-RU"/>
              </w:rPr>
              <w:t>М</w:t>
            </w:r>
            <w:r w:rsidR="00FA71E1" w:rsidRPr="00D161AB">
              <w:rPr>
                <w:i/>
                <w:lang w:val="ru-RU"/>
              </w:rPr>
              <w:t>икросателитн</w:t>
            </w:r>
            <w:r>
              <w:rPr>
                <w:i/>
                <w:lang w:val="ru-RU"/>
              </w:rPr>
              <w:t>ая</w:t>
            </w:r>
            <w:r w:rsidR="00FA71E1" w:rsidRPr="00D161AB">
              <w:rPr>
                <w:i/>
                <w:lang w:val="ru-RU"/>
              </w:rPr>
              <w:t xml:space="preserve"> нестабильност</w:t>
            </w:r>
            <w:r>
              <w:rPr>
                <w:i/>
                <w:lang w:val="ru-RU"/>
              </w:rPr>
              <w:t>ь</w:t>
            </w:r>
            <w:r w:rsidR="00FA71E1" w:rsidRPr="00D161AB">
              <w:rPr>
                <w:i/>
                <w:lang w:val="ru-RU"/>
              </w:rPr>
              <w:t xml:space="preserve"> в опухоли (</w:t>
            </w:r>
            <w:r w:rsidR="00FA71E1" w:rsidRPr="00D161AB">
              <w:rPr>
                <w:i/>
              </w:rPr>
              <w:t>MSI</w:t>
            </w:r>
            <w:r w:rsidR="00FA71E1" w:rsidRPr="00D161AB">
              <w:rPr>
                <w:i/>
                <w:lang w:val="ru-RU"/>
              </w:rPr>
              <w:t xml:space="preserve">) или дефицит </w:t>
            </w:r>
            <w:r w:rsidR="00CF21E5" w:rsidRPr="00D161AB">
              <w:rPr>
                <w:i/>
                <w:lang w:val="ru-RU"/>
              </w:rPr>
              <w:t xml:space="preserve">системы </w:t>
            </w:r>
            <w:r w:rsidR="00FA71E1" w:rsidRPr="00D161AB">
              <w:rPr>
                <w:i/>
                <w:lang w:val="ru-RU"/>
              </w:rPr>
              <w:t>репарации неспаренных оснований (</w:t>
            </w:r>
            <w:r w:rsidR="00FA71E1" w:rsidRPr="00D161AB">
              <w:rPr>
                <w:i/>
              </w:rPr>
              <w:t>dMMR</w:t>
            </w:r>
            <w:r w:rsidR="00FA71E1" w:rsidRPr="00D161AB">
              <w:rPr>
                <w:i/>
                <w:lang w:val="ru-RU"/>
              </w:rPr>
              <w:t>)</w:t>
            </w:r>
            <w:r w:rsidR="00244495" w:rsidRPr="00D161AB">
              <w:rPr>
                <w:i/>
                <w:lang w:val="ru-RU"/>
              </w:rPr>
              <w:t>.</w:t>
            </w:r>
          </w:p>
        </w:tc>
      </w:tr>
      <w:tr w:rsidR="002B42E0" w:rsidRPr="0060277C" w14:paraId="50B53FCF" w14:textId="77777777" w:rsidTr="00EA7396">
        <w:trPr>
          <w:trHeight w:val="2007"/>
        </w:trPr>
        <w:tc>
          <w:tcPr>
            <w:tcW w:w="4077" w:type="dxa"/>
          </w:tcPr>
          <w:p w14:paraId="62311FA8" w14:textId="65E7B320" w:rsidR="002B42E0" w:rsidRPr="00D161AB" w:rsidRDefault="002A790A" w:rsidP="00482166">
            <w:pPr>
              <w:tabs>
                <w:tab w:val="left" w:pos="284"/>
              </w:tabs>
              <w:spacing w:line="240" w:lineRule="auto"/>
              <w:ind w:firstLine="0"/>
              <w:contextualSpacing/>
              <w:rPr>
                <w:rFonts w:eastAsia="MS Mincho"/>
                <w:i/>
                <w:lang w:val="ru-RU" w:eastAsia="ja-JP"/>
              </w:rPr>
            </w:pPr>
            <w:r w:rsidRPr="00D161AB">
              <w:rPr>
                <w:rFonts w:eastAsia="MS Mincho"/>
                <w:i/>
                <w:lang w:val="ru-RU" w:eastAsia="ja-JP"/>
              </w:rPr>
              <w:t>#</w:t>
            </w:r>
            <w:r w:rsidR="002B42E0" w:rsidRPr="00D161AB">
              <w:rPr>
                <w:rFonts w:eastAsia="MS Mincho"/>
                <w:i/>
                <w:lang w:val="ru-RU" w:eastAsia="ja-JP"/>
              </w:rPr>
              <w:t>Капецитабин</w:t>
            </w:r>
            <w:r w:rsidRPr="00D161AB">
              <w:rPr>
                <w:i/>
                <w:lang w:val="ru-RU"/>
              </w:rPr>
              <w:t>**</w:t>
            </w:r>
            <w:r w:rsidR="002B42E0" w:rsidRPr="00D161AB">
              <w:rPr>
                <w:rFonts w:eastAsia="MS Mincho"/>
                <w:i/>
                <w:lang w:val="ru-RU" w:eastAsia="ja-JP"/>
              </w:rPr>
              <w:t xml:space="preserve"> </w:t>
            </w:r>
            <w:r w:rsidR="00CC7453" w:rsidRPr="00D161AB">
              <w:rPr>
                <w:rFonts w:eastAsia="MS Mincho"/>
                <w:i/>
                <w:lang w:val="ru-RU" w:eastAsia="ja-JP"/>
              </w:rPr>
              <w:t>2500</w:t>
            </w:r>
            <w:r w:rsidR="003F3880" w:rsidRPr="00D161AB">
              <w:rPr>
                <w:rFonts w:eastAsia="MS Mincho"/>
                <w:i/>
                <w:lang w:val="ru-RU" w:eastAsia="ja-JP"/>
              </w:rPr>
              <w:t xml:space="preserve"> </w:t>
            </w:r>
            <w:r w:rsidR="002B42E0" w:rsidRPr="00D161AB">
              <w:rPr>
                <w:rFonts w:eastAsia="MS Mincho"/>
                <w:i/>
                <w:lang w:val="ru-RU" w:eastAsia="ja-JP"/>
              </w:rPr>
              <w:t>мг/м</w:t>
            </w:r>
            <w:r w:rsidR="002B42E0" w:rsidRPr="00D161AB">
              <w:rPr>
                <w:rFonts w:eastAsia="MS Mincho"/>
                <w:i/>
                <w:vertAlign w:val="superscript"/>
                <w:lang w:val="ru-RU" w:eastAsia="ja-JP"/>
              </w:rPr>
              <w:t>2</w:t>
            </w:r>
            <w:r w:rsidR="002B42E0" w:rsidRPr="00D161AB">
              <w:rPr>
                <w:rFonts w:eastAsia="MS Mincho"/>
                <w:i/>
                <w:lang w:val="ru-RU" w:eastAsia="ja-JP"/>
              </w:rPr>
              <w:t xml:space="preserve"> </w:t>
            </w:r>
            <w:r w:rsidR="00AB5CFE" w:rsidRPr="00D161AB">
              <w:rPr>
                <w:rFonts w:eastAsia="MS Mincho"/>
                <w:i/>
                <w:lang w:val="ru-RU" w:eastAsia="ja-JP"/>
              </w:rPr>
              <w:t>(</w:t>
            </w:r>
            <w:r w:rsidR="002755CB" w:rsidRPr="00D161AB">
              <w:rPr>
                <w:rFonts w:eastAsia="MS Mincho"/>
                <w:i/>
                <w:lang w:val="ru-RU" w:eastAsia="ja-JP"/>
              </w:rPr>
              <w:t>возможна</w:t>
            </w:r>
            <w:r w:rsidR="00AB5CFE" w:rsidRPr="00D161AB">
              <w:rPr>
                <w:rFonts w:eastAsia="MS Mincho"/>
                <w:i/>
                <w:lang w:val="ru-RU" w:eastAsia="ja-JP"/>
              </w:rPr>
              <w:t xml:space="preserve"> редукция дозы до 2000 мг/м2) </w:t>
            </w:r>
            <w:r w:rsidR="0044449A" w:rsidRPr="00D161AB">
              <w:rPr>
                <w:rFonts w:eastAsia="MS Mincho"/>
                <w:i/>
                <w:lang w:val="ru-RU" w:eastAsia="ja-JP"/>
              </w:rPr>
              <w:t xml:space="preserve">в сутки </w:t>
            </w:r>
            <w:r w:rsidR="002B42E0" w:rsidRPr="00D161AB">
              <w:rPr>
                <w:rFonts w:eastAsia="MS Mincho"/>
                <w:i/>
                <w:lang w:val="ru-RU" w:eastAsia="ja-JP"/>
              </w:rPr>
              <w:t>внутрь 1-14 дни 21-дневного цикла</w:t>
            </w:r>
            <w:r w:rsidR="00C15198" w:rsidRPr="00D161AB">
              <w:rPr>
                <w:rFonts w:eastAsia="MS Mincho"/>
                <w:i/>
                <w:lang w:val="ru-RU" w:eastAsia="ja-JP"/>
              </w:rPr>
              <w:fldChar w:fldCharType="begin"/>
            </w:r>
            <w:r w:rsidR="004034C1">
              <w:rPr>
                <w:rFonts w:eastAsia="MS Mincho"/>
                <w:i/>
                <w:lang w:val="ru-RU" w:eastAsia="ja-JP"/>
              </w:rPr>
              <w:instrText xml:space="preserve"> ADDIN ZOTERO_ITEM CSL_CITATION {"citationID":"DAbSwZAT","properties":{"formattedCitation":"[117,118]","plainCitation":"[117,118]","noteIndex":0},"citationItems":[{"id":1164,"uris":["http://zotero.org/users/5363772/items/KSG9BUWG",["http://zotero.org/users/5363772/items/KSG9BUWG"]],"itemData":{"id":1164,"type":"article-journal","container-title":"Annals of Oncology","DOI":"10.1093/annonc/mdi253","ISSN":"0923-7534","issue":"8","note":"publisher: Elsevier","page":"1289-1296","title":"Lower dose capecitabine has a more favorable therapeutic index in metastatic breast cancer: retrospective analysis of patients treated at M. D. Anderson Cancer Center and a review of capecitabine toxicity in the literature","volume":"16","author":[{"family":"Hennessy","given":"B.T."},{"family":"Gauthier","given":"A.M."},{"family":"Michaud","given":"L.B."},{"family":"Hortobagyi","given":"G."},{"family":"Valero","given":"V."}],"issued":{"date-parts":[["2005",8,1]]}}},{"id":1067,"uris":["http://zotero.org/users/5363772/items/K4NZ7TUJ",["http://zotero.org/users/5363772/items/K4NZ7TUJ"]],"itemData":{"id":1067,"type":"article-journal","abstract":"405Background: There is few data for effective second-line treatment in advanced pancreatic cancer, and most patients have poor performance status after progressive disease. We evaluated the efficacy, toxicity, and median dose intensity of oral chemotherapy, capecitabine, or TS-1 in gemcitabine-refractory advanced pancreatic cancer for second-line treatment. Methods: Patients who have progressive disease after first-line gemcitabine-based chemotherapy were retrospectively analyzed between Jan. 2011 and Nov. 2017. These patients were treated with capecitabine or TS-1 as second-line treatment. Capecitabine were administered as 2,500 mg/m2 divided dose on day 1-14, followed by one week rest. In TS-1 group, TS-1 was taken orally based on patient?s BSA (60mg twice daily in BSA &gt; 1.5, 50mg twice daily in BSA 1.25-1.5, and 40mg twice daily in BSA &lt; 1.25) through 28 days, by two week rest. Median dose intensity was compared by calculating a percent of target dose achieved in the average cycle for each patient. Results: Of the total 62 patients, 41 patients were treated with capecitabine and 21 patients were treated with TS-1. The median age was 61 years for the capecitabine group compared with 62 years for the TS-1 group. In capecitabine group, males were 56%, and in TS-1 group, males were 66%. 29% of capecitabine group received prior fluorouracil base therapy, and 47% of TS-1 group were receiving such therapy. The objective response rate was similar in the two groups: 12.2% with capecitabine and 4.8% with TS-1 (p = 0.358). There was no difference in median progression free survival between capecitabine and TS-1 (2.1 months vs. 2.7 months, p = 0.102), however, TS-1 group showed better median overall survival time than capecitabine group (6.9 months vs. 4.6 months, p = 0.048). Most of the adverse events were similar in both group, except that grade 3 or 4 mucositis was more common in TS-1 group. There was no significant difference in median dose intensity between two groups. (Capecitabine 91.5% vs. TS-1 90.1%, p = 0.216). Conclusions: Oral agents such as TS-1 or capecitabine can be second-line treatment for advanced pancreatic cancer patients with poor performance status after progression to gemcitabine-based regimen.","container-title":"Journal of Clinical Oncology","DOI":"10.1200/JCO.2019.37.4_suppl.405","ISSN":"0732-183X","issue":"4_suppl","journalAbbreviation":"JCO","page":"405-405","title":"Oral chemotherapy as second-line treatment option for gemcitabine-refractory advanced pancreatic cancer with poor performance status.","volume":"37","author":[{"family":"Park","given":"Se Jun"},{"family":"Lee","given":"Myung Ah"}],"issued":{"date-parts":[["2019",1,29]]}}}],"schema":"https://github.com/citation-style-language/schema/raw/master/csl-citation.json"} </w:instrText>
            </w:r>
            <w:r w:rsidR="00C15198" w:rsidRPr="00D161AB">
              <w:rPr>
                <w:rFonts w:eastAsia="MS Mincho"/>
                <w:i/>
                <w:lang w:val="ru-RU" w:eastAsia="ja-JP"/>
              </w:rPr>
              <w:fldChar w:fldCharType="separate"/>
            </w:r>
            <w:r w:rsidR="004034C1" w:rsidRPr="004034C1">
              <w:rPr>
                <w:lang w:val="ru-RU"/>
              </w:rPr>
              <w:t>[117,118]</w:t>
            </w:r>
            <w:r w:rsidR="00C15198" w:rsidRPr="00D161AB">
              <w:rPr>
                <w:rFonts w:eastAsia="MS Mincho"/>
                <w:i/>
                <w:lang w:val="ru-RU" w:eastAsia="ja-JP"/>
              </w:rPr>
              <w:fldChar w:fldCharType="end"/>
            </w:r>
            <w:r w:rsidR="002B42E0" w:rsidRPr="00D161AB">
              <w:rPr>
                <w:rFonts w:eastAsia="MS Mincho"/>
                <w:i/>
                <w:lang w:val="ru-RU" w:eastAsia="ja-JP"/>
              </w:rPr>
              <w:t>;</w:t>
            </w:r>
          </w:p>
          <w:p w14:paraId="1198654C" w14:textId="0769DC07" w:rsidR="002B42E0" w:rsidRPr="00D161AB" w:rsidRDefault="00A84137" w:rsidP="003733CC">
            <w:pPr>
              <w:tabs>
                <w:tab w:val="left" w:pos="284"/>
              </w:tabs>
              <w:spacing w:line="240" w:lineRule="auto"/>
              <w:ind w:firstLine="0"/>
              <w:contextualSpacing/>
              <w:rPr>
                <w:rFonts w:eastAsia="MS Mincho"/>
                <w:i/>
                <w:lang w:val="ru-RU" w:eastAsia="ja-JP"/>
              </w:rPr>
            </w:pPr>
            <w:r w:rsidRPr="00D161AB">
              <w:rPr>
                <w:rFonts w:eastAsia="MS Mincho"/>
                <w:i/>
                <w:lang w:val="ru-RU" w:eastAsia="ja-JP"/>
              </w:rPr>
              <w:t>#</w:t>
            </w:r>
            <w:r w:rsidR="002B42E0" w:rsidRPr="00D161AB">
              <w:rPr>
                <w:rFonts w:eastAsia="MS Mincho"/>
                <w:i/>
                <w:lang w:val="ru-RU" w:eastAsia="ja-JP"/>
              </w:rPr>
              <w:t>фторурацил</w:t>
            </w:r>
            <w:r w:rsidR="002A790A" w:rsidRPr="00D161AB">
              <w:rPr>
                <w:i/>
                <w:lang w:val="ru-RU"/>
              </w:rPr>
              <w:t>**</w:t>
            </w:r>
            <w:r w:rsidR="002B42E0" w:rsidRPr="00D161AB">
              <w:rPr>
                <w:rFonts w:eastAsia="MS Mincho"/>
                <w:i/>
                <w:lang w:val="ru-RU" w:eastAsia="ja-JP"/>
              </w:rPr>
              <w:t xml:space="preserve"> </w:t>
            </w:r>
            <w:r w:rsidR="003F3880" w:rsidRPr="00D161AB">
              <w:rPr>
                <w:rFonts w:eastAsia="MS Mincho"/>
                <w:i/>
                <w:lang w:val="ru-RU" w:eastAsia="ja-JP"/>
              </w:rPr>
              <w:t>375-</w:t>
            </w:r>
            <w:r w:rsidR="002B42E0" w:rsidRPr="00D161AB">
              <w:rPr>
                <w:rFonts w:eastAsia="MS Mincho"/>
                <w:i/>
                <w:lang w:val="ru-RU" w:eastAsia="ja-JP"/>
              </w:rPr>
              <w:t>425 мг/м</w:t>
            </w:r>
            <w:r w:rsidR="002B42E0" w:rsidRPr="00D161AB">
              <w:rPr>
                <w:rFonts w:eastAsia="MS Mincho"/>
                <w:i/>
                <w:vertAlign w:val="superscript"/>
                <w:lang w:val="ru-RU" w:eastAsia="ja-JP"/>
              </w:rPr>
              <w:t>2</w:t>
            </w:r>
            <w:r w:rsidR="002B42E0" w:rsidRPr="00D161AB">
              <w:rPr>
                <w:rFonts w:eastAsia="MS Mincho"/>
                <w:i/>
                <w:lang w:val="ru-RU" w:eastAsia="ja-JP"/>
              </w:rPr>
              <w:t xml:space="preserve"> в/в </w:t>
            </w:r>
            <w:r w:rsidR="002D738B" w:rsidRPr="00D161AB">
              <w:rPr>
                <w:rFonts w:eastAsia="MS Mincho"/>
                <w:i/>
                <w:lang w:val="ru-RU" w:eastAsia="ja-JP"/>
              </w:rPr>
              <w:t>болюс</w:t>
            </w:r>
            <w:r w:rsidR="002B42E0" w:rsidRPr="00D161AB">
              <w:rPr>
                <w:rFonts w:eastAsia="MS Mincho"/>
                <w:i/>
                <w:lang w:val="ru-RU" w:eastAsia="ja-JP"/>
              </w:rPr>
              <w:t xml:space="preserve"> + </w:t>
            </w:r>
            <w:r w:rsidR="002A790A" w:rsidRPr="00D161AB">
              <w:rPr>
                <w:rFonts w:eastAsia="MS Mincho"/>
                <w:i/>
                <w:lang w:val="ru-RU" w:eastAsia="ja-JP"/>
              </w:rPr>
              <w:t>#</w:t>
            </w:r>
            <w:r w:rsidR="002B42E0" w:rsidRPr="00D161AB">
              <w:rPr>
                <w:rFonts w:eastAsia="MS Mincho"/>
                <w:i/>
                <w:lang w:val="ru-RU" w:eastAsia="ja-JP"/>
              </w:rPr>
              <w:t>кальция фолинат</w:t>
            </w:r>
            <w:r w:rsidR="002A790A" w:rsidRPr="00D161AB">
              <w:rPr>
                <w:i/>
                <w:lang w:val="ru-RU"/>
              </w:rPr>
              <w:t>**</w:t>
            </w:r>
            <w:r w:rsidR="002B42E0" w:rsidRPr="00D161AB">
              <w:rPr>
                <w:rFonts w:eastAsia="MS Mincho"/>
                <w:i/>
                <w:lang w:val="ru-RU" w:eastAsia="ja-JP"/>
              </w:rPr>
              <w:t xml:space="preserve"> 20 мг/м</w:t>
            </w:r>
            <w:r w:rsidR="002B42E0" w:rsidRPr="00D161AB">
              <w:rPr>
                <w:rFonts w:eastAsia="MS Mincho"/>
                <w:i/>
                <w:vertAlign w:val="superscript"/>
                <w:lang w:val="ru-RU" w:eastAsia="ja-JP"/>
              </w:rPr>
              <w:t>2</w:t>
            </w:r>
            <w:r w:rsidR="002B42E0" w:rsidRPr="00D161AB">
              <w:rPr>
                <w:rFonts w:eastAsia="MS Mincho"/>
                <w:i/>
                <w:lang w:val="ru-RU" w:eastAsia="ja-JP"/>
              </w:rPr>
              <w:t xml:space="preserve"> в/в </w:t>
            </w:r>
            <w:r w:rsidR="002D738B" w:rsidRPr="00D161AB">
              <w:rPr>
                <w:rFonts w:eastAsia="MS Mincho"/>
                <w:i/>
                <w:lang w:val="ru-RU" w:eastAsia="ja-JP"/>
              </w:rPr>
              <w:t>болюс</w:t>
            </w:r>
            <w:r w:rsidR="002B42E0" w:rsidRPr="00D161AB">
              <w:rPr>
                <w:rFonts w:eastAsia="MS Mincho"/>
                <w:i/>
                <w:lang w:val="ru-RU" w:eastAsia="ja-JP"/>
              </w:rPr>
              <w:t xml:space="preserve"> 1-5 дни 28-дневного цикла</w:t>
            </w:r>
            <w:r w:rsidR="00CB323C" w:rsidRPr="00D161AB">
              <w:rPr>
                <w:rFonts w:eastAsia="MS Mincho"/>
                <w:i/>
                <w:lang w:val="ru-RU" w:eastAsia="ja-JP"/>
              </w:rPr>
              <w:t xml:space="preserve"> </w:t>
            </w:r>
            <w:r w:rsidR="00C15198" w:rsidRPr="00D161AB">
              <w:rPr>
                <w:rFonts w:eastAsia="MS Mincho"/>
                <w:i/>
                <w:lang w:val="ru-RU" w:eastAsia="ja-JP"/>
              </w:rPr>
              <w:fldChar w:fldCharType="begin"/>
            </w:r>
            <w:r w:rsidR="004034C1">
              <w:rPr>
                <w:rFonts w:eastAsia="MS Mincho"/>
                <w:i/>
                <w:lang w:val="ru-RU" w:eastAsia="ja-JP"/>
              </w:rPr>
              <w:instrText xml:space="preserve"> ADDIN ZOTERO_ITEM CSL_CITATION {"citationID":"qF4YBsam","properties":{"formattedCitation":"[119,120]","plainCitation":"[119,120]","noteIndex":0},"citationItems":[{"id":1112,"uris":["http://zotero.org/users/5363772/items/GH4KVVXG",["http://zotero.org/users/5363772/items/GH4KVVXG"]],"itemData":{"id":1112,"type":"article-journal","abstract":"There continues to be a need for new systemic approaches for the treatment of advanced pancreatic cancer. The purpose of this study was to compare the antitumor activity of the somatostatin analogue octreotide to 5-fluorouracil chemotherapy in a Phase III setting. Eighty-four patients with an Eastern Cooperative Oncology Group performance status of 0 or 1 and limited tumor volume were randomized to receive octreotide 200 μg three times daily or 5-fluorouracil with or without leucovorin. After the first 12 patients had been randomized to octreotide, we increased the dose in the remaining patients to 500 μg three times daily. This change was based on early reports in other studies, suggesting that our original dose may not have been effective and that higher doses of octreotide were well tolerated. A planned interim analysis performed after 84 patients were enrolled demonstrated inferior time to progression and survival for the patients randomized to octreotide. Further accrual to the octreotide arm of this protocol was therefore terminated. Octreotide in doses of 200–500 μg three times daily does not delay progression or extend survival in patients with advanced pancreatic cancer compared with treatment with 5-fluorouracil with or without leucovorin.","container-title":"Clinical Cancer Research","issue":"9","journalAbbreviation":"Clin Cancer Res","page":"3486","title":"Phase III Evaluation of Octreotide &lt;em&gt;versus&lt;/em&gt; Chemotherapy with 5-Fluorouracil or 5-Fluorouracil Plus Leucovorin in Advanced Exocrine Pancreatic Cancer: A North Central Cancer Treatment Group Study","volume":"6","author":[{"family":"Burch","given":"Patrick A."},{"family":"Block","given":"Margaret"},{"family":"Schroeder","given":"Georgene"},{"family":"Kugler","given":"John W."},{"family":"Sargent","given":"Daniel J."},{"family":"Braich","given":"Theodore A."},{"family":"Mailliard","given":"James A."},{"family":"Michalak","given":"John C."},{"family":"Hatfield","given":"Alan K."},{"family":"Wright","given":"Keith"},{"family":"Kuross","given":"Steven A."}],"issued":{"date-parts":[["2000",9,1]]}}},{"id":1071,"uris":["http://zotero.org/users/5363772/items/CHMQSACC",["http://zotero.org/users/5363772/items/CHMQSACC"]],"itemData":{"id":1071,"type":"article-journal","container-title":"JAMA","DOI":"10.1001/jama.2010.1275","ISSN":"0098-7484","issue":"10","journalAbbreviation":"JAMA","language":"en","page":"1073","source":"DOI.org (Crossref)","title":"Adjuvant Chemotherapy With Fluorouracil Plus Folinic Acid vs Gemcitabine Following Pancreatic Cancer Resection: A Randomized Controlled Trial","title-short":"Adjuvant Chemotherapy With Fluorouracil Plus Folinic Acid vs Gemcitabine Following Pancreatic Cancer Resection","volume":"304","author":[{"family":"Neoptolemos","given":"John P."},{"family":"Stocken","given":"Deborah D."},{"family":"Bassi","given":"Claudio"},{"family":"Ghaneh","given":"Paula"},{"family":"Cunningham","given":"David"},{"family":"Goldstein","given":"David"},{"family":"Padbury","given":"Robert"},{"family":"Moore","given":"Malcolm J."},{"family":"Gallinger","given":"Steven"},{"family":"Mariette","given":"Christophe"},{"family":"Wente","given":"Moritz N."},{"family":"Izbicki","given":"Jakob R."},{"family":"Friess","given":"Helmut"},{"family":"Lerch","given":"Markus M."},{"family":"Dervenis","given":"Christos"},{"family":"Oláh","given":"Attila"},{"family":"Butturini","given":"Giovanni"},{"family":"Doi","given":"Ryuichiro"},{"family":"Lind","given":"Pehr A."},{"family":"Smith","given":"David"},{"family":"Valle","given":"Juan W."},{"family":"Palmer","given":"Daniel H."},{"family":"Buckels","given":"John A."},{"family":"Thompson","given":"Joyce"},{"family":"McKay","given":"Colin J."},{"family":"Rawcliffe","given":"Charlotte L."},{"family":"Büchler","given":"Markus W."},{"family":"European Study Group for Pancreatic Cancer","given":"for","dropping-particle":"the"}],"issued":{"date-parts":[["2010",9,8]]}}}],"schema":"https://github.com/citation-style-language/schema/raw/master/csl-citation.json"} </w:instrText>
            </w:r>
            <w:r w:rsidR="00C15198" w:rsidRPr="00D161AB">
              <w:rPr>
                <w:rFonts w:eastAsia="MS Mincho"/>
                <w:i/>
                <w:lang w:val="ru-RU" w:eastAsia="ja-JP"/>
              </w:rPr>
              <w:fldChar w:fldCharType="separate"/>
            </w:r>
            <w:r w:rsidR="004034C1" w:rsidRPr="004034C1">
              <w:t>[119,120]</w:t>
            </w:r>
            <w:r w:rsidR="00C15198" w:rsidRPr="00D161AB">
              <w:rPr>
                <w:rFonts w:eastAsia="MS Mincho"/>
                <w:i/>
                <w:lang w:val="ru-RU" w:eastAsia="ja-JP"/>
              </w:rPr>
              <w:fldChar w:fldCharType="end"/>
            </w:r>
            <w:r w:rsidR="00EA7396" w:rsidRPr="00D161AB">
              <w:rPr>
                <w:rFonts w:eastAsia="MS Mincho"/>
                <w:i/>
                <w:lang w:val="ru-RU" w:eastAsia="ja-JP"/>
              </w:rPr>
              <w:t>.</w:t>
            </w:r>
          </w:p>
        </w:tc>
        <w:tc>
          <w:tcPr>
            <w:tcW w:w="5387" w:type="dxa"/>
          </w:tcPr>
          <w:p w14:paraId="1E72D25A" w14:textId="77777777" w:rsidR="002B42E0" w:rsidRPr="00D161AB" w:rsidRDefault="002B42E0"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Ранее использовался </w:t>
            </w:r>
            <w:r w:rsidR="002A790A" w:rsidRPr="00D161AB">
              <w:rPr>
                <w:rFonts w:eastAsia="MS Mincho"/>
                <w:i/>
                <w:lang w:val="ru-RU" w:eastAsia="ja-JP"/>
              </w:rPr>
              <w:t>#</w:t>
            </w:r>
            <w:r w:rsidRPr="00D161AB">
              <w:rPr>
                <w:rFonts w:eastAsia="MS Mincho"/>
                <w:i/>
                <w:lang w:val="ru-RU" w:eastAsia="ja-JP"/>
              </w:rPr>
              <w:t>гемцитабин</w:t>
            </w:r>
            <w:r w:rsidR="002A790A" w:rsidRPr="00D161AB">
              <w:rPr>
                <w:i/>
                <w:lang w:val="ru-RU"/>
              </w:rPr>
              <w:t>**</w:t>
            </w:r>
            <w:r w:rsidRPr="00D161AB">
              <w:rPr>
                <w:rFonts w:eastAsia="MS Mincho"/>
                <w:i/>
                <w:lang w:val="ru-RU" w:eastAsia="ja-JP"/>
              </w:rPr>
              <w:t>;</w:t>
            </w:r>
          </w:p>
          <w:p w14:paraId="35FC93F3" w14:textId="12900480" w:rsidR="002B42E0" w:rsidRPr="00D161AB" w:rsidRDefault="00A15E8D" w:rsidP="00482166">
            <w:pPr>
              <w:numPr>
                <w:ilvl w:val="0"/>
                <w:numId w:val="10"/>
              </w:numPr>
              <w:tabs>
                <w:tab w:val="left" w:pos="284"/>
              </w:tabs>
              <w:spacing w:line="240" w:lineRule="auto"/>
              <w:ind w:left="357" w:hanging="357"/>
              <w:jc w:val="left"/>
              <w:rPr>
                <w:rFonts w:eastAsia="MS Mincho"/>
                <w:i/>
                <w:lang w:val="ru-RU" w:eastAsia="ja-JP"/>
              </w:rPr>
            </w:pPr>
            <w:r w:rsidRPr="00D161AB">
              <w:rPr>
                <w:i/>
                <w:lang w:val="ru-RU"/>
              </w:rPr>
              <w:t xml:space="preserve">Состояние по шкале </w:t>
            </w:r>
            <w:r w:rsidR="002B42E0" w:rsidRPr="00D161AB">
              <w:rPr>
                <w:rFonts w:eastAsia="MS Mincho"/>
                <w:i/>
                <w:lang w:eastAsia="ja-JP"/>
              </w:rPr>
              <w:t>ECOG</w:t>
            </w:r>
            <w:r w:rsidR="002B42E0" w:rsidRPr="00D161AB">
              <w:rPr>
                <w:rFonts w:eastAsia="MS Mincho"/>
                <w:i/>
                <w:lang w:val="ru-RU" w:eastAsia="ja-JP"/>
              </w:rPr>
              <w:t xml:space="preserve"> 2</w:t>
            </w:r>
            <w:r w:rsidR="001537BF" w:rsidRPr="00D161AB">
              <w:rPr>
                <w:rFonts w:eastAsia="MS Mincho"/>
                <w:i/>
                <w:lang w:val="ru-RU" w:eastAsia="ja-JP"/>
              </w:rPr>
              <w:t xml:space="preserve"> </w:t>
            </w:r>
            <w:r w:rsidR="001537BF" w:rsidRPr="00D161AB">
              <w:rPr>
                <w:i/>
                <w:lang w:val="ru-RU"/>
              </w:rPr>
              <w:t>(приложение Г1)</w:t>
            </w:r>
            <w:r w:rsidR="002B42E0" w:rsidRPr="00D161AB">
              <w:rPr>
                <w:rFonts w:eastAsia="MS Mincho"/>
                <w:i/>
                <w:lang w:val="ru-RU" w:eastAsia="ja-JP"/>
              </w:rPr>
              <w:t xml:space="preserve">; </w:t>
            </w:r>
          </w:p>
          <w:p w14:paraId="35C48F2B" w14:textId="77777777" w:rsidR="002B42E0" w:rsidRPr="00D161AB" w:rsidRDefault="002B42E0" w:rsidP="00482166">
            <w:pPr>
              <w:numPr>
                <w:ilvl w:val="0"/>
                <w:numId w:val="10"/>
              </w:numPr>
              <w:tabs>
                <w:tab w:val="left" w:pos="284"/>
              </w:tabs>
              <w:spacing w:line="240" w:lineRule="auto"/>
              <w:ind w:left="357" w:hanging="357"/>
              <w:jc w:val="left"/>
              <w:rPr>
                <w:rFonts w:eastAsia="MS Mincho"/>
                <w:i/>
                <w:lang w:val="ru-RU" w:eastAsia="ja-JP"/>
              </w:rPr>
            </w:pPr>
            <w:r w:rsidRPr="00D161AB">
              <w:rPr>
                <w:rFonts w:eastAsia="MS Mincho"/>
                <w:i/>
                <w:lang w:val="ru-RU" w:eastAsia="ja-JP"/>
              </w:rPr>
              <w:t xml:space="preserve">Общий билирубин &lt;3 </w:t>
            </w:r>
            <w:r w:rsidRPr="00D161AB">
              <w:rPr>
                <w:rFonts w:eastAsia="MS Mincho"/>
                <w:i/>
                <w:lang w:eastAsia="ja-JP"/>
              </w:rPr>
              <w:t>x</w:t>
            </w:r>
            <w:r w:rsidRPr="00D161AB">
              <w:rPr>
                <w:rFonts w:eastAsia="MS Mincho"/>
                <w:i/>
                <w:lang w:val="ru-RU" w:eastAsia="ja-JP"/>
              </w:rPr>
              <w:t xml:space="preserve"> верхняя граница нормы.</w:t>
            </w:r>
          </w:p>
        </w:tc>
      </w:tr>
      <w:tr w:rsidR="00644EF6" w:rsidRPr="0060277C" w14:paraId="0EB1FF49" w14:textId="77777777" w:rsidTr="00EA7396">
        <w:trPr>
          <w:trHeight w:val="2007"/>
        </w:trPr>
        <w:tc>
          <w:tcPr>
            <w:tcW w:w="4077" w:type="dxa"/>
          </w:tcPr>
          <w:p w14:paraId="2E0459DA" w14:textId="1ACFB284" w:rsidR="00644EF6" w:rsidRPr="00C83F38" w:rsidRDefault="00644EF6" w:rsidP="00644EF6">
            <w:pPr>
              <w:pStyle w:val="TableParagraph"/>
              <w:tabs>
                <w:tab w:val="left" w:pos="307"/>
              </w:tabs>
              <w:spacing w:before="67"/>
              <w:ind w:left="0" w:right="174"/>
              <w:rPr>
                <w:rFonts w:ascii="Times New Roman" w:eastAsiaTheme="minorHAnsi" w:hAnsi="Times New Roman" w:cs="Times New Roman"/>
                <w:i/>
                <w:iCs/>
                <w:lang w:eastAsia="en-US"/>
              </w:rPr>
            </w:pPr>
            <w:r w:rsidRPr="00D161AB">
              <w:rPr>
                <w:rFonts w:eastAsia="MS Mincho"/>
                <w:i/>
                <w:lang w:eastAsia="ja-JP"/>
              </w:rPr>
              <w:t>#</w:t>
            </w:r>
            <w:r w:rsidRPr="00C83F38">
              <w:rPr>
                <w:rFonts w:ascii="Times New Roman" w:eastAsiaTheme="minorHAnsi" w:hAnsi="Times New Roman" w:cs="Times New Roman"/>
                <w:i/>
                <w:iCs/>
                <w:lang w:eastAsia="en-US"/>
              </w:rPr>
              <w:t>Афатиниб 40 мг внутрь ежедневно</w:t>
            </w:r>
            <w:r w:rsidR="0075204C">
              <w:rPr>
                <w:rFonts w:ascii="Times New Roman" w:eastAsiaTheme="minorHAnsi" w:hAnsi="Times New Roman" w:cs="Times New Roman"/>
                <w:i/>
                <w:iCs/>
                <w:lang w:eastAsia="en-US"/>
              </w:rPr>
              <w:fldChar w:fldCharType="begin"/>
            </w:r>
            <w:r w:rsidR="004034C1">
              <w:rPr>
                <w:rFonts w:ascii="Times New Roman" w:eastAsiaTheme="minorHAnsi" w:hAnsi="Times New Roman" w:cs="Times New Roman"/>
                <w:i/>
                <w:iCs/>
                <w:lang w:eastAsia="en-US"/>
              </w:rPr>
              <w:instrText xml:space="preserve"> ADDIN ZOTERO_ITEM CSL_CITATION {"citationID":"EV7LEVB9","properties":{"formattedCitation":"[121\\uc0\\u8211{}123]","plainCitation":"[121–123]","noteIndex":0},"citationItems":[{"id":1319,"uris":["http://zotero.org/users/5363772/items/9QYSLCUJ"],"itemData":{"id":1319,"type":"article-journal","abstract":"Abstract\n            Approximately 8%–10% of pancreatic ductal adenocarcinoma cases are KRAS wild type. In a subset of these tumors, NRG1 gene fusions have been identified as targetable oncogenic drivers, a discovery that highlights the importance of deep molecular characterization for KRAS wild-type pancreatic cancers and provides a novel treatment strategy in this disease.\n            See related article by Jones et al., p. 4674","container-title":"Clinical Cancer Research","DOI":"10.1158/1078-0432.CCR-19-1280","ISSN":"1078-0432, 1557-3265","issue":"15","language":"en","page":"4589-4591","source":"DOI.org (Crossref)","title":"Oncogenic NRG1 Fusions: A New Hope for Targeted Therapy in Pancreatic Cancer","title-short":"Oncogenic NRG1 Fusions","volume":"25","author":[{"family":"Aguirre","given":"Andrew J."}],"issued":{"date-parts":[["2019",8,1]]}}},{"id":1322,"uris":["http://zotero.org/users/5363772/items/Y5EZ4RW3"],"itemData":{"id":1322,"type":"article-journal","container-title":"Annals of Oncology","DOI":"10.1016/j.annonc.2020.08.2335","ISSN":"09237534","issue":"12","journalAbbreviation":"Annals of Oncology","language":"en","page":"1693-1703","source":"DOI.org (Crossref)","title":"NRG1 fusion-driven tumors: biology, detection, and the therapeutic role of afatinib and other ErbB-targeting agents","title-short":"NRG1 fusion-driven tumors","volume":"31","author":[{"family":"Laskin","given":"J."},{"family":"Liu","given":"S.V."},{"family":"Tolba","given":"K."},{"family":"Heining","given":"C."},{"family":"Schlenk","given":"R.F."},{"family":"Cheema","given":"P."},{"family":"Cadranel","given":"J."},{"family":"Jones","given":"M.R."},{"family":"Drilon","given":"A."},{"family":"Cseh","given":"A."},{"family":"Gyorffy","given":"S."},{"family":"Solca","given":"F."},{"family":"Duruisseaux","given":"M."}],"issued":{"date-parts":[["2020",12]]}}},{"id":1321,"uris":["http://zotero.org/users/5363772/items/XWW3NIWE"],"itemData":{"id":1321,"type":"article-journal","abstract":"TPS3180\n            Background: Oncogenic neuregulin 1 ( NRG1) gene fusions occur in ̃0.2% of solid tumors overall and in up to 31% of cases of invasive mucinous lung adenocarcinoma [Laskin et al. Ann Oncol. 2020;31(12):1693–1703; Cadranel et al. Oncologist. 2021;26(1):7–16]. NRG1 fusion proteins provide an extracellular anchor for the epidermal growth factor (EGF) domain of NRG1 to bind to ErbB3 (HER3), leading to HER3 heterodimerization and activation of downstream signaling pathways, resulting in oncogenesis. Afatinib, an irreversible pan-ErbB tyrosine kinase inhibitor, represents a potential treatment for NRG1-fusion positive ( NRG1+) tumors. This study aims to examine the safety and efficacy of afatinib in patients with NRG1+ solid tumors, for which no authorized targeted therapy exists. Methods: This prospective, decentralized, US study (NCT05107193) will include 40 evaluable patients aged ≥18 years. Participating molecular test providers across the USA will identify eligible fusions in the course of routine diagnostic assays. When a patient with an NRG1 fusion is identified, participating test providers will notify the treating physician of the study as a treatment option for the patient. Patients’ primary oncologists will then contact the trial sponsor to confirm patient eligibility. Once approved by the central Institutional Review Board, patients will receive afatinib on a single-patient protocol basis, until disease progression or treatment is no longer tolerated. The recommended dosage per SmPC is 40 mg orally QD. Patients will be screened and enrolled into the study at their existing point-of-care setting. Inclusion criteria include a histologically or cytologically confirmed diagnosis of an advanced, unresectable/metastatic, non-hematologic malignancy with an NRG1 fusion, evaluable per RECIST 1.1. Any coding gene as the NRG1 fusion partner is permitted. Fusion status will be confirmed prospectively by a contracted molecular test provider. Exclusion criteria include prior systemic anti-cancer therapy or investigational drug within 14 days or 5 half-lives (whichever is shorter) of the start of afatinib treatment; an actionable driver mutation other than NRG1 fusion for which FDA-approved targeted therapy is available; and prior treatment with an ErbB-targeted therapy. The primary endpoint of the study is confirmed objective response (OR) by independent central review per RECIST 1.1, defined as best overall response of either complete response or partial response and analysed as the proportion of patients with an OR. The key secondary endpoint is duration of response, defined as the time from the first documented OR to progression or death. Secondary endpoints include time to OR and disease control per investigator assessment. Safety will also be assessed. The study is open for recruitment. Clinical trial information: NCT05107193.","container-title":"Journal of Clinical Oncology","DOI":"10.1200/JCO.2022.40.16_suppl.TPS3180","ISSN":"0732-183X, 1527-7755","issue":"16_suppl","journalAbbreviation":"JCO","language":"en","page":"TPS3180-TPS3180","source":"DOI.org (Crossref)","title":"Efficacy of afatinib in patients with advanced/metastatic solid tumors harboring &lt;i&gt;NRG1&lt;/i&gt; gene fusions: A novel, prospective real-world outcomes study based on single-patient protocol data.","title-short":"Efficacy of afatinib in patients with advanced/metastatic solid tumors harboring &lt;i&gt;NRG1&lt;/i&gt; gene fusions","volume":"40","author":[{"family":"Liu","given":"Stephen V."},{"family":"Minasi","given":"Lori Ann E."},{"family":"Herpers","given":"Matthias"},{"family":"Frohn","given":"Claas"}],"issued":{"date-parts":[["2022",6,1]]}}}],"schema":"https://github.com/citation-style-language/schema/raw/master/csl-citation.json"} </w:instrText>
            </w:r>
            <w:r w:rsidR="0075204C">
              <w:rPr>
                <w:rFonts w:ascii="Times New Roman" w:eastAsiaTheme="minorHAnsi" w:hAnsi="Times New Roman" w:cs="Times New Roman"/>
                <w:i/>
                <w:iCs/>
                <w:lang w:eastAsia="en-US"/>
              </w:rPr>
              <w:fldChar w:fldCharType="separate"/>
            </w:r>
            <w:r w:rsidR="004034C1" w:rsidRPr="004034C1">
              <w:rPr>
                <w:rFonts w:ascii="Times New Roman" w:hAnsi="Times New Roman" w:cs="Times New Roman"/>
              </w:rPr>
              <w:t>[121–123]</w:t>
            </w:r>
            <w:r w:rsidR="0075204C">
              <w:rPr>
                <w:rFonts w:ascii="Times New Roman" w:eastAsiaTheme="minorHAnsi" w:hAnsi="Times New Roman" w:cs="Times New Roman"/>
                <w:i/>
                <w:iCs/>
                <w:lang w:eastAsia="en-US"/>
              </w:rPr>
              <w:fldChar w:fldCharType="end"/>
            </w:r>
            <w:r w:rsidRPr="00C83F38">
              <w:rPr>
                <w:rFonts w:ascii="Times New Roman" w:eastAsiaTheme="minorHAnsi" w:hAnsi="Times New Roman" w:cs="Times New Roman"/>
                <w:i/>
                <w:iCs/>
                <w:lang w:eastAsia="en-US"/>
              </w:rPr>
              <w:t>;</w:t>
            </w:r>
          </w:p>
          <w:p w14:paraId="746BA02B" w14:textId="4E103DDB"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 xml:space="preserve">Эрлотиниб 100-150 мг + </w:t>
            </w:r>
            <w:r w:rsidRPr="00D161AB">
              <w:rPr>
                <w:rFonts w:eastAsia="MS Mincho"/>
                <w:i/>
                <w:lang w:val="ru-RU" w:eastAsia="ja-JP"/>
              </w:rPr>
              <w:t>#</w:t>
            </w:r>
            <w:r w:rsidRPr="00C83F38">
              <w:rPr>
                <w:i/>
                <w:iCs/>
                <w:lang w:val="ru-RU"/>
              </w:rPr>
              <w:t>пертузумаб 420 мг (нагрузочная доза 840 мг) в / в 30 мин (первая доза 60 мин) 1 раз в 3 нед</w:t>
            </w:r>
            <w:r w:rsidR="0075204C">
              <w:rPr>
                <w:i/>
                <w:iCs/>
                <w:lang w:val="ru-RU"/>
              </w:rPr>
              <w:fldChar w:fldCharType="begin"/>
            </w:r>
            <w:r w:rsidR="004034C1">
              <w:rPr>
                <w:i/>
                <w:iCs/>
                <w:lang w:val="ru-RU"/>
              </w:rPr>
              <w:instrText xml:space="preserve"> ADDIN ZOTERO_ITEM CSL_CITATION {"citationID":"Rinrbg3q","properties":{"formattedCitation":"[121]","plainCitation":"[121]","noteIndex":0},"citationItems":[{"id":1319,"uris":["http://zotero.org/users/5363772/items/9QYSLCUJ"],"itemData":{"id":1319,"type":"article-journal","abstract":"Abstract\n            Approximately 8%–10% of pancreatic ductal adenocarcinoma cases are KRAS wild type. In a subset of these tumors, NRG1 gene fusions have been identified as targetable oncogenic drivers, a discovery that highlights the importance of deep molecular characterization for KRAS wild-type pancreatic cancers and provides a novel treatment strategy in this disease.\n            See related article by Jones et al., p. 4674","container-title":"Clinical Cancer Research","DOI":"10.1158/1078-0432.CCR-19-1280","ISSN":"1078-0432, 1557-3265","issue":"15","language":"en","page":"4589-4591","source":"DOI.org (Crossref)","title":"Oncogenic NRG1 Fusions: A New Hope for Targeted Therapy in Pancreatic Cancer","title-short":"Oncogenic NRG1 Fusions","volume":"25","author":[{"family":"Aguirre","given":"Andrew J."}],"issued":{"date-parts":[["2019",8,1]]}}}],"schema":"https://github.com/citation-style-language/schema/raw/master/csl-citation.json"} </w:instrText>
            </w:r>
            <w:r w:rsidR="0075204C">
              <w:rPr>
                <w:i/>
                <w:iCs/>
                <w:lang w:val="ru-RU"/>
              </w:rPr>
              <w:fldChar w:fldCharType="separate"/>
            </w:r>
            <w:r w:rsidR="004034C1" w:rsidRPr="004034C1">
              <w:rPr>
                <w:lang w:val="ru-RU"/>
              </w:rPr>
              <w:t>[121]</w:t>
            </w:r>
            <w:r w:rsidR="0075204C">
              <w:rPr>
                <w:i/>
                <w:iCs/>
                <w:lang w:val="ru-RU"/>
              </w:rPr>
              <w:fldChar w:fldCharType="end"/>
            </w:r>
            <w:r w:rsidRPr="00C83F38">
              <w:rPr>
                <w:i/>
                <w:iCs/>
                <w:lang w:val="ru-RU"/>
              </w:rPr>
              <w:t xml:space="preserve">. </w:t>
            </w:r>
          </w:p>
        </w:tc>
        <w:tc>
          <w:tcPr>
            <w:tcW w:w="5387" w:type="dxa"/>
          </w:tcPr>
          <w:p w14:paraId="761ECEDC"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16F2B926"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NRG1 fusion;</w:t>
            </w:r>
          </w:p>
          <w:p w14:paraId="78B59794"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5FEC7E31" w14:textId="6985127B"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0D71C4B6" w14:textId="77777777" w:rsidTr="00EA7396">
        <w:trPr>
          <w:trHeight w:val="2007"/>
        </w:trPr>
        <w:tc>
          <w:tcPr>
            <w:tcW w:w="4077" w:type="dxa"/>
          </w:tcPr>
          <w:p w14:paraId="3122F37E" w14:textId="2131B39D"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Ларотректиниб 100 мг 2 раза в день внутрь ежедневно</w:t>
            </w:r>
            <w:r w:rsidR="0075204C">
              <w:rPr>
                <w:i/>
                <w:iCs/>
                <w:lang w:val="ru-RU"/>
              </w:rPr>
              <w:fldChar w:fldCharType="begin"/>
            </w:r>
            <w:r w:rsidR="004034C1">
              <w:rPr>
                <w:i/>
                <w:iCs/>
                <w:lang w:val="ru-RU"/>
              </w:rPr>
              <w:instrText xml:space="preserve"> ADDIN ZOTERO_ITEM CSL_CITATION {"citationID":"MAqGBkb0","properties":{"formattedCitation":"[124]","plainCitation":"[124]","noteIndex":0},"citationItems":[{"id":1324,"uris":["http://zotero.org/users/5363772/items/29KSKZZ7"],"itemData":{"id":1324,"type":"article-journal","container-title":"Annals of Oncology","DOI":"10.1093/annonc/mdz385","ISSN":"09237534","journalAbbreviation":"Annals of Oncology","language":"en","page":"viii36-viii40","source":"DOI.org (Crossref)","title":"Tumour response to TRK inhibition in a patient with pancreatic adenocarcinoma harbouring an NTRK gene fusion","volume":"30","author":[{"family":"O’Reilly","given":"E.M."},{"family":"Hechtman","given":"J.F."}],"issued":{"date-parts":[["2019",11]]}}}],"schema":"https://github.com/citation-style-language/schema/raw/master/csl-citation.json"} </w:instrText>
            </w:r>
            <w:r w:rsidR="0075204C">
              <w:rPr>
                <w:i/>
                <w:iCs/>
                <w:lang w:val="ru-RU"/>
              </w:rPr>
              <w:fldChar w:fldCharType="separate"/>
            </w:r>
            <w:r w:rsidR="004034C1" w:rsidRPr="004034C1">
              <w:rPr>
                <w:lang w:val="ru-RU"/>
              </w:rPr>
              <w:t>[124]</w:t>
            </w:r>
            <w:r w:rsidR="0075204C">
              <w:rPr>
                <w:i/>
                <w:iCs/>
                <w:lang w:val="ru-RU"/>
              </w:rPr>
              <w:fldChar w:fldCharType="end"/>
            </w:r>
            <w:r w:rsidRPr="00C83F38">
              <w:rPr>
                <w:i/>
                <w:iCs/>
                <w:lang w:val="ru-RU"/>
              </w:rPr>
              <w:t xml:space="preserve">; </w:t>
            </w:r>
          </w:p>
          <w:p w14:paraId="2A5AB5B0" w14:textId="4932D5F8"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Энтректиниб 600 мг 1 раз в день внутрь ежедневно</w:t>
            </w:r>
            <w:r w:rsidR="0075204C">
              <w:rPr>
                <w:i/>
                <w:iCs/>
                <w:lang w:val="ru-RU"/>
              </w:rPr>
              <w:fldChar w:fldCharType="begin"/>
            </w:r>
            <w:r w:rsidR="004034C1">
              <w:rPr>
                <w:i/>
                <w:iCs/>
                <w:lang w:val="ru-RU"/>
              </w:rPr>
              <w:instrText xml:space="preserve"> ADDIN ZOTERO_ITEM CSL_CITATION {"citationID":"C9b1vjkq","properties":{"formattedCitation":"[125]","plainCitation":"[125]","noteIndex":0},"citationItems":[{"id":1326,"uris":["http://zotero.org/users/5363772/items/8RXP6CCD"],"itemData":{"id":1326,"type":"article-journal","abstract":"521\n            Background: Despite recent improvements in chemotherapy for pancreatic cancer that have demonstrated improvements in survival, response rates remain at less than 50%. Distinct molecular subgroups of pancreatic cancer that harbor specific actionable molecular alterations have recently been identified. These include gene fusions of the receptor tyrosine kinases NTRK and ROS1. Entrectinib is a CNS-active, potent, and selective TRK and ROS1 inhibitor that has shown substantial clinical activity in patients with locally advanced or metastatic solid tumors that have NTRK or ROS1 fusions (Drilon A, et al. Cancer Discov. 2017;7[4]:400-409). Methods: We examined 3 cases of pancreatic cancer where an actionable gene rearrangement was identified: 2 with a TPR-NTRK gene fusion, and 1 with an SCL4-ROS1 gene fusion. All 3 patients were treated with entrectinib 600 mg daily in a phase 2 trial (NCT02568267). Results: Entrectinib was well tolerated with mostly grade 1-2 adverse events consisting primarily of arthralgias, myalgias, and fatigue. All 3 patients showed evidence of clinical improvement, with normalization of the tumor biomarker CA19-9 and confirmed partial responses as per RECIST v1.1 in the 2 patients with a TPR-NTRK fusion, 1 of which was associated with a significant decrease in metabolic activity as assessed by PET/CT scan. The patient with the SCL4-ROS1 fusion had stable disease for at least 6 months. All 3 patients had an improvement to, or maintenance of, a high quality of life while on study. At the time of data cutoff, 1 of the patients with a TPR-NTRK fusion remained on treatment &gt; 1 year. Conclusions: Entrectinib treatment was associated with response and prolonged disease control in these 3 patients with NTRK or ROS1 fusion-positive pancreatic cancer. NTRK and ROS1 gene fusions are rare in pancreatic cancer. The true incidence is unknown, as routine testing for gene fusions in pancreatic cancer is not yet standard practice. Given the benefit seen here with entrectinib and the clinical need for improved therapeutics, there may be value in broader and earlier molecular testing of patients with pancreatic cancer for these actionable fusions. Clinical trial information: NCT02568267.","container-title":"Journal of Clinical Oncology","DOI":"10.1200/JCO.2018.36.4_suppl.521","ISSN":"0732-183X, 1527-7755","issue":"4_suppl","journalAbbreviation":"JCO","language":"en","page":"521-521","source":"DOI.org (Crossref)","title":"Clinical benefit of entrectinib for patients with metastatic pancreatic cancer who harbor NTRK and ROS1 fusions.","volume":"36","author":[{"family":"Pishvaian","given":"Michael J."},{"family":"Rolfo","given":"Christian Diego"},{"family":"Liu","given":"Stephen V."},{"family":"Multani","given":"Pratik S."},{"family":"Chow Maneval","given":"Edna"},{"family":"Garrido-Laguna","given":"Ignacio"}],"issued":{"date-parts":[["2018",2,1]]}}}],"schema":"https://github.com/citation-style-language/schema/raw/master/csl-citation.json"} </w:instrText>
            </w:r>
            <w:r w:rsidR="0075204C">
              <w:rPr>
                <w:i/>
                <w:iCs/>
                <w:lang w:val="ru-RU"/>
              </w:rPr>
              <w:fldChar w:fldCharType="separate"/>
            </w:r>
            <w:r w:rsidR="004034C1" w:rsidRPr="004034C1">
              <w:rPr>
                <w:lang w:val="ru-RU"/>
              </w:rPr>
              <w:t>[125]</w:t>
            </w:r>
            <w:r w:rsidR="0075204C">
              <w:rPr>
                <w:i/>
                <w:iCs/>
                <w:lang w:val="ru-RU"/>
              </w:rPr>
              <w:fldChar w:fldCharType="end"/>
            </w:r>
          </w:p>
        </w:tc>
        <w:tc>
          <w:tcPr>
            <w:tcW w:w="5387" w:type="dxa"/>
          </w:tcPr>
          <w:p w14:paraId="5898C5FA"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77EFE16E"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 xml:space="preserve">Транслокация гена NTRK; </w:t>
            </w:r>
          </w:p>
          <w:p w14:paraId="48A84274"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74F8F23B" w14:textId="7A0A41F7"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53EBEC68" w14:textId="77777777" w:rsidTr="00EA7396">
        <w:trPr>
          <w:trHeight w:val="2007"/>
        </w:trPr>
        <w:tc>
          <w:tcPr>
            <w:tcW w:w="4077" w:type="dxa"/>
          </w:tcPr>
          <w:p w14:paraId="76919B29" w14:textId="2C3E9DAF"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Трастузумаб</w:t>
            </w:r>
            <w:r w:rsidRPr="00D161AB">
              <w:rPr>
                <w:i/>
                <w:lang w:val="ru-RU"/>
              </w:rPr>
              <w:t>**</w:t>
            </w:r>
            <w:r w:rsidRPr="00C83F38">
              <w:rPr>
                <w:i/>
                <w:iCs/>
                <w:lang w:val="ru-RU"/>
              </w:rPr>
              <w:t xml:space="preserve"> 6 мг/кг в/в (нагрузочная доза 8 мг/кг) каждые 21 день и </w:t>
            </w:r>
            <w:r w:rsidRPr="00D161AB">
              <w:rPr>
                <w:rFonts w:eastAsia="MS Mincho"/>
                <w:i/>
                <w:lang w:val="ru-RU" w:eastAsia="ja-JP"/>
              </w:rPr>
              <w:t>#</w:t>
            </w:r>
            <w:r w:rsidRPr="00C83F38">
              <w:rPr>
                <w:i/>
                <w:iCs/>
                <w:lang w:val="ru-RU"/>
              </w:rPr>
              <w:t>пертузумаб</w:t>
            </w:r>
            <w:r w:rsidRPr="00D161AB">
              <w:rPr>
                <w:i/>
                <w:lang w:val="ru-RU"/>
              </w:rPr>
              <w:t>**</w:t>
            </w:r>
            <w:r w:rsidRPr="00C83F38">
              <w:rPr>
                <w:i/>
                <w:iCs/>
                <w:lang w:val="ru-RU"/>
              </w:rPr>
              <w:t xml:space="preserve"> 420 мг (нагрузочная доза 840 мг) в / в (первая доза 60 мин) 1 раз в 3 нед. каждые 21 день</w:t>
            </w:r>
            <w:r w:rsidR="0075204C">
              <w:rPr>
                <w:i/>
                <w:iCs/>
                <w:lang w:val="ru-RU"/>
              </w:rPr>
              <w:fldChar w:fldCharType="begin"/>
            </w:r>
            <w:r w:rsidR="004034C1">
              <w:rPr>
                <w:i/>
                <w:iCs/>
                <w:lang w:val="ru-RU"/>
              </w:rPr>
              <w:instrText xml:space="preserve"> ADDIN ZOTERO_ITEM CSL_CITATION {"citationID":"wpVOJkWN","properties":{"formattedCitation":"[126]","plainCitation":"[126]","noteIndex":0},"citationItems":[{"id":1327,"uris":["http://zotero.org/users/5363772/items/JC3YQQCA"],"itemData":{"id":1327,"type":"report","abstract":"Abstract\n          Here, we demonstrate a complete clinical response achieved in a patient with HER2+ metastatic pancreatic ductal adenocarcinoma to a coordinated barrage of anti-HER2, personalized vaccine and checkpoint inhibition immunotherapy, radiation, and chemotherapy. Comprehensive organoid profiling with drug sensitivity screening and drug testing suggested a vulnerability to anti-HER2 directed therapy, facilitating personalized treatment selection for our patient, which contributed to her clinical benefit. Immune response monitoring following personalized vaccine, radiation and checkpoint inhibition showed a sustained increase in neoantigen specific T cell response.","genre":"preprint","language":"en","note":"DOI: 10.1101/2021.12.16.21267326","publisher":"Oncology","source":"DOI.org (Crossref)","title":"Complete remission in a patient with widely metastatic HER2-amplified pancreatic adenocarcinoma following multimodal therapy informed by tumor sequencing and organoid profiling","URL":"http://medrxiv.org/lookup/doi/10.1101/2021.12.16.21267326","author":[{"family":"King","given":"Daniel A"},{"family":"Smith","given":"Amber R"},{"family":"Pineda","given":"Gino"},{"family":"Nakano","given":"Michitaka"},{"family":"Michelini","given":"Flavia"},{"family":"Goedegebuure","given":"S. Peter"},{"family":"Thyparambil","given":"Sheeno"},{"family":"Liao","given":"Wei-Li"},{"family":"McCormick","given":"Aaron"},{"family":"Ju","given":"Jihang"},{"family":"Cioffi","given":"Michele"},{"family":"Zhang","given":"Xiuli"},{"family":"Hundal","given":"Jasreet"},{"family":"Griffith","given":"Malachi"},{"family":"Grandori","given":"Carla"},{"family":"Pollastro","given":"Maddy"},{"family":"Rosati","given":"Rachele"},{"family":"Margossian","given":"Astrid"},{"family":"Chatterjee","given":"Payel"},{"family":"Ainge","given":"Trevor"},{"family":"Flory","given":"Marta"},{"family":"Ocampo","given":"Paolo"},{"family":"Chen","given":"Lee-may"},{"family":"Poultsides","given":"George A"},{"family":"Baron","given":"Ari D"},{"family":"Chang","given":"Daniel T"},{"family":"Herman","given":"Joseph M"},{"family":"Gillanders","given":"William E"},{"family":"Park","given":"Haeseong"},{"family":"Hoos","given":"William A"},{"family":"Nichols","given":"Mike"},{"family":"Fisher","given":"George A"},{"family":"Kuo","given":"Calvin J"}],"accessed":{"date-parts":[["2023",9,21]]},"issued":{"date-parts":[["2021",12,21]]}}}],"schema":"https://github.com/citation-style-language/schema/raw/master/csl-citation.json"} </w:instrText>
            </w:r>
            <w:r w:rsidR="0075204C">
              <w:rPr>
                <w:i/>
                <w:iCs/>
                <w:lang w:val="ru-RU"/>
              </w:rPr>
              <w:fldChar w:fldCharType="separate"/>
            </w:r>
            <w:r w:rsidR="004034C1" w:rsidRPr="004034C1">
              <w:rPr>
                <w:lang w:val="ru-RU"/>
              </w:rPr>
              <w:t>[126]</w:t>
            </w:r>
            <w:r w:rsidR="0075204C">
              <w:rPr>
                <w:i/>
                <w:iCs/>
                <w:lang w:val="ru-RU"/>
              </w:rPr>
              <w:fldChar w:fldCharType="end"/>
            </w:r>
            <w:r w:rsidRPr="00C83F38">
              <w:rPr>
                <w:i/>
                <w:iCs/>
                <w:lang w:val="ru-RU"/>
              </w:rPr>
              <w:t xml:space="preserve">; </w:t>
            </w:r>
          </w:p>
          <w:p w14:paraId="205E16A5" w14:textId="12A5FFE6"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Трастузумаб дерукстекан 5,4 мг/кг в/в каждые 3 недели</w:t>
            </w:r>
            <w:r w:rsidR="00CC4EA7">
              <w:rPr>
                <w:i/>
                <w:iCs/>
                <w:lang w:val="ru-RU"/>
              </w:rPr>
              <w:fldChar w:fldCharType="begin"/>
            </w:r>
            <w:r w:rsidR="004034C1">
              <w:rPr>
                <w:i/>
                <w:iCs/>
                <w:lang w:val="ru-RU"/>
              </w:rPr>
              <w:instrText xml:space="preserve"> ADDIN ZOTERO_ITEM CSL_CITATION {"citationID":"MiQQdKPu","properties":{"formattedCitation":"[127]","plainCitation":"[127]","noteIndex":0},"citationItems":[{"id":1329,"uris":["http://zotero.org/users/5363772/items/IIV7PWYY"],"itemData":{"id":1329,"type":"article-journal","abstract":"LBA3000\n            Background: T-DXd is an antibody drug conjugate targeting HER2 and is approved in HER2-expressing breast (BC) and gastric (GC) cancers. HER2 expression is prevalent in other solid tumors. The efficacy of current treatments (Tx) in these populations, including studies with HER2-directed Tx, is modest, revealing a significant unmet medical need. Clinically meaningful activity of T-DXd was seen in HER2-expressing tumors in a phase 1 study (NCT02564900). Methods: DP-02 (NCT04482309) is an open-label phase 2 study of T-DXd 5.4 mg/kg q3w in pts with HER2-expressing (immunohistochemistry [IHC] 3+ or IHC 2+ by local or central testing) locally advanced or metastatic disease that progressed after ≥1 systemic Tx or that has no Tx options. Cohorts with biliary tract (BTC), bladder (URO), cervical (CC), endometrial (EC), ovarian (OC), pancreatic (PC), or other tumors (excluding BC, GC, colorectal cancer, and non-small cell lung cancer) were enrolled. Efficacy and safety were analyzed in all pts who received ≥1 dose of T-DXd. The primary endpoint was investigator-assessed confirmed objective response rate (ORR). Secondary endpoints included duration of response (DOR), disease control rate, progression-free and overall survival, and safety. Results: At data cutoff (16 Nov 2022; median follow-up, 9.7 mo), 267 pts had been treated (median, 2 prior lines of Tx [range, 0-13]); 75 pts were IHC 3+ and 125 were IHC 2+ by central testing. In all 267 pts, the ORR was 37.1% and median DOR (mDOR) was 11.8 mo; in pts with IHC 3+ expression, the ORR was 61.3% and mDOR was 22.1 mo. ORR per cohort is shown in all pts and those with centrally confirmed HER2 IHC 3+ or IHC 2+ expression. Grade (G) ≥3 adverse events (AEs) occurred in 58.4% of pts; 11.6% discontinued Tx due to AEs. Adjudicated drug-related interstitial lung disease/pneumonitis occurred in 18 pts (6.7% [G1, n=6; G2, n=11; G5, n=1]). Conclusions: This is the first tumor-agnostic global study of T-DXd in a broad range of HER2-expressing solid tumors. T-DXd showed encouraging ORR, particularly in pts with IHC 3+ expression, durable clinical benefit, and a manageable safety profile in this heavily pretreated population. These interim results show T-DXd to be a potential new Tx option for pts with HER2-expressing solid tumors. Clinical trial information: NCT04482309 . [Table: see text]","container-title":"Journal of Clinical Oncology","DOI":"10.1200/JCO.2023.41.17_suppl.LBA3000","ISSN":"0732-183X, 1527-7755","issue":"17_suppl","journalAbbreviation":"JCO","language":"en","page":"LBA3000-LBA3000","source":"DOI.org (Crossref)","title":"Efficacy and safety of trastuzumab deruxtecan (T-DXd) in patients (pts) with HER2-expressing solid tumors: DESTINY-PanTumor02 (DP-02) interim results.","title-short":"Efficacy and safety of trastuzumab deruxtecan (T-DXd) in patients (pts) with HER2-expressing solid tumors","volume":"41","author":[{"family":"Meric-Bernstam","given":"Funda"},{"family":"Makker","given":"Vicky"},{"family":"Oaknin","given":"Ana"},{"family":"Oh","given":"Do-Youn"},{"family":"Banerjee","given":"Susana N."},{"family":"Gonzalez Martin","given":"Antonio"},{"family":"Jung","given":"Kyung Hae"},{"family":"Lugowska","given":"Iwona A."},{"family":"Manso","given":"Luis"},{"family":"Manzano","given":"Aránzazu"},{"family":"Melichar","given":"Bohuslav"},{"family":"Siena","given":"Salvatore"},{"family":"Stroyakovskiy","given":"Daniil"},{"family":"Anoka","given":"Chiedozie"},{"family":"Ma","given":"Yan"},{"family":"Puvvada","given":"Soham D."},{"family":"Lee","given":"Jung-Yun"}],"issued":{"date-parts":[["2023",6,10]]}}}],"schema":"https://github.com/citation-style-language/schema/raw/master/csl-citation.json"} </w:instrText>
            </w:r>
            <w:r w:rsidR="00CC4EA7">
              <w:rPr>
                <w:i/>
                <w:iCs/>
                <w:lang w:val="ru-RU"/>
              </w:rPr>
              <w:fldChar w:fldCharType="separate"/>
            </w:r>
            <w:r w:rsidR="004034C1" w:rsidRPr="004034C1">
              <w:rPr>
                <w:lang w:val="ru-RU"/>
              </w:rPr>
              <w:t>[127]</w:t>
            </w:r>
            <w:r w:rsidR="00CC4EA7">
              <w:rPr>
                <w:i/>
                <w:iCs/>
                <w:lang w:val="ru-RU"/>
              </w:rPr>
              <w:fldChar w:fldCharType="end"/>
            </w:r>
          </w:p>
        </w:tc>
        <w:tc>
          <w:tcPr>
            <w:tcW w:w="5387" w:type="dxa"/>
          </w:tcPr>
          <w:p w14:paraId="042541C4"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2458AC4F"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Гиперэкспрессия или амплификация HER2/neu;</w:t>
            </w:r>
          </w:p>
          <w:p w14:paraId="78D71DB3"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54978591" w14:textId="6F9B5569"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50D1A98C" w14:textId="77777777" w:rsidTr="00EA7396">
        <w:trPr>
          <w:trHeight w:val="2007"/>
        </w:trPr>
        <w:tc>
          <w:tcPr>
            <w:tcW w:w="4077" w:type="dxa"/>
          </w:tcPr>
          <w:p w14:paraId="352880E0" w14:textId="641C58A1" w:rsidR="00644EF6" w:rsidRPr="00C83F38" w:rsidRDefault="00644EF6" w:rsidP="004E104D">
            <w:pPr>
              <w:widowControl w:val="0"/>
              <w:spacing w:line="240" w:lineRule="auto"/>
              <w:ind w:firstLine="0"/>
              <w:rPr>
                <w:i/>
                <w:iCs/>
                <w:lang w:val="ru-RU"/>
              </w:rPr>
            </w:pPr>
            <w:r w:rsidRPr="00D161AB">
              <w:rPr>
                <w:rFonts w:eastAsia="MS Mincho"/>
                <w:i/>
                <w:lang w:val="ru-RU" w:eastAsia="ja-JP"/>
              </w:rPr>
              <w:lastRenderedPageBreak/>
              <w:t>#</w:t>
            </w:r>
            <w:r w:rsidRPr="00C83F38">
              <w:rPr>
                <w:i/>
                <w:iCs/>
                <w:lang w:val="ru-RU"/>
              </w:rPr>
              <w:t>Дабрафениб</w:t>
            </w:r>
            <w:r w:rsidRPr="00D161AB">
              <w:rPr>
                <w:i/>
                <w:lang w:val="ru-RU"/>
              </w:rPr>
              <w:t>**</w:t>
            </w:r>
            <w:r w:rsidRPr="00C83F38">
              <w:rPr>
                <w:i/>
                <w:iCs/>
                <w:lang w:val="ru-RU"/>
              </w:rPr>
              <w:t xml:space="preserve"> 150 мг 2 раза в сутки внутрь ежедневно + </w:t>
            </w:r>
            <w:r w:rsidRPr="00D161AB">
              <w:rPr>
                <w:rFonts w:eastAsia="MS Mincho"/>
                <w:i/>
                <w:lang w:val="ru-RU" w:eastAsia="ja-JP"/>
              </w:rPr>
              <w:t>#</w:t>
            </w:r>
            <w:r w:rsidRPr="00C83F38">
              <w:rPr>
                <w:i/>
                <w:iCs/>
                <w:lang w:val="ru-RU"/>
              </w:rPr>
              <w:t>траметиниб</w:t>
            </w:r>
            <w:r w:rsidRPr="00D161AB">
              <w:rPr>
                <w:i/>
                <w:lang w:val="ru-RU"/>
              </w:rPr>
              <w:t>**</w:t>
            </w:r>
            <w:r w:rsidRPr="00C83F38">
              <w:rPr>
                <w:i/>
                <w:iCs/>
                <w:lang w:val="ru-RU"/>
              </w:rPr>
              <w:t xml:space="preserve"> 2 мг 1 раз в день внутрь ежедневно</w:t>
            </w:r>
            <w:r w:rsidR="00CC4EA7">
              <w:rPr>
                <w:i/>
                <w:iCs/>
                <w:lang w:val="ru-RU"/>
              </w:rPr>
              <w:fldChar w:fldCharType="begin"/>
            </w:r>
            <w:r w:rsidR="004034C1">
              <w:rPr>
                <w:i/>
                <w:iCs/>
                <w:lang w:val="ru-RU"/>
              </w:rPr>
              <w:instrText xml:space="preserve"> ADDIN ZOTERO_ITEM CSL_CITATION {"citationID":"ywsCEsVc","properties":{"formattedCitation":"[128]","plainCitation":"[128]","noteIndex":0},"citationItems":[{"id":1330,"uris":["http://zotero.org/users/5363772/items/C86GHH4U"],"itemData":{"id":1330,"type":"article-journal","abstract":"Studies have been actively conducted to identify actionable mutations and incorporate them into clinical practice in pancreatic ductal adenocarcinoma (PDAC), which is known to have a poor prognosis with traditional cytotoxic chemotherapy. A BRAF point mutation in V600E is commonly reported in KRAS wild-type PDAC, and targeting BRAF_V600E is already being applied to various carcinomas, including PDAC. Accumulated evidence also shows that not only BRAF_V600E but also short in-frame deletions of BRAF have an oncogenic function. Here, we report that a patient with BRAF N486_P490 deletion initiated on dabrafenib or trametinib, a BRAF inhibitor, and a MEK inhibitor, respectively, after cytotoxic chemotherapy failure. The patient then presented with a partial response.","container-title":"Frontiers in Oncology","DOI":"10.3389/fonc.2022.976450","ISSN":"2234-943X","journalAbbreviation":"Front. Oncol.","page":"976450","source":"DOI.org (Crossref)","title":"Efficacy of dabrafenib/trametinib in pancreatic ductal adenocarcinoma with BRAF NVTAP deletion: A case report","title-short":"Efficacy of dabrafenib/trametinib in pancreatic ductal adenocarcinoma with BRAF NVTAP deletion","volume":"12","author":[{"family":"Shin","given":"Ji Eun"},{"family":"An","given":"Ho Jung"},{"family":"Park","given":"Hyung Soon"},{"family":"Kim","given":"Hyunho"},{"family":"Shim","given":"Byoung Yong"}],"issued":{"date-parts":[["2022",11,24]]}}}],"schema":"https://github.com/citation-style-language/schema/raw/master/csl-citation.json"} </w:instrText>
            </w:r>
            <w:r w:rsidR="00CC4EA7">
              <w:rPr>
                <w:i/>
                <w:iCs/>
                <w:lang w:val="ru-RU"/>
              </w:rPr>
              <w:fldChar w:fldCharType="separate"/>
            </w:r>
            <w:r w:rsidR="004034C1" w:rsidRPr="004034C1">
              <w:rPr>
                <w:lang w:val="ru-RU"/>
              </w:rPr>
              <w:t>[128]</w:t>
            </w:r>
            <w:r w:rsidR="00CC4EA7">
              <w:rPr>
                <w:i/>
                <w:iCs/>
                <w:lang w:val="ru-RU"/>
              </w:rPr>
              <w:fldChar w:fldCharType="end"/>
            </w:r>
            <w:r w:rsidRPr="00C83F38">
              <w:rPr>
                <w:i/>
                <w:iCs/>
                <w:lang w:val="ru-RU"/>
              </w:rPr>
              <w:t>;</w:t>
            </w:r>
          </w:p>
          <w:p w14:paraId="15DE52B2" w14:textId="4051859F"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Вемурафениб</w:t>
            </w:r>
            <w:r w:rsidRPr="00D161AB">
              <w:rPr>
                <w:i/>
                <w:lang w:val="ru-RU"/>
              </w:rPr>
              <w:t>**</w:t>
            </w:r>
            <w:r w:rsidRPr="00C83F38">
              <w:rPr>
                <w:i/>
                <w:iCs/>
                <w:lang w:val="ru-RU"/>
              </w:rPr>
              <w:t xml:space="preserve"> 960 мг внутрь 2 раза в день ежедневно + </w:t>
            </w:r>
            <w:r w:rsidRPr="00D161AB">
              <w:rPr>
                <w:rFonts w:eastAsia="MS Mincho"/>
                <w:i/>
                <w:lang w:val="ru-RU" w:eastAsia="ja-JP"/>
              </w:rPr>
              <w:t>#</w:t>
            </w:r>
            <w:r w:rsidRPr="00C83F38">
              <w:rPr>
                <w:i/>
                <w:iCs/>
                <w:lang w:val="ru-RU"/>
              </w:rPr>
              <w:t>кобиметиниб</w:t>
            </w:r>
            <w:r w:rsidRPr="00D161AB">
              <w:rPr>
                <w:i/>
                <w:lang w:val="ru-RU"/>
              </w:rPr>
              <w:t>**</w:t>
            </w:r>
            <w:r w:rsidRPr="00C83F38">
              <w:rPr>
                <w:i/>
                <w:iCs/>
                <w:lang w:val="ru-RU"/>
              </w:rPr>
              <w:t xml:space="preserve"> 60 мг в день 3 недели приема 1 неделя перерыв</w:t>
            </w:r>
            <w:r w:rsidR="00CC4EA7">
              <w:rPr>
                <w:i/>
                <w:iCs/>
                <w:lang w:val="ru-RU"/>
              </w:rPr>
              <w:fldChar w:fldCharType="begin"/>
            </w:r>
            <w:r w:rsidR="004034C1">
              <w:rPr>
                <w:i/>
                <w:iCs/>
                <w:lang w:val="ru-RU"/>
              </w:rPr>
              <w:instrText xml:space="preserve"> ADDIN ZOTERO_ITEM CSL_CITATION {"citationID":"HSOsCVMq","properties":{"formattedCitation":"[129]","plainCitation":"[129]","noteIndex":0},"citationItems":[{"id":1332,"uris":["http://zotero.org/users/5363772/items/UMXFXMTT"],"itemData":{"id":1332,"type":"article-journal","abstract":"Vemurafenib and trametinib have a lot of successful experiences in the treatment of unresectable or metastatic melanoma with BRAF V600E mutation. However, they have not been reported in the treatment of advanced pancreatic ductal adenocarcinoma (PDAC). We report here a 66-year-old male who was diagnosed as PDAC with multiple metastases of the abdominal cavity and liver according to pathological examination. After three cycles of gemcitabine plus nab-paclitaxel (GA) regimen chemotherapy, the liver metastasis of the patient progressed, and the patient could not continue to receive chemotherapy because of poor physical condition. BRAF V600E mutation was found by genetic detection in this patient, so targeted therapy with vemurafenib combined with trametinib was performed and the follow-up period was up to 24 months. To the best of our knowledge, this is a rare report that patients with stage IV PDAC with BRAF V600E mutation can receive significantly survival benefits from targeted therapy with vemurafenib combined with trametinib. This report provides experience for the use of these two drugs in patients with advanced PDAC.","container-title":"Frontiers in Oncology","DOI":"10.3389/fonc.2021.801320","ISSN":"2234-943X","journalAbbreviation":"Front. Oncol.","page":"801320","source":"DOI.org (Crossref)","title":"Vemurafenib Combined With Trametinib Significantly Benefits the Survival of a Patient With Stage IV Pancreatic Ductal Adenocarcinoma With BRAF V600E Mutation: A Case Report","title-short":"Vemurafenib Combined With Trametinib Significantly Benefits the Survival of a Patient With Stage IV Pancreatic Ductal Adenocarcinoma With BRAF V600E Mutation","volume":"11","author":[{"family":"Wang","given":"Ziyao"},{"family":"He","given":"Du"},{"family":"Chen","given":"Chen"},{"family":"Liu","given":"Xubao"},{"family":"Ke","given":"Nengwen"}],"issued":{"date-parts":[["2022",1,25]]}}}],"schema":"https://github.com/citation-style-language/schema/raw/master/csl-citation.json"} </w:instrText>
            </w:r>
            <w:r w:rsidR="00CC4EA7">
              <w:rPr>
                <w:i/>
                <w:iCs/>
                <w:lang w:val="ru-RU"/>
              </w:rPr>
              <w:fldChar w:fldCharType="separate"/>
            </w:r>
            <w:r w:rsidR="004034C1" w:rsidRPr="004034C1">
              <w:rPr>
                <w:lang w:val="ru-RU"/>
              </w:rPr>
              <w:t>[129]</w:t>
            </w:r>
            <w:r w:rsidR="00CC4EA7">
              <w:rPr>
                <w:i/>
                <w:iCs/>
                <w:lang w:val="ru-RU"/>
              </w:rPr>
              <w:fldChar w:fldCharType="end"/>
            </w:r>
            <w:r w:rsidRPr="00C83F38">
              <w:rPr>
                <w:i/>
                <w:iCs/>
                <w:lang w:val="ru-RU"/>
              </w:rPr>
              <w:t>.</w:t>
            </w:r>
          </w:p>
        </w:tc>
        <w:tc>
          <w:tcPr>
            <w:tcW w:w="5387" w:type="dxa"/>
          </w:tcPr>
          <w:p w14:paraId="00C77E2D"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00403355"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Мутация BRAF V600;</w:t>
            </w:r>
          </w:p>
          <w:p w14:paraId="39FDF316"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0D17457E" w14:textId="5E63629A"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229ED5AA" w14:textId="77777777" w:rsidTr="00EA7396">
        <w:trPr>
          <w:trHeight w:val="2007"/>
        </w:trPr>
        <w:tc>
          <w:tcPr>
            <w:tcW w:w="4077" w:type="dxa"/>
          </w:tcPr>
          <w:p w14:paraId="25CA8696" w14:textId="050A7E13"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Кризотиниб</w:t>
            </w:r>
            <w:r w:rsidRPr="00D161AB">
              <w:rPr>
                <w:i/>
                <w:lang w:val="ru-RU"/>
              </w:rPr>
              <w:t>**</w:t>
            </w:r>
            <w:r w:rsidRPr="00C83F38">
              <w:rPr>
                <w:i/>
                <w:iCs/>
                <w:lang w:val="ru-RU"/>
              </w:rPr>
              <w:t xml:space="preserve"> по 250 мг 2 раза в сутки внутрь ежедневно</w:t>
            </w:r>
            <w:r w:rsidR="003369D7">
              <w:rPr>
                <w:i/>
                <w:iCs/>
                <w:lang w:val="ru-RU"/>
              </w:rPr>
              <w:fldChar w:fldCharType="begin"/>
            </w:r>
            <w:r w:rsidR="004034C1">
              <w:rPr>
                <w:i/>
                <w:iCs/>
                <w:lang w:val="ru-RU"/>
              </w:rPr>
              <w:instrText xml:space="preserve"> ADDIN ZOTERO_ITEM CSL_CITATION {"citationID":"jnDhSbT2","properties":{"formattedCitation":"[130]","plainCitation":"[130]","noteIndex":0},"citationItems":[{"id":1334,"uris":["http://zotero.org/users/5363772/items/AS8QHATC"],"itemData":{"id":1334,"type":"article-journal","container-title":"JCO Precision Oncology","DOI":"10.1200/PO.17.00016","ISSN":"2473-4284","issue":"1","journalAbbreviation":"JCO Precision Oncology","language":"en","page":"1-5","source":"DOI.org (Crossref)","title":"Anaplastic Lymphoma Kinase Rearrangement and Response to Crizotinib in Pancreatic Ductal Adenocarcinoma","author":[{"family":"Tuli","given":"Richard"},{"family":"Lo","given":"Simon"},{"family":"Koo","given":"Jaimie"},{"family":"Pishvaian","given":"Michael"},{"family":"Bender","given":"R. Joseph"},{"family":"Petricoin","given":"Emanuel"},{"family":"Brody","given":"Jonathan"},{"family":"Nissen","given":"Nicholas"}],"issued":{"date-parts":[["2017",11]]}}}],"schema":"https://github.com/citation-style-language/schema/raw/master/csl-citation.json"} </w:instrText>
            </w:r>
            <w:r w:rsidR="003369D7">
              <w:rPr>
                <w:i/>
                <w:iCs/>
                <w:lang w:val="ru-RU"/>
              </w:rPr>
              <w:fldChar w:fldCharType="separate"/>
            </w:r>
            <w:r w:rsidR="004034C1" w:rsidRPr="004034C1">
              <w:rPr>
                <w:lang w:val="ru-RU"/>
              </w:rPr>
              <w:t>[130]</w:t>
            </w:r>
            <w:r w:rsidR="003369D7">
              <w:rPr>
                <w:i/>
                <w:iCs/>
                <w:lang w:val="ru-RU"/>
              </w:rPr>
              <w:fldChar w:fldCharType="end"/>
            </w:r>
            <w:r w:rsidRPr="00C83F38">
              <w:rPr>
                <w:i/>
                <w:iCs/>
                <w:lang w:val="ru-RU"/>
              </w:rPr>
              <w:t xml:space="preserve">; </w:t>
            </w:r>
          </w:p>
          <w:p w14:paraId="6599FDC2" w14:textId="184DED6F"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Церитиниб</w:t>
            </w:r>
            <w:r w:rsidRPr="00D161AB">
              <w:rPr>
                <w:i/>
                <w:lang w:val="ru-RU"/>
              </w:rPr>
              <w:t>**</w:t>
            </w:r>
            <w:r w:rsidRPr="00C83F38">
              <w:rPr>
                <w:i/>
                <w:iCs/>
                <w:lang w:val="ru-RU"/>
              </w:rPr>
              <w:t xml:space="preserve"> 450 мг в сутки внутрь ежедневно</w:t>
            </w:r>
            <w:r w:rsidR="003369D7">
              <w:rPr>
                <w:i/>
                <w:iCs/>
                <w:lang w:val="ru-RU"/>
              </w:rPr>
              <w:fldChar w:fldCharType="begin"/>
            </w:r>
            <w:r w:rsidR="004034C1">
              <w:rPr>
                <w:i/>
                <w:iCs/>
                <w:lang w:val="ru-RU"/>
              </w:rPr>
              <w:instrText xml:space="preserve"> ADDIN ZOTERO_ITEM CSL_CITATION {"citationID":"Xll4ilqf","properties":{"formattedCitation":"[131,132]","plainCitation":"[131,132]","noteIndex":0},"citationItems":[{"id":1337,"uris":["http://zotero.org/users/5363772/items/I6USJU5G"],"itemData":{"id":1337,"type":"article-journal","abstract":"Abstract\n            In this phase I, dose‐escalation study, we sought to determine the maximum tolerated dose (MTD) of the anaplastic lymphoma kinase/c‐ROS oncogene 1 receptor (ALK/ROS1) inhibitor ceritinib in combination with gemcitabine‐based chemotherapy in patients with advanced solid tumors. Secondary objectives were characterization of the safety profile, pharmacokinetics and preliminary efficacy of these combinations, and identification of potential biomarkers of efficacy. Ceritinib was combined with gemcitabine (Arm 1), gemcitabine/nab‐paclitaxel (Arm 2) or gemcitabine/cisplatin (Arm 3). Drug concentrations in plasma were measured by tandem mass spectrometric detection (LC‐MS/MS). We analyzed archival tumor tissue for ALK, ROS1, hepatocyte growth factor receptor (c‐MET) and c‐Jun N‐terminal kinase (JNK) expression by immunohistochemistry. Arm 2 closed early secondary to toxicity. Twenty‐one patients were evaluable for dose‐limiting toxicity (DLT). There was one DLT in Arm 1 (grade 3 ALT increase) and three DLTs in Arm 3 (grade 3 acute renal failure, grade 3 thrombocytopenia, grade 3 dyspnea). The MTD of ceritinib was determined to be 600 mg (Arm 1) and 450 mg orally daily (Arm 3). Main toxicities were hematologic, constitutional and gastrointestinal as expected by the chemotherapy backbone. The apparent clearance for ceritinib decreased substantially after repeated dosing; cisplatin did not significantly affect the pharmacokinetics of ceritinib. The overall response rate was 20%; the median progression‐free survival was 4.8 months. Three out of five response‐evaluable cholangiocarcinoma patients had clinical benefit. Increased expression of c‐MET was associated with a lack of clinical benefit. Ceritinib in combination with gemcitabine and gemcitabine/cisplatin has a manageable toxicity profile. Further development of this strategy in tumors with ALK or ROS1 fusions is warranted.\n          , \n            \n              What's new?\n            \n            \n              ALK/ROS1 inhibitors have\n              in vitro\n              and\n              in vivo\n              synergy with cytotoxic agents and can effectively kill tumour cell subpopulations that either lack ALK/ROS1 aberrations or are resistant to ALK/ROS1 inhibition. In this phase I trial, the authors show that the highly selective oral ALK/ROS1 inhibitor ceritinib can be combined with gemcitabine‐based chemotherapy in humans with a manageable toxicity profile. Furthermore, c‐MET expression as measured by immunohistochemistry could be a potential negative predictive biomarker for treatment benefit. The results pave the way for further development of this combination strategy in tumours with ALK or ROS1 fusions.","container-title":"International Journal of Cancer","DOI":"10.1002/ijc.33754","ISSN":"0020-7136, 1097-0215","issue":"12","journalAbbreviation":"Intl Journal of Cancer","language":"en","page":"2063-2074","source":"DOI.org (Crossref)","title":"A phase I study of the &lt;span style=\"font-variant:small-caps;\"&gt;anaplastic lymphoma kinase&lt;/span&gt; inhibitor ceritinib in combination with &lt;span style=\"font-variant:small-caps;\"&gt;gemcitabine‐based&lt;/span&gt; chemotherapy in patients with advanced solid tumors","title-short":"A phase I study of the &lt;span style=\"font-variant","volume":"149","author":[{"family":"Fountzilas","given":"Christos"},{"family":"Adjei","given":"Alex"},{"family":"Opyrchal","given":"Mateusz"},{"family":"Evans","given":"Rachel"},{"family":"Ghasemi","given":"Mohammad"},{"family":"Attwood","given":"Kristopher"},{"family":"Groman","given":"Adrienne"},{"family":"Bshara","given":"Wiam"},{"family":"Goey","given":"Andrew"},{"family":"Wilton","given":"John"},{"family":"Ma","given":"Wen Wee"},{"family":"Iyer","given":"Renuka"}],"issued":{"date-parts":[["2021",12,15]]}}},{"id":1335,"uris":["http://zotero.org/users/5363772/items/JW38RXBC"],"itemData":{"id":1335,"type":"article-journal","abstract":"Pancreatic cancer (PC) is predominantly incurable and is primarily treated with gemcitabine, but drug resistance commonly develops. Thus, new medicines are needed. Ceritinib (LDK378) is a second-generation tyrosine kinase inhibitor of anaplastic lymphoma kinase (ALK) with antitumor activity in various cancers. However, studies involving ceritinib for the treatment of PC are inadequate. We analyzed the combined effects of ceritinib and gemcitabine on PC and their mechanism of action. Three PC cell lines were used to evaluate the antitumor effects of ceritinib combined with gemcitabine. We analyzed cell viability using CCK-8 assays, determined apoptosis levels through flow cytometry, and analyzed autophagy and cell signaling pathways by Western blotting and tissue array analysis with samples from xenograft models. Ceritinib strongly inhibited the proliferation of PC cells in a dose-dependent manner, induced apoptosis, and inhibited autophagy and cell migration by regulating relevant factors. Ceritinib in combination with gemcitabine exhibited significant growth inhibition and additive antitumor effects in vitro. In vivo, gemcitabine and ceritinib reduced tumor size by up to 30%. In our study, ALK was shown to be highly expressed in various PC cells and tissues. Ceritinib strongly inhibited the levels of activated ALK in PC cells with subsequent effects on the downstream mediators STAT3, AKT, and ERK. In addition, ceritinib inhibited tumor progression in xenograft models. Overall, our research shows that ceritinib inhibits the ALK signaling pathway, leading to cell growth/angiogenesis inhibition in PC and the induction of apoptosis. We recommend using ceritinib as a new treatment for PC.\n            NEW &amp; NOTEWORTHY These data proved that ceritinib inhibits the anaplastic lymphoma kinase signaling pathway, leading to cell growth/angiogenesis inhibition and the induction of apoptosis by inhibiting STAT3, AKT, and ERK pathway in pancreatic cancer (PC). We recommend using ceritinib as a new treatment for PC.","container-title":"American Journal of Physiology-Gastrointestinal and Liver Physiology","DOI":"10.1152/ajpgi.00130.2019","ISSN":"0193-1857, 1522-1547","issue":"1","journalAbbreviation":"American Journal of Physiology-Gastrointestinal and Liver Physiology","language":"en","page":"G109-G119","source":"DOI.org (Crossref)","title":"Antitumor activity and combined inhibitory effect of ceritinib with gemcitabine in pancreatic cancer","volume":"318","author":[{"family":"Jamshed","given":"Muhammad Babar"},{"family":"Munir","given":"Fahad"},{"family":"Shahid","given":"Numan"},{"family":"Sadiq","given":"Ussama"},{"family":"Muhammad","given":"Syed Aun"},{"family":"Ghanem","given":"Noor Bader"},{"family":"Zhong","given":"Hong"},{"family":"Li","given":"Xiaokun"},{"family":"Zhang","given":"Qiyu"}],"issued":{"date-parts":[["2020",1,1]]}}}],"schema":"https://github.com/citation-style-language/schema/raw/master/csl-citation.json"} </w:instrText>
            </w:r>
            <w:r w:rsidR="003369D7">
              <w:rPr>
                <w:i/>
                <w:iCs/>
                <w:lang w:val="ru-RU"/>
              </w:rPr>
              <w:fldChar w:fldCharType="separate"/>
            </w:r>
            <w:r w:rsidR="004034C1" w:rsidRPr="004034C1">
              <w:t>[131,132]</w:t>
            </w:r>
            <w:r w:rsidR="003369D7">
              <w:rPr>
                <w:i/>
                <w:iCs/>
                <w:lang w:val="ru-RU"/>
              </w:rPr>
              <w:fldChar w:fldCharType="end"/>
            </w:r>
            <w:r w:rsidRPr="00C83F38">
              <w:rPr>
                <w:i/>
                <w:iCs/>
                <w:lang w:val="ru-RU"/>
              </w:rPr>
              <w:t xml:space="preserve">; </w:t>
            </w:r>
          </w:p>
          <w:p w14:paraId="6BE65DCD" w14:textId="5DE146B1"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Лорлатиниб 100 мг 1 раз в сутки внутрь ежедневно</w:t>
            </w:r>
            <w:r w:rsidR="003369D7">
              <w:rPr>
                <w:i/>
                <w:iCs/>
                <w:lang w:val="ru-RU"/>
              </w:rPr>
              <w:fldChar w:fldCharType="begin"/>
            </w:r>
            <w:r w:rsidR="004034C1">
              <w:rPr>
                <w:i/>
                <w:iCs/>
                <w:lang w:val="ru-RU"/>
              </w:rPr>
              <w:instrText xml:space="preserve"> ADDIN ZOTERO_ITEM CSL_CITATION {"citationID":"RwVh9tTt","properties":{"formattedCitation":"[133]","plainCitation":"[133]","noteIndex":0},"citationItems":[{"id":1339,"uris":["http://zotero.org/users/5363772/items/YK7N8KB2"],"itemData":{"id":1339,"type":"article-journal","abstract":"&lt;b&gt;&lt;i&gt;Introduction:&lt;/i&gt;&lt;/b&gt; The prognosis of pancreatic cancer has improved only modestly in recent years. This is partly due to the lack of development in precision oncology including immune oncology in this entity. Rearrangements of the proto-oncogene tyrosine protein kinase &lt;i&gt;ROS1&lt;/i&gt; gene represent driver alterations found especially in lung cancer. Tyrosine kinase inhibitors (TKI) with activity against ROS1 including lorlatinib substantially improved the outcome of this patient population. Anecdotal evidence reports treatment of pancreatic cancer harboring &lt;i&gt;ROS1&lt;/i&gt; fusions with ROS1 TKI, but data concerning treatment of patients with &lt;i&gt;ROS1&lt;/i&gt; point mutations are lacking. &lt;b&gt;&lt;i&gt;Case Presentation:&lt;/i&gt;&lt;/b&gt; This case describes a pancreatic cancer patient harboring a &lt;i&gt;ROS1&lt;/i&gt; point mutation that occurred without an underlying &lt;i&gt;ROS1&lt;/i&gt; rearrangement and thus not in the resistance situation. The heavily pretreated patient showed a strong decrease of the tumor biomarkers (CA19-9 and CEA) and radiologically a durable stable disease to the targeted treatment with lorlatinib, thereby achieving a progression-free survival of 12 months. &lt;b&gt;&lt;i&gt;Conclusion:&lt;/i&gt;&lt;/b&gt; Our data are the first to show a clinical benefit from targeted treatment with ROS1 TKI in a cancer patient with a thus far undescribed &lt;i&gt;ROS1&lt;/i&gt; point mutation without a concomitant &lt;i&gt;ROS1&lt;/i&gt; rearrangement. Furthermore, they indicate that &lt;i&gt;ROS1&lt;/i&gt; could be an oncogenic driver in pancreatic cancer. This subgroup could be eligible for targeted treatments, which may contribute to the urgently needed improvement in patient outcome.","container-title":"Oncology Research and Treatment","DOI":"10.1159/000517616","ISSN":"2296-5270, 2296-5262","issue":"9","journalAbbreviation":"Oncol Res Treat","language":"en","page":"495-502","source":"DOI.org (Crossref)","title":"Lorlatinib Induces Durable Disease Stabilization in a Pancreatic Cancer Patient with a &lt;b&gt;&lt;i&gt;ROS1&lt;/i&gt;&lt;/b&gt; p.L1950F Mutation: Case Report","title-short":"Lorlatinib Induces Durable Disease Stabilization in a Pancreatic Cancer Patient with a &lt;b&gt;&lt;i&gt;ROS1&lt;/i&gt;&lt;/b&gt; p.L1950F Mutation","volume":"44","author":[{"family":"Velthaus","given":"Janna-Lisa"},{"family":"Iglauer","given":"Peter"},{"family":"Simon","given":"Ronald"},{"family":"Bokemeyer","given":"Carsten"},{"family":"Bannas","given":"Peter"},{"family":"Beumer","given":"Niklas"},{"family":"Imbusch","given":"Charles D."},{"family":"Goekkurt","given":"Eray"},{"family":"Loges","given":"Sonja"}],"issued":{"date-parts":[["2021"]]}}}],"schema":"https://github.com/citation-style-language/schema/raw/master/csl-citation.json"} </w:instrText>
            </w:r>
            <w:r w:rsidR="003369D7">
              <w:rPr>
                <w:i/>
                <w:iCs/>
                <w:lang w:val="ru-RU"/>
              </w:rPr>
              <w:fldChar w:fldCharType="separate"/>
            </w:r>
            <w:r w:rsidR="004034C1" w:rsidRPr="004034C1">
              <w:t>[133]</w:t>
            </w:r>
            <w:r w:rsidR="003369D7">
              <w:rPr>
                <w:i/>
                <w:iCs/>
                <w:lang w:val="ru-RU"/>
              </w:rPr>
              <w:fldChar w:fldCharType="end"/>
            </w:r>
            <w:r w:rsidRPr="00C83F38">
              <w:rPr>
                <w:i/>
                <w:iCs/>
                <w:lang w:val="ru-RU"/>
              </w:rPr>
              <w:t>.</w:t>
            </w:r>
          </w:p>
        </w:tc>
        <w:tc>
          <w:tcPr>
            <w:tcW w:w="5387" w:type="dxa"/>
          </w:tcPr>
          <w:p w14:paraId="6F1CE747"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42E192E4"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Транслокация ALK или ROS1;</w:t>
            </w:r>
          </w:p>
          <w:p w14:paraId="62CD17A8"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7FA9729C" w14:textId="71117845"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52D0ED87" w14:textId="77777777" w:rsidTr="00EA7396">
        <w:trPr>
          <w:trHeight w:val="2007"/>
        </w:trPr>
        <w:tc>
          <w:tcPr>
            <w:tcW w:w="4077" w:type="dxa"/>
          </w:tcPr>
          <w:p w14:paraId="7EA15317" w14:textId="0EDA77E9"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Алектиниб</w:t>
            </w:r>
            <w:r w:rsidRPr="00D161AB">
              <w:rPr>
                <w:i/>
                <w:lang w:val="ru-RU"/>
              </w:rPr>
              <w:t>**</w:t>
            </w:r>
            <w:r w:rsidRPr="00C83F38">
              <w:rPr>
                <w:i/>
                <w:iCs/>
                <w:lang w:val="ru-RU"/>
              </w:rPr>
              <w:t xml:space="preserve"> 600 мг 2 раза в сутки внутрь ежедневно</w:t>
            </w:r>
            <w:r w:rsidR="003369D7">
              <w:rPr>
                <w:i/>
                <w:iCs/>
                <w:lang w:val="ru-RU"/>
              </w:rPr>
              <w:fldChar w:fldCharType="begin"/>
            </w:r>
            <w:r w:rsidR="004034C1">
              <w:rPr>
                <w:i/>
                <w:iCs/>
                <w:lang w:val="ru-RU"/>
              </w:rPr>
              <w:instrText xml:space="preserve"> ADDIN ZOTERO_ITEM CSL_CITATION {"citationID":"LbIszOAF","properties":{"formattedCitation":"[134]","plainCitation":"[134]","noteIndex":0},"citationItems":[{"id":1340,"uris":["http://zotero.org/users/5363772/items/F48H3N4S"],"itemData":{"id":1340,"type":"article-journal","container-title":"JCO Precision Oncology","DOI":"10.1200/PO.21.00400","ISSN":"2473-4284","issue":"6","journalAbbreviation":"JCO Precision Oncology","language":"en","page":"e2100400","source":"DOI.org (Crossref)","title":"Exceptional Clinical Response to Alectinib in Pancreatic Acinar Cell Carcinoma With a Novel ALK-KANK4 Gene Fusion","author":[{"family":"Gaule","given":"Marina"},{"family":"Pesoni","given":"Camilla"},{"family":"Quinzii","given":"Alberto"},{"family":"Zecchetto","given":"Camilla"},{"family":"Casalino","given":"Simona"},{"family":"Merz","given":"Valeria"},{"family":"Contarelli","given":"Serena"},{"family":"Pietrobono","given":"Silvia"},{"family":"Vissio","given":"Elena"},{"family":"Molinaro","given":"Luca"},{"family":"Manzin","given":"Enrica"},{"family":"Volpatto","given":"Roberta"},{"family":"Vellani","given":"Giorgio"},{"family":"Melisi","given":"Davide"}],"issued":{"date-parts":[["2022",5]]}}}],"schema":"https://github.com/citation-style-language/schema/raw/master/csl-citation.json"} </w:instrText>
            </w:r>
            <w:r w:rsidR="003369D7">
              <w:rPr>
                <w:i/>
                <w:iCs/>
                <w:lang w:val="ru-RU"/>
              </w:rPr>
              <w:fldChar w:fldCharType="separate"/>
            </w:r>
            <w:r w:rsidR="004034C1" w:rsidRPr="004034C1">
              <w:rPr>
                <w:lang w:val="ru-RU"/>
              </w:rPr>
              <w:t>[134]</w:t>
            </w:r>
            <w:r w:rsidR="003369D7">
              <w:rPr>
                <w:i/>
                <w:iCs/>
                <w:lang w:val="ru-RU"/>
              </w:rPr>
              <w:fldChar w:fldCharType="end"/>
            </w:r>
            <w:r w:rsidRPr="00C83F38">
              <w:rPr>
                <w:i/>
                <w:iCs/>
                <w:lang w:val="ru-RU"/>
              </w:rPr>
              <w:t>.</w:t>
            </w:r>
          </w:p>
        </w:tc>
        <w:tc>
          <w:tcPr>
            <w:tcW w:w="5387" w:type="dxa"/>
          </w:tcPr>
          <w:p w14:paraId="1E5AB559"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18EBE975"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Транслокация ALK;</w:t>
            </w:r>
          </w:p>
          <w:p w14:paraId="2D67E3FA"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0DFD8B2D" w14:textId="05A1C9B0"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r w:rsidR="00644EF6" w:rsidRPr="0060277C" w14:paraId="03EDEFBE" w14:textId="77777777" w:rsidTr="00EA7396">
        <w:trPr>
          <w:trHeight w:val="2007"/>
        </w:trPr>
        <w:tc>
          <w:tcPr>
            <w:tcW w:w="4077" w:type="dxa"/>
          </w:tcPr>
          <w:p w14:paraId="2AC30C94" w14:textId="70AC1391"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Гефитиниб</w:t>
            </w:r>
            <w:r w:rsidRPr="00D161AB">
              <w:rPr>
                <w:i/>
                <w:lang w:val="ru-RU"/>
              </w:rPr>
              <w:t>**</w:t>
            </w:r>
            <w:r w:rsidRPr="00C83F38">
              <w:rPr>
                <w:i/>
                <w:iCs/>
                <w:lang w:val="ru-RU"/>
              </w:rPr>
              <w:t xml:space="preserve"> по 250 мг внутрь ежедневно</w:t>
            </w:r>
            <w:r w:rsidR="003369D7">
              <w:rPr>
                <w:i/>
                <w:iCs/>
                <w:lang w:val="ru-RU"/>
              </w:rPr>
              <w:fldChar w:fldCharType="begin"/>
            </w:r>
            <w:r w:rsidR="004034C1">
              <w:rPr>
                <w:i/>
                <w:iCs/>
                <w:lang w:val="ru-RU"/>
              </w:rPr>
              <w:instrText xml:space="preserve"> ADDIN ZOTERO_ITEM CSL_CITATION {"citationID":"HDnHASAC","properties":{"formattedCitation":"[135,136]","plainCitation":"[135,136]","noteIndex":0},"citationItems":[{"id":1342,"uris":["http://zotero.org/users/5363772/items/E8Q4YYUT"],"itemData":{"id":1342,"type":"article-journal","container-title":"Cancer","DOI":"10.1002/cncr.22559","ISSN":"0008543X, 10970142","issue":"8","journalAbbreviation":"Cancer","language":"en","page":"1561-1569","source":"DOI.org (Crossref)","title":"Impact of epidermal growth factor receptor (EGFR) kinase mutations,EGFR gene amplifications, andKRAS mutations on survival of pancreatic adenocarcinoma","volume":"109","author":[{"family":"Lee","given":"Jeeyun"},{"family":"Jang","given":"Kee-Taek"},{"family":"Ki","given":"Chang-Seok"},{"family":"Lim","given":"Taekyu"},{"family":"Park","given":"Young Suk"},{"family":"Lim","given":"Ho Yeong"},{"family":"Choi","given":"Dong-Wook"},{"family":"Kang","given":"Won Ki"},{"family":"Park","given":"Keunchil"},{"family":"Park","given":"Joon Oh"}],"issued":{"date-parts":[["2007",4,15]]}}},{"id":1346,"uris":["http://zotero.org/users/5363772/items/KXYHB738"],"itemData":{"id":1346,"type":"article-journal","container-title":"Translational Lung Cancer Research","DOI":"10.21037/tlcr-20-1028","ISSN":"22186751, 22264477","issue":"2","journalAbbreviation":"Transl Lung Cancer Res","page":"839-854","source":"DOI.org (Crossref)","title":"Fruquintinib with gefitinib as first-line therapy in patients carrying EGFR mutations with advanced non-small cell lung cancer: a single-arm, phase II study","title-short":"Fruquintinib with gefitinib as first-line therapy in patients carrying EGFR mutations with advanced non-small cell lung cancer","volume":"10","author":[{"family":"Lu","given":"Shun"},{"family":"Zhou","given":"Jian-Ying"},{"family":"Niu","given":"Xiao-Min"},{"family":"Zhou","given":"Jian-Ya"},{"family":"Jian","given":"Hong"},{"family":"Yin","given":"Hong-Yan"},{"family":"Guan","given":"Sha"},{"family":"Wang","given":"Lin-Fang"},{"family":"Li","given":"Ke"},{"family":"He","given":"James"},{"family":"Su","given":"Wei-Guo"}],"issued":{"date-parts":[["2021",2]]}}}],"schema":"https://github.com/citation-style-language/schema/raw/master/csl-citation.json"} </w:instrText>
            </w:r>
            <w:r w:rsidR="003369D7">
              <w:rPr>
                <w:i/>
                <w:iCs/>
                <w:lang w:val="ru-RU"/>
              </w:rPr>
              <w:fldChar w:fldCharType="separate"/>
            </w:r>
            <w:r w:rsidR="004034C1" w:rsidRPr="004034C1">
              <w:rPr>
                <w:lang w:val="ru-RU"/>
              </w:rPr>
              <w:t>[135,136]</w:t>
            </w:r>
            <w:r w:rsidR="003369D7">
              <w:rPr>
                <w:i/>
                <w:iCs/>
                <w:lang w:val="ru-RU"/>
              </w:rPr>
              <w:fldChar w:fldCharType="end"/>
            </w:r>
            <w:r w:rsidRPr="00C83F38">
              <w:rPr>
                <w:i/>
                <w:iCs/>
                <w:lang w:val="ru-RU"/>
              </w:rPr>
              <w:t>;</w:t>
            </w:r>
          </w:p>
          <w:p w14:paraId="17C6409E" w14:textId="78975A19" w:rsidR="00644EF6" w:rsidRPr="00C83F38" w:rsidRDefault="00644EF6" w:rsidP="004E104D">
            <w:pPr>
              <w:widowControl w:val="0"/>
              <w:spacing w:line="240" w:lineRule="auto"/>
              <w:ind w:firstLine="0"/>
              <w:rPr>
                <w:i/>
                <w:iCs/>
                <w:lang w:val="ru-RU"/>
              </w:rPr>
            </w:pPr>
            <w:r w:rsidRPr="00D161AB">
              <w:rPr>
                <w:rFonts w:eastAsia="MS Mincho"/>
                <w:i/>
                <w:lang w:val="ru-RU" w:eastAsia="ja-JP"/>
              </w:rPr>
              <w:t>#</w:t>
            </w:r>
            <w:r w:rsidRPr="00C83F38">
              <w:rPr>
                <w:i/>
                <w:iCs/>
                <w:lang w:val="ru-RU"/>
              </w:rPr>
              <w:t>Эрлотиниб</w:t>
            </w:r>
            <w:r w:rsidRPr="00D161AB">
              <w:rPr>
                <w:i/>
                <w:lang w:val="ru-RU"/>
              </w:rPr>
              <w:t>**</w:t>
            </w:r>
            <w:r w:rsidRPr="00C83F38">
              <w:rPr>
                <w:i/>
                <w:iCs/>
                <w:lang w:val="ru-RU"/>
              </w:rPr>
              <w:t xml:space="preserve"> по 150 мг внутрь ежедневно</w:t>
            </w:r>
            <w:r w:rsidR="003369D7">
              <w:rPr>
                <w:i/>
                <w:iCs/>
                <w:lang w:val="ru-RU"/>
              </w:rPr>
              <w:fldChar w:fldCharType="begin"/>
            </w:r>
            <w:r w:rsidR="004034C1">
              <w:rPr>
                <w:i/>
                <w:iCs/>
                <w:lang w:val="ru-RU"/>
              </w:rPr>
              <w:instrText xml:space="preserve"> ADDIN ZOTERO_ITEM CSL_CITATION {"citationID":"tGriyzFT","properties":{"formattedCitation":"[137]","plainCitation":"[137]","noteIndex":0},"citationItems":[{"id":1344,"uris":["http://zotero.org/users/5363772/items/4AL78BFT"],"itemData":{"id":1344,"type":"article-journal","container-title":"Oncotarget","DOI":"10.18632/oncotarget.4216","ISSN":"1949-2553","issue":"20","journalAbbreviation":"Oncotarget","language":"en","page":"18162-18173","source":"DOI.org (Crossref)","title":"Erlotinib is effective in pancreatic cancer with epidermal growth factor receptor mutations: a randomized, open-label, prospective trial","title-short":"Erlotinib is effective in pancreatic cancer with epidermal growth factor receptor mutations","volume":"6","author":[{"family":"Wang","given":"Jack P."},{"family":"Wu","given":"Chen-Yi"},{"family":"Yeh","given":"Yi-Cheng"},{"family":"Shyr","given":"Yi-Ming"},{"family":"Wu","given":"Ying-Ying"},{"family":"Kuo","given":"Chen-Yu"},{"family":"Hung","given":"Yi-Ping"},{"family":"Chen","given":"Ming-Huang"},{"family":"Lee","given":"Wei-Ping"},{"family":"Luo","given":"Jiing-Chyuan"},{"family":"Chao","given":"Yee"},{"family":"Li","given":"Chung-Pin"}],"issued":{"date-parts":[["2015",7,20]]}}}],"schema":"https://github.com/citation-style-language/schema/raw/master/csl-citation.json"} </w:instrText>
            </w:r>
            <w:r w:rsidR="003369D7">
              <w:rPr>
                <w:i/>
                <w:iCs/>
                <w:lang w:val="ru-RU"/>
              </w:rPr>
              <w:fldChar w:fldCharType="separate"/>
            </w:r>
            <w:r w:rsidR="004034C1" w:rsidRPr="004034C1">
              <w:rPr>
                <w:lang w:val="ru-RU"/>
              </w:rPr>
              <w:t>[137]</w:t>
            </w:r>
            <w:r w:rsidR="003369D7">
              <w:rPr>
                <w:i/>
                <w:iCs/>
                <w:lang w:val="ru-RU"/>
              </w:rPr>
              <w:fldChar w:fldCharType="end"/>
            </w:r>
            <w:r w:rsidRPr="00C83F38">
              <w:rPr>
                <w:i/>
                <w:iCs/>
                <w:lang w:val="ru-RU"/>
              </w:rPr>
              <w:t>;</w:t>
            </w:r>
          </w:p>
          <w:p w14:paraId="2BA99F61" w14:textId="759E7D30" w:rsidR="00644EF6" w:rsidRPr="00C83F38" w:rsidRDefault="00644EF6" w:rsidP="00644EF6">
            <w:pPr>
              <w:pStyle w:val="TableParagraph"/>
              <w:tabs>
                <w:tab w:val="left" w:pos="307"/>
              </w:tabs>
              <w:spacing w:before="67"/>
              <w:ind w:left="0" w:right="174"/>
              <w:rPr>
                <w:rFonts w:ascii="Times New Roman" w:eastAsiaTheme="minorHAnsi" w:hAnsi="Times New Roman" w:cs="Times New Roman"/>
                <w:i/>
                <w:iCs/>
                <w:lang w:eastAsia="en-US"/>
              </w:rPr>
            </w:pPr>
            <w:r w:rsidRPr="00D161AB">
              <w:rPr>
                <w:rFonts w:eastAsia="MS Mincho"/>
                <w:i/>
                <w:lang w:eastAsia="ja-JP"/>
              </w:rPr>
              <w:t>#</w:t>
            </w:r>
            <w:r w:rsidRPr="00C83F38">
              <w:rPr>
                <w:rFonts w:ascii="Times New Roman" w:eastAsiaTheme="minorHAnsi" w:hAnsi="Times New Roman" w:cs="Times New Roman"/>
                <w:i/>
                <w:iCs/>
                <w:lang w:eastAsia="en-US"/>
              </w:rPr>
              <w:t>Афатиниб</w:t>
            </w:r>
            <w:r w:rsidRPr="00D161AB">
              <w:rPr>
                <w:i/>
              </w:rPr>
              <w:t>**</w:t>
            </w:r>
            <w:r w:rsidRPr="00C83F38">
              <w:rPr>
                <w:rFonts w:ascii="Times New Roman" w:eastAsiaTheme="minorHAnsi" w:hAnsi="Times New Roman" w:cs="Times New Roman"/>
                <w:i/>
                <w:iCs/>
                <w:lang w:eastAsia="en-US"/>
              </w:rPr>
              <w:t xml:space="preserve"> 40 мг внутрь ежедневно</w:t>
            </w:r>
            <w:r w:rsidR="003369D7">
              <w:rPr>
                <w:rFonts w:ascii="Times New Roman" w:eastAsiaTheme="minorHAnsi" w:hAnsi="Times New Roman" w:cs="Times New Roman"/>
                <w:i/>
                <w:iCs/>
                <w:lang w:eastAsia="en-US"/>
              </w:rPr>
              <w:fldChar w:fldCharType="begin"/>
            </w:r>
            <w:r w:rsidR="004034C1">
              <w:rPr>
                <w:rFonts w:ascii="Times New Roman" w:eastAsiaTheme="minorHAnsi" w:hAnsi="Times New Roman" w:cs="Times New Roman"/>
                <w:i/>
                <w:iCs/>
                <w:lang w:eastAsia="en-US"/>
              </w:rPr>
              <w:instrText xml:space="preserve"> ADDIN ZOTERO_ITEM CSL_CITATION {"citationID":"P49me3gy","properties":{"formattedCitation":"[138,139]","plainCitation":"[138,139]","noteIndex":0},"citationItems":[{"id":1348,"uris":["http://zotero.org/users/5363772/items/EFZHV4Y3"],"itemData":{"id":1348,"type":"article-journal","container-title":"Targeted Oncology","DOI":"10.1007/s11523-015-0403-8","ISSN":"1776-2596, 1776-260X","issue":"3","journalAbbreviation":"Targ Oncol","language":"en","page":"371-381","source":"DOI.org (Crossref)","title":"Afatinib, an Irreversible EGFR Family Inhibitor, Shows Activity Toward Pancreatic Cancer Cells, Alone and in Combination with Radiotherapy, Independent of KRAS Status","volume":"11","author":[{"family":"Huguet","given":"Florence"},{"family":"Fernet","given":"Marie"},{"family":"Giocanti","given":"Nicole"},{"family":"Favaudon","given":"Vincent"},{"family":"Larsen","given":"Annette K."}],"issued":{"date-parts":[["2016",6]]}}},{"id":1349,"uris":["http://zotero.org/users/5363772/items/AZJLEYST"],"itemData":{"id":1349,"type":"article-journal","container-title":"Journal of Clinical Oncology","DOI":"10.1200/jco.2015.33.15_suppl.tps4150","ISSN":"0732-183X, 1527-7755","issue":"15_suppl","journalAbbreviation":"JCO","language":"en","page":"TPS4150-TPS4150","source":"DOI.org (Crossref)","title":"ACCEPT: Afatinib as cancer therapy for exocrine pancreatic tumors–An explorative randomized phase II trial.","title-short":"ACCEPT","volume":"33","author":[{"family":"Haas","given":"Michael"},{"family":"Boeck","given":"Stefan Hubert"},{"family":"Waldschmidt","given":"Dirk"},{"family":"Reinacher-Schick","given":"Anke"},{"family":"Freiberg-Richter","given":"Jens"},{"family":"Seufferlein","given":"Thomas"},{"family":"Kanzler","given":"Stephan"},{"family":"Mahlberg","given":"Rolf"},{"family":"Siveke","given":"Jens T."},{"family":"Heinemann","given":"Volker"}],"issued":{"date-parts":[["2015",5,20]]}}}],"schema":"https://github.com/citation-style-language/schema/raw/master/csl-citation.json"} </w:instrText>
            </w:r>
            <w:r w:rsidR="003369D7">
              <w:rPr>
                <w:rFonts w:ascii="Times New Roman" w:eastAsiaTheme="minorHAnsi" w:hAnsi="Times New Roman" w:cs="Times New Roman"/>
                <w:i/>
                <w:iCs/>
                <w:lang w:eastAsia="en-US"/>
              </w:rPr>
              <w:fldChar w:fldCharType="separate"/>
            </w:r>
            <w:r w:rsidR="004034C1" w:rsidRPr="004034C1">
              <w:rPr>
                <w:rFonts w:ascii="Times New Roman" w:hAnsi="Times New Roman" w:cs="Times New Roman"/>
              </w:rPr>
              <w:t>[138,139]</w:t>
            </w:r>
            <w:r w:rsidR="003369D7">
              <w:rPr>
                <w:rFonts w:ascii="Times New Roman" w:eastAsiaTheme="minorHAnsi" w:hAnsi="Times New Roman" w:cs="Times New Roman"/>
                <w:i/>
                <w:iCs/>
                <w:lang w:eastAsia="en-US"/>
              </w:rPr>
              <w:fldChar w:fldCharType="end"/>
            </w:r>
            <w:r w:rsidRPr="00C83F38">
              <w:rPr>
                <w:rFonts w:ascii="Times New Roman" w:eastAsiaTheme="minorHAnsi" w:hAnsi="Times New Roman" w:cs="Times New Roman"/>
                <w:i/>
                <w:iCs/>
                <w:lang w:eastAsia="en-US"/>
              </w:rPr>
              <w:t>;</w:t>
            </w:r>
          </w:p>
          <w:p w14:paraId="4478AAF5" w14:textId="491E5293" w:rsidR="00644EF6" w:rsidRPr="00C83F38" w:rsidRDefault="00644EF6" w:rsidP="00644EF6">
            <w:pPr>
              <w:tabs>
                <w:tab w:val="left" w:pos="284"/>
              </w:tabs>
              <w:spacing w:line="240" w:lineRule="auto"/>
              <w:ind w:firstLine="0"/>
              <w:contextualSpacing/>
              <w:rPr>
                <w:rFonts w:eastAsia="MS Mincho"/>
                <w:i/>
                <w:iCs/>
                <w:lang w:val="ru-RU" w:eastAsia="ja-JP"/>
              </w:rPr>
            </w:pPr>
            <w:r w:rsidRPr="00D161AB">
              <w:rPr>
                <w:rFonts w:eastAsia="MS Mincho"/>
                <w:i/>
                <w:lang w:val="ru-RU" w:eastAsia="ja-JP"/>
              </w:rPr>
              <w:t>#</w:t>
            </w:r>
            <w:r w:rsidRPr="00C83F38">
              <w:rPr>
                <w:i/>
                <w:iCs/>
                <w:lang w:val="ru-RU"/>
              </w:rPr>
              <w:t>Осимертиниб</w:t>
            </w:r>
            <w:r w:rsidRPr="00D161AB">
              <w:rPr>
                <w:i/>
                <w:lang w:val="ru-RU"/>
              </w:rPr>
              <w:t>**</w:t>
            </w:r>
            <w:r w:rsidRPr="00C83F38">
              <w:rPr>
                <w:i/>
                <w:iCs/>
                <w:lang w:val="ru-RU"/>
              </w:rPr>
              <w:t xml:space="preserve"> 80 мг внутрь ежедневно</w:t>
            </w:r>
            <w:r w:rsidR="002E5C7C">
              <w:rPr>
                <w:i/>
                <w:iCs/>
                <w:lang w:val="ru-RU"/>
              </w:rPr>
              <w:fldChar w:fldCharType="begin"/>
            </w:r>
            <w:r w:rsidR="004034C1">
              <w:rPr>
                <w:i/>
                <w:iCs/>
                <w:lang w:val="ru-RU"/>
              </w:rPr>
              <w:instrText xml:space="preserve"> ADDIN ZOTERO_ITEM CSL_CITATION {"citationID":"MeGAxx5Y","properties":{"formattedCitation":"[135]","plainCitation":"[135]","noteIndex":0},"citationItems":[{"id":1342,"uris":["http://zotero.org/users/5363772/items/E8Q4YYUT"],"itemData":{"id":1342,"type":"article-journal","container-title":"Cancer","DOI":"10.1002/cncr.22559","ISSN":"0008543X, 10970142","issue":"8","journalAbbreviation":"Cancer","language":"en","page":"1561-1569","source":"DOI.org (Crossref)","title":"Impact of epidermal growth factor receptor (EGFR) kinase mutations,EGFR gene amplifications, andKRAS mutations on survival of pancreatic adenocarcinoma","volume":"109","author":[{"family":"Lee","given":"Jeeyun"},{"family":"Jang","given":"Kee-Taek"},{"family":"Ki","given":"Chang-Seok"},{"family":"Lim","given":"Taekyu"},{"family":"Park","given":"Young Suk"},{"family":"Lim","given":"Ho Yeong"},{"family":"Choi","given":"Dong-Wook"},{"family":"Kang","given":"Won Ki"},{"family":"Park","given":"Keunchil"},{"family":"Park","given":"Joon Oh"}],"issued":{"date-parts":[["2007",4,15]]}}}],"schema":"https://github.com/citation-style-language/schema/raw/master/csl-citation.json"} </w:instrText>
            </w:r>
            <w:r w:rsidR="002E5C7C">
              <w:rPr>
                <w:i/>
                <w:iCs/>
                <w:lang w:val="ru-RU"/>
              </w:rPr>
              <w:fldChar w:fldCharType="separate"/>
            </w:r>
            <w:r w:rsidR="004034C1" w:rsidRPr="004034C1">
              <w:rPr>
                <w:lang w:val="ru-RU"/>
              </w:rPr>
              <w:t>[135]</w:t>
            </w:r>
            <w:r w:rsidR="002E5C7C">
              <w:rPr>
                <w:i/>
                <w:iCs/>
                <w:lang w:val="ru-RU"/>
              </w:rPr>
              <w:fldChar w:fldCharType="end"/>
            </w:r>
            <w:r w:rsidRPr="00C83F38">
              <w:rPr>
                <w:i/>
                <w:iCs/>
                <w:lang w:val="ru-RU"/>
              </w:rPr>
              <w:t>.</w:t>
            </w:r>
          </w:p>
        </w:tc>
        <w:tc>
          <w:tcPr>
            <w:tcW w:w="5387" w:type="dxa"/>
          </w:tcPr>
          <w:p w14:paraId="2368F6F0"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Отсутствие мутации KRAS;</w:t>
            </w:r>
          </w:p>
          <w:p w14:paraId="0CD61BEC"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Мутация EGFR;</w:t>
            </w:r>
          </w:p>
          <w:p w14:paraId="0CF9F232" w14:textId="77777777" w:rsidR="00644EF6" w:rsidRPr="00ED0193"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Ранее использовался гемцитабин;</w:t>
            </w:r>
          </w:p>
          <w:p w14:paraId="64434654" w14:textId="6BCD2A40" w:rsidR="00644EF6" w:rsidRPr="00D161AB" w:rsidRDefault="00644EF6" w:rsidP="00644EF6">
            <w:pPr>
              <w:numPr>
                <w:ilvl w:val="0"/>
                <w:numId w:val="10"/>
              </w:numPr>
              <w:tabs>
                <w:tab w:val="left" w:pos="284"/>
              </w:tabs>
              <w:spacing w:line="240" w:lineRule="auto"/>
              <w:ind w:left="357" w:hanging="357"/>
              <w:jc w:val="left"/>
              <w:rPr>
                <w:rFonts w:eastAsia="MS Mincho"/>
                <w:i/>
                <w:lang w:val="ru-RU" w:eastAsia="ja-JP"/>
              </w:rPr>
            </w:pPr>
            <w:r w:rsidRPr="00ED0193">
              <w:rPr>
                <w:rFonts w:eastAsia="MS Mincho"/>
                <w:i/>
                <w:lang w:val="ru-RU" w:eastAsia="ja-JP"/>
              </w:rPr>
              <w:t>Состояние по шкале ECOG 0–2 балла.</w:t>
            </w:r>
          </w:p>
        </w:tc>
      </w:tr>
    </w:tbl>
    <w:p w14:paraId="07F198E8" w14:textId="0BAF37FC" w:rsidR="00A15E8D" w:rsidRDefault="00A15E8D" w:rsidP="00A15E8D">
      <w:pPr>
        <w:pStyle w:val="a4"/>
        <w:spacing w:line="360" w:lineRule="auto"/>
        <w:ind w:firstLine="0"/>
        <w:jc w:val="left"/>
        <w:rPr>
          <w:rFonts w:eastAsia="Times New Roman"/>
          <w:i/>
          <w:color w:val="2C2D2E"/>
          <w:shd w:val="clear" w:color="auto" w:fill="FFFFFF"/>
          <w:lang w:val="ru-RU"/>
        </w:rPr>
      </w:pPr>
      <w:r>
        <w:rPr>
          <w:i/>
          <w:vertAlign w:val="superscript"/>
          <w:lang w:val="ru-RU"/>
        </w:rPr>
        <w:t>1</w:t>
      </w:r>
      <w:r w:rsidRPr="00964910">
        <w:rPr>
          <w:i/>
          <w:lang w:val="ru-RU"/>
        </w:rPr>
        <w:t xml:space="preserve"> </w:t>
      </w:r>
      <w:r>
        <w:rPr>
          <w:i/>
          <w:color w:val="2C2D2E"/>
          <w:shd w:val="clear" w:color="auto" w:fill="FFFFFF"/>
          <w:lang w:val="ru-RU"/>
        </w:rPr>
        <w:t xml:space="preserve">В </w:t>
      </w:r>
      <w:r w:rsidRPr="00F83BFC">
        <w:rPr>
          <w:rFonts w:eastAsia="Times New Roman"/>
          <w:i/>
          <w:color w:val="2C2D2E"/>
          <w:shd w:val="clear" w:color="auto" w:fill="FFFFFF"/>
          <w:lang w:val="ru-RU"/>
        </w:rPr>
        <w:t xml:space="preserve">случае дефектуры фолината кальция возможно уменьшение дозы этого препарата в режимах с инфузионным или струйным введением фторурацила до фиксированной дозы 50 мг в </w:t>
      </w:r>
      <w:r>
        <w:rPr>
          <w:rFonts w:eastAsia="Times New Roman"/>
          <w:i/>
          <w:color w:val="2C2D2E"/>
          <w:shd w:val="clear" w:color="auto" w:fill="FFFFFF"/>
          <w:lang w:val="ru-RU"/>
        </w:rPr>
        <w:t>сутки</w:t>
      </w:r>
      <w:r w:rsidRPr="00F83BFC">
        <w:rPr>
          <w:rFonts w:eastAsia="Times New Roman"/>
          <w:i/>
          <w:color w:val="2C2D2E"/>
          <w:shd w:val="clear" w:color="auto" w:fill="FFFFFF"/>
          <w:lang w:val="ru-RU"/>
        </w:rPr>
        <w:t xml:space="preserve"> или </w:t>
      </w:r>
      <w:r>
        <w:rPr>
          <w:rFonts w:eastAsia="Times New Roman"/>
          <w:i/>
          <w:color w:val="2C2D2E"/>
          <w:shd w:val="clear" w:color="auto" w:fill="FFFFFF"/>
          <w:lang w:val="ru-RU"/>
        </w:rPr>
        <w:t>вовсе</w:t>
      </w:r>
      <w:r w:rsidRPr="00F83BFC">
        <w:rPr>
          <w:rFonts w:eastAsia="Times New Roman"/>
          <w:i/>
          <w:color w:val="2C2D2E"/>
          <w:shd w:val="clear" w:color="auto" w:fill="FFFFFF"/>
          <w:lang w:val="ru-RU"/>
        </w:rPr>
        <w:t xml:space="preserve"> исключить из </w:t>
      </w:r>
      <w:r>
        <w:rPr>
          <w:rFonts w:eastAsia="Times New Roman"/>
          <w:i/>
          <w:color w:val="2C2D2E"/>
          <w:shd w:val="clear" w:color="auto" w:fill="FFFFFF"/>
          <w:lang w:val="ru-RU"/>
        </w:rPr>
        <w:t>лечения</w:t>
      </w:r>
      <w:r w:rsidRPr="00F83BFC">
        <w:rPr>
          <w:rFonts w:eastAsia="Times New Roman"/>
          <w:i/>
          <w:color w:val="2C2D2E"/>
          <w:shd w:val="clear" w:color="auto" w:fill="FFFFFF"/>
          <w:lang w:val="ru-RU"/>
        </w:rPr>
        <w:t xml:space="preserve"> без значимого влияния на эффективность и переносимость лечения</w:t>
      </w:r>
      <w:r>
        <w:rPr>
          <w:rFonts w:eastAsia="Times New Roman"/>
          <w:i/>
          <w:color w:val="2C2D2E"/>
          <w:shd w:val="clear" w:color="auto" w:fill="FFFFFF"/>
          <w:lang w:val="ru-RU"/>
        </w:rPr>
        <w:t>.</w:t>
      </w:r>
    </w:p>
    <w:p w14:paraId="6043110A" w14:textId="77777777" w:rsidR="00A15E8D" w:rsidRDefault="00A15E8D" w:rsidP="00AB423C">
      <w:pPr>
        <w:tabs>
          <w:tab w:val="left" w:pos="284"/>
          <w:tab w:val="left" w:pos="426"/>
        </w:tabs>
        <w:rPr>
          <w:i/>
          <w:lang w:val="ru-RU"/>
        </w:rPr>
      </w:pPr>
    </w:p>
    <w:p w14:paraId="545DC436" w14:textId="5AC62397" w:rsidR="002B42E0" w:rsidRDefault="00FA71E1" w:rsidP="00AB423C">
      <w:pPr>
        <w:tabs>
          <w:tab w:val="left" w:pos="284"/>
          <w:tab w:val="left" w:pos="426"/>
        </w:tabs>
        <w:rPr>
          <w:i/>
          <w:lang w:val="ru-RU"/>
        </w:rPr>
      </w:pPr>
      <w:r w:rsidRPr="00A83E0C">
        <w:rPr>
          <w:i/>
          <w:lang w:val="ru-RU"/>
        </w:rPr>
        <w:t xml:space="preserve">В случае кахексии целесообразно назначение </w:t>
      </w:r>
      <w:r w:rsidR="00062FE9" w:rsidRPr="00A83E0C">
        <w:rPr>
          <w:i/>
          <w:lang w:val="ru-RU"/>
        </w:rPr>
        <w:t>#</w:t>
      </w:r>
      <w:r w:rsidRPr="00A83E0C">
        <w:rPr>
          <w:i/>
          <w:lang w:val="ru-RU"/>
        </w:rPr>
        <w:t>мегестрола</w:t>
      </w:r>
      <w:r w:rsidR="00235892">
        <w:rPr>
          <w:i/>
          <w:lang w:val="ru-RU"/>
        </w:rPr>
        <w:t xml:space="preserve"> ацетата</w:t>
      </w:r>
      <w:r w:rsidRPr="00A83E0C">
        <w:rPr>
          <w:i/>
          <w:lang w:val="ru-RU"/>
        </w:rPr>
        <w:t xml:space="preserve"> </w:t>
      </w:r>
      <w:r w:rsidR="00C15198" w:rsidRPr="00A83E0C">
        <w:rPr>
          <w:i/>
          <w:lang w:val="ru-RU"/>
        </w:rPr>
        <w:fldChar w:fldCharType="begin"/>
      </w:r>
      <w:r w:rsidR="004034C1">
        <w:rPr>
          <w:i/>
          <w:lang w:val="ru-RU"/>
        </w:rPr>
        <w:instrText xml:space="preserve"> ADDIN ZOTERO_ITEM CSL_CITATION {"citationID":"LL0wzsc8","properties":{"formattedCitation":"[140,141]","plainCitation":"[140,141]","noteIndex":0},"citationItems":[{"id":1075,"uris":["http://zotero.org/users/5363772/items/G7L55AWV",["http://zotero.org/users/5363772/items/G7L55AWV"]],"itemData":{"id":1075,"type":"article-journal","abstract":"Abstract This double-blind, cross-over trial was designed to assess the effects of megestrol acetate (MA) on cancer-induced cachexia. Forty consecutive malnourished patients with advanced non-hormone-responsive tumors receiving no antineoplastic treatment were randomized to receive MA 480 mg/day versus placebo for 7 days. During day 8, a cross-over was made until day 15. Appetite, pain, nausea, depression, energy, and well-being were assessed with a visual analog scale (0 to 100 mm) at 9:00 am and 4:00 pm during days 6, 7, 13, and 14. Weight (W; kg), tricep skinfold (TS; mm), arm circumference (AC; cm), and calf circumference (CC; cm) were measured at days 1, 8, and 15. Caloric intake (CI; Kcal/day) was determined during days 6, 7, 13, and 14. In 31 evaluable patients, the percentual difference in appetite at 9:00 am, appetite at 4:00 pm, energy, and well-being after MA was +15.1, +14, +3.2, and +5.2, versus ?12 (P = 0.03), ?5.1 (P = 0.015), ?10 (P = 0.024), and ?8.3 (not significant) after placebo. Percentual difference in W, TS, AC, and CC after MA was +0.2, +1, ?0.1, and +0.4 versus ?0.8 (P = 0.03), ?0.8 (P = 0.001), ?0.3 (not significant), and ?0.5 (P = 0.04) after placebo. CI during MA was 3480 ± 1574 (48-hour intake), versus 2793 ± 1542 (P &lt;0.001) during placebo. Patients and investigators blindly chose MA in 20 (66%, P = 0.023) and 28 cases (92%, P &lt; 0.001), placebo in eight and two cases, and made no choice in three and one cases, respectively. Toxicity consisted of mild edema and nausea in three and two cases, respectively. After mean follow-up of 27 ± 13 days, on an open basis, an average increase in W and AC of 4.8 ± 1.7 kg and 2.8 ± 1.7 cm was observed, respectively. The authors conclude that MA is a powerful appetite stimulant with subjective and objective effects on nutritional status.","container-title":"Cancer","DOI":"10.1002/1097-0142(19900915)66:6&lt;1279::AID-CNCR2820660630&gt;3.0.CO;2-R","ISSN":"0008-543X","issue":"6","journalAbbreviation":"Cancer","page":"1279-1282","title":"A controlled trial of megestrol acetate on appetite, caloric intake, nutritional status, and other symptoms in patients with advanced cancer","volume":"66","author":[{"family":"Bruera","given":"Eduardo"},{"family":"Macmillan","given":"Karen"},{"family":"Kuehn","given":"Norma"},{"family":"Hanson","given":"John"},{"family":"MacDonald","given":"R. Neil"}],"issued":{"date-parts":[["1990",9,15]]}}},{"id":1073,"uris":["http://zotero.org/users/5363772/items/99EDVMMG",["http://zotero.org/users/5363772/items/99EDVMMG"]],"itemData":{"id":1073,"type":"article-journal","container-title":"Frontiers in Physiology","DOI":"10.3389/fphys.2014.00088","ISSN":"1664-042X","journalAbbreviation":"Front. Physiol.","source":"DOI.org (Crossref)","title":"Pancreatic cancer cachexia: a review of mechanisms and therapeutics","title-short":"Pancreatic cancer cachexia","URL":"http://journal.frontiersin.org/article/10.3389/fphys.2014.00088/abstract","volume":"5","author":[{"family":"Tan","given":"Carlyn R."},{"family":"Yaffee","given":"Patrick M."},{"family":"Jamil","given":"Laith H."},{"family":"Lo","given":"Simon K."},{"family":"Nissen","given":"Nicholas"},{"family":"Pandol","given":"Stephen J."},{"family":"Tuli","given":"Richard"},{"family":"Hendifar","given":"Andrew E."}],"accessed":{"date-parts":[["2019",12,9]]},"issued":{"date-parts":[["2014"]]}}}],"schema":"https://github.com/citation-style-language/schema/raw/master/csl-citation.json"} </w:instrText>
      </w:r>
      <w:r w:rsidR="00C15198" w:rsidRPr="00A83E0C">
        <w:rPr>
          <w:i/>
          <w:lang w:val="ru-RU"/>
        </w:rPr>
        <w:fldChar w:fldCharType="separate"/>
      </w:r>
      <w:r w:rsidR="004034C1" w:rsidRPr="004034C1">
        <w:rPr>
          <w:lang w:val="ru-RU"/>
        </w:rPr>
        <w:t>[140,141]</w:t>
      </w:r>
      <w:r w:rsidR="00C15198" w:rsidRPr="00A83E0C">
        <w:rPr>
          <w:i/>
          <w:lang w:val="ru-RU"/>
        </w:rPr>
        <w:fldChar w:fldCharType="end"/>
      </w:r>
      <w:r w:rsidRPr="00A83E0C">
        <w:rPr>
          <w:i/>
          <w:lang w:val="ru-RU"/>
        </w:rPr>
        <w:t xml:space="preserve"> в дозе 320</w:t>
      </w:r>
      <w:r w:rsidR="009510FC" w:rsidRPr="00A83E0C">
        <w:rPr>
          <w:i/>
          <w:lang w:val="ru-RU"/>
        </w:rPr>
        <w:t>-480</w:t>
      </w:r>
      <w:r w:rsidRPr="00A83E0C">
        <w:rPr>
          <w:i/>
          <w:lang w:val="ru-RU"/>
        </w:rPr>
        <w:t xml:space="preserve"> мг внутрь 1 раз в сутки</w:t>
      </w:r>
      <w:r w:rsidR="00CC71C9" w:rsidRPr="00A83E0C">
        <w:rPr>
          <w:i/>
          <w:lang w:val="ru-RU"/>
        </w:rPr>
        <w:t xml:space="preserve"> </w:t>
      </w:r>
      <w:r w:rsidR="00F55E3F">
        <w:rPr>
          <w:i/>
          <w:lang w:val="ru-RU"/>
        </w:rPr>
        <w:t xml:space="preserve">и (или) оланзапина в дозе 2,5 мг в сутки внутрь </w:t>
      </w:r>
      <w:r w:rsidR="00CC71C9" w:rsidRPr="00A83E0C">
        <w:rPr>
          <w:i/>
          <w:lang w:val="ru-RU"/>
        </w:rPr>
        <w:t>с продолжительностью, определяемой индивидуально</w:t>
      </w:r>
      <w:r w:rsidRPr="00A83E0C">
        <w:rPr>
          <w:i/>
          <w:lang w:val="ru-RU"/>
        </w:rPr>
        <w:t xml:space="preserve">. Данных, поддерживающих применение </w:t>
      </w:r>
      <w:r w:rsidR="009B53C5" w:rsidRPr="00A83E0C">
        <w:rPr>
          <w:i/>
          <w:lang w:val="ru-RU"/>
        </w:rPr>
        <w:t>химиотерапии</w:t>
      </w:r>
      <w:r w:rsidRPr="00A83E0C">
        <w:rPr>
          <w:i/>
          <w:lang w:val="ru-RU"/>
        </w:rPr>
        <w:t xml:space="preserve"> </w:t>
      </w:r>
      <w:r w:rsidRPr="00A83E0C">
        <w:rPr>
          <w:i/>
        </w:rPr>
        <w:t>III</w:t>
      </w:r>
      <w:r w:rsidRPr="00A83E0C">
        <w:rPr>
          <w:i/>
          <w:lang w:val="ru-RU"/>
        </w:rPr>
        <w:t xml:space="preserve"> линии, не существует. Решение о применении химиотерапии </w:t>
      </w:r>
      <w:r w:rsidRPr="00A83E0C">
        <w:rPr>
          <w:i/>
        </w:rPr>
        <w:t>III</w:t>
      </w:r>
      <w:r w:rsidRPr="00A83E0C">
        <w:rPr>
          <w:i/>
          <w:lang w:val="ru-RU"/>
        </w:rPr>
        <w:t xml:space="preserve"> линии принимается индивидуально.</w:t>
      </w:r>
    </w:p>
    <w:p w14:paraId="24B85DE3" w14:textId="5CE3173C" w:rsidR="007462C0" w:rsidRPr="00644EF6" w:rsidRDefault="00644EF6" w:rsidP="00AB423C">
      <w:pPr>
        <w:tabs>
          <w:tab w:val="left" w:pos="284"/>
          <w:tab w:val="left" w:pos="426"/>
        </w:tabs>
        <w:rPr>
          <w:i/>
          <w:iCs/>
          <w:lang w:val="ru-RU"/>
        </w:rPr>
      </w:pPr>
      <w:bookmarkStart w:id="21" w:name="_Hlk146185151"/>
      <w:r w:rsidRPr="004E104D">
        <w:rPr>
          <w:rFonts w:eastAsia="BlissPro-Light"/>
          <w:i/>
          <w:iCs/>
          <w:lang w:val="ru-RU"/>
        </w:rPr>
        <w:t xml:space="preserve">В случае выявления редких молекулярных нарушений, например, мутации </w:t>
      </w:r>
      <w:r w:rsidRPr="004E104D">
        <w:rPr>
          <w:rFonts w:eastAsia="BlissPro-Light"/>
          <w:i/>
          <w:iCs/>
        </w:rPr>
        <w:t>BRAF</w:t>
      </w:r>
      <w:r w:rsidRPr="004E104D">
        <w:rPr>
          <w:rFonts w:eastAsia="BlissPro-Light"/>
          <w:i/>
          <w:iCs/>
          <w:lang w:val="ru-RU"/>
        </w:rPr>
        <w:t xml:space="preserve">, </w:t>
      </w:r>
      <w:r w:rsidRPr="004E104D">
        <w:rPr>
          <w:rFonts w:eastAsia="BlissPro-Light"/>
          <w:i/>
          <w:iCs/>
        </w:rPr>
        <w:t>EGFR</w:t>
      </w:r>
      <w:r w:rsidRPr="004E104D">
        <w:rPr>
          <w:rFonts w:eastAsia="BlissPro-Light"/>
          <w:i/>
          <w:iCs/>
          <w:lang w:val="ru-RU"/>
        </w:rPr>
        <w:t xml:space="preserve">, транслокации </w:t>
      </w:r>
      <w:r w:rsidRPr="004E104D">
        <w:rPr>
          <w:rFonts w:eastAsia="BlissPro-Light"/>
          <w:i/>
          <w:iCs/>
        </w:rPr>
        <w:t>ALK</w:t>
      </w:r>
      <w:r w:rsidRPr="004E104D">
        <w:rPr>
          <w:rFonts w:eastAsia="BlissPro-Light"/>
          <w:i/>
          <w:iCs/>
          <w:lang w:val="ru-RU"/>
        </w:rPr>
        <w:t xml:space="preserve">, </w:t>
      </w:r>
      <w:r w:rsidRPr="004E104D">
        <w:rPr>
          <w:rFonts w:eastAsia="BlissPro-Light"/>
          <w:i/>
          <w:iCs/>
        </w:rPr>
        <w:t>NTRK</w:t>
      </w:r>
      <w:r w:rsidRPr="004E104D">
        <w:rPr>
          <w:rFonts w:eastAsia="BlissPro-Light"/>
          <w:i/>
          <w:iCs/>
          <w:lang w:val="ru-RU"/>
        </w:rPr>
        <w:t xml:space="preserve">, </w:t>
      </w:r>
      <w:r w:rsidRPr="004E104D">
        <w:rPr>
          <w:rFonts w:eastAsia="BlissPro-Light"/>
          <w:i/>
          <w:iCs/>
        </w:rPr>
        <w:t>ROS</w:t>
      </w:r>
      <w:r w:rsidRPr="004E104D">
        <w:rPr>
          <w:rFonts w:eastAsia="BlissPro-Light"/>
          <w:i/>
          <w:iCs/>
          <w:lang w:val="ru-RU"/>
        </w:rPr>
        <w:t xml:space="preserve">1, </w:t>
      </w:r>
      <w:r w:rsidR="00A5063A">
        <w:rPr>
          <w:rFonts w:eastAsia="BlissPro-Light"/>
          <w:i/>
          <w:iCs/>
          <w:lang w:val="ru-RU"/>
        </w:rPr>
        <w:t xml:space="preserve">гиперэкспрессии/амплификации </w:t>
      </w:r>
      <w:r w:rsidR="00A5063A" w:rsidRPr="00C251EF">
        <w:rPr>
          <w:rFonts w:eastAsia="BlissPro-Light"/>
          <w:i/>
          <w:iCs/>
        </w:rPr>
        <w:t>HER</w:t>
      </w:r>
      <w:r w:rsidR="00A5063A" w:rsidRPr="00C251EF">
        <w:rPr>
          <w:rFonts w:eastAsia="BlissPro-Light"/>
          <w:i/>
          <w:iCs/>
          <w:lang w:val="ru-RU"/>
        </w:rPr>
        <w:t>2/</w:t>
      </w:r>
      <w:r w:rsidR="00A5063A" w:rsidRPr="00C251EF">
        <w:rPr>
          <w:rFonts w:eastAsia="BlissPro-Light"/>
          <w:i/>
          <w:iCs/>
        </w:rPr>
        <w:t>neu</w:t>
      </w:r>
      <w:r w:rsidR="00A5063A" w:rsidRPr="00C251EF">
        <w:rPr>
          <w:rFonts w:eastAsia="BlissPro-Light"/>
          <w:i/>
          <w:iCs/>
          <w:lang w:val="ru-RU"/>
        </w:rPr>
        <w:t xml:space="preserve"> при отсутствии мутаций в гене К</w:t>
      </w:r>
      <w:r w:rsidR="00A5063A" w:rsidRPr="00C251EF">
        <w:rPr>
          <w:rFonts w:eastAsia="BlissPro-Light"/>
          <w:i/>
          <w:iCs/>
        </w:rPr>
        <w:t>RAS</w:t>
      </w:r>
      <w:r w:rsidR="00A5063A">
        <w:rPr>
          <w:rFonts w:eastAsia="BlissPro-Light"/>
          <w:i/>
          <w:iCs/>
          <w:lang w:val="ru-RU"/>
        </w:rPr>
        <w:t xml:space="preserve"> </w:t>
      </w:r>
      <w:r w:rsidRPr="004E104D">
        <w:rPr>
          <w:rFonts w:eastAsia="BlissPro-Light"/>
          <w:i/>
          <w:iCs/>
          <w:lang w:val="ru-RU"/>
        </w:rPr>
        <w:t>возможно применение персонализированной терапии во второй и более линии лечения, направленной на ингибирование данных сигнальных путей.</w:t>
      </w:r>
      <w:bookmarkEnd w:id="21"/>
    </w:p>
    <w:p w14:paraId="2C3D278E" w14:textId="648E0E83" w:rsidR="00964910" w:rsidRPr="00964910" w:rsidRDefault="00964910" w:rsidP="00964910">
      <w:pPr>
        <w:pStyle w:val="2"/>
        <w:rPr>
          <w:i/>
        </w:rPr>
      </w:pPr>
      <w:r w:rsidRPr="00964910">
        <w:lastRenderedPageBreak/>
        <w:t>Пациентам с изолированным</w:t>
      </w:r>
      <w:r w:rsidR="00773CBC">
        <w:rPr>
          <w:i/>
        </w:rPr>
        <w:t xml:space="preserve"> </w:t>
      </w:r>
      <w:r w:rsidR="00773CBC" w:rsidRPr="00773CBC">
        <w:t>локорегионарн</w:t>
      </w:r>
      <w:r w:rsidR="00773CBC">
        <w:t>ым</w:t>
      </w:r>
      <w:r w:rsidR="00773CBC" w:rsidRPr="00773CBC">
        <w:t xml:space="preserve"> рецидив</w:t>
      </w:r>
      <w:r w:rsidR="00773CBC">
        <w:t>ом</w:t>
      </w:r>
      <w:r w:rsidR="00773CBC" w:rsidRPr="00773CBC">
        <w:t xml:space="preserve"> после хирургического лечения, а также продолженн</w:t>
      </w:r>
      <w:r w:rsidR="00773CBC">
        <w:t>ым</w:t>
      </w:r>
      <w:r w:rsidR="00773CBC" w:rsidRPr="00773CBC">
        <w:t xml:space="preserve"> рост</w:t>
      </w:r>
      <w:r w:rsidR="00773CBC">
        <w:t>ом</w:t>
      </w:r>
      <w:r w:rsidR="00773CBC" w:rsidRPr="00773CBC">
        <w:t xml:space="preserve"> первичной нерезектабельной опухоли после </w:t>
      </w:r>
      <w:r w:rsidR="00773CBC">
        <w:t>химиотерапии</w:t>
      </w:r>
      <w:r w:rsidR="00773CBC" w:rsidRPr="00773CBC">
        <w:t xml:space="preserve"> при отсутствии отдаленных метастазов</w:t>
      </w:r>
      <w:r w:rsidR="00773CBC">
        <w:t xml:space="preserve"> рекомендуется рассмотреть </w:t>
      </w:r>
      <w:r w:rsidR="00D02366">
        <w:t xml:space="preserve">либо </w:t>
      </w:r>
      <w:r w:rsidR="00D02366" w:rsidRPr="00D02366">
        <w:t>хирургическое лечение (в объеме ререзекции поджелудочной железы или экстирпации культи)</w:t>
      </w:r>
      <w:r w:rsidR="00D161AB">
        <w:t>,</w:t>
      </w:r>
      <w:r w:rsidR="00D02366" w:rsidRPr="00D02366">
        <w:t xml:space="preserve"> </w:t>
      </w:r>
      <w:r w:rsidR="00D161AB">
        <w:t>либо</w:t>
      </w:r>
      <w:r w:rsidR="00D02366">
        <w:t xml:space="preserve"> </w:t>
      </w:r>
      <w:r w:rsidR="00D02366" w:rsidRPr="00773CBC">
        <w:t xml:space="preserve">проведение </w:t>
      </w:r>
      <w:r w:rsidR="00773CBC" w:rsidRPr="00773CBC">
        <w:t>химиолучевой терапии</w:t>
      </w:r>
      <w:r w:rsidR="00817488">
        <w:t>,</w:t>
      </w:r>
      <w:r w:rsidR="00773CBC" w:rsidRPr="00773CBC">
        <w:t xml:space="preserve"> </w:t>
      </w:r>
      <w:r w:rsidR="00D161AB">
        <w:t>либо</w:t>
      </w:r>
      <w:r w:rsidR="00773CBC" w:rsidRPr="00773CBC">
        <w:t xml:space="preserve"> </w:t>
      </w:r>
      <w:r w:rsidR="00D161AB" w:rsidRPr="00773CBC">
        <w:t xml:space="preserve">проведение </w:t>
      </w:r>
      <w:r w:rsidR="00773CBC" w:rsidRPr="00773CBC">
        <w:t xml:space="preserve">3-4 месяцев химиотерапии с последующим проведением стереотаксической </w:t>
      </w:r>
      <w:r w:rsidR="00773CBC">
        <w:t>лучевой терапии</w:t>
      </w:r>
      <w:r w:rsidR="00C15198">
        <w:fldChar w:fldCharType="begin"/>
      </w:r>
      <w:r w:rsidR="004034C1">
        <w:instrText xml:space="preserve"> ADDIN ZOTERO_ITEM CSL_CITATION {"citationID":"oRGdSuhZ","properties":{"formattedCitation":"[142,143]","plainCitation":"[142,143]","noteIndex":0},"citationItems":[{"id":1123,"uris":["http://zotero.org/users/5363772/items/TSQ44TNY",["http://zotero.org/users/5363772/items/TSQ44TNY"]],"itemData":{"id":1123,"type":"article-journal","abstract":"Purpose To provide evidence-based recommendations to oncologists and others for treatment of patients with locally advanced, unresectable pancreatic cancer. Methods American Society of Clinical Oncology convened an Expert Panel of medical oncology, radiation oncology, surgical oncology, gastroenterology, palliative care, and advocacy experts and conducted a systematic review of the literature from January 2002 to June 2015. Outcomes included overall survival, disease-free survival, progression-free survival, and adverse events.","container-title":"Journal of Clinical Oncology","DOI":"10.1200/JCO.2016.67.5561","ISSN":"0732-183X, 1527-7755","issue":"22","journalAbbreviation":"JCO","language":"en","page":"2654-2668","source":"DOI.org (Crossref)","title":"Locally Advanced, Unresectable Pancreatic Cancer: American Society of Clinical Oncology Clinical Practice Guideline","title-short":"Locally Advanced, Unresectable Pancreatic Cancer","volume":"34","author":[{"family":"Balaban","given":"Edward P."},{"family":"Mangu","given":"Pamela B."},{"family":"Khorana","given":"Alok A."},{"family":"Shah","given":"Manish A."},{"family":"Mukherjee","given":"Somnath"},{"family":"Crane","given":"Christopher H."},{"family":"Javle","given":"Milind M."},{"family":"Eads","given":"Jennifer R."},{"family":"Allen","given":"Peter"},{"family":"Ko","given":"Andrew H."},{"family":"Engebretson","given":"Anitra"},{"family":"Herman","given":"Joseph M."},{"family":"Strickler","given":"John H."},{"family":"Benson","given":"Al B."},{"family":"Urba","given":"Susan"},{"family":"Yee","given":"Nelson S."}],"issued":{"date-parts":[["2016",8,1]]}}},{"id":1122,"uris":["http://zotero.org/users/5363772/items/EPU4WZ2Q",["http://zotero.org/users/5363772/items/EPU4WZ2Q"]],"itemData":{"id":1122,"type":"article-journal","abstract":"Purpose: This guideline systematically reviews the evidence for treatment of pancreatic cancer with radiation in the adjuvant, neoadjuvant, deﬁnitive, and palliative settings and provides recommendations on indications and technical considerations.\nMethods and Materials: The American Society for Radiation Oncology convened a task force to address 7 key questions focused on radiation therapy, including dose fractionation and treatment volumes, simulation and treatment planning, and prevention of radiation-associated toxicities. Recommendations were based on a systematic literature review and created using a predeﬁned consensus-building methodology and system for grading evidence quality and recommendation strength.\nResults: The guideline conditionally recommends conventionally fractionated or stereotactic body radiation for neoadjuvant and deﬁnitive therapy in certain patients and conventionally fractionated regimens for adjuvant therapy. The task force suggests a range of appropriate dose-fractionation schemes and provides recommendations on target volumes and sequencing of radiation and chemotherapy. Motion management, daily image guidance, use of contrast, and treatment with modulated techniques are all recommended. The task force supported prophylactic antiemetic medication, and patients may also beneﬁt from medications to reduce acid secretion.\nConclusions: The role of radiation in the management of pancreatic cancer is evolving, with many ongoing areas of active investigation. Radiation therapy is likely to become even more important as new systemic therapies are developed and there is increased focus on controlling local disease. It is important that the nuances of available data are discussed with patients and families and that care be coordinated in a multidisciplinary fashion.","container-title":"Practical Radiation Oncology","DOI":"10.1016/j.prro.2019.06.016","ISSN":"18798500","issue":"5","journalAbbreviation":"Practical Radiation Oncology","language":"en","page":"322-332","source":"DOI.org (Crossref)","title":"Radiation Therapy for Pancreatic Cancer: Executive Summary of an ASTRO Clinical Practice Guideline","title-short":"Radiation Therapy for Pancreatic Cancer","volume":"9","author":[{"family":"Palta","given":"Manisha"},{"family":"Godfrey","given":"Devon"},{"family":"Goodman","given":"Karyn A."},{"family":"Hoffe","given":"Sarah"},{"family":"Dawson","given":"Laura A."},{"family":"Dessert","given":"David"},{"family":"Hall","given":"William A."},{"family":"Herman","given":"Joseph M."},{"family":"Khorana","given":"Alok A."},{"family":"Merchant","given":"Nipun"},{"family":"Parekh","given":"Arti"},{"family":"Patton","given":"Caroline"},{"family":"Pepek","given":"Joseph M."},{"family":"Salama","given":"Joseph K."},{"family":"Tuli","given":"Richard"},{"family":"Koong","given":"Albert C."}],"issued":{"date-parts":[["2019",9]]}}}],"schema":"https://github.com/citation-style-language/schema/raw/master/csl-citation.json"} </w:instrText>
      </w:r>
      <w:r w:rsidR="00C15198">
        <w:fldChar w:fldCharType="separate"/>
      </w:r>
      <w:r w:rsidR="004034C1" w:rsidRPr="004034C1">
        <w:t>[142,143]</w:t>
      </w:r>
      <w:r w:rsidR="00C15198">
        <w:fldChar w:fldCharType="end"/>
      </w:r>
      <w:r w:rsidR="00773CBC" w:rsidRPr="00773CBC">
        <w:t>.</w:t>
      </w:r>
    </w:p>
    <w:p w14:paraId="4123478E" w14:textId="77777777" w:rsidR="00964910" w:rsidRPr="007D44BE" w:rsidRDefault="00D47A88" w:rsidP="00964910">
      <w:pPr>
        <w:pStyle w:val="33"/>
        <w:ind w:firstLine="0"/>
        <w:rPr>
          <w:b w:val="0"/>
          <w:lang w:val="ru-RU"/>
        </w:rPr>
      </w:pPr>
      <w:r w:rsidRPr="00C02B4B">
        <w:rPr>
          <w:lang w:val="ru-RU"/>
        </w:rPr>
        <w:t>Уровень убедительности рекомендаций С (уровень достоверности доказательств 5)</w:t>
      </w:r>
    </w:p>
    <w:p w14:paraId="017CEBAE" w14:textId="0ECE1CCE" w:rsidR="00964910" w:rsidRDefault="00C02B4B" w:rsidP="00964910">
      <w:pPr>
        <w:ind w:firstLine="567"/>
        <w:rPr>
          <w:i/>
          <w:lang w:val="ru-RU"/>
        </w:rPr>
      </w:pPr>
      <w:r>
        <w:rPr>
          <w:lang w:val="ru-RU"/>
        </w:rPr>
        <w:t xml:space="preserve">Комментарий: </w:t>
      </w:r>
      <w:r w:rsidR="00964910" w:rsidRPr="00964910">
        <w:rPr>
          <w:i/>
          <w:lang w:val="ru-RU"/>
        </w:rPr>
        <w:t xml:space="preserve">целесообразно проведение химиолучевой терапии или 3-4 месяцев химиотерапии с последующим проведением стереотаксической </w:t>
      </w:r>
      <w:r w:rsidR="00310C34">
        <w:rPr>
          <w:i/>
          <w:lang w:val="ru-RU"/>
        </w:rPr>
        <w:t>лучевой терапии</w:t>
      </w:r>
      <w:r w:rsidR="00964910" w:rsidRPr="00964910">
        <w:rPr>
          <w:i/>
          <w:lang w:val="ru-RU"/>
        </w:rPr>
        <w:t>.</w:t>
      </w:r>
      <w:r>
        <w:rPr>
          <w:i/>
          <w:lang w:val="ru-RU"/>
        </w:rPr>
        <w:t xml:space="preserve"> О</w:t>
      </w:r>
      <w:r w:rsidR="000D607A">
        <w:rPr>
          <w:i/>
          <w:lang w:val="ru-RU"/>
        </w:rPr>
        <w:t xml:space="preserve">блучение проводится до СОД </w:t>
      </w:r>
      <w:r w:rsidR="00964910" w:rsidRPr="00964910">
        <w:rPr>
          <w:i/>
          <w:lang w:val="ru-RU"/>
        </w:rPr>
        <w:t>54</w:t>
      </w:r>
      <w:r w:rsidR="000D607A">
        <w:rPr>
          <w:i/>
          <w:lang w:val="ru-RU"/>
        </w:rPr>
        <w:t>,4</w:t>
      </w:r>
      <w:r w:rsidR="00964910" w:rsidRPr="00964910">
        <w:rPr>
          <w:i/>
          <w:lang w:val="ru-RU"/>
        </w:rPr>
        <w:t xml:space="preserve"> Гр </w:t>
      </w:r>
      <w:r w:rsidR="000D607A">
        <w:rPr>
          <w:i/>
          <w:lang w:val="ru-RU"/>
        </w:rPr>
        <w:t xml:space="preserve">за 28 фракций </w:t>
      </w:r>
      <w:r w:rsidR="00964910" w:rsidRPr="00964910">
        <w:rPr>
          <w:i/>
          <w:lang w:val="ru-RU"/>
        </w:rPr>
        <w:t xml:space="preserve">в сочетании с #капецитабином** в дозе </w:t>
      </w:r>
      <w:r w:rsidR="000D607A">
        <w:rPr>
          <w:i/>
          <w:lang w:val="ru-RU"/>
        </w:rPr>
        <w:t xml:space="preserve">830 мг / м2 2 раза в </w:t>
      </w:r>
      <w:r w:rsidR="00964910" w:rsidRPr="00964910">
        <w:rPr>
          <w:i/>
          <w:lang w:val="ru-RU"/>
        </w:rPr>
        <w:t>сут</w:t>
      </w:r>
      <w:r w:rsidR="000D607A">
        <w:rPr>
          <w:i/>
          <w:lang w:val="ru-RU"/>
        </w:rPr>
        <w:t>ки</w:t>
      </w:r>
      <w:r w:rsidR="00964910" w:rsidRPr="00964910">
        <w:rPr>
          <w:i/>
          <w:lang w:val="ru-RU"/>
        </w:rPr>
        <w:t xml:space="preserve"> внутрь ежедневно в </w:t>
      </w:r>
      <w:r w:rsidR="000D607A">
        <w:rPr>
          <w:i/>
          <w:lang w:val="ru-RU"/>
        </w:rPr>
        <w:t>дни лучевой терапии</w:t>
      </w:r>
      <w:r w:rsidR="00964910" w:rsidRPr="00964910">
        <w:rPr>
          <w:i/>
          <w:lang w:val="ru-RU"/>
        </w:rPr>
        <w:t>. В случае применения стереотаксической лучевой терапии рекомендуется использовать 3 фракции до СОД 30–45 Гр или 5 фракций до СОД 25–45 Гр. В объём облучения включается первичная опухоль с вовлеченными лимфатическими узлами или рецидив опухоли.</w:t>
      </w:r>
    </w:p>
    <w:p w14:paraId="306A2490" w14:textId="77777777" w:rsidR="00247119" w:rsidRPr="00A83E0C" w:rsidRDefault="001F58F6" w:rsidP="00DC7BE7">
      <w:pPr>
        <w:pStyle w:val="3"/>
        <w:rPr>
          <w:lang w:val="ru-RU"/>
        </w:rPr>
      </w:pPr>
      <w:bookmarkStart w:id="22" w:name="_Toc158632227"/>
      <w:r w:rsidRPr="00A83E0C">
        <w:rPr>
          <w:lang w:val="ru-RU"/>
        </w:rPr>
        <w:t>3.</w:t>
      </w:r>
      <w:r w:rsidR="008E3D0D" w:rsidRPr="00A83E0C">
        <w:rPr>
          <w:lang w:val="ru-RU"/>
        </w:rPr>
        <w:t>3</w:t>
      </w:r>
      <w:r w:rsidR="00874C13" w:rsidRPr="00A83E0C">
        <w:rPr>
          <w:lang w:val="ru-RU"/>
        </w:rPr>
        <w:t xml:space="preserve"> </w:t>
      </w:r>
      <w:r w:rsidR="00964910" w:rsidRPr="00964910">
        <w:rPr>
          <w:lang w:val="ru-RU"/>
        </w:rPr>
        <w:t xml:space="preserve">Коррекция осложнений опухолевого процесса </w:t>
      </w:r>
      <w:r w:rsidR="00894342">
        <w:rPr>
          <w:lang w:val="ru-RU"/>
        </w:rPr>
        <w:t>и противоопухолевого лечения</w:t>
      </w:r>
      <w:bookmarkEnd w:id="22"/>
      <w:r w:rsidR="00894342">
        <w:rPr>
          <w:lang w:val="ru-RU"/>
        </w:rPr>
        <w:t xml:space="preserve"> </w:t>
      </w:r>
    </w:p>
    <w:p w14:paraId="7309848C" w14:textId="5A0432BC" w:rsidR="0081772F" w:rsidRPr="00F66527" w:rsidRDefault="0081772F" w:rsidP="00537A85">
      <w:pPr>
        <w:pStyle w:val="2"/>
      </w:pPr>
      <w:r w:rsidRPr="00F66527">
        <w:t xml:space="preserve">Выполнение </w:t>
      </w:r>
      <w:r w:rsidR="009E10EC" w:rsidRPr="00F66527">
        <w:t>билиодигестивной</w:t>
      </w:r>
      <w:r w:rsidR="009E10EC" w:rsidRPr="00F66527" w:rsidDel="009E10EC">
        <w:t xml:space="preserve"> </w:t>
      </w:r>
      <w:r w:rsidRPr="00F66527">
        <w:t xml:space="preserve">операции </w:t>
      </w:r>
      <w:r w:rsidR="00C10B67" w:rsidRPr="00F66527">
        <w:rPr>
          <w:rFonts w:eastAsia="GalsLightC"/>
        </w:rPr>
        <w:t xml:space="preserve">пациентам с </w:t>
      </w:r>
      <w:r w:rsidRPr="00F66527">
        <w:rPr>
          <w:rFonts w:eastAsia="GalsLightC"/>
        </w:rPr>
        <w:t>механической желтух</w:t>
      </w:r>
      <w:r w:rsidR="00C10B67" w:rsidRPr="00F66527">
        <w:rPr>
          <w:rFonts w:eastAsia="GalsLightC"/>
        </w:rPr>
        <w:t>ой</w:t>
      </w:r>
      <w:r w:rsidRPr="00F66527">
        <w:rPr>
          <w:rFonts w:eastAsia="GalsLightC"/>
        </w:rPr>
        <w:t xml:space="preserve"> </w:t>
      </w:r>
      <w:r w:rsidR="003F42F0" w:rsidRPr="00F66527">
        <w:rPr>
          <w:b/>
        </w:rPr>
        <w:t>рекомендуется</w:t>
      </w:r>
      <w:r w:rsidRPr="00F66527">
        <w:t xml:space="preserve"> </w:t>
      </w:r>
      <w:r w:rsidR="009E10EC" w:rsidRPr="00F66527">
        <w:t xml:space="preserve">в качестве первого этапа для подготовки к радикальной операции </w:t>
      </w:r>
      <w:r w:rsidRPr="00F66527">
        <w:t xml:space="preserve">при </w:t>
      </w:r>
      <w:r w:rsidR="00EE1157" w:rsidRPr="00F66527">
        <w:t xml:space="preserve">наличии осложнений холестаза, например, при </w:t>
      </w:r>
      <w:r w:rsidRPr="00F66527">
        <w:t xml:space="preserve">активном холангите, уровне общего билирубина более 250 </w:t>
      </w:r>
      <w:r w:rsidR="00EF25C3" w:rsidRPr="00F66527">
        <w:t>мкмоль/л</w:t>
      </w:r>
      <w:r w:rsidRPr="00F66527">
        <w:t xml:space="preserve">, а также при невозможности </w:t>
      </w:r>
      <w:r w:rsidR="009E10EC" w:rsidRPr="00F66527">
        <w:t>срочного (5-7 дней) выполнения хирургического лечения</w:t>
      </w:r>
      <w:r w:rsidR="005947E5" w:rsidRPr="00F66527">
        <w:t xml:space="preserve"> </w:t>
      </w:r>
      <w:r w:rsidR="00C15198" w:rsidRPr="00F66527">
        <w:fldChar w:fldCharType="begin"/>
      </w:r>
      <w:r w:rsidR="004034C1">
        <w:instrText xml:space="preserve"> ADDIN ZOTERO_ITEM CSL_CITATION {"citationID":"FMnea6eQ","properties":{"formattedCitation":"[97,144]","plainCitation":"[97,144]","noteIndex":0},"citationItems":[{"id":275,"uris":["http://zotero.org/users/5363772/items/MNT2I45Z",["http://zotero.org/users/5363772/items/MNT2I45Z"]],"itemData":{"id":275,"type":"article-journal","container-title":"New England Journal of Medicine","DOI":"10.1056/NEJMoa0903230","ISSN":"0028-4793","issue":"2","journalAbbreviation":"N Engl J Med","page":"129-137","title":"Preoperative Biliary Drainage for Cancer of the Head of the Pancreas","volume":"362","author":[{"family":"Gaag","given":"Niels A.","non-dropping-particle":"van der"},{"family":"Rauws","given":"Erik A.J."},{"family":"Eijck","given":"Casper H.J.","non-dropping-particle":"van"},{"family":"Bruno","given":"Marco J."},{"family":"Harst","given":"Erwin","non-dropping-particle":"van der"},{"family":"Kubben","given":"Frank J.G.M."},{"family":"Gerritsen","given":"Josephus J.G.M."},{"family":"Greve","given":"Jan Willem"},{"family":"Gerhards","given":"Michael F."},{"family":"Hingh","given":"Ignace H.J.T.","non-dropping-particle":"de"},{"family":"Klinkenbijl","given":"Jean H."},{"family":"Nio","given":"Chung Y."},{"family":"Castro","given":"Steve M.M.","non-dropping-particle":"de"},{"family":"Busch","given":"Olivier R.C."},{"family":"Gulik","given":"Thomas M.","non-dropping-particle":"van"},{"family":"Bossuyt","given":"Patrick M.M."},{"family":"Gouma","given":"Dirk J."}],"issued":{"date-parts":[["2010",1,14]]}}},{"id":277,"uris":["http://zotero.org/users/5363772/items/AN6WDIKE",["http://zotero.org/users/5363772/items/AN6WDIKE"]],"itemData":{"id":277,"type":"article-journal","issue":"8","journalAbbreviation":"Фарматека","page":"77-81","title":"Стратегия радикального лечения опухолей периампулярной локализации, осложненных механической желтухой","volume":"241","author":[{"family":"Кудашкин","given":"Николай Евгеньевич"}],"issued":{"date-parts":[["2012"]]}}}],"schema":"https://github.com/citation-style-language/schema/raw/master/csl-citation.json"} </w:instrText>
      </w:r>
      <w:r w:rsidR="00C15198" w:rsidRPr="00F66527">
        <w:fldChar w:fldCharType="separate"/>
      </w:r>
      <w:r w:rsidR="004034C1" w:rsidRPr="004034C1">
        <w:t>[97,144]</w:t>
      </w:r>
      <w:r w:rsidR="00C15198" w:rsidRPr="00F66527">
        <w:fldChar w:fldCharType="end"/>
      </w:r>
      <w:r w:rsidRPr="00F66527">
        <w:t>.</w:t>
      </w:r>
    </w:p>
    <w:p w14:paraId="4F2EEB34" w14:textId="77777777" w:rsidR="0081772F" w:rsidRPr="00A83E0C" w:rsidRDefault="0081772F" w:rsidP="00DC7BE7">
      <w:pPr>
        <w:pStyle w:val="33"/>
        <w:rPr>
          <w:color w:val="auto"/>
          <w:lang w:val="ru-RU"/>
        </w:rPr>
      </w:pPr>
      <w:r w:rsidRPr="00A83E0C">
        <w:rPr>
          <w:color w:val="auto"/>
          <w:lang w:val="ru-RU"/>
        </w:rPr>
        <w:t>Уровен</w:t>
      </w:r>
      <w:r w:rsidR="00E17300" w:rsidRPr="00A83E0C">
        <w:rPr>
          <w:color w:val="auto"/>
          <w:lang w:val="ru-RU"/>
        </w:rPr>
        <w:t xml:space="preserve">ь убедительности рекомендаций </w:t>
      </w:r>
      <w:r w:rsidR="005D77D4" w:rsidRPr="00A83E0C">
        <w:rPr>
          <w:color w:val="auto"/>
          <w:lang w:val="ru-RU"/>
        </w:rPr>
        <w:t xml:space="preserve">С </w:t>
      </w:r>
      <w:r w:rsidRPr="00A83E0C">
        <w:rPr>
          <w:color w:val="auto"/>
          <w:lang w:val="ru-RU"/>
        </w:rPr>
        <w:t>(уровен</w:t>
      </w:r>
      <w:r w:rsidR="00E17300" w:rsidRPr="00A83E0C">
        <w:rPr>
          <w:color w:val="auto"/>
          <w:lang w:val="ru-RU"/>
        </w:rPr>
        <w:t xml:space="preserve">ь достоверности доказательств </w:t>
      </w:r>
      <w:r w:rsidR="005D77D4" w:rsidRPr="00A83E0C">
        <w:rPr>
          <w:color w:val="auto"/>
          <w:lang w:val="ru-RU"/>
        </w:rPr>
        <w:t>5</w:t>
      </w:r>
      <w:r w:rsidRPr="00A83E0C">
        <w:rPr>
          <w:color w:val="auto"/>
          <w:lang w:val="ru-RU"/>
        </w:rPr>
        <w:t>)</w:t>
      </w:r>
    </w:p>
    <w:p w14:paraId="5602012E" w14:textId="10E6C31A" w:rsidR="00AB5339" w:rsidRPr="00A83E0C" w:rsidRDefault="0081772F" w:rsidP="00AB423C">
      <w:pPr>
        <w:pStyle w:val="aff2"/>
        <w:ind w:firstLine="708"/>
      </w:pPr>
      <w:r w:rsidRPr="00A83E0C">
        <w:rPr>
          <w:rFonts w:eastAsia="GalsLightC"/>
          <w:b/>
          <w:i w:val="0"/>
        </w:rPr>
        <w:t>Комментарий</w:t>
      </w:r>
      <w:r w:rsidRPr="00A83E0C">
        <w:rPr>
          <w:rFonts w:eastAsia="GalsLightC"/>
        </w:rPr>
        <w:t xml:space="preserve">: </w:t>
      </w:r>
      <w:r w:rsidRPr="00A83E0C">
        <w:t>пациенты с механической желтухой нуждаются в выполнении билиодигестивных вмешательств, если планируется начало лечения с консервативного этапа. Гипербилирубинемия существенно не повышает риск серьезных послеоперационных осложнений, а желчеразгрузочные операции значительно и часто необоснованно отдаляют радикальное хирургическое лечение.</w:t>
      </w:r>
      <w:r w:rsidR="00AB5339" w:rsidRPr="00A83E0C">
        <w:t xml:space="preserve"> </w:t>
      </w:r>
      <w:r w:rsidR="00FA71E1" w:rsidRPr="00A83E0C">
        <w:t xml:space="preserve">Рекомендуется выполнение миниинвазивного желчеотведения (антеградным (чрескожные чреспеченочные вмешательства) или ретроградным (эндоскопические вмешательства) доступом. Открытые билиодигестивные вмешательства показаны только в случае </w:t>
      </w:r>
      <w:r w:rsidR="00D04CF1" w:rsidRPr="00A83E0C">
        <w:t>неэффективности</w:t>
      </w:r>
      <w:r w:rsidR="00FA71E1" w:rsidRPr="00A83E0C">
        <w:t xml:space="preserve"> либо невозможности проведения миниинвазивного желчеотвед</w:t>
      </w:r>
      <w:r w:rsidR="00D04CF1">
        <w:t>е</w:t>
      </w:r>
      <w:r w:rsidR="00FA71E1" w:rsidRPr="00A83E0C">
        <w:t xml:space="preserve">ния, </w:t>
      </w:r>
      <w:r w:rsidR="00FA71E1" w:rsidRPr="00A83E0C">
        <w:lastRenderedPageBreak/>
        <w:t>следует применить такие виды обходных анастомозов</w:t>
      </w:r>
      <w:r w:rsidR="00C31443" w:rsidRPr="00A83E0C">
        <w:t>,</w:t>
      </w:r>
      <w:r w:rsidR="00FA71E1" w:rsidRPr="00A83E0C">
        <w:t xml:space="preserve"> которые могли бы быть использованы в ходе реконструкции при выполнении радикальной операции на втором этапе (например</w:t>
      </w:r>
      <w:r w:rsidR="00C31443" w:rsidRPr="00A83E0C">
        <w:t>,</w:t>
      </w:r>
      <w:r w:rsidR="00FA71E1" w:rsidRPr="00A83E0C">
        <w:t xml:space="preserve"> формирование гепатикоэнтероанастомоза; использование «длинной» петли кишки; проведение петли тощей кишки впередибодочно и т.д.)</w:t>
      </w:r>
    </w:p>
    <w:p w14:paraId="25F43301" w14:textId="35BCE318" w:rsidR="00FA71E1" w:rsidRPr="00A83E0C" w:rsidRDefault="005246DA" w:rsidP="00537A85">
      <w:pPr>
        <w:pStyle w:val="2"/>
      </w:pPr>
      <w:r w:rsidRPr="00A83E0C">
        <w:t>Пациентам</w:t>
      </w:r>
      <w:r w:rsidR="00FA71E1" w:rsidRPr="00A83E0C">
        <w:t xml:space="preserve"> с</w:t>
      </w:r>
      <w:r w:rsidRPr="00A83E0C">
        <w:t xml:space="preserve"> механической желтухой </w:t>
      </w:r>
      <w:r w:rsidRPr="00A83E0C">
        <w:rPr>
          <w:b/>
        </w:rPr>
        <w:t>рекомендуется</w:t>
      </w:r>
      <w:r w:rsidRPr="00A83E0C">
        <w:t xml:space="preserve"> выполнение</w:t>
      </w:r>
      <w:r w:rsidR="00FA71E1" w:rsidRPr="00A83E0C">
        <w:t xml:space="preserve"> билиодигестивных вмешательств</w:t>
      </w:r>
      <w:r w:rsidR="008E05E2" w:rsidRPr="008E05E2">
        <w:t xml:space="preserve"> </w:t>
      </w:r>
      <w:r w:rsidR="008E05E2" w:rsidRPr="00A83E0C">
        <w:t>для желчеотведения</w:t>
      </w:r>
      <w:r w:rsidRPr="00A83E0C">
        <w:t>,</w:t>
      </w:r>
      <w:r w:rsidR="00FA71E1" w:rsidRPr="00A83E0C">
        <w:t xml:space="preserve"> если планируется </w:t>
      </w:r>
      <w:r w:rsidR="008E05E2">
        <w:t>начало лечения с</w:t>
      </w:r>
      <w:r w:rsidR="008E05E2" w:rsidRPr="00A83E0C">
        <w:t xml:space="preserve"> </w:t>
      </w:r>
      <w:r w:rsidR="00FA71E1" w:rsidRPr="00A83E0C">
        <w:t>консервативн</w:t>
      </w:r>
      <w:r w:rsidR="008E05E2">
        <w:t>ой</w:t>
      </w:r>
      <w:r w:rsidR="00FA71E1" w:rsidRPr="00A83E0C">
        <w:t xml:space="preserve"> терапи</w:t>
      </w:r>
      <w:r w:rsidR="008E05E2">
        <w:t>и</w:t>
      </w:r>
      <w:r w:rsidRPr="00A83E0C">
        <w:t xml:space="preserve"> </w:t>
      </w:r>
      <w:r w:rsidR="00C15198" w:rsidRPr="00A83E0C">
        <w:fldChar w:fldCharType="begin"/>
      </w:r>
      <w:r w:rsidR="004034C1">
        <w:instrText xml:space="preserve"> ADDIN ZOTERO_ITEM CSL_CITATION {"citationID":"84pVJHlD","properties":{"formattedCitation":"[145]","plainCitation":"[145]","noteIndex":0},"citationItems":[{"id":279,"uris":["http://zotero.org/users/5363772/items/B89T5T9U",["http://zotero.org/users/5363772/items/B89T5T9U"]],"itemData":{"id":279,"type":"article-journal","abstract":"BACKGROUND: Life expectancy in patients with unresectable pancreatic cancer has improved by using new chemotherapeutic regimens. Biliary and digestive stenoses can be endoscopically treated in most cases. However, long-term efﬁcacy of these stenting procedures remains unknown. AIM: To evaluate the incidence of biliary and duodenal stenoses as well as technical success and shortand long-term patency of endoscopically deployed stents in patients with unresectable pancreatic cancer. PATIENTS AND\nMETHODS: All consecutive patients with unresectable cancer of the pancreatic head seen between January 1999 and September 2003 in our center were retrospectively studied. Patients with biliary and/or duodenal stenoses underwent endoscopic stent insertion as ﬁrst intention therapy. Outcomes included technical and clinical success, stent patency, and survival.\nRESULTS: One hundred patients, median age 65 yr (32–85), with locally advanced (62%) or metastatic (38%) pancreatic cancer were studied. Eighty-three percent received at least one line of chemotherapy. The actuarial median survival was 11 months (0.7–29.3). Biliary and duodenal stenoses occurred in 81 and 25 patients, respectively. A biliary stent was successfully placed in 74 patients (91%). When a self-expandable metallic stent was ﬁrst introduced (N = 59), a single stent was sufﬁcient in 41 patients (69%) (median duration of stent patency 7 months (0.4–21.1)). Duodenal stenting was successful in 24 patients (96%); among them, 96% required a single stent (median duration of stent patency 6 months [0.5–15.7]). In the 23 patients who developed both biliary and duodenal stenoses, combined stenting was successful in 91% of cases. No major complication or death occurred related to endoscopic treatment.\nCONCLUSION: Endoscopic palliative treatment of both biliary and duodenal stenoses is safe and effective in the long term, including in patients with combined obstructions. Use of such palliative management is justiﬁed as repeat procedures are rarely required even in patients who have a long survival.","container-title":"The American Journal of Gastroenterology","DOI":"10.1111/j.1572-0241.2006.00559.x","ISSN":"0002-9270, 1572-0241","issue":"4","journalAbbreviation":"Am J Gastroenterol","language":"en","page":"735-742","source":"DOI.org (Crossref)","title":"Long-term Outcome of Biliary and Duodenal Stents in Palliative Treatment of Patients with Unresectable Adenocarcinoma of the Head of Pancreas","volume":"101","author":[{"family":"Maire","given":"Frédérique"},{"family":"Hammel","given":"Pascal"},{"family":"Ponsot","given":"Philippe"},{"family":"Aubert","given":"Alain"},{"family":"O'Toole","given":"Dermot"},{"family":"Hentic","given":"Olivia"},{"family":"Levy","given":"Philippe"},{"family":"Ruszniewski","given":"Philippe"}],"issued":{"date-parts":[["2006",4]]}}}],"schema":"https://github.com/citation-style-language/schema/raw/master/csl-citation.json"} </w:instrText>
      </w:r>
      <w:r w:rsidR="00C15198" w:rsidRPr="00A83E0C">
        <w:fldChar w:fldCharType="separate"/>
      </w:r>
      <w:r w:rsidR="004034C1" w:rsidRPr="004034C1">
        <w:t>[145]</w:t>
      </w:r>
      <w:r w:rsidR="00C15198" w:rsidRPr="00A83E0C">
        <w:fldChar w:fldCharType="end"/>
      </w:r>
      <w:r w:rsidR="00CD7D17" w:rsidRPr="00A83E0C">
        <w:rPr>
          <w:lang w:val="en-US"/>
        </w:rPr>
        <w:t>.</w:t>
      </w:r>
    </w:p>
    <w:p w14:paraId="2455796B" w14:textId="77777777" w:rsidR="00FA71E1" w:rsidRPr="00A83E0C" w:rsidRDefault="00AB5339" w:rsidP="00244495">
      <w:pPr>
        <w:pStyle w:val="33"/>
        <w:rPr>
          <w:lang w:val="ru-RU"/>
        </w:rPr>
      </w:pPr>
      <w:r w:rsidRPr="00A83E0C">
        <w:rPr>
          <w:lang w:val="ru-RU"/>
        </w:rPr>
        <w:t xml:space="preserve">Уровень убедительности рекомендаций </w:t>
      </w:r>
      <w:r w:rsidR="0046725D" w:rsidRPr="00A83E0C">
        <w:t>C</w:t>
      </w:r>
      <w:r w:rsidR="0046725D" w:rsidRPr="00A83E0C">
        <w:rPr>
          <w:lang w:val="ru-RU"/>
        </w:rPr>
        <w:t xml:space="preserve"> </w:t>
      </w:r>
      <w:r w:rsidRPr="00A83E0C">
        <w:rPr>
          <w:lang w:val="ru-RU"/>
        </w:rPr>
        <w:t xml:space="preserve">(уровень достоверности доказательств </w:t>
      </w:r>
      <w:r w:rsidR="0046725D" w:rsidRPr="00A83E0C">
        <w:rPr>
          <w:lang w:val="ru-RU"/>
        </w:rPr>
        <w:t>4</w:t>
      </w:r>
      <w:r w:rsidRPr="00A83E0C">
        <w:rPr>
          <w:lang w:val="ru-RU"/>
        </w:rPr>
        <w:t>)</w:t>
      </w:r>
    </w:p>
    <w:p w14:paraId="7E1FBF5B" w14:textId="0D23F3BE" w:rsidR="0081772F" w:rsidRPr="00A83E0C" w:rsidRDefault="00FA71E1" w:rsidP="00AB423C">
      <w:pPr>
        <w:pStyle w:val="aff2"/>
        <w:ind w:firstLine="708"/>
      </w:pPr>
      <w:r w:rsidRPr="00A83E0C">
        <w:rPr>
          <w:b/>
          <w:i w:val="0"/>
        </w:rPr>
        <w:t>Ком</w:t>
      </w:r>
      <w:r w:rsidR="00705827" w:rsidRPr="00A83E0C">
        <w:rPr>
          <w:b/>
          <w:i w:val="0"/>
        </w:rPr>
        <w:t>м</w:t>
      </w:r>
      <w:r w:rsidRPr="00A83E0C">
        <w:rPr>
          <w:b/>
          <w:i w:val="0"/>
        </w:rPr>
        <w:t>ентарий</w:t>
      </w:r>
      <w:r w:rsidRPr="00A83E0C">
        <w:t xml:space="preserve">: </w:t>
      </w:r>
      <w:r w:rsidR="00705827" w:rsidRPr="00A83E0C">
        <w:t>р</w:t>
      </w:r>
      <w:r w:rsidRPr="00A83E0C">
        <w:t xml:space="preserve">екомендуется выполнение миниинвазивного желчеотведения (антеградным (чрескожные чреспеченочные вмешательства) или ретроградным (эндоскопические вмешательства) доступом. </w:t>
      </w:r>
      <w:r w:rsidR="00300DCA">
        <w:t xml:space="preserve">В случае стентирования следует отдать предпочтение металлическим саморасширяющимся стентам. Пластиковые стенты несут повышенные риски миграции и обструкции, что повышает риски жизнеугрожающих осложнений, особенно на фоне химиотерапии. Их применение возможно при ожидаемой продолжительности жизни менее 3 месяцев. </w:t>
      </w:r>
      <w:r w:rsidRPr="00A83E0C">
        <w:t>Выполнение открытых билиодигестивных вмешательств показано только в случае неэффетивности либо невозможности проведения миниинвазивного желчеотведния.</w:t>
      </w:r>
    </w:p>
    <w:p w14:paraId="22FCFCD2" w14:textId="45FAF1D8" w:rsidR="0081772F" w:rsidRPr="00A83E0C" w:rsidRDefault="0081772F" w:rsidP="00537A85">
      <w:pPr>
        <w:pStyle w:val="2"/>
        <w:rPr>
          <w:rFonts w:eastAsia="GalsLightC"/>
        </w:rPr>
      </w:pPr>
      <w:r w:rsidRPr="00A83E0C">
        <w:t>Пациент</w:t>
      </w:r>
      <w:r w:rsidR="003F42F0" w:rsidRPr="00A83E0C">
        <w:t>ам</w:t>
      </w:r>
      <w:r w:rsidRPr="00A83E0C">
        <w:t xml:space="preserve"> с </w:t>
      </w:r>
      <w:r w:rsidR="000A3C3A" w:rsidRPr="000A3C3A">
        <w:t xml:space="preserve">непроходимостью выходного отдела желудка или двенадцатиперстной кишки, </w:t>
      </w:r>
      <w:r w:rsidRPr="00A83E0C">
        <w:t xml:space="preserve">вызванной сдавлением и/или инфильтрацией опухолью пилорического отдела желудка или </w:t>
      </w:r>
      <w:r w:rsidR="00EE1157" w:rsidRPr="00A83E0C">
        <w:t>двенадцатиперстной кишки</w:t>
      </w:r>
      <w:r w:rsidRPr="00A83E0C">
        <w:t xml:space="preserve">, </w:t>
      </w:r>
      <w:r w:rsidR="003F42F0" w:rsidRPr="00A83E0C">
        <w:rPr>
          <w:b/>
        </w:rPr>
        <w:t>рекомендуется</w:t>
      </w:r>
      <w:r w:rsidRPr="00A83E0C">
        <w:t xml:space="preserve"> неотложно</w:t>
      </w:r>
      <w:r w:rsidR="003F42F0" w:rsidRPr="00A83E0C">
        <w:t>е разрешение</w:t>
      </w:r>
      <w:r w:rsidRPr="00A83E0C">
        <w:t xml:space="preserve"> данного осложнения в виде стентирования или формирования обходных анастомозов, если планируется начало лечения с консервативного этапа</w:t>
      </w:r>
      <w:r w:rsidR="00EC4A01" w:rsidRPr="00A83E0C">
        <w:t xml:space="preserve"> </w:t>
      </w:r>
      <w:r w:rsidR="00C15198" w:rsidRPr="00A83E0C">
        <w:fldChar w:fldCharType="begin"/>
      </w:r>
      <w:r w:rsidR="004034C1">
        <w:instrText xml:space="preserve"> ADDIN ZOTERO_ITEM CSL_CITATION {"citationID":"81wsMLyP","properties":{"formattedCitation":"[145,146]","plainCitation":"[145,146]","noteIndex":0},"citationItems":[{"id":279,"uris":["http://zotero.org/users/5363772/items/B89T5T9U",["http://zotero.org/users/5363772/items/B89T5T9U"]],"itemData":{"id":279,"type":"article-journal","abstract":"BACKGROUND: Life expectancy in patients with unresectable pancreatic cancer has improved by using new chemotherapeutic regimens. Biliary and digestive stenoses can be endoscopically treated in most cases. However, long-term efﬁcacy of these stenting procedures remains unknown. AIM: To evaluate the incidence of biliary and duodenal stenoses as well as technical success and shortand long-term patency of endoscopically deployed stents in patients with unresectable pancreatic cancer. PATIENTS AND\nMETHODS: All consecutive patients with unresectable cancer of the pancreatic head seen between January 1999 and September 2003 in our center were retrospectively studied. Patients with biliary and/or duodenal stenoses underwent endoscopic stent insertion as ﬁrst intention therapy. Outcomes included technical and clinical success, stent patency, and survival.\nRESULTS: One hundred patients, median age 65 yr (32–85), with locally advanced (62%) or metastatic (38%) pancreatic cancer were studied. Eighty-three percent received at least one line of chemotherapy. The actuarial median survival was 11 months (0.7–29.3). Biliary and duodenal stenoses occurred in 81 and 25 patients, respectively. A biliary stent was successfully placed in 74 patients (91%). When a self-expandable metallic stent was ﬁrst introduced (N = 59), a single stent was sufﬁcient in 41 patients (69%) (median duration of stent patency 7 months (0.4–21.1)). Duodenal stenting was successful in 24 patients (96%); among them, 96% required a single stent (median duration of stent patency 6 months [0.5–15.7]). In the 23 patients who developed both biliary and duodenal stenoses, combined stenting was successful in 91% of cases. No major complication or death occurred related to endoscopic treatment.\nCONCLUSION: Endoscopic palliative treatment of both biliary and duodenal stenoses is safe and effective in the long term, including in patients with combined obstructions. Use of such palliative management is justiﬁed as repeat procedures are rarely required even in patients who have a long survival.","container-title":"The American Journal of Gastroenterology","DOI":"10.1111/j.1572-0241.2006.00559.x","ISSN":"0002-9270, 1572-0241","issue":"4","journalAbbreviation":"Am J Gastroenterol","language":"en","page":"735-742","source":"DOI.org (Crossref)","title":"Long-term Outcome of Biliary and Duodenal Stents in Palliative Treatment of Patients with Unresectable Adenocarcinoma of the Head of Pancreas","volume":"101","author":[{"family":"Maire","given":"Frédérique"},{"family":"Hammel","given":"Pascal"},{"family":"Ponsot","given":"Philippe"},{"family":"Aubert","given":"Alain"},{"family":"O'Toole","given":"Dermot"},{"family":"Hentic","given":"Olivia"},{"family":"Levy","given":"Philippe"},{"family":"Ruszniewski","given":"Philippe"}],"issued":{"date-parts":[["2006",4]]}}},{"id":280,"uris":["http://zotero.org/users/5363772/items/CDMWK2TG",["http://zotero.org/users/5363772/items/CDMWK2TG"]],"itemData":{"id":280,"type":"article-journal","abstract":"Abstract Aim Gastrojejunostomy (GJJ) and duodenal stent placement are the most commonly used palliative treatment modalities for gastric outlet obstruction (GOO). In this retrospective study, we compared GJJ and stent placement with regard to medical effects. Methods Medical records of 95 patients who had undergone palliative treatment between 1994 and 2006 in a Dutch university hospital, were reviewed. Study outcomes were improvement of food intake, complications, persistent and recurrent symptoms, re-interventions, hospital stay, and survival. Results Fifty-three patients were referred for duodenal stent placement and 42 patients underwent GJJ. There were no differences in technical and clinical success and the incidence of minor and early major complications and survival. Food intake improved more rapidly after stent placement than GJJ (P?=?0.01). The time to late major complications, recurrent obstructive symptoms and re-intervention was significantly shorter after stent placement than GJJ (P?=?0.004, 0.002, and 0.004, respectively). Hospital stay was also shorter after stent placement than GJJ (P?","container-title":"Journal of Surgical Oncology","DOI":"10.1002/jso.20828","ISSN":"0022-4790","issue":"5","journalAbbreviation":"Journal of Surgical Oncology","page":"389-396","title":"Gastrojejunostomy versus stent placement in patients with malignant gastric outlet obstruction: a comparison in 95 patients","volume":"96","author":[{"family":"Jeurnink","given":"S.M."},{"family":"Steyerberg","given":"E.W."},{"family":"Hof","given":"G. van 'T"},{"family":"Eijck","given":"C.H.J.","non-dropping-particle":"van"},{"family":"Kuipers","given":"E.J."},{"family":"Siersema","given":"P.D."}],"issued":{"date-parts":[["2007",10,1]]}}}],"schema":"https://github.com/citation-style-language/schema/raw/master/csl-citation.json"} </w:instrText>
      </w:r>
      <w:r w:rsidR="00C15198" w:rsidRPr="00A83E0C">
        <w:fldChar w:fldCharType="separate"/>
      </w:r>
      <w:r w:rsidR="004034C1" w:rsidRPr="004034C1">
        <w:t>[145,146]</w:t>
      </w:r>
      <w:r w:rsidR="00C15198" w:rsidRPr="00A83E0C">
        <w:fldChar w:fldCharType="end"/>
      </w:r>
      <w:r w:rsidRPr="00A83E0C">
        <w:t xml:space="preserve">. </w:t>
      </w:r>
    </w:p>
    <w:p w14:paraId="5E7BDA61" w14:textId="77777777" w:rsidR="0081772F" w:rsidRPr="00A83E0C" w:rsidRDefault="0081772F"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867D36" w:rsidRPr="00A83E0C">
        <w:rPr>
          <w:color w:val="auto"/>
        </w:rPr>
        <w:t>C</w:t>
      </w:r>
      <w:r w:rsidR="00867D36" w:rsidRPr="00A83E0C">
        <w:rPr>
          <w:color w:val="auto"/>
          <w:lang w:val="ru-RU"/>
        </w:rPr>
        <w:t xml:space="preserve"> </w:t>
      </w:r>
      <w:r w:rsidRPr="00A83E0C">
        <w:rPr>
          <w:color w:val="auto"/>
          <w:lang w:val="ru-RU"/>
        </w:rPr>
        <w:t>(уровен</w:t>
      </w:r>
      <w:r w:rsidR="00E17300" w:rsidRPr="00A83E0C">
        <w:rPr>
          <w:color w:val="auto"/>
          <w:lang w:val="ru-RU"/>
        </w:rPr>
        <w:t xml:space="preserve">ь достоверности доказательств </w:t>
      </w:r>
      <w:r w:rsidR="00867D36" w:rsidRPr="00A83E0C">
        <w:rPr>
          <w:color w:val="auto"/>
          <w:lang w:val="ru-RU"/>
        </w:rPr>
        <w:t>4</w:t>
      </w:r>
      <w:r w:rsidRPr="00A83E0C">
        <w:rPr>
          <w:color w:val="auto"/>
          <w:lang w:val="ru-RU"/>
        </w:rPr>
        <w:t>)</w:t>
      </w:r>
    </w:p>
    <w:p w14:paraId="5075B020" w14:textId="26F874AC" w:rsidR="0081772F" w:rsidRPr="00A83E0C" w:rsidRDefault="00C10B67" w:rsidP="00537A85">
      <w:pPr>
        <w:pStyle w:val="2"/>
        <w:rPr>
          <w:rFonts w:eastAsia="GalsLightC"/>
        </w:rPr>
      </w:pPr>
      <w:r w:rsidRPr="00A83E0C">
        <w:t>Пациентам с</w:t>
      </w:r>
      <w:r w:rsidR="0081772F" w:rsidRPr="00A83E0C">
        <w:t xml:space="preserve"> выраженн</w:t>
      </w:r>
      <w:r w:rsidRPr="00A83E0C">
        <w:t>ым</w:t>
      </w:r>
      <w:r w:rsidR="0081772F" w:rsidRPr="00A83E0C">
        <w:t xml:space="preserve"> болев</w:t>
      </w:r>
      <w:r w:rsidRPr="00A83E0C">
        <w:t>ым</w:t>
      </w:r>
      <w:r w:rsidR="0081772F" w:rsidRPr="00A83E0C">
        <w:t xml:space="preserve"> </w:t>
      </w:r>
      <w:r w:rsidRPr="00A83E0C">
        <w:t xml:space="preserve">синдромом </w:t>
      </w:r>
      <w:r w:rsidR="00EF25C3" w:rsidRPr="00A83E0C">
        <w:t xml:space="preserve">и </w:t>
      </w:r>
      <w:r w:rsidR="0081772F" w:rsidRPr="00A83E0C">
        <w:t xml:space="preserve">невозможности выполнения радикальной операции </w:t>
      </w:r>
      <w:r w:rsidR="0081772F" w:rsidRPr="00A83E0C">
        <w:rPr>
          <w:b/>
        </w:rPr>
        <w:t>рекомендуется</w:t>
      </w:r>
      <w:r w:rsidR="0081772F" w:rsidRPr="00A83E0C">
        <w:t xml:space="preserve"> </w:t>
      </w:r>
      <w:r w:rsidR="0050289A" w:rsidRPr="00A83E0C">
        <w:t xml:space="preserve">назначение адекватных </w:t>
      </w:r>
      <w:r w:rsidR="00E16EBE">
        <w:t>анальгетиков</w:t>
      </w:r>
      <w:r w:rsidR="0050289A" w:rsidRPr="00A83E0C">
        <w:t xml:space="preserve">, </w:t>
      </w:r>
      <w:r w:rsidR="0081772F" w:rsidRPr="00A83E0C">
        <w:t>выполнение блокады чревного сплетения или паллиативной лучевой терапии</w:t>
      </w:r>
      <w:r w:rsidR="00602917" w:rsidRPr="00A83E0C">
        <w:t xml:space="preserve"> с целью уменьшения выраженности болей</w:t>
      </w:r>
      <w:r w:rsidR="00EC4A01" w:rsidRPr="00A83E0C">
        <w:t xml:space="preserve"> </w:t>
      </w:r>
      <w:r w:rsidR="00C15198" w:rsidRPr="00A83E0C">
        <w:fldChar w:fldCharType="begin"/>
      </w:r>
      <w:r w:rsidR="004034C1">
        <w:instrText xml:space="preserve"> ADDIN ZOTERO_ITEM CSL_CITATION {"citationID":"ZdlRyVUN","properties":{"formattedCitation":"[12,21,147\\uc0\\u8211{}149]","plainCitation":"[12,21,147–149]","noteIndex":0},"citationItems":[{"id":1089,"uris":["http://zotero.org/users/5363772/items/KE2VWEMS",["http://zotero.org/users/5363772/items/KE2VWEMS"]],"itemData":{"id":1089,"type":"webpage","language":"Английский","title":"Pancreatic Cancer Guidelines. Updated: Mar 07, 2019","URL":"https://emedicine.medscape.com/article/280605-guidelines#g2","accessed":{"date-parts":[["2019",12,16]]}}},{"id":417,"uris":["http://zotero.org/users/5363772/items/7NSJFVLH",["http://zotero.org/users/5363772/items/7NSJFVLH"]],"itemData":{"id":417,"type":"article-journal","container-title":"Annals of Oncology","DOI":"10.1093/annonc/mdv295","ISSN":"0923-7534","issue":"suppl_5","journalAbbreviation":"Annals of Oncology","page":"v56-v68","title":"Cancer of the pancreas: ESMO Clinical Practice Guidelines for diagnosis, treatment and follow-up†","volume":"26","author":[{"family":"Ducreux","given":"M."},{"literal":"on behalf of the ESMO Guidelines Committee"},{"family":"Cuhna","given":"A. Sa."},{"literal":"on behalf of the ESMO Guidelines Committee"},{"family":"Caramella","given":"C."},{"literal":"on behalf of the ESMO Guidelines Committee"},{"family":"Hollebecque","given":"A."},{"literal":"on behalf of the ESMO Guidelines Committee"},{"family":"Burtin","given":"P."},{"literal":"on behalf of the ESMO Guidelines Committee"},{"family":"Goéré","given":"D."},{"literal":"on behalf of the ESMO Guidelines Committee"},{"family":"Seufferlein","given":"T."},{"literal":"on behalf of the ESMO Guidelines Committee"},{"family":"Haustermans","given":"K."},{"literal":"on behalf of the ESMO Guidelines Committee"},{"family":"Van Laethem","given":"J. L."},{"literal":"on behalf of the ESMO Guidelines Committee"},{"family":"Conroy","given":"T."},{"literal":"on behalf of the ESMO Guidelines Committee"},{"family":"Arnold","given":"D."},{"literal":"on behalf of the ESMO Guidelines Committee"}],"issued":{"date-parts":[["2015",8,25]]}}},{"id":282,"uris":["http://zotero.org/users/5363772/items/PJMYELXU",["http://zotero.org/users/5363772/items/PJMYELXU"]],"itemData":{"id":282,"type":"article-journal","abstract":"ContextPancreatic cancer is an aggressive tumor associated with high mortality.\nOptimal pain control may improve quality of life (QOL) for these patients.ObjectiveTo test the hypothesis that neurolytic celiac plexus block (NCPB) vs\nopioids alone improves pain relief, QOL, and survival in patients with unresectable\npancreatic cancer.Design, Setting, and PatientsDouble-blind, randomized clinical trial conducted at Mayo Clinic, Rochester,\nMinn. Enrolled (October 1997 and January 2001) were 100 eligible patients\nwith unresectable pancreatic cancer experiencing pain. Patients were followed\nup for at least 1 year or until death.InterventionPatients were randomly assigned to receive either NCPB or systemic analgesic\ntherapy alone with a sham injection. All patients could receive additional\nopioids managed by a clinician blinded to the treatment assignment.Main Outcome MeasuresPain intensity (0-10 numerical rating scale), QOL, opioid consumption\nand related adverse effects, and survival time were assessed weekly by a blinded\nobserver.ResultsMean (SD) baseline pain was 4.4 (1.7) for NCPB vs 4.1 (1.8) for opioids\nalone. The first week after randomization, pain intensity and QOL scores were\nimproved (pain intensity, P≤.01 for both groups;\nQOL, P&amp;lt;.001 for both groups), with a larger decrease\nin pain for the NCPB group (P = .005). From repeated\nmeasures analysis, pain was also lower for NCPB over time (P = .01). However, opioid consumption (P =\n.93), frequency of opioid adverse effects (all P&amp;gt;.10),\nand QOL (P = .46) were not significantly different\nbetween groups. In the first 6 weeks, fewer NCPB patients reported moderate\nor severe pain (pain intensity rating of ≥5/10) vs opioid-only patients\n(14% vs 40%, P = .005). At 1 year, 16% of NCPB patients\nand 6% of opioid-only patients were alive. However, survival did not differ\nsignificantly between groups (P = .26, proportional\nhazards regression).ConclusionAlthough NCPB improves pain relief in patients with pancreatic cancer\nvs optimized systemic analgesic therapy alone, it does not affect QOL or survival.","container-title":"JAMA","DOI":"10.1001/jama.291.9.1092","ISSN":"0098-7484","issue":"9","journalAbbreviation":"JAMA","page":"1092-1099","title":"Effect of Neurolytic Celiac Plexus Block on Pain Relief, Quality of Life, and Survival in Patients With Unresectable Pancreatic CancerA Randomized Controlled Trial","volume":"291","author":[{"family":"Wong","given":"Gilbert Y."},{"family":"Schroeder","given":"Darrell R."},{"family":"Carns","given":"Paul E."},{"family":"Wilson","given":"Jack L."},{"family":"Martin","given":"David P."},{"family":"Kinney","given":"Michelle O."},{"family":"Mantilla","given":"Carlos B."},{"family":"Warner","given":"David O."}],"issued":{"date-parts":[["2004",3,3]]}}},{"id":1081,"uris":["http://zotero.org/users/5363772/items/HXR9SXRC",["http://zotero.org/users/5363772/items/HXR9SXRC"]],"itemData":{"id":1081,"type":"article-journal","container-title":"Cancers","DOI":"10.3390/cancers3010043","ISSN":"2072-6694","issue":"1","journalAbbreviation":"Cancers","language":"en","page":"43-60","source":"DOI.org (Crossref)","title":"Pain Management in Pancreatic Cancer","volume":"3","author":[{"family":"Hameed","given":"Mariam"},{"family":"Hameed","given":"Haroon"},{"family":"Erdek","given":"Michael"}],"issued":{"date-parts":[["2010",12,24]]}}},{"id":1079,"uris":["http://zotero.org/users/5363772/items/WMWFRWVT",["http://zotero.org/users/5363772/items/WMWFRWVT"]],"itemData":{"id":1079,"type":"article-journal","container-title":"Molecular and Clinical Oncology","DOI":"10.3892/mco.2016.851","ISSN":"2049-9450, 2049-9469","issue":"6","language":"en","page":"1088-1092","source":"DOI.org (Crossref)","title":"Tolerance and efficacy of palliative radiotherapy for advanced pancreatic cancer: A retrospective analysis of single-institutional experiences","title-short":"Tolerance and efficacy of palliative radiotherapy for advanced pancreatic cancer","volume":"4","author":[{"family":"Wolny-Rokicka","given":"Edyta"},{"family":"Sutkowski","given":"Krzysztof"},{"family":"Grządziel","given":"Aleksandra"},{"family":"Dorsz","given":"Żaneta"},{"family":"Tukiendorf","given":"Andrzej"},{"family":"Lipiński","given":"Jakub"},{"family":"Wydmański","given":"Jerzy"}],"issued":{"date-parts":[["2016",6]]}}}],"schema":"https://github.com/citation-style-language/schema/raw/master/csl-citation.json"} </w:instrText>
      </w:r>
      <w:r w:rsidR="00C15198" w:rsidRPr="00A83E0C">
        <w:fldChar w:fldCharType="separate"/>
      </w:r>
      <w:r w:rsidR="004034C1" w:rsidRPr="004034C1">
        <w:t>[12,21,147–149]</w:t>
      </w:r>
      <w:r w:rsidR="00C15198" w:rsidRPr="00A83E0C">
        <w:fldChar w:fldCharType="end"/>
      </w:r>
      <w:r w:rsidR="003F42F0" w:rsidRPr="00A83E0C">
        <w:t>.</w:t>
      </w:r>
    </w:p>
    <w:p w14:paraId="4DF2A340" w14:textId="77777777" w:rsidR="0081772F" w:rsidRPr="00A83E0C" w:rsidRDefault="0081772F"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C90738" w:rsidRPr="00A83E0C">
        <w:rPr>
          <w:color w:val="auto"/>
        </w:rPr>
        <w:t>C</w:t>
      </w:r>
      <w:r w:rsidR="00C90738" w:rsidRPr="00A83E0C">
        <w:rPr>
          <w:color w:val="auto"/>
          <w:lang w:val="ru-RU"/>
        </w:rPr>
        <w:t xml:space="preserve"> </w:t>
      </w:r>
      <w:r w:rsidRPr="00A83E0C">
        <w:rPr>
          <w:color w:val="auto"/>
          <w:lang w:val="ru-RU"/>
        </w:rPr>
        <w:t>(уров</w:t>
      </w:r>
      <w:r w:rsidR="00E17300" w:rsidRPr="00A83E0C">
        <w:rPr>
          <w:color w:val="auto"/>
          <w:lang w:val="ru-RU"/>
        </w:rPr>
        <w:t>ень достоверности доказательств</w:t>
      </w:r>
      <w:r w:rsidRPr="00A83E0C">
        <w:rPr>
          <w:color w:val="auto"/>
          <w:lang w:val="ru-RU"/>
        </w:rPr>
        <w:t xml:space="preserve"> </w:t>
      </w:r>
      <w:r w:rsidR="00C90738" w:rsidRPr="00A83E0C">
        <w:rPr>
          <w:color w:val="auto"/>
          <w:lang w:val="ru-RU"/>
        </w:rPr>
        <w:t>5</w:t>
      </w:r>
      <w:r w:rsidRPr="00A83E0C">
        <w:rPr>
          <w:color w:val="auto"/>
          <w:lang w:val="ru-RU"/>
        </w:rPr>
        <w:t>)</w:t>
      </w:r>
    </w:p>
    <w:p w14:paraId="706DB01B" w14:textId="77777777" w:rsidR="0081772F" w:rsidRDefault="0081772F" w:rsidP="00AB423C">
      <w:pPr>
        <w:pStyle w:val="aff2"/>
        <w:ind w:firstLine="708"/>
      </w:pPr>
      <w:r w:rsidRPr="00A83E0C">
        <w:rPr>
          <w:b/>
          <w:i w:val="0"/>
        </w:rPr>
        <w:t>Комментарий</w:t>
      </w:r>
      <w:r w:rsidRPr="00A83E0C">
        <w:t xml:space="preserve">: </w:t>
      </w:r>
      <w:r w:rsidR="00D06A0A" w:rsidRPr="00A83E0C">
        <w:t>б</w:t>
      </w:r>
      <w:r w:rsidRPr="00A83E0C">
        <w:t xml:space="preserve">локада чревного сплетения выполняется чрескожно или эндоскопически. В качестве альтернативы с обезболивающей целью может быть </w:t>
      </w:r>
      <w:r w:rsidRPr="00A83E0C">
        <w:lastRenderedPageBreak/>
        <w:t>применена лучевая терапия</w:t>
      </w:r>
      <w:r w:rsidR="00FC489B">
        <w:t>.</w:t>
      </w:r>
      <w:r w:rsidR="00FC489B" w:rsidRPr="00FC489B">
        <w:t xml:space="preserve"> </w:t>
      </w:r>
      <w:r w:rsidR="00FC489B">
        <w:t>Возможно проведение курса стереотаксической лучевой терапии</w:t>
      </w:r>
      <w:r w:rsidRPr="00A83E0C">
        <w:t xml:space="preserve"> (РОД 5 - 6 Гр, 5 раз в неделю, СОД 25 – 30 Гр, в зависимости от объема облучения окружающих критических органов, с учетом их толерантности)</w:t>
      </w:r>
      <w:r w:rsidR="00FC489B">
        <w:t xml:space="preserve"> или курса </w:t>
      </w:r>
      <w:r w:rsidRPr="00A83E0C">
        <w:t>конформн</w:t>
      </w:r>
      <w:r w:rsidR="00FC489B">
        <w:t>ой</w:t>
      </w:r>
      <w:r w:rsidRPr="00A83E0C">
        <w:t xml:space="preserve"> лучев</w:t>
      </w:r>
      <w:r w:rsidR="00FC489B">
        <w:t>оой</w:t>
      </w:r>
      <w:r w:rsidRPr="00A83E0C">
        <w:t xml:space="preserve"> терапи</w:t>
      </w:r>
      <w:r w:rsidR="00FC489B">
        <w:t>и в режиме гипофракционирования</w:t>
      </w:r>
      <w:r w:rsidRPr="00A83E0C">
        <w:t xml:space="preserve"> (РОД 3 - 4 Гр, 5 раз в неделю, СОД 30 – 28 Гр соответственно). </w:t>
      </w:r>
      <w:r w:rsidR="00022010" w:rsidRPr="00A83E0C">
        <w:t>Процедура верификации рассчитанного лечебного плана пациента должна предшествовать началу курса облучения при использовании методик лучевой терапии с модуляцией интенсивности (</w:t>
      </w:r>
      <w:r w:rsidR="00022010" w:rsidRPr="00A83E0C">
        <w:rPr>
          <w:lang w:val="en-US"/>
        </w:rPr>
        <w:t>IMRT</w:t>
      </w:r>
      <w:r w:rsidR="00022010" w:rsidRPr="00A83E0C">
        <w:t>) или ротационном облучении (</w:t>
      </w:r>
      <w:r w:rsidR="00022010" w:rsidRPr="00A83E0C">
        <w:rPr>
          <w:lang w:val="en-US"/>
        </w:rPr>
        <w:t>RapidArc</w:t>
      </w:r>
      <w:r w:rsidR="00022010" w:rsidRPr="00A83E0C">
        <w:t xml:space="preserve">). </w:t>
      </w:r>
      <w:r w:rsidRPr="00A83E0C">
        <w:t xml:space="preserve">Пациент также должен получать те анальгетические препараты, которые обеспечивают стойкое купирование болевого синдрома. </w:t>
      </w:r>
    </w:p>
    <w:p w14:paraId="61AB2BE3" w14:textId="2FF9865A" w:rsidR="00D04CF1" w:rsidRDefault="00177E3C">
      <w:pPr>
        <w:pStyle w:val="2"/>
      </w:pPr>
      <w:r w:rsidRPr="004E104D">
        <w:rPr>
          <w:b/>
          <w:bCs/>
        </w:rPr>
        <w:t>Рекомендуется</w:t>
      </w:r>
      <w:r>
        <w:t xml:space="preserve"> обсуждение с пациентами, прооперированными по поводу рака поджелудочной железы, а также имеющими нерезектабельный процесс, заместительную ферментативную терапию, направленную на коррекцию экзокринной недостаточности поджелудочной железы</w:t>
      </w:r>
      <w:r w:rsidR="000152FA">
        <w:fldChar w:fldCharType="begin"/>
      </w:r>
      <w:r w:rsidR="004034C1">
        <w:instrText xml:space="preserve"> ADDIN ZOTERO_ITEM CSL_CITATION {"citationID":"kiDSeWz6","properties":{"formattedCitation":"[61\\uc0\\u8211{}63]","plainCitation":"[61–63]","noteIndex":0},"citationItems":[{"id":1305,"uris":["http://zotero.org/users/5363772/items/WU6EVEV7"],"itemData":{"id":1305,"type":"article-journal","abstract":"Pancreatic exocrine insufﬁciency (PEI) is a common condition in patients with pancreatic cancer (PC). PEI can be due to the tumor, which, if located in the head, causes obstruction of the pancreatic duct with subsequent atrophy of the pancreatic parenchyma, or it can be the consequence of pancreatic surgical resection. The standard treatment of PEI is pancreatic enzyme replacement therapy (PERT). Clinical data to support the use of PERT in PC are however limited. There are very few randomized clinical trials that evaluated PERT in PC. Most data come from observational studies. Despite this limited clinical evidence, PERT treatment for PEI is an essential part of supportive therapy to ensure optimal nutritional status in PC patients who will receive surgery, neoadjuvant/adjuvant or palliative treatment. The objective of this review is to increase the awareness about PEI in PC patients and to provide expert recommendations on the use of PERT in resected, borderline resectable and unresectable patients, based on clinical experience and literature review.","container-title":"ESMO Open","DOI":"10.1016/j.esmoop.2022.100386","ISSN":"20597029","issue":"1","journalAbbreviation":"ESMO Open","language":"en","page":"100386","source":"DOI.org (Crossref)","title":"Expert opinion on management of pancreatic exocrine insufficiency in pancreatic cancer","volume":"7","author":[{"family":"Roeyen","given":"G."},{"family":"Berrevoet","given":"F."},{"family":"Borbath","given":"I."},{"family":"Geboes","given":"K."},{"family":"Peeters","given":"M."},{"family":"Topal","given":"B."},{"family":"Van Cutsem","given":"E."},{"family":"Van Laethem","given":"J.-L."}],"issued":{"date-parts":[["2022",2]]}}},{"id":1306,"uris":["http://zotero.org/users/5363772/items/95XMDC69"],"itemData":{"id":1306,"type":"article-journal","abstract":"Background: Pancreatic cancer is the fourth leading cause of cancer mortality. Most patients are diagnosed with advanced pancreatic cancer, either at locally advanced or metastatic stages, and have a high rate of malnutrition and weight loss which are associated with poor outcomes. Pancreatic exocrine insufficiency is one of the causes of malnutrition and weight loss in these patients. The prevalence and clinical consequences of pancreatic exocrine insufficiency in advanced pancreatic cancer are poorly investigated with heterogeneous results. We sought to determine the prevalence and clinical consequences of pancreatic exocrine insufficiency and the effect of pancreatic enzyme replacement therapy in patients with advanced pancreatic cancer by systematic review and meta-analysis.\nMethods: Scopus, Medline, and Embase were searched for cohort studies or randomised clinical trials reporting pancreatic exocrine insufficiency and/or the effect of pancreatic enzyme replacement therapy in patients with advanced pancreatic cancer. We considered pancreatic exocrine insufficiency as an abnormal result on direct and/ or indirect pancreatic exocrine function tests. Pancreatic enzyme replacement therapy was evaluated by its effect on survival and quality of life in patients with advanced pancreatic cancer.\nResults: A total of 11 studies were included; seven studies reported the prevalence of pancreatic exocrine insufficiency and seven the effect of pancreatic enzyme replacement therapy in advanced pancreatic cancer. The pooled prevalence of pancreatic exocrine insufficiency in advanced pancreatic cancer was 72% (95% confidence interval: 55–86%), being significantly higher when tumours were located in the pancreatic head (relative risk ¼ 3.36, 1.07–10.54; p ¼ 0.04) six studies investigated the impact of pancreatic enzyme replacement therapy on survival/quality of life. Pancreatic enzyme replacement therapy was associated with 3.8 months (95% confidence interval: 1.37–6.19) survival benefit. Patients receiving pancreatic enzyme replacement therapy had a trend towards a better quality of life.\nConclusions The prevalence of pancreatic exocrine insufficiency in advanced pancreatic cancer is substantial and its treatment can improve the outcomes of these patients.","container-title":"United European Gastroenterology Journal","DOI":"10.1177/2050640620938987","ISSN":"2050-6406, 2050-6414","issue":"9","journalAbbreviation":"UEG Journal"</w:instrText>
      </w:r>
      <w:r w:rsidR="004034C1">
        <w:rPr>
          <w:rFonts w:hint="eastAsia"/>
        </w:rPr>
        <w:instrText>,"language":"en","page":"1115-1125","source":"DOI.org (Crossref)","title":"Pancreatic exocrine insufficiency and pancreatic enzyme replacement therapy in patients with advanced pancreatic cancer: A systematic review and meta</w:instrText>
      </w:r>
      <w:r w:rsidR="004034C1">
        <w:rPr>
          <w:rFonts w:hint="eastAsia"/>
        </w:rPr>
        <w:instrText>‐</w:instrText>
      </w:r>
      <w:r w:rsidR="004034C1">
        <w:rPr>
          <w:rFonts w:hint="eastAsia"/>
        </w:rPr>
        <w:instrText>analysis","title-short":"Pancr</w:instrText>
      </w:r>
      <w:r w:rsidR="004034C1">
        <w:instrText xml:space="preserve">eatic exocrine insufficiency and pancreatic enzyme replacement therapy in patients with advanced pancreatic cancer","volume":"8","author":[{"family":"De La Iglesia","given":"Daniel"},{"family":"Avci","given":"Bartu"},{"family":"Kiriukova","given":"Mariia"},{"family":"Panic","given":"Nikola"},{"family":"Bozhychko","given":"Maryana"},{"family":"Sandru","given":"Vasile"},{"family":"De Madaria","given":"Enrique"},{"family":"Capurso","given":"Gabriele"}],"issued":{"date-parts":[["2020",11]]}}},{"id":1308,"uris":["http://zotero.org/users/5363772/items/PWBETN69"],"itemData":{"id":1308,"type":"article-journal","abstract":"Introduction  Pancreatic exocrine insufficiency is a finding in many conditions, predominantly affecting those with chronic pancreatitis, pancreatic cancer and acute necrotising pancreatitis. Patients with pancreatic exocrine insufficiency can experience gastrointestinal symptoms, maldigestion, malnutrition and adverse effects on quality of life and even survival. There is a need for readily accessible, pragmatic advice for healthcare professionals on the management of pancreatic exocrine insufficiency. Methods and analysis  A review of the literature was conducted by a multidisciplinary panel of experts in pancreatology, and recommendations for clinical practice were produced and the strength of the evidence graded. Consensus voting by 48 pancreatic specialists from across the UK took place at the 2019 Annual Meeting of the Pancreatic Society of Great Britain and Ireland annual scientific meeting. Results  Recommendations for clinical practice in the diagnosis, initial management, patient education and long term follow up were developed. All recommendations achieved over 85% consensus and are included within these comprehensive guidelines.","container-title":"BMJ Open Gastroenterology","DOI":"10.1136/bmjgast-2021-000643","ISSN":"2054-4774","issue":"1","journalAbbreviation":"BMJ Open Gastroenterol","language":"en","page":"e000643","source":"DOI.org (Crossref)","title":"Consensus for the management of pancreatic exocrine insufficiency: UK practical guidelines","title-short":"Consensus for the management of pancreatic exocrine insufficiency","volume":"8","author":[{"family":"Phillips","given":"Mary E"},{"family":"Hopper","given":"Andrew D"},{"family":"Leeds","given":"John S"},{"family":"Roberts","given":"Keith J"},{"family":"McGeeney","given":"Laura"},{"family":"Duggan","given":"Sinead N"},{"family":"Kumar","given":"Rajesh"}],"issued":{"date-parts":[["2021",6]]}}}],"schema":"https://github.com/citation-style-language/schema/raw/master/csl-citation.json"} </w:instrText>
      </w:r>
      <w:r w:rsidR="000152FA">
        <w:fldChar w:fldCharType="separate"/>
      </w:r>
      <w:r w:rsidR="004034C1" w:rsidRPr="004034C1">
        <w:t>[61–63]</w:t>
      </w:r>
      <w:r w:rsidR="000152FA">
        <w:fldChar w:fldCharType="end"/>
      </w:r>
      <w:r w:rsidR="000152FA">
        <w:t>.</w:t>
      </w:r>
    </w:p>
    <w:p w14:paraId="67332CCC" w14:textId="77777777" w:rsidR="000152FA" w:rsidRPr="004E104D" w:rsidRDefault="000152FA" w:rsidP="004E104D">
      <w:pPr>
        <w:pStyle w:val="33"/>
        <w:rPr>
          <w:lang w:val="ru-RU"/>
        </w:rPr>
      </w:pPr>
      <w:r w:rsidRPr="004E104D">
        <w:rPr>
          <w:lang w:val="ru-RU"/>
        </w:rPr>
        <w:t xml:space="preserve">Уровень убедительности рекомендаций </w:t>
      </w:r>
      <w:r w:rsidRPr="008E05E2">
        <w:t>C</w:t>
      </w:r>
      <w:r w:rsidRPr="004E104D">
        <w:rPr>
          <w:lang w:val="ru-RU"/>
        </w:rPr>
        <w:t xml:space="preserve"> (уровень достоверности доказательств 5)</w:t>
      </w:r>
    </w:p>
    <w:p w14:paraId="5DE17513" w14:textId="0E6FF4D9" w:rsidR="000152FA" w:rsidRDefault="000152FA" w:rsidP="004E104D">
      <w:pPr>
        <w:pStyle w:val="aff2"/>
        <w:rPr>
          <w:rFonts w:eastAsia="BlissPro-Light"/>
        </w:rPr>
      </w:pPr>
      <w:r w:rsidRPr="004E104D">
        <w:rPr>
          <w:b/>
          <w:i w:val="0"/>
          <w:iCs/>
        </w:rPr>
        <w:t>Комментарий</w:t>
      </w:r>
      <w:r w:rsidRPr="000152FA">
        <w:rPr>
          <w:bCs/>
        </w:rPr>
        <w:t>: б</w:t>
      </w:r>
      <w:r w:rsidRPr="004E104D">
        <w:rPr>
          <w:rFonts w:eastAsia="BlissPro-Light"/>
          <w:bCs/>
        </w:rPr>
        <w:t>ольшинство пациентов имеют признаки алиментарной недостаточности, выражающейся в виде существенного снижения массы тела, кахексии, саркопении. Одной из причин данного осложнения, которая должна быть скорректирована, является экзокринная недостаточность функции поджелудочной железы. Частота ферментативной</w:t>
      </w:r>
      <w:r>
        <w:rPr>
          <w:rFonts w:eastAsia="BlissPro-Light"/>
        </w:rPr>
        <w:t xml:space="preserve"> недостаточности по данным метаанализа составляет 44% у пациентов с нерезецированной поджелудочной железой и 36-100% после операции</w:t>
      </w:r>
      <w:r>
        <w:rPr>
          <w:rFonts w:eastAsia="BlissPro-Light"/>
        </w:rPr>
        <w:fldChar w:fldCharType="begin"/>
      </w:r>
      <w:r w:rsidR="004034C1">
        <w:rPr>
          <w:rFonts w:eastAsia="BlissPro-Light"/>
        </w:rPr>
        <w:instrText xml:space="preserve"> ADDIN ZOTERO_ITEM CSL_CITATION {"citationID":"2H0UqEXO","properties":{"formattedCitation":"[63]","plainCitation":"[63]","noteIndex":0},"citationItems":[{"id":1306,"uris":["http://zotero.org/users/5363772/items/95XMDC69"],"itemData":{"id":1306,"type":"article-journal","abstract":"Background: Pancreatic cancer is the fourth leading cause of cancer mortality. Most patients are diagnosed with advanced pancreatic cancer, either at locally advanced or metastatic stages, and have a high rate of malnutrition and weight loss which are associated with poor outcomes. Pancreatic exocrine insufficiency is one of the causes of malnutrition and weight loss in these patients. The prevalence and clinical consequences of pancreatic exocrine insufficiency in advanced pancreatic cancer are poorly investigated with heterogeneous results. We sought to determine the prevalence and clinical consequences of pancreatic exocrine insufficiency and the effect of pancreatic enzyme replacement therapy in patients with advanced pancreatic cancer by systematic review and meta-analysis.\nMethods: Scopus, Medline, and Embase were searched for cohort studies or randomised clinical trials reporting pancreatic exocrine insufficiency and/or the effect of pancreatic enzyme replacement therapy in patients with advanced pancreatic cancer. We considered pancreatic exocrine insufficiency as an abnormal result on direct and/ or indirect pancreatic exocrine function tests. Pancreatic enzyme replacement therapy was evaluated by its effect on survival and quality of life in patients with advanced pancreatic cancer.\nResults: A total of 11 studies were included; seven studies reported the prevalence of pancreatic exocrine insufficiency and seven the effect of pancreatic enzyme replacement therapy in advanced pancreatic cancer. The pooled prevalence of pancreatic exocrine insufficiency in advanced pancreatic cancer was 72% (95% confidence interval: 55–86%), being significantly higher when tumours were located in the pancreatic head (relative risk ¼ 3.36, 1.07–10.54; p ¼ 0.04) six studies investigated the impact of pancreatic enzyme replacement therapy on survival/quality of life. Pancreatic enzyme replacement therapy was associated with 3.8 months (95% confidence interval: 1.37–6.19) survival benefit. Patients receiving pancreatic enzyme replacement therapy had a trend towards a better quality of life.\nConclusions The prevalence of pancreatic exocrine insufficiency in advanced pancreatic cancer is substantial and its treatment can improve the outcomes of these patients.","container-title":"United European Gastroenterology Journal","DOI":"10.1177/2050640620938987","ISSN":"2050-6406, 2050-6414","issue":"9","journalAbbreviation":"UEG Journal","language":"en","page":"1115-1125","source":"DOI.org (Crossref)</w:instrText>
      </w:r>
      <w:r w:rsidR="004034C1">
        <w:rPr>
          <w:rFonts w:eastAsia="BlissPro-Light" w:hint="eastAsia"/>
        </w:rPr>
        <w:instrText>","title":"Pancreatic exocrine insufficiency and pancreatic enzyme replacement therapy in patients with advanced pancreatic cancer: A systematic review and meta</w:instrText>
      </w:r>
      <w:r w:rsidR="004034C1">
        <w:rPr>
          <w:rFonts w:eastAsia="BlissPro-Light" w:hint="eastAsia"/>
        </w:rPr>
        <w:instrText>‐</w:instrText>
      </w:r>
      <w:r w:rsidR="004034C1">
        <w:rPr>
          <w:rFonts w:eastAsia="BlissPro-Light" w:hint="eastAsia"/>
        </w:rPr>
        <w:instrText>analysis","title-short":"Pancreatic exocrine insufficiency and pancreatic enzyme replacement t</w:instrText>
      </w:r>
      <w:r w:rsidR="004034C1">
        <w:rPr>
          <w:rFonts w:eastAsia="BlissPro-Light"/>
        </w:rPr>
        <w:instrText xml:space="preserve">herapy in patients with advanced pancreatic cancer","volume":"8","author":[{"family":"De La Iglesia","given":"Daniel"},{"family":"Avci","given":"Bartu"},{"family":"Kiriukova","given":"Mariia"},{"family":"Panic","given":"Nikola"},{"family":"Bozhychko","given":"Maryana"},{"family":"Sandru","given":"Vasile"},{"family":"De Madaria","given":"Enrique"},{"family":"Capurso","given":"Gabriele"}],"issued":{"date-parts":[["2020",11]]}}}],"schema":"https://github.com/citation-style-language/schema/raw/master/csl-citation.json"} </w:instrText>
      </w:r>
      <w:r>
        <w:rPr>
          <w:rFonts w:eastAsia="BlissPro-Light"/>
        </w:rPr>
        <w:fldChar w:fldCharType="separate"/>
      </w:r>
      <w:r w:rsidR="004034C1" w:rsidRPr="004034C1">
        <w:rPr>
          <w:rFonts w:eastAsia="BlissPro-Light"/>
        </w:rPr>
        <w:t>[63]</w:t>
      </w:r>
      <w:r>
        <w:rPr>
          <w:rFonts w:eastAsia="BlissPro-Light"/>
        </w:rPr>
        <w:fldChar w:fldCharType="end"/>
      </w:r>
      <w:r>
        <w:rPr>
          <w:rFonts w:eastAsia="BlissPro-Light"/>
        </w:rPr>
        <w:t xml:space="preserve">. </w:t>
      </w:r>
      <w:r w:rsidRPr="002A34DA">
        <w:rPr>
          <w:rFonts w:eastAsia="BlissPro-Light"/>
        </w:rPr>
        <w:t>Клиническая картина ферментативной недостаточности не обладает специфическими симптомами и включает похудание, диарею, боли/дискомфорт в животе, анемию, электролитные нарушения и др.</w:t>
      </w:r>
      <w:r w:rsidRPr="004E104D">
        <w:rPr>
          <w:rFonts w:eastAsia="BlissPro-Light"/>
        </w:rPr>
        <w:t xml:space="preserve"> </w:t>
      </w:r>
      <w:r>
        <w:rPr>
          <w:rFonts w:eastAsia="BlissPro-Light"/>
        </w:rPr>
        <w:t xml:space="preserve">Диагностика ферментативной недостаточности не всегда дает точный результат. Прямой метод в виде оценки поступления панкреатического сока в двенадцатиперстную кишку является инвазивным и трудозатратным, ввиду чего редко используется в практике. Чаще используются непрямые тесты, например, измерение коэффициента абсорбции жира в стуле, фекальной эластазы, радиоизотопный дыхательный тест и измерение биохимических маркеров (напр., альбумин, пре-альбумин, магний, ретинол-связывающие белки, витамины А, </w:t>
      </w:r>
      <w:r>
        <w:rPr>
          <w:rFonts w:eastAsia="BlissPro-Light"/>
          <w:lang w:val="en-US"/>
        </w:rPr>
        <w:t>D</w:t>
      </w:r>
      <w:r w:rsidRPr="002A34DA">
        <w:rPr>
          <w:rFonts w:eastAsia="BlissPro-Light"/>
        </w:rPr>
        <w:t xml:space="preserve">, </w:t>
      </w:r>
      <w:r>
        <w:rPr>
          <w:rFonts w:eastAsia="BlissPro-Light"/>
          <w:lang w:val="en-US"/>
        </w:rPr>
        <w:t>E</w:t>
      </w:r>
      <w:r>
        <w:rPr>
          <w:rFonts w:eastAsia="BlissPro-Light"/>
        </w:rPr>
        <w:t>)</w:t>
      </w:r>
      <w:r>
        <w:rPr>
          <w:rFonts w:eastAsia="BlissPro-Light"/>
        </w:rPr>
        <w:fldChar w:fldCharType="begin"/>
      </w:r>
      <w:r w:rsidR="004034C1">
        <w:rPr>
          <w:rFonts w:eastAsia="BlissPro-Light"/>
        </w:rPr>
        <w:instrText xml:space="preserve"> ADDIN ZOTERO_ITEM CSL_CITATION {"citationID":"O7DiPzwP","properties":{"formattedCitation":"[62]","plainCitation":"[62]","noteIndex":0},"citationItems":[{"id":1305,"uris":["http://zotero.org/users/5363772/items/WU6EVEV7"],"itemData":{"id":1305,"type":"article-journal","abstract":"Pancreatic exocrine insufﬁciency (PEI) is a common condition in patients with pancreatic cancer (PC). PEI can be due to the tumor, which, if located in the head, causes obstruction of the pancreatic duct with subsequent atrophy of the pancreatic parenchyma, or it can be the consequence of pancreatic surgical resection. The standard treatment of PEI is pancreatic enzyme replacement therapy (PERT). Clinical data to support the use of PERT in PC are however limited. There are very few randomized clinical trials that evaluated PERT in PC. Most data come from observational studies. Despite this limited clinical evidence, PERT treatment for PEI is an essential part of supportive therapy to ensure optimal nutritional status in PC patients who will receive surgery, neoadjuvant/adjuvant or palliative treatment. The objective of this review is to increase the awareness about PEI in PC patients and to provide expert recommendations on the use of PERT in resected, borderline resectable and unresectable patients, based on clinical experience and literature review.","container-title":"ESMO Open","DOI":"10.1016/j.esmoop.2022.100386","ISSN":"20597029","issue":"1","journalAbbreviation":"ESMO Open","language":"en","page":"100386","source":"DOI.org (Crossref)","title":"Expert opinion on management of pancreatic exocrine insufficiency in pancreatic cancer","volume":"7","author":[{"family":"Roeyen","given":"G."},{"family":"Berrevoet","given":"F."},{"family":"Borbath","given":"I."},{"family":"Geboes","given":"K."},{"family":"Peeters","given":"M."},{"family":"Topal","given":"B."},{"family":"Van Cutsem","given":"E."},{"family":"Van Laethem","given":"J.-L."}],"issued":{"date-parts":[["2022",2]]}}}],"schema":"https://github.com/citation-style-language/schema/raw/master/csl-citation.json"} </w:instrText>
      </w:r>
      <w:r>
        <w:rPr>
          <w:rFonts w:eastAsia="BlissPro-Light"/>
        </w:rPr>
        <w:fldChar w:fldCharType="separate"/>
      </w:r>
      <w:r w:rsidR="004034C1" w:rsidRPr="004034C1">
        <w:rPr>
          <w:rFonts w:eastAsia="BlissPro-Light"/>
        </w:rPr>
        <w:t>[62]</w:t>
      </w:r>
      <w:r>
        <w:rPr>
          <w:rFonts w:eastAsia="BlissPro-Light"/>
        </w:rPr>
        <w:fldChar w:fldCharType="end"/>
      </w:r>
      <w:r>
        <w:rPr>
          <w:rFonts w:eastAsia="BlissPro-Light"/>
        </w:rPr>
        <w:t xml:space="preserve">. Терапия ферментативной недостаточности показана всем пациентам после операции или в отсутствие резекции поджелудочной железы при наличии клиники ферментативной недостаточности и должна быть направлена на ее коррекцию даже при отсутствии лабораторного подтверждения диагноза. Стартовая доза заместительной </w:t>
      </w:r>
      <w:r>
        <w:rPr>
          <w:rFonts w:eastAsia="BlissPro-Light"/>
        </w:rPr>
        <w:lastRenderedPageBreak/>
        <w:t>ферментативной терапии (ЗФТ) включает 40000-50000 Ед липазы во время приема пищи и 25000 Ед во время перекусов. В дальнейшем доза препарата может быть изменена в индивидуальном порядке. Чаще всего необходимая доза липазы после тотальной панкреатэктомии существенно выше указанной начальной дозы.</w:t>
      </w:r>
      <w:r w:rsidRPr="002A34DA">
        <w:rPr>
          <w:rFonts w:eastAsia="BlissPro-Light"/>
        </w:rPr>
        <w:t xml:space="preserve"> </w:t>
      </w:r>
      <w:r>
        <w:rPr>
          <w:rFonts w:eastAsia="BlissPro-Light"/>
        </w:rPr>
        <w:t>Данные метаанализа указывают на ухудшение общего прогноза пациентов при отказе от ЗФТ</w:t>
      </w:r>
      <w:r>
        <w:rPr>
          <w:rFonts w:eastAsia="BlissPro-Light"/>
        </w:rPr>
        <w:fldChar w:fldCharType="begin"/>
      </w:r>
      <w:r w:rsidR="004034C1">
        <w:rPr>
          <w:rFonts w:eastAsia="BlissPro-Light"/>
        </w:rPr>
        <w:instrText xml:space="preserve"> ADDIN ZOTERO_ITEM CSL_CITATION {"citationID":"mKv86QFp","properties":{"formattedCitation":"[63]","plainCitation":"[63]","noteIndex":0},"citationItems":[{"id":1306,"uris":["http://zotero.org/users/5363772/items/95XMDC69"],"itemData":{"id":1306,"type":"article-journal","abstract":"Background: Pancreatic cancer is the fourth leading cause of cancer mortality. Most patients are diagnosed with advanced pancreatic cancer, either at locally advanced or metastatic stages, and have a high rate of malnutrition and weight loss which are associated with poor outcomes. Pancreatic exocrine insufficiency is one of the causes of malnutrition and weight loss in these patients. The prevalence and clinical consequences of pancreatic exocrine insufficiency in advanced pancreatic cancer are poorly investigated with heterogeneous results. We sought to determine the prevalence and clinical consequences of pancreatic exocrine insufficiency and the effect of pancreatic enzyme replacement therapy in patients with advanced pancreatic cancer by systematic review and meta-analysis.\nMethods: Scopus, Medline, and Embase were searched for cohort studies or randomised clinical trials reporting pancreatic exocrine insufficiency and/or the effect of pancreatic enzyme replacement therapy in patients with advanced pancreatic cancer. We considered pancreatic exocrine insufficiency as an abnormal result on direct and/ or indirect pancreatic exocrine function tests. Pancreatic enzyme replacement therapy was evaluated by its effect on survival and quality of life in patients with advanced pancreatic cancer.\nResults: A total of 11 studies were included; seven studies reported the prevalence of pancreatic exocrine insufficiency and seven the effect of pancreatic enzyme replacement therapy in advanced pancreatic cancer. The pooled prevalence of pancreatic exocrine insufficiency in advanced pancreatic cancer was 72% (95% confidence interval: 55–86%), being significantly higher when tumours were located in the pancreatic head (relative risk ¼ 3.36, 1.07–10.54; p ¼ 0.04) six studies investigated the impact of pancreatic enzyme replacement therapy on survival/quality of life. Pancreatic enzyme replacement therapy was associated with 3.8 months (95% confidence interval: 1.37–6.19) survival benefit. Patients receiving pancreatic enzyme replacement therapy had a trend towards a better quality of life.\nConclusions The prevalence of pancreatic exocrine insufficiency in advanced pancreatic cancer is substantial and its treatment can improve the outcomes of these patients.","container-title":"United European Gastroenterology Journal","DOI":"10.1177/2050640620938987","ISSN":"2050-6406, 2050-6414","issue":"9","journalAbbreviation":"UEG Journal","language":"en","page":"1115-1125","source":"DOI.org (Crossref)</w:instrText>
      </w:r>
      <w:r w:rsidR="004034C1">
        <w:rPr>
          <w:rFonts w:eastAsia="BlissPro-Light" w:hint="eastAsia"/>
        </w:rPr>
        <w:instrText>","title":"Pancreatic exocrine insufficiency and pancreatic enzyme replacement therapy in patients with advanced pancreatic cancer: A systematic review and meta</w:instrText>
      </w:r>
      <w:r w:rsidR="004034C1">
        <w:rPr>
          <w:rFonts w:eastAsia="BlissPro-Light" w:hint="eastAsia"/>
        </w:rPr>
        <w:instrText>‐</w:instrText>
      </w:r>
      <w:r w:rsidR="004034C1">
        <w:rPr>
          <w:rFonts w:eastAsia="BlissPro-Light" w:hint="eastAsia"/>
        </w:rPr>
        <w:instrText>analysis","title-short":"Pancreatic exocrine insufficiency and pancreatic enzyme replacement t</w:instrText>
      </w:r>
      <w:r w:rsidR="004034C1">
        <w:rPr>
          <w:rFonts w:eastAsia="BlissPro-Light"/>
        </w:rPr>
        <w:instrText xml:space="preserve">herapy in patients with advanced pancreatic cancer","volume":"8","author":[{"family":"De La Iglesia","given":"Daniel"},{"family":"Avci","given":"Bartu"},{"family":"Kiriukova","given":"Mariia"},{"family":"Panic","given":"Nikola"},{"family":"Bozhychko","given":"Maryana"},{"family":"Sandru","given":"Vasile"},{"family":"De Madaria","given":"Enrique"},{"family":"Capurso","given":"Gabriele"}],"issued":{"date-parts":[["2020",11]]}}}],"schema":"https://github.com/citation-style-language/schema/raw/master/csl-citation.json"} </w:instrText>
      </w:r>
      <w:r>
        <w:rPr>
          <w:rFonts w:eastAsia="BlissPro-Light"/>
        </w:rPr>
        <w:fldChar w:fldCharType="separate"/>
      </w:r>
      <w:r w:rsidR="004034C1" w:rsidRPr="004034C1">
        <w:rPr>
          <w:rFonts w:eastAsia="BlissPro-Light"/>
        </w:rPr>
        <w:t>[63]</w:t>
      </w:r>
      <w:r>
        <w:rPr>
          <w:rFonts w:eastAsia="BlissPro-Light"/>
        </w:rPr>
        <w:fldChar w:fldCharType="end"/>
      </w:r>
      <w:r>
        <w:rPr>
          <w:rFonts w:eastAsia="BlissPro-Light"/>
        </w:rPr>
        <w:t xml:space="preserve">. </w:t>
      </w:r>
    </w:p>
    <w:p w14:paraId="560D15C4" w14:textId="2A37550A" w:rsidR="00177E3C" w:rsidRDefault="00604182">
      <w:pPr>
        <w:pStyle w:val="2"/>
      </w:pPr>
      <w:r>
        <w:t>У пациентов с раком поджелудочной железы при выявлении гипергликемии рекомендуется консультация эндокринолога для коррекции уровня глюкозы крови</w:t>
      </w:r>
      <w:r w:rsidR="000660FD">
        <w:fldChar w:fldCharType="begin"/>
      </w:r>
      <w:r w:rsidR="004034C1">
        <w:instrText xml:space="preserve"> ADDIN ZOTERO_ITEM CSL_CITATION {"citationID":"G3oA2AGr","properties":{"formattedCitation":"[150]","plainCitation":"[150]","noteIndex":0},"citationItems":[{"id":1360,"uris":["http://zotero.org/users/5363772/items/JN7SU7WM"],"itemData":{"id":1360,"type":"article-journal","container-title":"The Lancet Gastroenterology &amp; Hepatology","DOI":"10.1016/S2468-1253(16)30106-6","ISSN":"24681253","issue":"3","journalAbbreviation":"The Lancet Gastroenterology &amp; Hepatology","language":"en","page":"226-237","source":"DOI.org (Crossref)","title":"Type 3c (pancreatogenic) diabetes mellitus secondary to chronic pancreatitis and pancreatic cancer","volume":"1","author":[{"family":"Hart","given":"Phil A"},{"family":"Bellin","given":"Melena D"},{"family":"Andersen","given":"Dana K"},{"family":"Bradley","given":"David"},{"family":"Cruz-Monserrate","given":"Zobeida"},{"family":"Forsmark","given":"Christopher E"},{"family":"Goodarzi","given":"Mark O"},{"family":"Habtezion","given":"Aida"},{"family":"Korc","given":"Murray"},{"family":"Kudva","given":"Yogish C"},{"family":"Pandol","given":"Stephen J"},{"family":"Yadav","given":"Dhiraj"},{"family":"Chari","given":"Suresh T"}],"issued":{"date-parts":[["2016",11]]}}}],"schema":"https://github.com/citation-style-language/schema/raw/master/csl-citation.json"} </w:instrText>
      </w:r>
      <w:r w:rsidR="000660FD">
        <w:fldChar w:fldCharType="separate"/>
      </w:r>
      <w:r w:rsidR="004034C1" w:rsidRPr="004034C1">
        <w:t>[150]</w:t>
      </w:r>
      <w:r w:rsidR="000660FD">
        <w:fldChar w:fldCharType="end"/>
      </w:r>
      <w:r>
        <w:t xml:space="preserve"> </w:t>
      </w:r>
    </w:p>
    <w:p w14:paraId="6C1C2136" w14:textId="77777777" w:rsidR="00604182" w:rsidRPr="004E104D" w:rsidRDefault="00604182" w:rsidP="004E104D">
      <w:pPr>
        <w:pStyle w:val="33"/>
        <w:rPr>
          <w:b w:val="0"/>
          <w:lang w:val="ru-RU"/>
        </w:rPr>
      </w:pPr>
      <w:r w:rsidRPr="004E104D">
        <w:rPr>
          <w:lang w:val="ru-RU"/>
        </w:rPr>
        <w:t xml:space="preserve">Уровень убедительности рекомендаций </w:t>
      </w:r>
      <w:r w:rsidRPr="006B3871">
        <w:t>C</w:t>
      </w:r>
      <w:r w:rsidRPr="004E104D">
        <w:rPr>
          <w:lang w:val="ru-RU"/>
        </w:rPr>
        <w:t xml:space="preserve"> (уровень достоверности доказательств 5)</w:t>
      </w:r>
    </w:p>
    <w:p w14:paraId="5262431B" w14:textId="5C3D13E1" w:rsidR="002B2568" w:rsidRPr="00A83E0C" w:rsidRDefault="00604182" w:rsidP="004E104D">
      <w:pPr>
        <w:pStyle w:val="aff2"/>
      </w:pPr>
      <w:r w:rsidRPr="004E104D">
        <w:rPr>
          <w:b/>
          <w:bCs/>
          <w:iCs/>
        </w:rPr>
        <w:t>Комментарий</w:t>
      </w:r>
      <w:r w:rsidRPr="00604182">
        <w:t xml:space="preserve">: </w:t>
      </w:r>
      <w:r w:rsidRPr="004E104D">
        <w:rPr>
          <w:rFonts w:eastAsia="BlissPro-Light"/>
          <w:bCs/>
        </w:rPr>
        <w:t>вторичное нарушение метаболизма глюкозы</w:t>
      </w:r>
      <w:r w:rsidRPr="004E104D">
        <w:rPr>
          <w:rFonts w:eastAsia="BlissPro-Light"/>
        </w:rPr>
        <w:t xml:space="preserve"> на фоне рака поджелудочной железы получила название панкреатогенного сахарного диабета (3с типа). Данное осложнение ассоциировано с риском прогрессирования, плохим прогнозом, увеличивает риски токсичности лекарственного лечения и требует коррекции у эндокринолога</w:t>
      </w:r>
      <w:r w:rsidR="000660FD">
        <w:rPr>
          <w:rFonts w:eastAsia="BlissPro-Light"/>
        </w:rPr>
        <w:fldChar w:fldCharType="begin"/>
      </w:r>
      <w:r w:rsidR="004034C1">
        <w:rPr>
          <w:rFonts w:eastAsia="BlissPro-Light"/>
        </w:rPr>
        <w:instrText xml:space="preserve"> ADDIN ZOTERO_ITEM CSL_CITATION {"citationID":"R7DYAhsc","properties":{"formattedCitation":"[150]","plainCitation":"[150]","noteIndex":0},"citationItems":[{"id":1360,"uris":["http://zotero.org/users/5363772/items/JN7SU7WM"],"itemData":{"id":1360,"type":"article-journal","container-title":"The Lancet Gastroenterology &amp; Hepatology","DOI":"10.1016/S2468-1253(16)30106-6","ISSN":"24681253","issue":"3","journalAbbreviation":"The Lancet Gastroenterology &amp; Hepatology","language":"en","page":"226-237","source":"DOI.org (Crossref)","title":"Type 3c (pancreatogenic) diabetes mellitus secondary to chronic pancreatitis and pancreatic cancer","volume":"1","author":[{"family":"Hart","given":"Phil A"},{"family":"Bellin","given":"Melena D"},{"family":"Andersen","given":"Dana K"},{"family":"Bradley","given":"David"},{"family":"Cruz-Monserrate","given":"Zobeida"},{"family":"Forsmark","given":"Christopher E"},{"family":"Goodarzi","given":"Mark O"},{"family":"Habtezion","given":"Aida"},{"family":"Korc","given":"Murray"},{"family":"Kudva","given":"Yogish C"},{"family":"Pandol","given":"Stephen J"},{"family":"Yadav","given":"Dhiraj"},{"family":"Chari","given":"Suresh T"}],"issued":{"date-parts":[["2016",11]]}}}],"schema":"https://github.com/citation-style-language/schema/raw/master/csl-citation.json"} </w:instrText>
      </w:r>
      <w:r w:rsidR="000660FD">
        <w:rPr>
          <w:rFonts w:eastAsia="BlissPro-Light"/>
        </w:rPr>
        <w:fldChar w:fldCharType="separate"/>
      </w:r>
      <w:r w:rsidR="004034C1" w:rsidRPr="004034C1">
        <w:rPr>
          <w:rFonts w:eastAsia="BlissPro-Light"/>
        </w:rPr>
        <w:t>[150]</w:t>
      </w:r>
      <w:r w:rsidR="000660FD">
        <w:rPr>
          <w:rFonts w:eastAsia="BlissPro-Light"/>
        </w:rPr>
        <w:fldChar w:fldCharType="end"/>
      </w:r>
      <w:r w:rsidRPr="004E104D">
        <w:rPr>
          <w:rFonts w:eastAsia="BlissPro-Light"/>
        </w:rPr>
        <w:t xml:space="preserve">. </w:t>
      </w:r>
    </w:p>
    <w:p w14:paraId="3B09DE31" w14:textId="07468847" w:rsidR="002E4556" w:rsidRPr="00A83E0C" w:rsidRDefault="002E4556" w:rsidP="00537A85">
      <w:pPr>
        <w:pStyle w:val="2"/>
      </w:pPr>
      <w:r w:rsidRPr="00A83E0C">
        <w:t>При лечении</w:t>
      </w:r>
      <w:r w:rsidR="00247119" w:rsidRPr="00A83E0C">
        <w:t xml:space="preserve"> асцита</w:t>
      </w:r>
      <w:r w:rsidR="005246DA" w:rsidRPr="00A83E0C">
        <w:t xml:space="preserve"> у пациентов</w:t>
      </w:r>
      <w:r w:rsidR="00247119" w:rsidRPr="00A83E0C">
        <w:t xml:space="preserve"> </w:t>
      </w:r>
      <w:r w:rsidRPr="00A83E0C">
        <w:rPr>
          <w:b/>
        </w:rPr>
        <w:t>рекомендуется</w:t>
      </w:r>
      <w:r w:rsidRPr="00A83E0C">
        <w:t xml:space="preserve"> </w:t>
      </w:r>
      <w:r w:rsidR="003F42F0" w:rsidRPr="00A83E0C">
        <w:t xml:space="preserve">выполнение лапароцентеза и </w:t>
      </w:r>
      <w:r w:rsidRPr="00A83E0C">
        <w:t>применени</w:t>
      </w:r>
      <w:r w:rsidR="00F231FB" w:rsidRPr="00A83E0C">
        <w:t>е</w:t>
      </w:r>
      <w:r w:rsidRPr="00A83E0C">
        <w:rPr>
          <w:i/>
        </w:rPr>
        <w:t xml:space="preserve"> </w:t>
      </w:r>
      <w:r w:rsidRPr="00A83E0C">
        <w:t>д</w:t>
      </w:r>
      <w:r w:rsidR="00247119" w:rsidRPr="00A83E0C">
        <w:t>иуретик</w:t>
      </w:r>
      <w:r w:rsidR="0019586F" w:rsidRPr="00A83E0C">
        <w:t>ов</w:t>
      </w:r>
      <w:r w:rsidR="00602917" w:rsidRPr="00A83E0C">
        <w:t xml:space="preserve"> с целью контроля симптомов данного осложнения</w:t>
      </w:r>
      <w:r w:rsidR="00EC4A01" w:rsidRPr="00A83E0C">
        <w:t xml:space="preserve"> </w:t>
      </w:r>
      <w:r w:rsidR="00C15198" w:rsidRPr="00A83E0C">
        <w:fldChar w:fldCharType="begin"/>
      </w:r>
      <w:r w:rsidR="004034C1">
        <w:instrText xml:space="preserve"> ADDIN ZOTERO_ITEM CSL_CITATION {"citationID":"pAtNuAEL","properties":{"formattedCitation":"[151,152]","plainCitation":"[151,152]","noteIndex":0},"citationItems":[{"id":1077,"uris":["http://zotero.org/users/5363772/items/JT7EDISP",["http://zotero.org/users/5363772/items/JT7EDISP"]],"itemData":{"id":1077,"type":"article-journal","container-title":"World Journal of Gastrointestinal Surgery","DOI":"10.4240/wjgs.v4.i4.87","ISSN":"1948-9366","issue":"4","journalAbbreviation":"WJGS","language":"en","page":"87","source":"DOI.org (Crossref)","title":"Malignant ascites: A review of prognostic factors, pathophysiology and therapeutic measures","title-short":"Malignant ascites","volume":"4","author":[{"family":"Sangisetty","given":"Suma L"}],"issued":{"date-parts":[["2012"]]}}},{"id":284,"uris":["http://zotero.org/users/5363772/items/PUFZJEX3",["http://zotero.org/users/5363772/items/PUFZJEX3"]],"itemData":{"id":284,"type":"article-journal","abstract":"Objectives: Malignant ascites (MA) caused by peritoneal carcinomatosis is not uncommon in patients with pancreatic cancer. However, the clinical features and outcomes in these patients remain to be elucidated.\nMethods: Baseline characteristics and overall survival (OS) of consecutive patients with advanced pancreatic cancer who presented with MA were retrospectively evaluated.\nResults: Of 494 patients with advanced pancreatic cancer, 73 (15%) presented with MA. Patients with synchronous MA (n = 21), compared with those with metachronous MA (n = 52), had better performance status (P = 0.02), smaller amount of ascites (P &lt; 0.01), and higher chance of receiving chemotherapy (57% vs 17%, P &lt; 0.01), and resulted in longer OS (115 vs 42 days, P &lt; 0.01). Overall survival was significantly longer in patients receiving chemotherapy than in those with best supportive care alone (124 vs 50 days, P &lt; 0.01). In a multivariate analysis, chemotherapy was prognostic in addition to performance status, CRP, and small amount of MA; the hazard ratio of chemotherapy was 0.46, compared with best supportive care alone (P = 0.02).\nConclusions: Although the prognosis of pancreatic cancer patients with MA remains poor, selected patients may be candidate for chemotherapy, regardless of the timing of appearance of MA.","container-title":"Pancreas","DOI":"10.1097/MPA.0000000000000290","ISSN":"0885-3177","journalAbbreviation":"Pancreas","language":"en","page":"1","source":"DOI.org (Crossref)","title":"Pancreatic Cancer With Malignant Ascites: Clinical Features and Outcomes","title-short":"Pancreatic Cancer With Malignant Ascites","author":[{"family":"Takahara","given":"Naminatsu"},{"family":"Isayama","given":"Hiroyuki"},{"family":"Nakai","given":"Yousuke"},{"family":"Sasaki","given":"Takashi"},{"family":"Saito","given":"Kei"},{"family":"Hamada","given":"Tsuyoshi"},{"family":"Mizuno","given":"Suguru"},{"family":"Miyabayashi","given":"Koji"},{"family":"Mohri","given":"Dai"},{"family":"Kogure","given":"Hirofumi"},{"family":"Matsubara","given":"Saburo"},{"family":"Yamamoto","given":"Natsuyo"},{"family":"Hirano","given":"Kenji"},{"family":"Ijichi","given":"Hideaki"},{"family":"Tateishi","given":"Keisuke"},{"family":"Tada","given":"Minoru"},{"family":"Koike","given":"Kazuhiko"}],"issued":{"date-parts":[["2015",1]]}}}],"schema":"https://github.com/citation-style-language/schema/raw/master/csl-citation.json"} </w:instrText>
      </w:r>
      <w:r w:rsidR="00C15198" w:rsidRPr="00A83E0C">
        <w:fldChar w:fldCharType="separate"/>
      </w:r>
      <w:r w:rsidR="004034C1" w:rsidRPr="004034C1">
        <w:t>[151,152]</w:t>
      </w:r>
      <w:r w:rsidR="00C15198" w:rsidRPr="00A83E0C">
        <w:fldChar w:fldCharType="end"/>
      </w:r>
      <w:r w:rsidRPr="00A83E0C">
        <w:t>.</w:t>
      </w:r>
    </w:p>
    <w:p w14:paraId="049DC450" w14:textId="77777777" w:rsidR="002E4556" w:rsidRDefault="002E4556" w:rsidP="00DC7BE7">
      <w:pPr>
        <w:pStyle w:val="33"/>
        <w:rPr>
          <w:color w:val="auto"/>
          <w:lang w:val="ru-RU"/>
        </w:rPr>
      </w:pPr>
      <w:r w:rsidRPr="00A83E0C">
        <w:rPr>
          <w:color w:val="auto"/>
          <w:lang w:val="ru-RU"/>
        </w:rPr>
        <w:t>Урове</w:t>
      </w:r>
      <w:r w:rsidR="00E17300" w:rsidRPr="00A83E0C">
        <w:rPr>
          <w:color w:val="auto"/>
          <w:lang w:val="ru-RU"/>
        </w:rPr>
        <w:t>нь убедительности рекомендаций</w:t>
      </w:r>
      <w:r w:rsidRPr="00A83E0C">
        <w:rPr>
          <w:color w:val="auto"/>
          <w:lang w:val="ru-RU"/>
        </w:rPr>
        <w:t xml:space="preserve"> </w:t>
      </w:r>
      <w:r w:rsidR="00867D36" w:rsidRPr="00A83E0C">
        <w:rPr>
          <w:color w:val="auto"/>
          <w:lang w:val="ru-RU"/>
        </w:rPr>
        <w:t xml:space="preserve">С </w:t>
      </w:r>
      <w:r w:rsidRPr="00A83E0C">
        <w:rPr>
          <w:color w:val="auto"/>
          <w:lang w:val="ru-RU"/>
        </w:rPr>
        <w:t>(уровен</w:t>
      </w:r>
      <w:r w:rsidR="00E17300" w:rsidRPr="00A83E0C">
        <w:rPr>
          <w:color w:val="auto"/>
          <w:lang w:val="ru-RU"/>
        </w:rPr>
        <w:t xml:space="preserve">ь достоверности доказательств </w:t>
      </w:r>
      <w:r w:rsidR="00235892">
        <w:rPr>
          <w:color w:val="auto"/>
          <w:lang w:val="ru-RU"/>
        </w:rPr>
        <w:t>5</w:t>
      </w:r>
      <w:r w:rsidRPr="00A83E0C">
        <w:rPr>
          <w:color w:val="auto"/>
          <w:lang w:val="ru-RU"/>
        </w:rPr>
        <w:t>)</w:t>
      </w:r>
    </w:p>
    <w:p w14:paraId="3380E19E" w14:textId="2AF2CD77" w:rsidR="00964910" w:rsidRDefault="00894342" w:rsidP="00964910">
      <w:pPr>
        <w:pStyle w:val="2"/>
      </w:pPr>
      <w:r>
        <w:t>У пациентов с раком поджелудочной железы рекомендуется проведение поддерживающей и симптоматической терапии с целью улучшения качества жизни и переносимости противоопухолевого лечения</w:t>
      </w:r>
      <w:r w:rsidR="006240CC">
        <w:t xml:space="preserve"> </w:t>
      </w:r>
      <w:r w:rsidR="00C15198">
        <w:fldChar w:fldCharType="begin"/>
      </w:r>
      <w:r w:rsidR="004034C1">
        <w:instrText xml:space="preserve"> ADDIN ZOTERO_ITEM CSL_CITATION {"citationID":"ptgSc8pR","properties":{"formattedCitation":"[153]","plainCitation":"[153]","noteIndex":0},"citationItems":[{"id":1182,"uris":["http://zotero.org/users/5363772/items/AYYHX7XV",["http://zotero.org/users/5363772/items/AYYHX7XV"]],"itemData":{"id":1182,"type":"article-journal","abstract":"Optimal oncologic care of older men with prostate cancer, including effective prevention and management of the disease and treatment side effects (so-called best supportive care measures) can prolong survival, improve quality of life, and reduce depressive symptoms. In addition, the proportion of treatment discontinuations can be reduced through early reporting and management of side effects. Pharmacologic care may be offered to manage the side effects of androgen-deprivation therapy and chemotherapy, which may include hot flashes, febrile neutropenia, fatigue, and diarrhea. Nonpharmacologic care (e.g., physical exercise, acupuncture, relaxation) has also been shown to benefit patients. At the Georges Pompidou European Hospital, the Program of Optimization of Chemotherapy Administration has demonstrated that improved outpatient follow-up by supportive care measures can reduce the occurrence of chemotherapy-related side effects, reduce cancellations and modifications of treatment, reduce chemotherapy wastage, and reduce the length of stay in the outpatient unit. The importance of supportive care measures to optimize management and outcomes of older men with advanced prostate cancer should not be overlooked.","archive":"PubMed","archive_location":"23015682","container-title":"The oncologist","DOI":"10.1634/theoncologist.2012-S1-23","ISSN":"1549-490X","issue":"Suppl 1","journalAbbreviation":"Oncologist","language":"eng","note":"publisher: AlphaMed Press","page":"23-30","title":"The importance of supportive care in optimizing treatment outcomes of patients with advanced prostate cancer","volume":"17 Suppl 1","author":[{"family":"Scotté","given":"Florian"}],"issued":{"date-parts":[["2012"]]}}}],"schema":"https://github.com/citation-style-language/schema/raw/master/csl-citation.json"} </w:instrText>
      </w:r>
      <w:r w:rsidR="00C15198">
        <w:fldChar w:fldCharType="separate"/>
      </w:r>
      <w:r w:rsidR="004034C1" w:rsidRPr="004034C1">
        <w:t>[153]</w:t>
      </w:r>
      <w:r w:rsidR="00C15198">
        <w:fldChar w:fldCharType="end"/>
      </w:r>
      <w:r w:rsidR="006240CC" w:rsidRPr="006240CC">
        <w:t>.</w:t>
      </w:r>
    </w:p>
    <w:p w14:paraId="725C38D8" w14:textId="77777777" w:rsidR="00964910" w:rsidRPr="007D44BE" w:rsidRDefault="00964910" w:rsidP="00964910">
      <w:pPr>
        <w:pStyle w:val="33"/>
        <w:rPr>
          <w:b w:val="0"/>
          <w:lang w:val="ru-RU"/>
        </w:rPr>
      </w:pPr>
      <w:r w:rsidRPr="00964910">
        <w:rPr>
          <w:lang w:val="ru-RU"/>
        </w:rPr>
        <w:t>Уровень убедительности рекомендаций С (уровень достоверности доказательств 5)</w:t>
      </w:r>
    </w:p>
    <w:p w14:paraId="56FDBD7D" w14:textId="77777777" w:rsidR="00894342" w:rsidRDefault="00894342" w:rsidP="00894342">
      <w:pPr>
        <w:ind w:firstLine="567"/>
        <w:rPr>
          <w:i/>
          <w:lang w:val="ru-RU"/>
        </w:rPr>
      </w:pPr>
      <w:r w:rsidRPr="00894342">
        <w:rPr>
          <w:b/>
          <w:lang w:val="ru-RU"/>
        </w:rPr>
        <w:t>Комментарий</w:t>
      </w:r>
      <w:r>
        <w:rPr>
          <w:lang w:val="ru-RU"/>
        </w:rPr>
        <w:t xml:space="preserve">: </w:t>
      </w:r>
    </w:p>
    <w:p w14:paraId="5F5B4A89" w14:textId="1E35FCF0" w:rsidR="00894342" w:rsidRPr="00DE423A" w:rsidRDefault="00894342" w:rsidP="00894342">
      <w:pPr>
        <w:ind w:firstLine="567"/>
        <w:rPr>
          <w:i/>
          <w:lang w:val="ru-RU"/>
        </w:rPr>
      </w:pPr>
      <w:r w:rsidRPr="0098085D">
        <w:rPr>
          <w:i/>
          <w:lang w:val="ru-RU"/>
        </w:rPr>
        <w:t xml:space="preserve">Принципы лечения и профилактики тошноты и рвоты у пациентов </w:t>
      </w:r>
      <w:r w:rsidR="001A1F09">
        <w:rPr>
          <w:i/>
          <w:lang w:val="ru-RU"/>
        </w:rPr>
        <w:t xml:space="preserve">с </w:t>
      </w:r>
      <w:r w:rsidRPr="0098085D">
        <w:rPr>
          <w:i/>
          <w:lang w:val="ru-RU"/>
        </w:rPr>
        <w:t xml:space="preserve">раком </w:t>
      </w:r>
      <w:r>
        <w:rPr>
          <w:i/>
          <w:lang w:val="ru-RU"/>
        </w:rPr>
        <w:t>поджелудочной железы</w:t>
      </w:r>
      <w:r w:rsidRPr="0098085D">
        <w:rPr>
          <w:i/>
          <w:lang w:val="ru-RU"/>
        </w:rPr>
        <w:t xml:space="preserve"> соответствуют принципам, изложенным в рекомендациях «Практические рекомендации по профилактике и лечению тошноты и рвоты у онкологических больных.» </w:t>
      </w:r>
      <w:r w:rsidR="00C15198">
        <w:rPr>
          <w:i/>
          <w:lang w:val="ru-RU"/>
        </w:rPr>
        <w:fldChar w:fldCharType="begin"/>
      </w:r>
      <w:r w:rsidR="004034C1">
        <w:rPr>
          <w:i/>
          <w:lang w:val="ru-RU"/>
        </w:rPr>
        <w:instrText xml:space="preserve"> ADDIN ZOTERO_ITEM CSL_CITATION {"citationID":"y9gU54yV","properties":{"formattedCitation":"[154]","plainCitation":"[154]","noteIndex":0},"citationItems":[{"id":1184,"uris":["http://zotero.org/users/5363772/items/UMB34P93",["http://zotero.org/users/5363772/items/UMB34P93"]],"itemData":{"id":1184,"type":"article-journal","issue":"3s2","journalAbbreviation":"Злокачественные опухоли: Практические рекомендации RUSSCO","page":"29-43","title":"Практические рекомендации по профилактике и лечению тошноты и рвоты у онкологических больных. Практические рекомендации RUSSCO","volume":"13","author":[{"family":"Владимирова","given":"Л.Ю."},{"family":"Гладков","given":"О.А."},{"family":"Королева","given":"И. А."}],"issued":{"date-parts":[["2023"]]}}}],"schema":"https://github.com/citation-style-language/schema/raw/master/csl-citation.json"} </w:instrText>
      </w:r>
      <w:r w:rsidR="00C15198">
        <w:rPr>
          <w:i/>
          <w:lang w:val="ru-RU"/>
        </w:rPr>
        <w:fldChar w:fldCharType="separate"/>
      </w:r>
      <w:r w:rsidR="004034C1" w:rsidRPr="004034C1">
        <w:rPr>
          <w:lang w:val="ru-RU"/>
        </w:rPr>
        <w:t>[154]</w:t>
      </w:r>
      <w:r w:rsidR="00C15198">
        <w:rPr>
          <w:i/>
          <w:lang w:val="ru-RU"/>
        </w:rPr>
        <w:fldChar w:fldCharType="end"/>
      </w:r>
      <w:r w:rsidRPr="0098085D">
        <w:rPr>
          <w:i/>
          <w:lang w:val="ru-RU"/>
        </w:rPr>
        <w:t xml:space="preserve">. </w:t>
      </w:r>
    </w:p>
    <w:p w14:paraId="4C4759B6" w14:textId="6743170D" w:rsidR="00894342" w:rsidRPr="00DE423A" w:rsidRDefault="00894342" w:rsidP="00894342">
      <w:pPr>
        <w:ind w:firstLine="567"/>
        <w:rPr>
          <w:i/>
          <w:lang w:val="ru-RU"/>
        </w:rPr>
      </w:pPr>
      <w:r w:rsidRPr="0098085D">
        <w:rPr>
          <w:i/>
          <w:lang w:val="ru-RU"/>
        </w:rPr>
        <w:t xml:space="preserve">Принципы лечения и профилактики костных осложнений у пациентов </w:t>
      </w:r>
      <w:r w:rsidR="001A1F09">
        <w:rPr>
          <w:i/>
          <w:lang w:val="ru-RU"/>
        </w:rPr>
        <w:t xml:space="preserve">с </w:t>
      </w:r>
      <w:r w:rsidRPr="0098085D">
        <w:rPr>
          <w:i/>
          <w:lang w:val="ru-RU"/>
        </w:rPr>
        <w:t xml:space="preserve">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«Использование остеомодифицирующих агентов для профилактики и лечения патологии костной ткани при злокачественных новообразованиях» </w:t>
      </w:r>
      <w:r w:rsidR="00C15198">
        <w:rPr>
          <w:i/>
          <w:lang w:val="ru-RU"/>
        </w:rPr>
        <w:fldChar w:fldCharType="begin"/>
      </w:r>
      <w:r w:rsidR="004034C1">
        <w:rPr>
          <w:i/>
          <w:lang w:val="ru-RU"/>
        </w:rPr>
        <w:instrText xml:space="preserve"> ADDIN ZOTERO_ITEM CSL_CITATION {"citationID":"p6UB4cd7","properties":{"formattedCitation":"[155]","plainCitation":"[155]","noteIndex":0},"citationItems":[{"id":1185,"uris":["http://zotero.org/users/5363772/items/BHD4VHHW",["http://zotero.org/users/5363772/items/BHD4VHHW"]],"itemData":{"id":1185,"type":"article-journal","issue":"3s2","journalAbbreviation":"Злокачественные опухоли: Практические рекомендации RUSSCO","page":"44-59","title":"Профилактика и лечение патологии костной ткани при злокачественных новообразованиях. Практические рекомендации RUSSCO","volume":"13","author":[{"family":"Багрова","given":"С.Г."},{"family":"Басин","given":"Е.М."},{"family":"Борзов","given":"К.А."}],"issued":{"date-parts":[["2023"]]}}}],"schema":"https://github.com/citation-style-language/schema/raw/master/csl-citation.json"} </w:instrText>
      </w:r>
      <w:r w:rsidR="00C15198">
        <w:rPr>
          <w:i/>
          <w:lang w:val="ru-RU"/>
        </w:rPr>
        <w:fldChar w:fldCharType="separate"/>
      </w:r>
      <w:r w:rsidR="004034C1" w:rsidRPr="004034C1">
        <w:rPr>
          <w:lang w:val="ru-RU"/>
        </w:rPr>
        <w:t>[155]</w:t>
      </w:r>
      <w:r w:rsidR="00C15198">
        <w:rPr>
          <w:i/>
          <w:lang w:val="ru-RU"/>
        </w:rPr>
        <w:fldChar w:fldCharType="end"/>
      </w:r>
      <w:r w:rsidRPr="0098085D">
        <w:rPr>
          <w:i/>
          <w:lang w:val="ru-RU"/>
        </w:rPr>
        <w:t xml:space="preserve">. </w:t>
      </w:r>
    </w:p>
    <w:p w14:paraId="68498331" w14:textId="443E5BAA" w:rsidR="00894342" w:rsidRPr="00DE423A" w:rsidRDefault="00894342" w:rsidP="00894342">
      <w:pPr>
        <w:ind w:firstLine="567"/>
        <w:rPr>
          <w:i/>
          <w:lang w:val="ru-RU"/>
        </w:rPr>
      </w:pPr>
      <w:r w:rsidRPr="0098085D">
        <w:rPr>
          <w:i/>
          <w:lang w:val="ru-RU"/>
        </w:rPr>
        <w:t xml:space="preserve">Принципы профилактики и лечения инфекционных осложнений и фебрильной нейтропении у пациентов раком </w:t>
      </w:r>
      <w:r>
        <w:rPr>
          <w:i/>
          <w:lang w:val="ru-RU"/>
        </w:rPr>
        <w:t>поджелудочной железы</w:t>
      </w:r>
      <w:r w:rsidRPr="0098085D">
        <w:rPr>
          <w:i/>
          <w:lang w:val="ru-RU"/>
        </w:rPr>
        <w:t xml:space="preserve"> соответствуют принципам, </w:t>
      </w:r>
      <w:r w:rsidRPr="0098085D">
        <w:rPr>
          <w:i/>
          <w:lang w:val="ru-RU"/>
        </w:rPr>
        <w:lastRenderedPageBreak/>
        <w:t xml:space="preserve">изложенным в методических рекомендациях «Практические рекомендации по диагностике и лечению фебрильной нейтропении» </w:t>
      </w:r>
      <w:r w:rsidR="00C15198">
        <w:rPr>
          <w:i/>
          <w:lang w:val="ru-RU"/>
        </w:rPr>
        <w:fldChar w:fldCharType="begin"/>
      </w:r>
      <w:r w:rsidR="004034C1">
        <w:rPr>
          <w:i/>
          <w:lang w:val="ru-RU"/>
        </w:rPr>
        <w:instrText xml:space="preserve"> ADDIN ZOTERO_ITEM CSL_CITATION {"citationID":"6ZhZOqAU","properties":{"formattedCitation":"[156]","plainCitation":"[156]","noteIndex":0},"citationItems":[{"id":1186,"uris":["http://zotero.org/users/5363772/items/GBW5J8ZM",["http://zotero.org/users/5363772/items/GBW5J8ZM"]],"itemData":{"id":1186,"type":"article-journal","issue":"3s2","journalAbbreviation":"Злокачественные опухоли: Практические рекомендации RUSSCO","page":"60-68","title":"Практические рекомендации по диагностике и лечению фебрильной нейтропении. Практические рекомендации RUSSCO","volume":"13","author":[{"family":"Сакаева","given":"Д.Д."},{"family":"Борисов","given":"К.Е."},{"family":"Булавина","given":"И.С."}],"issued":{"date-parts":[["2023"]]}}}],"schema":"https://github.com/citation-style-language/schema/raw/master/csl-citation.json"} </w:instrText>
      </w:r>
      <w:r w:rsidR="00C15198">
        <w:rPr>
          <w:i/>
          <w:lang w:val="ru-RU"/>
        </w:rPr>
        <w:fldChar w:fldCharType="separate"/>
      </w:r>
      <w:r w:rsidR="004034C1" w:rsidRPr="004034C1">
        <w:rPr>
          <w:lang w:val="ru-RU"/>
        </w:rPr>
        <w:t>[156]</w:t>
      </w:r>
      <w:r w:rsidR="00C15198">
        <w:rPr>
          <w:i/>
          <w:lang w:val="ru-RU"/>
        </w:rPr>
        <w:fldChar w:fldCharType="end"/>
      </w:r>
      <w:r w:rsidRPr="0098085D">
        <w:rPr>
          <w:i/>
          <w:lang w:val="ru-RU"/>
        </w:rPr>
        <w:t xml:space="preserve">.  </w:t>
      </w:r>
    </w:p>
    <w:p w14:paraId="673AD41A" w14:textId="158324D3" w:rsidR="00894342" w:rsidRPr="00DE423A" w:rsidRDefault="00894342" w:rsidP="00894342">
      <w:pPr>
        <w:ind w:firstLine="567"/>
        <w:rPr>
          <w:i/>
          <w:lang w:val="ru-RU"/>
        </w:rPr>
      </w:pPr>
      <w:r w:rsidRPr="0098085D">
        <w:rPr>
          <w:i/>
          <w:lang w:val="ru-RU"/>
        </w:rPr>
        <w:t xml:space="preserve">Принципы профилактики и лечения гепатотоксичности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w:t>
      </w:r>
      <w:r w:rsidR="00216C88" w:rsidRPr="00216C88">
        <w:rPr>
          <w:i/>
          <w:lang w:val="ru-RU"/>
        </w:rPr>
        <w:t>Клинические рекомендации по коррекции гепа-тотоксичности, индуцирова</w:t>
      </w:r>
      <w:r w:rsidR="00216C88">
        <w:rPr>
          <w:i/>
          <w:lang w:val="ru-RU"/>
        </w:rPr>
        <w:t>нной противоопухолевой терапией</w:t>
      </w:r>
      <w:r w:rsidRPr="0098085D">
        <w:rPr>
          <w:i/>
          <w:lang w:val="ru-RU"/>
        </w:rPr>
        <w:t>»</w:t>
      </w:r>
      <w:r w:rsidR="00216C88">
        <w:rPr>
          <w:i/>
          <w:lang w:val="ru-RU"/>
        </w:rPr>
        <w:t xml:space="preserve"> </w:t>
      </w:r>
      <w:r w:rsidR="00C15198">
        <w:rPr>
          <w:i/>
          <w:lang w:val="ru-RU"/>
        </w:rPr>
        <w:fldChar w:fldCharType="begin"/>
      </w:r>
      <w:r w:rsidR="004034C1">
        <w:rPr>
          <w:i/>
          <w:lang w:val="ru-RU"/>
        </w:rPr>
        <w:instrText xml:space="preserve"> ADDIN ZOTERO_ITEM CSL_CITATION {"citationID":"oR8YqSgk","properties":{"formattedCitation":"[157]","plainCitation":"[157]","noteIndex":0},"citationItems":[{"id":1187,"uris":["http://zotero.org/users/5363772/items/4BYC64P2",["http://zotero.org/users/5363772/items/4BYC64P2"]],"itemData":{"id":1187,"type":"article-journal","issue":"3s2","journalAbbreviation":"Злокачественные опухоли: Практические рекомендации RUSSCO","page":"69-82","title":"Практические рекомендации по коррекции гепатотоксичности, индуцированной противоопухолевой терапией. Практические рекомендации RUSSCO","volume":"13","author":[{"family":"Ткаченко","given":"П.Е."},{"family":"Ивашкин","given":"В.Т."},{"family":"Маевская","given":"М.В."}],"issued":{"date-parts":[["2023"]]}}}],"schema":"https://github.com/citation-style-language/schema/raw/master/csl-citation.json"} </w:instrText>
      </w:r>
      <w:r w:rsidR="00C15198">
        <w:rPr>
          <w:i/>
          <w:lang w:val="ru-RU"/>
        </w:rPr>
        <w:fldChar w:fldCharType="separate"/>
      </w:r>
      <w:r w:rsidR="004034C1" w:rsidRPr="004034C1">
        <w:rPr>
          <w:lang w:val="ru-RU"/>
        </w:rPr>
        <w:t>[157]</w:t>
      </w:r>
      <w:r w:rsidR="00C15198">
        <w:rPr>
          <w:i/>
          <w:lang w:val="ru-RU"/>
        </w:rPr>
        <w:fldChar w:fldCharType="end"/>
      </w:r>
      <w:r w:rsidRPr="0098085D">
        <w:rPr>
          <w:i/>
          <w:lang w:val="ru-RU"/>
        </w:rPr>
        <w:t xml:space="preserve">. </w:t>
      </w:r>
    </w:p>
    <w:p w14:paraId="56E7D976" w14:textId="12601EB9" w:rsidR="00894342" w:rsidRPr="00DE423A" w:rsidRDefault="00894342" w:rsidP="00894342">
      <w:pPr>
        <w:ind w:firstLine="567"/>
        <w:rPr>
          <w:i/>
          <w:lang w:val="ru-RU"/>
        </w:rPr>
      </w:pPr>
      <w:r w:rsidRPr="0098085D">
        <w:rPr>
          <w:i/>
          <w:lang w:val="ru-RU"/>
        </w:rPr>
        <w:t xml:space="preserve">Принципы профилактики и лечения сердечно-сосудистых осложнений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коррекции кардиоваскулярной токсичности противоопухолевой лекарственной терапии» </w:t>
      </w:r>
      <w:r w:rsidR="00C15198">
        <w:rPr>
          <w:i/>
          <w:lang w:val="ru-RU"/>
        </w:rPr>
        <w:fldChar w:fldCharType="begin"/>
      </w:r>
      <w:r w:rsidR="004034C1">
        <w:rPr>
          <w:i/>
          <w:lang w:val="ru-RU"/>
        </w:rPr>
        <w:instrText xml:space="preserve"> ADDIN ZOTERO_ITEM CSL_CITATION {"citationID":"tOQ1Xt1c","properties":{"formattedCitation":"[158]","plainCitation":"[158]","noteIndex":0},"citationItems":[{"id":1188,"uris":["http://zotero.org/users/5363772/items/F38GEAVZ",["http://zotero.org/users/5363772/items/F38GEAVZ"]],"itemData":{"id":1188,"type":"article-journal","issue":"3s2","journalAbbreviation":"Злокачественные опухоли: Практические рекомендации RUSSCO","page":"83–107","title":"Практические рекомендации по коррекции кардиоваскулярной токсичности противоопухолевой лекарственной терапии","volume":"13","author":[{"family":"Виценя","given":"М.В."},{"family":"Агеев","given":"Ф.Т."},{"family":"Орлова","given":"Р.В."}],"issued":{"date-parts":[["2023"]]}}}],"schema":"https://github.com/citation-style-language/schema/raw/master/csl-citation.json"} </w:instrText>
      </w:r>
      <w:r w:rsidR="00C15198">
        <w:rPr>
          <w:i/>
          <w:lang w:val="ru-RU"/>
        </w:rPr>
        <w:fldChar w:fldCharType="separate"/>
      </w:r>
      <w:r w:rsidR="004034C1" w:rsidRPr="004034C1">
        <w:rPr>
          <w:lang w:val="ru-RU"/>
        </w:rPr>
        <w:t>[158]</w:t>
      </w:r>
      <w:r w:rsidR="00C15198">
        <w:rPr>
          <w:i/>
          <w:lang w:val="ru-RU"/>
        </w:rPr>
        <w:fldChar w:fldCharType="end"/>
      </w:r>
      <w:r w:rsidRPr="0098085D">
        <w:rPr>
          <w:i/>
          <w:lang w:val="ru-RU"/>
        </w:rPr>
        <w:t xml:space="preserve">. </w:t>
      </w:r>
    </w:p>
    <w:p w14:paraId="178E72EA" w14:textId="77DC6DD3" w:rsidR="00894342" w:rsidRPr="00DE423A" w:rsidRDefault="00894342" w:rsidP="00894342">
      <w:pPr>
        <w:ind w:firstLine="567"/>
        <w:rPr>
          <w:i/>
          <w:lang w:val="ru-RU"/>
        </w:rPr>
      </w:pPr>
      <w:r w:rsidRPr="0098085D">
        <w:rPr>
          <w:i/>
          <w:lang w:val="ru-RU"/>
        </w:rPr>
        <w:t xml:space="preserve">Принципы профилактики и лечения кожных осложнений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лекарственному лечению дерматологических реакций у пациентов, получающих противоопухолевую лекарственную терапию» </w:t>
      </w:r>
      <w:r w:rsidR="00C15198">
        <w:rPr>
          <w:i/>
          <w:lang w:val="ru-RU"/>
        </w:rPr>
        <w:fldChar w:fldCharType="begin"/>
      </w:r>
      <w:r w:rsidR="004034C1">
        <w:rPr>
          <w:i/>
          <w:lang w:val="ru-RU"/>
        </w:rPr>
        <w:instrText xml:space="preserve"> ADDIN ZOTERO_ITEM CSL_CITATION {"citationID":"P4It5amZ","properties":{"formattedCitation":"[159]","plainCitation":"[159]","noteIndex":0},"citationItems":[{"id":1189,"uris":["http://zotero.org/users/5363772/items/JW6PH5LB",["http://zotero.org/users/5363772/items/JW6PH5LB"]],"itemData":{"id":1189,"type":"article-journal","ISSN":"https://rosoncoweb.ru/standarts/RUSSCO/2020/2020-42.pdf","issue":"3s2","journalAbbreviation":"Злокачественные опухоли : Практические рекомендации RUSSCO","page":"108–131","title":"Практические рекомендации по лекарственному лечению дерматологических реакций у пациентов, получающих противоопухолевую лекарственную терапию","volume":"13","author":[{"family":"Королева","given":"И. А."},{"family":"Болотина","given":"Л.В."},{"family":"Гладков","given":"О.А."}],"issued":{"date-parts":[["2023"]]}}}],"schema":"https://github.com/citation-style-language/schema/raw/master/csl-citation.json"} </w:instrText>
      </w:r>
      <w:r w:rsidR="00C15198">
        <w:rPr>
          <w:i/>
          <w:lang w:val="ru-RU"/>
        </w:rPr>
        <w:fldChar w:fldCharType="separate"/>
      </w:r>
      <w:r w:rsidR="004034C1" w:rsidRPr="004034C1">
        <w:rPr>
          <w:lang w:val="ru-RU"/>
        </w:rPr>
        <w:t>[159]</w:t>
      </w:r>
      <w:r w:rsidR="00C15198">
        <w:rPr>
          <w:i/>
          <w:lang w:val="ru-RU"/>
        </w:rPr>
        <w:fldChar w:fldCharType="end"/>
      </w:r>
      <w:r w:rsidRPr="0098085D">
        <w:rPr>
          <w:i/>
          <w:lang w:val="ru-RU"/>
        </w:rPr>
        <w:t xml:space="preserve">. </w:t>
      </w:r>
    </w:p>
    <w:p w14:paraId="4EDB35D3" w14:textId="0050595E" w:rsidR="00894342" w:rsidRPr="00DE423A" w:rsidRDefault="00894342" w:rsidP="00894342">
      <w:pPr>
        <w:ind w:firstLine="567"/>
        <w:rPr>
          <w:i/>
          <w:lang w:val="ru-RU"/>
        </w:rPr>
      </w:pPr>
      <w:r w:rsidRPr="0098085D">
        <w:rPr>
          <w:i/>
          <w:lang w:val="ru-RU"/>
        </w:rPr>
        <w:t xml:space="preserve">Принципы нутритивной поддержки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нутритивной поддержке онкологических больных» </w:t>
      </w:r>
      <w:r w:rsidR="00C15198">
        <w:rPr>
          <w:i/>
          <w:lang w:val="ru-RU"/>
        </w:rPr>
        <w:fldChar w:fldCharType="begin"/>
      </w:r>
      <w:r w:rsidR="004034C1">
        <w:rPr>
          <w:i/>
          <w:lang w:val="ru-RU"/>
        </w:rPr>
        <w:instrText xml:space="preserve"> ADDIN ZOTERO_ITEM CSL_CITATION {"citationID":"7qENMpM7","properties":{"formattedCitation":"[160]","plainCitation":"[160]","noteIndex":0},"citationItems":[{"id":1191,"uris":["http://zotero.org/users/5363772/items/E4AVUCII",["http://zotero.org/users/5363772/items/E4AVUCII"]],"itemData":{"id":1191,"type":"article-journal","issue":"3s2","journalAbbreviation":"Злокачественные опухоли: Практические рекомендации RUSSCO","page":"132-142","title":"Практические рекомендации по нутритивной поддержке онкологических больных","volume":"13","author":[{"family":"Сытов","given":"А.В."},{"family":"Зузов","given":"С.А."},{"family":"Лейдерман","given":"Н.Н."}],"issued":{"date-parts":[["2023"]]}}}],"schema":"https://github.com/citation-style-language/schema/raw/master/csl-citation.json"} </w:instrText>
      </w:r>
      <w:r w:rsidR="00C15198">
        <w:rPr>
          <w:i/>
          <w:lang w:val="ru-RU"/>
        </w:rPr>
        <w:fldChar w:fldCharType="separate"/>
      </w:r>
      <w:r w:rsidR="004034C1" w:rsidRPr="004034C1">
        <w:rPr>
          <w:lang w:val="ru-RU"/>
        </w:rPr>
        <w:t>[160]</w:t>
      </w:r>
      <w:r w:rsidR="00C15198">
        <w:rPr>
          <w:i/>
          <w:lang w:val="ru-RU"/>
        </w:rPr>
        <w:fldChar w:fldCharType="end"/>
      </w:r>
      <w:r w:rsidRPr="0098085D">
        <w:rPr>
          <w:i/>
          <w:lang w:val="ru-RU"/>
        </w:rPr>
        <w:t xml:space="preserve">. </w:t>
      </w:r>
    </w:p>
    <w:p w14:paraId="4AACD00B" w14:textId="244EAF41" w:rsidR="00894342" w:rsidRPr="00DE423A" w:rsidRDefault="00894342" w:rsidP="00894342">
      <w:pPr>
        <w:ind w:firstLine="567"/>
        <w:rPr>
          <w:i/>
          <w:lang w:val="ru-RU"/>
        </w:rPr>
      </w:pPr>
      <w:r w:rsidRPr="0098085D">
        <w:rPr>
          <w:i/>
          <w:lang w:val="ru-RU"/>
        </w:rPr>
        <w:t xml:space="preserve">Принципы профилактики и лечения нефротоксичности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коррекции нефротоксичности противоопухолевых препаратов» </w:t>
      </w:r>
      <w:r w:rsidR="00C15198">
        <w:rPr>
          <w:i/>
          <w:lang w:val="ru-RU"/>
        </w:rPr>
        <w:fldChar w:fldCharType="begin"/>
      </w:r>
      <w:r w:rsidR="004034C1">
        <w:rPr>
          <w:i/>
          <w:lang w:val="ru-RU"/>
        </w:rPr>
        <w:instrText xml:space="preserve"> ADDIN ZOTERO_ITEM CSL_CITATION {"citationID":"5jqsGQib","properties":{"formattedCitation":"[161]","plainCitation":"[161]","noteIndex":0},"citationItems":[{"id":1192,"uris":["http://zotero.org/users/5363772/items/BYMC955S",["http://zotero.org/users/5363772/items/BYMC955S"]],"itemData":{"id":1192,"type":"article-journal","issue":"3s2","journalAbbreviation":"Злокачественные опухоли: Практические рекомендации RUSSCO","page":"153–166","title":"Практические рекомендации по коррекции нефротоксичности противоопухолевых препаратов","volume":"13","author":[{"family":"Громова","given":"Е.Г."},{"family":"Бирюкова","given":"Л.С."},{"family":"Джумабаева","given":"Б.Т."}],"issued":{"date-parts":[["2023"]]}}}],"schema":"https://github.com/citation-style-language/schema/raw/master/csl-citation.json"} </w:instrText>
      </w:r>
      <w:r w:rsidR="00C15198">
        <w:rPr>
          <w:i/>
          <w:lang w:val="ru-RU"/>
        </w:rPr>
        <w:fldChar w:fldCharType="separate"/>
      </w:r>
      <w:r w:rsidR="004034C1" w:rsidRPr="004034C1">
        <w:rPr>
          <w:lang w:val="ru-RU"/>
        </w:rPr>
        <w:t>[161]</w:t>
      </w:r>
      <w:r w:rsidR="00C15198">
        <w:rPr>
          <w:i/>
          <w:lang w:val="ru-RU"/>
        </w:rPr>
        <w:fldChar w:fldCharType="end"/>
      </w:r>
      <w:r w:rsidRPr="0098085D">
        <w:rPr>
          <w:i/>
          <w:lang w:val="ru-RU"/>
        </w:rPr>
        <w:t xml:space="preserve">. </w:t>
      </w:r>
    </w:p>
    <w:p w14:paraId="62B62184" w14:textId="5B59C158" w:rsidR="00894342" w:rsidRPr="00DE423A" w:rsidRDefault="00894342" w:rsidP="00894342">
      <w:pPr>
        <w:ind w:firstLine="567"/>
        <w:rPr>
          <w:i/>
          <w:lang w:val="ru-RU"/>
        </w:rPr>
      </w:pPr>
      <w:r w:rsidRPr="0098085D">
        <w:rPr>
          <w:i/>
          <w:lang w:val="ru-RU"/>
        </w:rPr>
        <w:t xml:space="preserve">Принципы профилактики и лечения тромбоэмболических осложнений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профилактике и лечению тромбоэмболических осложнений у онкологических больных» </w:t>
      </w:r>
      <w:r w:rsidR="00C15198">
        <w:rPr>
          <w:i/>
          <w:lang w:val="ru-RU"/>
        </w:rPr>
        <w:fldChar w:fldCharType="begin"/>
      </w:r>
      <w:r w:rsidR="004034C1">
        <w:rPr>
          <w:i/>
          <w:lang w:val="ru-RU"/>
        </w:rPr>
        <w:instrText xml:space="preserve"> ADDIN ZOTERO_ITEM CSL_CITATION {"citationID":"zkTfldEm","properties":{"formattedCitation":"[162]","plainCitation":"[162]","noteIndex":0},"citationItems":[{"id":1193,"uris":["http://zotero.org/users/5363772/items/T7I9372R",["http://zotero.org/users/5363772/items/T7I9372R"]],"itemData":{"id":1193,"type":"article-journal","issue":"3s2","journalAbbreviation":"Злокачественные опухоли: Практические рекомендации RUSSCO","page":"167–178","title":"Практические рекомендации по профилактике и лечению тромбоэмболических осложнений у онкологических больных","volume":"13","author":[{"family":"Сомонова","given":"О.В."},{"family":"Антух","given":"Э.А."},{"family":"Долгушин","given":"Б.И."}],"issued":{"date-parts":[["2023"]]}}}],"schema":"https://github.com/citation-style-language/schema/raw/master/csl-citation.json"} </w:instrText>
      </w:r>
      <w:r w:rsidR="00C15198">
        <w:rPr>
          <w:i/>
          <w:lang w:val="ru-RU"/>
        </w:rPr>
        <w:fldChar w:fldCharType="separate"/>
      </w:r>
      <w:r w:rsidR="004034C1" w:rsidRPr="004034C1">
        <w:rPr>
          <w:lang w:val="ru-RU"/>
        </w:rPr>
        <w:t>[162]</w:t>
      </w:r>
      <w:r w:rsidR="00C15198">
        <w:rPr>
          <w:i/>
          <w:lang w:val="ru-RU"/>
        </w:rPr>
        <w:fldChar w:fldCharType="end"/>
      </w:r>
      <w:r w:rsidRPr="0098085D">
        <w:rPr>
          <w:i/>
          <w:lang w:val="ru-RU"/>
        </w:rPr>
        <w:t xml:space="preserve">. </w:t>
      </w:r>
    </w:p>
    <w:p w14:paraId="0030B7E6" w14:textId="40B5955F" w:rsidR="00894342" w:rsidRPr="00DE423A" w:rsidRDefault="00894342" w:rsidP="00894342">
      <w:pPr>
        <w:ind w:firstLine="567"/>
        <w:rPr>
          <w:i/>
          <w:lang w:val="ru-RU"/>
        </w:rPr>
      </w:pPr>
      <w:r w:rsidRPr="0098085D">
        <w:rPr>
          <w:i/>
          <w:lang w:val="ru-RU"/>
        </w:rPr>
        <w:t xml:space="preserve">Принципы профилактики и лечения последствий экстравазации лекарственных препаратов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«Рекомендации по лечению последствий экстравазации противоопухолевых препаратов» </w:t>
      </w:r>
      <w:r w:rsidR="00C15198">
        <w:rPr>
          <w:i/>
          <w:lang w:val="ru-RU"/>
        </w:rPr>
        <w:fldChar w:fldCharType="begin"/>
      </w:r>
      <w:r w:rsidR="004034C1">
        <w:rPr>
          <w:i/>
          <w:lang w:val="ru-RU"/>
        </w:rPr>
        <w:instrText xml:space="preserve"> ADDIN ZOTERO_ITEM CSL_CITATION {"citationID":"ZXfQAoEh","properties":{"formattedCitation":"[163]","plainCitation":"[163]","noteIndex":0},"citationItems":[{"id":1194,"uris":["http://zotero.org/users/5363772/items/IRDKKUNZ",["http://zotero.org/users/5363772/items/IRDKKUNZ"]],"itemData":{"id":1194,"type":"article-journal","issue":"3s2","journalAbbreviation":"Злокачественные опухоли: Практические рекомендации RUSSCO","page":"179–189","title":"Рекомендации по лечению последствий экстравазации противоопухолевых препаратов","volume":"13","author":[{"family":"Буйденок","given":"Ю.В."},{"family":"Обухова","given":"О.А."}],"issued":{"date-parts":[["2023"]]}}}],"schema":"https://github.com/citation-style-language/schema/raw/master/csl-citation.json"} </w:instrText>
      </w:r>
      <w:r w:rsidR="00C15198">
        <w:rPr>
          <w:i/>
          <w:lang w:val="ru-RU"/>
        </w:rPr>
        <w:fldChar w:fldCharType="separate"/>
      </w:r>
      <w:r w:rsidR="004034C1" w:rsidRPr="004034C1">
        <w:rPr>
          <w:lang w:val="ru-RU"/>
        </w:rPr>
        <w:t>[163]</w:t>
      </w:r>
      <w:r w:rsidR="00C15198">
        <w:rPr>
          <w:i/>
          <w:lang w:val="ru-RU"/>
        </w:rPr>
        <w:fldChar w:fldCharType="end"/>
      </w:r>
      <w:r w:rsidRPr="0098085D">
        <w:rPr>
          <w:i/>
          <w:lang w:val="ru-RU"/>
        </w:rPr>
        <w:t xml:space="preserve">. </w:t>
      </w:r>
    </w:p>
    <w:p w14:paraId="680B9817" w14:textId="342D44D0" w:rsidR="00894342" w:rsidRDefault="00894342" w:rsidP="00894342">
      <w:pPr>
        <w:ind w:firstLine="567"/>
        <w:rPr>
          <w:i/>
          <w:lang w:val="ru-RU"/>
        </w:rPr>
      </w:pPr>
      <w:r w:rsidRPr="0098085D">
        <w:rPr>
          <w:i/>
          <w:lang w:val="ru-RU"/>
        </w:rPr>
        <w:t xml:space="preserve">Принципы профилактики и лечения иммуноопосредованных нежелательных явлений у пациентов раком </w:t>
      </w:r>
      <w:r>
        <w:rPr>
          <w:i/>
          <w:lang w:val="ru-RU"/>
        </w:rPr>
        <w:t>поджелудочной железы</w:t>
      </w:r>
      <w:r w:rsidRPr="0098085D">
        <w:rPr>
          <w:i/>
          <w:lang w:val="ru-RU"/>
        </w:rPr>
        <w:t xml:space="preserve"> соответствуют принципам, изложенным в методических рекомендациях «Практические рекомендации по управлению иммуноопосредованными нежелательными явлениями» </w:t>
      </w:r>
      <w:r w:rsidR="00C15198">
        <w:rPr>
          <w:i/>
          <w:lang w:val="ru-RU"/>
        </w:rPr>
        <w:fldChar w:fldCharType="begin"/>
      </w:r>
      <w:r w:rsidR="004034C1">
        <w:rPr>
          <w:i/>
          <w:lang w:val="ru-RU"/>
        </w:rPr>
        <w:instrText xml:space="preserve"> ADDIN ZOTERO_ITEM CSL_CITATION {"citationID":"fgvYVLMa","properties":{"formattedCitation":"[164]","plainCitation":"[164]","noteIndex":0},"citationItems":[{"id":1195,"uris":["http://zotero.org/users/5363772/items/WK6L3AEQ",["http://zotero.org/users/5363772/items/WK6L3AEQ"]],"itemData":{"id":1195,"type":"article-journal","issue":"3s2","journalAbbreviation":"Злокачественные опухоли: Практические рекомендации RUSSCO","page":"210–249","title":"Практические рекомендации по управлению иммуноопосредованными нежелательными явлениями","volume":"13","author":[{"family":"Проценко","given":"С.А."},{"family":"Баллюзек","given":"М.Ф."},{"family":"Васильев","given":"Д.А."}],"issued":{"date-parts":[["2023"]]}}}],"schema":"https://github.com/citation-style-language/schema/raw/master/csl-citation.json"} </w:instrText>
      </w:r>
      <w:r w:rsidR="00C15198">
        <w:rPr>
          <w:i/>
          <w:lang w:val="ru-RU"/>
        </w:rPr>
        <w:fldChar w:fldCharType="separate"/>
      </w:r>
      <w:r w:rsidR="004034C1" w:rsidRPr="004034C1">
        <w:rPr>
          <w:lang w:val="ru-RU"/>
        </w:rPr>
        <w:t>[164]</w:t>
      </w:r>
      <w:r w:rsidR="00C15198">
        <w:rPr>
          <w:i/>
          <w:lang w:val="ru-RU"/>
        </w:rPr>
        <w:fldChar w:fldCharType="end"/>
      </w:r>
      <w:r w:rsidRPr="0098085D">
        <w:rPr>
          <w:i/>
          <w:lang w:val="ru-RU"/>
        </w:rPr>
        <w:t>.</w:t>
      </w:r>
    </w:p>
    <w:p w14:paraId="1FD6AAA3" w14:textId="77777777" w:rsidR="00964910" w:rsidRDefault="00964910" w:rsidP="00964910">
      <w:pPr>
        <w:pStyle w:val="aff2"/>
      </w:pPr>
    </w:p>
    <w:p w14:paraId="095CEFE2" w14:textId="77777777" w:rsidR="00963B97" w:rsidRPr="00A83E0C" w:rsidRDefault="00963B97" w:rsidP="00963B97">
      <w:pPr>
        <w:pStyle w:val="33"/>
        <w:rPr>
          <w:color w:val="auto"/>
          <w:lang w:val="ru-RU"/>
        </w:rPr>
      </w:pPr>
      <w:r w:rsidRPr="00A83E0C">
        <w:rPr>
          <w:color w:val="auto"/>
          <w:lang w:val="ru-RU"/>
        </w:rPr>
        <w:t>Диетотерапия</w:t>
      </w:r>
    </w:p>
    <w:p w14:paraId="37E24936" w14:textId="6C2018D7" w:rsidR="00F66F04" w:rsidRPr="00FD3039" w:rsidRDefault="00F66F04" w:rsidP="004E104D">
      <w:pPr>
        <w:pStyle w:val="2"/>
      </w:pPr>
      <w:r>
        <w:t xml:space="preserve">Рекомендуется обсуждать со всеми пациентами с раком поджелудочной железы особенности диеты и дополнительной нутритивной поддержки при </w:t>
      </w:r>
      <w:r w:rsidR="00FD3039">
        <w:t>выявлении</w:t>
      </w:r>
      <w:r>
        <w:t xml:space="preserve"> признаков алиментарной недостаточности, кахексии и/или саркопении </w:t>
      </w:r>
      <w:r w:rsidR="00FD3039">
        <w:fldChar w:fldCharType="begin"/>
      </w:r>
      <w:r w:rsidR="004034C1">
        <w:instrText xml:space="preserve"> ADDIN ZOTERO_ITEM CSL_CITATION {"citationID":"Shc2ttOG","properties":{"formattedCitation":"[165]","plainCitation":"[165]","noteIndex":0},"citationItems":[{"id":1083,"uris":["http://zotero.org/users/5363772/items/5XUCB3HV",["http://zotero.org/users/5363772/items/5XUCB3HV"]],"itemData":{"id":1083,"type":"article-journal","container-title":"Nutrients","DOI":"10.3390/nu9030243","ISSN":"2072-6643","issue":"3","journalAbbreviation":"Nutrients","language":"en","page":"243","source":"DOI.org (Crossref)","title":"Nutritional and Metabolic Derangements in Pancreatic Cancer and Pancreatic Resection","volume":"9","author":[{"family":"Gilliland","given":"Taylor"},{"family":"Villafane-Ferriol","given":"Nicole"},{"family":"Shah","given":"Kevin"},{"family":"Shah","given":"Rohan"},{"family":"Tran Cao","given":"Hop"},{"family":"Massarweh","given":"Nader"},{"family":"Silberfein","given":"Eric"},{"family":"Choi","given":"Eugene"},{"family":"Hsu","given":"Cary"},{"family":"McElhany","given":"Amy"},{"family":"Barakat","given":"Omar"},{"family":"Fisher","given":"William"},{"family":"Van Buren","given":"George"}],"issued":{"date-parts":[["2017",3,7]]}}}],"schema":"https://github.com/citation-style-language/schema/raw/master/csl-citation.json"} </w:instrText>
      </w:r>
      <w:r w:rsidR="00FD3039">
        <w:fldChar w:fldCharType="separate"/>
      </w:r>
      <w:r w:rsidR="004034C1" w:rsidRPr="004034C1">
        <w:t>[165]</w:t>
      </w:r>
      <w:r w:rsidR="00FD3039">
        <w:fldChar w:fldCharType="end"/>
      </w:r>
      <w:r w:rsidR="00FD3039" w:rsidRPr="004E104D">
        <w:t>.</w:t>
      </w:r>
    </w:p>
    <w:p w14:paraId="7F1F6837" w14:textId="77777777" w:rsidR="00F66F04" w:rsidRDefault="00F66F04" w:rsidP="00F66F04">
      <w:pPr>
        <w:pStyle w:val="33"/>
        <w:rPr>
          <w:lang w:val="ru-RU"/>
        </w:rPr>
      </w:pPr>
      <w:r w:rsidRPr="00A83E0C">
        <w:rPr>
          <w:lang w:val="ru-RU"/>
        </w:rPr>
        <w:t>Уровень убедительности рекомендаций - С (уровень достоверности доказательств – 4)</w:t>
      </w:r>
    </w:p>
    <w:p w14:paraId="25B71FB9" w14:textId="560C3DD7" w:rsidR="00F66F04" w:rsidRPr="00FD3039" w:rsidRDefault="00F66F04" w:rsidP="004E104D">
      <w:pPr>
        <w:pStyle w:val="aff2"/>
      </w:pPr>
      <w:r w:rsidRPr="004E104D">
        <w:rPr>
          <w:i w:val="0"/>
          <w:iCs/>
        </w:rPr>
        <w:t>Комментарий</w:t>
      </w:r>
      <w:r>
        <w:t xml:space="preserve">: сниженное питание, кахексия и саркопения снижают качество жизни и являются факторами неблагоприятного прогноза. Сбалансированная диета, расчет калоража, </w:t>
      </w:r>
      <w:r w:rsidRPr="004E104D">
        <w:rPr>
          <w:rFonts w:hint="eastAsia"/>
        </w:rPr>
        <w:t>назначение</w:t>
      </w:r>
      <w:r w:rsidRPr="004E104D">
        <w:t xml:space="preserve"> </w:t>
      </w:r>
      <w:r w:rsidRPr="004E104D">
        <w:rPr>
          <w:rFonts w:hint="eastAsia"/>
        </w:rPr>
        <w:t>сипингового</w:t>
      </w:r>
      <w:r w:rsidRPr="004E104D">
        <w:t xml:space="preserve"> </w:t>
      </w:r>
      <w:r w:rsidRPr="004E104D">
        <w:rPr>
          <w:rFonts w:hint="eastAsia"/>
        </w:rPr>
        <w:t>специализированного</w:t>
      </w:r>
      <w:r w:rsidRPr="004E104D">
        <w:t xml:space="preserve"> </w:t>
      </w:r>
      <w:r w:rsidRPr="004E104D">
        <w:rPr>
          <w:rFonts w:hint="eastAsia"/>
        </w:rPr>
        <w:t>питания</w:t>
      </w:r>
      <w:r w:rsidR="00FD3039">
        <w:t xml:space="preserve"> являются важными аспектами комплексного подхода к лечению пациентов.</w:t>
      </w:r>
      <w:r w:rsidR="00FD3039" w:rsidRPr="00FD3039">
        <w:t xml:space="preserve"> </w:t>
      </w:r>
      <w:r w:rsidR="00FD3039">
        <w:t xml:space="preserve">Дополнительная информация представлена в Практических рекомендациях </w:t>
      </w:r>
      <w:r w:rsidR="00FD3039">
        <w:rPr>
          <w:lang w:val="en-US"/>
        </w:rPr>
        <w:t>RUSSCO</w:t>
      </w:r>
      <w:r w:rsidR="00FD3039" w:rsidRPr="00FD3039">
        <w:t xml:space="preserve"> </w:t>
      </w:r>
      <w:r w:rsidR="00FD3039">
        <w:t xml:space="preserve">по лечению синдрома анорекции-кахексии у онкологических больных </w:t>
      </w:r>
      <w:r w:rsidR="00FD3039">
        <w:fldChar w:fldCharType="begin"/>
      </w:r>
      <w:r w:rsidR="004034C1">
        <w:instrText xml:space="preserve"> ADDIN ZOTERO_ITEM CSL_CITATION {"citationID":"uIFWR52b","properties":{"formattedCitation":"[166]","plainCitation":"[166]","noteIndex":0},"citationItems":[{"id":1418,"uris":["http://zotero.org/users/5363772/items/2RIGVIYB"],"itemData":{"id":1418,"type":"article-journal","container-title":"Злокачественные опухоли. Практические рекомендации RUSSCO","issue":"3s2","language":"ru","page":"143-147","source":"Zotero","title":"Практические рекомендации по лечению синдрома анорексии-кахексии у онкологических больных","volume":"13","author":[{"family":"Сытов","given":"А.В."},{"family":"Зузов","given":"С.А."},{"family":"Кукош","given":"М.Ю."}],"issued":{"date-parts":[["2023"]]}}}],"schema":"https://github.com/citation-style-language/schema/raw/master/csl-citation.json"} </w:instrText>
      </w:r>
      <w:r w:rsidR="00FD3039">
        <w:fldChar w:fldCharType="separate"/>
      </w:r>
      <w:r w:rsidR="004034C1" w:rsidRPr="004034C1">
        <w:t>[166]</w:t>
      </w:r>
      <w:r w:rsidR="00FD3039">
        <w:fldChar w:fldCharType="end"/>
      </w:r>
      <w:r w:rsidR="00FD3039">
        <w:t>.</w:t>
      </w:r>
    </w:p>
    <w:p w14:paraId="2A97039B" w14:textId="77777777" w:rsidR="00964910" w:rsidRPr="00F117DF" w:rsidRDefault="00964910" w:rsidP="00964910">
      <w:pPr>
        <w:rPr>
          <w:b/>
          <w:lang w:val="ru-RU"/>
        </w:rPr>
      </w:pPr>
      <w:r w:rsidRPr="00964910">
        <w:rPr>
          <w:b/>
          <w:bCs/>
          <w:lang w:val="ru-RU"/>
        </w:rPr>
        <w:t>4.</w:t>
      </w:r>
      <w:r w:rsidRPr="00964910">
        <w:rPr>
          <w:lang w:val="ru-RU"/>
        </w:rPr>
        <w:t xml:space="preserve"> </w:t>
      </w:r>
      <w:r w:rsidRPr="00964910">
        <w:rPr>
          <w:b/>
          <w:bCs/>
          <w:lang w:val="ru-RU"/>
        </w:rPr>
        <w:t>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5F3C58">
        <w:rPr>
          <w:b/>
          <w:bCs/>
          <w:lang w:val="ru-RU"/>
        </w:rPr>
        <w:t>.</w:t>
      </w:r>
      <w:r w:rsidR="005F3C58">
        <w:rPr>
          <w:lang w:val="ru-RU"/>
        </w:rPr>
        <w:t xml:space="preserve"> </w:t>
      </w:r>
      <w:r w:rsidRPr="00964910">
        <w:rPr>
          <w:lang w:val="ru-RU"/>
        </w:rPr>
        <w:t xml:space="preserve"> </w:t>
      </w:r>
    </w:p>
    <w:p w14:paraId="7E7214BE" w14:textId="40369760" w:rsidR="00DD7BE2" w:rsidRPr="00A83E0C" w:rsidRDefault="00DD7BE2" w:rsidP="00537A85">
      <w:pPr>
        <w:pStyle w:val="2"/>
        <w:rPr>
          <w:b/>
        </w:rPr>
      </w:pPr>
      <w:r w:rsidRPr="00A83E0C">
        <w:t xml:space="preserve">Во время предреабилитации </w:t>
      </w:r>
      <w:r w:rsidR="009362D7" w:rsidRPr="00A83E0C">
        <w:t xml:space="preserve">пациентам с раком поджелудочной железы </w:t>
      </w:r>
      <w:r w:rsidR="00EA7396" w:rsidRPr="00A83E0C">
        <w:rPr>
          <w:b/>
        </w:rPr>
        <w:t>рекомендуется</w:t>
      </w:r>
      <w:r w:rsidRPr="00A83E0C">
        <w:rPr>
          <w:b/>
        </w:rPr>
        <w:t xml:space="preserve"> </w:t>
      </w:r>
      <w:r w:rsidRPr="00A83E0C">
        <w:t>проведе</w:t>
      </w:r>
      <w:r w:rsidR="005246DA" w:rsidRPr="00A83E0C">
        <w:t xml:space="preserve">ние </w:t>
      </w:r>
      <w:r w:rsidR="00F773E2">
        <w:t>лечебной физкультуры</w:t>
      </w:r>
      <w:r w:rsidR="005246DA" w:rsidRPr="00A83E0C">
        <w:t xml:space="preserve"> (ЛФК)</w:t>
      </w:r>
      <w:r w:rsidR="00CD5F15">
        <w:rPr>
          <w:color w:val="000000"/>
        </w:rPr>
        <w:t>, психологической и нутритивной поддержки, информирования пациентов</w:t>
      </w:r>
      <w:r w:rsidRPr="00A83E0C">
        <w:t xml:space="preserve"> </w:t>
      </w:r>
      <w:r w:rsidR="00C15198" w:rsidRPr="00A83E0C">
        <w:fldChar w:fldCharType="begin"/>
      </w:r>
      <w:r w:rsidR="004034C1">
        <w:instrText xml:space="preserve"> ADDIN ZOTERO_ITEM CSL_CITATION {"citationID":"7pZkPB07","properties":{"formattedCitation":"[165,167\\uc0\\u8211{}171]","plainCitation":"[165,167–171]","noteIndex":0},"citationItems":[{"id":287,"uris":["http://zotero.org/users/5363772/items/8YIWRRUP",["http://zotero.org/users/5363772/items/8YIWRRUP"]],"itemData":{"id":287,"type":"article-journal","abstract":"ContextPostoperative pulmonary complications (PPCs) after coronary artery bypass graft (CABG) surgery are a major source of morbidity and mortality, and increase length of hospital stay and resource utilization. The prehospitalization period before CABG surgery may be used to improve a patient's pulmonary condition. The efficacy of preoperative inspiratory muscle training (IMT) in reducing the incidence of PPCs in high-risk patients undergoing CABG surgery has not yet been determined.ObjectiveTo evaluate the prophylactic efficacy of preoperative IMT on the incidence of PPCs in high-risk patients scheduled for elective CABG surgery.Design, Setting, and PatientsA single-blind, randomized clinical trial conducted at the University Medical Center Utrecht, Utrecht, the Netherlands, with enrollment between July 2002 and August 2005. Of 655 patients referred for elective CABG surgery, 299 (45.6%) met criteria for high risk of developing PPCs, of whom 279 were enrolled and followed up until discharge from hospital.InterventionPatients were randomly assigned to receive either preoperative IMT (n = 140) or usual care (n = 139). Both groups received the same postoperative physical therapy.Main Outcome MeasuresIncidence of PPCs, especially pneumonia, and duration of postoperative hospitalization.ResultsBoth groups were comparable at baseline. After CABG surgery, PPCs were present in 25 (18.0%) of 139 patients in the IMT group and 48 (35.0%) of 137 patients in the usual care group (odds ratio [OR], 0.52; 95% confidence interval [CI], 0.30-0.92). Pneumonia occurred in 9 (6.5%) of 139 patients in the IMT group and in 22 (16.1%) of 137 patients in the usual care group (OR, 0.40; 95% CI, 0.19-0.84). Median duration of postoperative hospitalization was 7 days (range, 5-41 days) in the IMT group vs 8 days (range, 6-70 days) in the usual care group by Mann-Whitney U statistic (z = –2.42; P = .02).ConclusionPreoperative IMT reduced the incidence of PPCs and duration of postoperative hospitalization in patients at high risk of developing a pulmonary complication undergoing CABG surgery.Trial Registrationisrctn.org Identifier: ISRCTN17691887","container-title":"JAMA","DOI":"10.1001/jama.296.15.1851","ISSN":"0098-7484","issue":"15","journalAbbreviation":"JAMA","page":"1851-1857","title":"Preoperative Intensive Inspiratory Muscle Training to Prevent Postoperative Pulmonary Complications in High-Risk Patients Undergoing CABG SurgeryA Randomized Clinical Trial","volume":"296","author":[{"family":"Hulzebos","given":"Erik H. J."},{"family":"Helders","given":"Paul J. M."},{"family":"Favié","given":"Nine J."},{"family":"De Bie","given":"Rob A."},{"family":"Brutel de la Riviere","given":"Aart"},{"family":"Van Meeteren","given":"Nico L. U."}],"issued":{"date-parts":[["2006",10,18]]}}},{"id":285,"uris":["http://zotero.org/users/5363772/items/YHC4IEZ4",["http://zotero.org/users/5363772/items/YHC4IEZ4"]],"itemData":{"id":285,"type":"article-journal","abstract":"ABSTRACT \nCancer prehabilitation, a process on the continuum of care that occurs between the time of cancer diagnosis and the beginning of acute treatment, includes physical and psychological assessments that establish a baseline functional level, identifies impairments, and provides targeted interventions that improve a patient’s health to reduce the incidence and the severity of current and future impairments. There is a growing body of scientific evidence that supports preparing newly diagnosed cancer patients for and optimizing their health before starting acute treatments. This is the first review of cancer prehabilitation, and the purpose was to describe early studies in the noncancer population and then the historical focus in cancer patients on aerobic conditioning and building strength and stamina through an appropriate exercise regimen. More recent research shows that opportunities exist to use other unimodal or multimodal prehabilitation interventions to decrease morbidity, improve physical and psychological health outcomes, increase the number of potential treatment options, decrease hospital readmissions, and reduce both direct and indirect healthcare costs attributed to cancer. Future research may demonstrate increased compliance with acute cancer treatment protocols and, therefore, improved survival outcomes. New studies suggest that a multimodal approach that incorporates both physical and psychological prehabilitation interventions may be more effective than a unimodal approach that addresses just one or the other. In an impairment-driven cancer rehabilitation model, identifying current and anticipating future impairments are the critical first steps in improving healthcare outcomes and decreasing costs. More research is urgently needed to evaluate the most effective prehabilitation interventions, and combinations thereof, for survivors of all types of cancer.","container-title":"American Journal of Physical Medicine &amp; Rehabilitation","ISSN":"0894-9115","issue":"8","title":"Cancer Prehabilitation: An Opportunity to Decrease Treatment-Related Morbidity, Increase Cancer Treatment Options, and Improve Physical and Psychological Health Outcomes","URL":"https://journals.lww.com/ajpmr/Fulltext/2013/08000/Cancer_Prehabilitation__An_Opportunity_to_Decrease.9.aspx","volume":"92","author":[{"family":"Silver","given":"Julie K."},{"family":"Baima","given":"Jennifer"}],"issued":{"date-parts":[["2013"]]}}},{"id":288,"uris":["http://zotero.org/users/5363772/items/5M5G3QF7",["http://zotero.org/users/5363772/items/5M5G3QF7"]],"itemData":{"id":288,"type":"article-journal","abstract":"Cancer patients experience anxiety and depression after diagnosis and during treatment. A wide range of psychological interventions have been proposed to alleviate distress, but the evidence about the perioperative effectiveness of such interventions is not clear. This systematic review examined the effect of preoperative psychological interventions or prehabilitation on the postoperative outcomes of patients undergoing surgery for cancer.","container-title":"Annals of Surgical Oncology","DOI":"10.1245/s10434-015-4550-z","ISSN":"1534-4681","issue":"13","journalAbbreviation":"Annals of Surgical Oncology","page":"4117-4123","title":"Psychological Prehabilitation Before Cancer Surgery: A Systematic Review","volume":"22","author":[{"family":"Tsimopoulou","given":"Ioanna"},{"family":"Pasquali","given":"Sandro"},{"family":"Howard","given":"Ruth"},{"family":"Desai","given":"Anant"},{"family":"Gourevitch","given":"David"},{"family":"Tolosa","given":"Inigo"},{"family":"Vohra","given":"Ravinder"}],"issued":{"date-parts":[["2015",12,1]]}}},{"id":289,"uris":["http://zotero.org/users/5363772/items/ZMVU6CD9",["http://zotero.org/users/5363772/items/ZMVU6CD9"]],"itemData":{"id":289,"type":"article-journal","issue":"4","journalAbbreviation":"Rozhl Chir.","page":"169-175","title":"A prospective clinical feasibility study for multimodal \"fast track\" rehabilitation in elective pancreatic cancer surgery.","volume":"85","author":[{"family":"Wichmann","given":"MW"}],"issued":{"date-parts":[["2006"]]}}},{"id":1083,"uris":["http://zotero.org/users/5363772/items/5XUCB3HV",["http://zotero.org/users/5363772/items/5XUCB3HV"]],"itemData":{"id":1083,"type":"article-journal","container-title":"Nutrients","DOI":"10.3390/nu9030243","ISSN":"2072-6643","issue":"3","journalAbbreviation":"Nutrients","language":"en","page":"243","source":"DOI.org (Crossref)","title":"Nutritional and Metabolic Derangements in Pancreatic Cancer and Pancreatic Resection","volume":"9","author":[{"family":"Gilliland","given":"Taylor"},{"family":"Villafane-Ferriol","given":"Nicole"},{"family":"Shah","given":"Kevin"},{"family":"Shah","given":"Rohan"},{"family":"Tran Cao","given":"Hop"},{"family":"Massarweh","given":"Nader"},{"family":"Silberfein","given":"Eric"},{"family":"Choi","given":"Eugene"},{"family":"Hsu","given":"Cary"},{"family":"McElhany","given":"Amy"},{"family":"Barakat","given":"Omar"},{"family":"Fisher","given":"William"},{"family":"Van Buren","given":"George"}],"issued":{"date-parts":[["2017",3,7]]}}},{"id":1113,"uris":["http://zotero.org/users/5363772/items/67H2CAPI",["http://zotero.org/users/5363772/items/67H2CAPI"]],"itemData":{"id":1113,"type":"article-journal","container-title":"International Journal of Surgery","DOI":"10.1016/j.ijsu.2017.01.111","ISSN":"17439191","journalAbbreviation":"International Journal of Surgery","language":"en","page":"156-162","source":"DOI.org (Crossref)","title":"A systematic review of prehabilitation programs in abdominal cancer surgery","volume":"39","author":[{"family":"Hijazi","given":"Yasser"},{"family":"Gondal","given":"Umair"},{"family":"Aziz","given":"Omer"}],"issued":{"date-parts":[["2017",3]]}}}],"schema":"https://github.com/citation-style-language/schema/raw/master/csl-citation.json"} </w:instrText>
      </w:r>
      <w:r w:rsidR="00C15198" w:rsidRPr="00A83E0C">
        <w:fldChar w:fldCharType="separate"/>
      </w:r>
      <w:r w:rsidR="004034C1" w:rsidRPr="004034C1">
        <w:t>[165,167–171]</w:t>
      </w:r>
      <w:r w:rsidR="00C15198" w:rsidRPr="00A83E0C">
        <w:fldChar w:fldCharType="end"/>
      </w:r>
      <w:r w:rsidRPr="00A83E0C">
        <w:t xml:space="preserve">. </w:t>
      </w:r>
    </w:p>
    <w:p w14:paraId="7992A924" w14:textId="77777777" w:rsidR="00DD7BE2" w:rsidRPr="00A83E0C" w:rsidRDefault="00DD7BE2" w:rsidP="00AB423C">
      <w:pPr>
        <w:pStyle w:val="33"/>
        <w:rPr>
          <w:lang w:val="ru-RU"/>
        </w:rPr>
      </w:pPr>
      <w:r w:rsidRPr="00A83E0C">
        <w:rPr>
          <w:lang w:val="ru-RU"/>
        </w:rPr>
        <w:t xml:space="preserve">Уровень убедительности рекомендаций - </w:t>
      </w:r>
      <w:r w:rsidR="00E963C9" w:rsidRPr="00A83E0C">
        <w:rPr>
          <w:lang w:val="ru-RU"/>
        </w:rPr>
        <w:t>С</w:t>
      </w:r>
      <w:r w:rsidRPr="00A83E0C">
        <w:rPr>
          <w:lang w:val="ru-RU"/>
        </w:rPr>
        <w:t xml:space="preserve"> (уровень достоверности доказательств – </w:t>
      </w:r>
      <w:r w:rsidR="00E963C9" w:rsidRPr="00A83E0C">
        <w:rPr>
          <w:lang w:val="ru-RU"/>
        </w:rPr>
        <w:t>4</w:t>
      </w:r>
      <w:r w:rsidRPr="00A83E0C">
        <w:rPr>
          <w:lang w:val="ru-RU"/>
        </w:rPr>
        <w:t>)</w:t>
      </w:r>
    </w:p>
    <w:p w14:paraId="03139128" w14:textId="77777777" w:rsidR="00DD7BE2" w:rsidRPr="00A83E0C" w:rsidRDefault="00DD7BE2" w:rsidP="00AB423C">
      <w:pPr>
        <w:pStyle w:val="af0"/>
        <w:spacing w:line="360" w:lineRule="auto"/>
        <w:ind w:left="11" w:firstLine="697"/>
        <w:rPr>
          <w:i/>
          <w:lang w:val="ru-RU"/>
        </w:rPr>
      </w:pPr>
      <w:r w:rsidRPr="00A83E0C">
        <w:rPr>
          <w:b/>
          <w:lang w:val="ru-RU"/>
        </w:rPr>
        <w:t xml:space="preserve">Комментарии: </w:t>
      </w:r>
      <w:r w:rsidR="00B53C00" w:rsidRPr="00A83E0C">
        <w:rPr>
          <w:i/>
          <w:lang w:val="ru-RU"/>
        </w:rPr>
        <w:t>программа комплексной п</w:t>
      </w:r>
      <w:r w:rsidRPr="00A83E0C">
        <w:rPr>
          <w:i/>
          <w:lang w:val="ru-RU"/>
        </w:rPr>
        <w:t>реабилитации, которая включает в себя занятия ЛФК дома (комплекс физической нагрузки средней интенсивности, включающей в себя как аэробную, так и анаэробную нагрузку), консультирование по питанию, работу с психологом на преодоление тревоги и депрессии (начинается за 28 дней до операции и продолжается в течение 8 недель после) значительно улучшает качество жизни в послеоперационном периоде. Психологическая преабилитация, включающая методики, направленные на работу со стрессом (методики релаксации, формирование позитивного настроя) в течение 40 - 60 минут 6 дней в неделю, которая начинается за 5 дней до операции, и продолжается 30 дней после значительно улучшает качество жизни.</w:t>
      </w:r>
    </w:p>
    <w:p w14:paraId="20B46467" w14:textId="55740E7A" w:rsidR="00DD7BE2" w:rsidRPr="00A83E0C" w:rsidRDefault="00DD7BE2" w:rsidP="00537A85">
      <w:pPr>
        <w:pStyle w:val="2"/>
      </w:pPr>
      <w:r w:rsidRPr="00A83E0C">
        <w:rPr>
          <w:b/>
        </w:rPr>
        <w:t xml:space="preserve">Рекомендуется </w:t>
      </w:r>
      <w:r w:rsidRPr="00A83E0C">
        <w:t>применять тактики fast track реабилитации  («быстрый путь») и ERAS (early rehabilitation after surgery – ран</w:t>
      </w:r>
      <w:r w:rsidR="00F9417F" w:rsidRPr="00A83E0C">
        <w:t>няя реабилитация после операции</w:t>
      </w:r>
      <w:r w:rsidRPr="00A83E0C">
        <w:t xml:space="preserve">), включающие в себя комплексное обезболивание, раннее энтеральное питание, отказ от </w:t>
      </w:r>
      <w:r w:rsidRPr="00A83E0C">
        <w:lastRenderedPageBreak/>
        <w:t>рутинного применения зондов и дренажей, ранняя мобилизация (активизация и вертикализация) пациентов уже с 1– 2 суток после операции</w:t>
      </w:r>
      <w:r w:rsidR="00EC4A01" w:rsidRPr="00A83E0C">
        <w:t xml:space="preserve"> </w:t>
      </w:r>
      <w:r w:rsidR="00C15198" w:rsidRPr="00A83E0C">
        <w:fldChar w:fldCharType="begin"/>
      </w:r>
      <w:r w:rsidR="004034C1">
        <w:instrText xml:space="preserve"> ADDIN ZOTERO_ITEM CSL_CITATION {"citationID":"2vAtYXtm","properties":{"formattedCitation":"[170]","plainCitation":"[170]","noteIndex":0},"citationItems":[{"id":289,"uris":["http://zotero.org/users/5363772/items/ZMVU6CD9",["http://zotero.org/users/5363772/items/ZMVU6CD9"]],"itemData":{"id":289,"type":"article-journal","issue":"4","journalAbbreviation":"Rozhl Chir.","page":"169-175","title":"A prospective clinical feasibility study for multimodal \"fast track\" rehabilitation in elective pancreatic cancer surgery.","volume":"85","author":[{"family":"Wichmann","given":"MW"}],"issued":{"date-parts":[["2006"]]}}}],"schema":"https://github.com/citation-style-language/schema/raw/master/csl-citation.json"} </w:instrText>
      </w:r>
      <w:r w:rsidR="00C15198" w:rsidRPr="00A83E0C">
        <w:fldChar w:fldCharType="separate"/>
      </w:r>
      <w:r w:rsidR="004034C1" w:rsidRPr="004034C1">
        <w:t>[170]</w:t>
      </w:r>
      <w:r w:rsidR="00C15198" w:rsidRPr="00A83E0C">
        <w:fldChar w:fldCharType="end"/>
      </w:r>
      <w:r w:rsidRPr="00A83E0C">
        <w:t>.</w:t>
      </w:r>
    </w:p>
    <w:p w14:paraId="437C9817" w14:textId="77777777" w:rsidR="00DD7BE2" w:rsidRPr="00A83E0C" w:rsidRDefault="00DD7BE2" w:rsidP="00AB423C">
      <w:pPr>
        <w:pStyle w:val="33"/>
        <w:rPr>
          <w:lang w:val="ru-RU"/>
        </w:rPr>
      </w:pPr>
      <w:r w:rsidRPr="00A83E0C">
        <w:rPr>
          <w:lang w:val="ru-RU"/>
        </w:rPr>
        <w:t xml:space="preserve">Уровень убедительности рекомендаций - </w:t>
      </w:r>
      <w:r w:rsidR="004C47C9" w:rsidRPr="00A83E0C">
        <w:rPr>
          <w:lang w:val="ru-RU"/>
        </w:rPr>
        <w:t xml:space="preserve">С </w:t>
      </w:r>
      <w:r w:rsidRPr="00A83E0C">
        <w:rPr>
          <w:lang w:val="ru-RU"/>
        </w:rPr>
        <w:t xml:space="preserve">(уровень достоверности доказательств – </w:t>
      </w:r>
      <w:r w:rsidR="004C47C9" w:rsidRPr="00A83E0C">
        <w:rPr>
          <w:lang w:val="ru-RU"/>
        </w:rPr>
        <w:t>4</w:t>
      </w:r>
      <w:r w:rsidRPr="00A83E0C">
        <w:rPr>
          <w:lang w:val="ru-RU"/>
        </w:rPr>
        <w:t>)</w:t>
      </w:r>
    </w:p>
    <w:p w14:paraId="1DE37E94" w14:textId="66142C0E" w:rsidR="00DD7BE2" w:rsidRPr="00A83E0C" w:rsidRDefault="00DD7BE2" w:rsidP="00AB423C">
      <w:pPr>
        <w:ind w:firstLine="708"/>
        <w:rPr>
          <w:i/>
          <w:lang w:val="ru-RU"/>
        </w:rPr>
      </w:pPr>
      <w:r w:rsidRPr="00A83E0C">
        <w:rPr>
          <w:b/>
          <w:lang w:val="ru-RU"/>
        </w:rPr>
        <w:t>Комментарии</w:t>
      </w:r>
      <w:r w:rsidRPr="00A83E0C">
        <w:rPr>
          <w:lang w:val="ru-RU"/>
        </w:rPr>
        <w:t xml:space="preserve">: </w:t>
      </w:r>
      <w:r w:rsidRPr="00A83E0C">
        <w:rPr>
          <w:i/>
          <w:lang w:val="ru-RU"/>
        </w:rPr>
        <w:t>применение побудительной спирометрии, подъем головного конца кровати, раннее начало дыхательной гимнастики и ранняя активизация пациентов помогает профилактике застойных явлений в легких в послеоперационном периоде</w:t>
      </w:r>
      <w:r w:rsidR="00EA7396" w:rsidRPr="00A83E0C">
        <w:rPr>
          <w:i/>
          <w:lang w:val="ru-RU"/>
        </w:rPr>
        <w:t xml:space="preserve"> </w:t>
      </w:r>
      <w:r w:rsidR="00C15198" w:rsidRPr="00A83E0C">
        <w:rPr>
          <w:i/>
          <w:lang w:val="ru-RU"/>
        </w:rPr>
        <w:fldChar w:fldCharType="begin"/>
      </w:r>
      <w:r w:rsidR="004034C1">
        <w:rPr>
          <w:i/>
          <w:lang w:val="ru-RU"/>
        </w:rPr>
        <w:instrText xml:space="preserve"> ADDIN ZOTERO_ITEM CSL_CITATION {"citationID":"yT3zjHjG","properties":{"formattedCitation":"[172]","plainCitation":"[172]","noteIndex":0},"citationItems":[{"id":290,"uris":["http://zotero.org/users/5363772/items/4IXPXM3V",["http://zotero.org/users/5363772/items/4IXPXM3V"]],"itemData":{"id":290,"type":"article-journal","container-title":"Journal of the American College of Surgeons","DOI":"10.1016/j.jamcollsurg.2010.01.009","ISSN":"1072-7515","issue":"4","page":"491-495","title":"Postoperative Pneumonia-Prevention Program for the Inpatient Surgical Ward","volume":"210","author":[{"family":"Wren","given":"Sherry M."},{"family":"Martin","given":"Molinda"},{"family":"Yoon","given":"Jung K."},{"family":"Bech","given":"Fritz"}],"issued":{"date-parts":[["2010",4,1]]}}}],"schema":"https://github.com/citation-style-language/schema/raw/master/csl-citation.json"} </w:instrText>
      </w:r>
      <w:r w:rsidR="00C15198" w:rsidRPr="00A83E0C">
        <w:rPr>
          <w:i/>
          <w:lang w:val="ru-RU"/>
        </w:rPr>
        <w:fldChar w:fldCharType="separate"/>
      </w:r>
      <w:r w:rsidR="004034C1" w:rsidRPr="004034C1">
        <w:rPr>
          <w:lang w:val="ru-RU"/>
        </w:rPr>
        <w:t>[172]</w:t>
      </w:r>
      <w:r w:rsidR="00C15198" w:rsidRPr="00A83E0C">
        <w:rPr>
          <w:i/>
          <w:lang w:val="ru-RU"/>
        </w:rPr>
        <w:fldChar w:fldCharType="end"/>
      </w:r>
      <w:r w:rsidRPr="00A83E0C">
        <w:rPr>
          <w:i/>
          <w:lang w:val="ru-RU"/>
        </w:rPr>
        <w:t xml:space="preserve">. </w:t>
      </w:r>
    </w:p>
    <w:p w14:paraId="3B7BAD89" w14:textId="77777777" w:rsidR="00DD7BE2" w:rsidRPr="00A83E0C" w:rsidRDefault="00DD7BE2" w:rsidP="00DD7BE2">
      <w:pPr>
        <w:ind w:firstLine="0"/>
        <w:rPr>
          <w:i/>
          <w:lang w:val="ru-RU"/>
        </w:rPr>
      </w:pPr>
      <w:r w:rsidRPr="00A83E0C">
        <w:rPr>
          <w:i/>
          <w:lang w:val="ru-RU"/>
        </w:rPr>
        <w:t>Для профилактики снижения мышечной массы, легочных и тромботических осложнений показано пребывание в кровати 2 часа до операции и не более 6 часов после. Дыхательная гимнастика начинается сразу после нормализации сознания пациента после операции. Тактике дыхательной гимнастики в послеоперационном периоде пациент обучается до операции. После проведения оперативного лечения рекомендовано выполнение диафрагмального дыхания, которое способствует улучшению циркуляции лимфы в организме и позволяет вентилировать нижние доли легких, которые при грудном типе дыхания обычно наполняются воздухом недостаточно.</w:t>
      </w:r>
    </w:p>
    <w:p w14:paraId="12BD3C56" w14:textId="0256D249" w:rsidR="00DD7BE2" w:rsidRPr="00A83E0C" w:rsidRDefault="00DD7BE2" w:rsidP="00537A85">
      <w:pPr>
        <w:pStyle w:val="2"/>
      </w:pPr>
      <w:r w:rsidRPr="00A83E0C">
        <w:t xml:space="preserve">Во время проведения химиотерапии </w:t>
      </w:r>
      <w:r w:rsidRPr="00A83E0C">
        <w:rPr>
          <w:b/>
        </w:rPr>
        <w:t>рекомендуется</w:t>
      </w:r>
      <w:r w:rsidRPr="00A83E0C">
        <w:t xml:space="preserve"> выполнение комплекса ЛФК, методики релаксации, включающие в себя диафрагмальное дыхание и прогрессирующую мышечную релаксацию, рассмотреть возможность назначения курса </w:t>
      </w:r>
      <w:r w:rsidR="00F773E2">
        <w:t xml:space="preserve">лечебного </w:t>
      </w:r>
      <w:r w:rsidRPr="00A83E0C">
        <w:t>массажа</w:t>
      </w:r>
      <w:r w:rsidR="005246DA" w:rsidRPr="00A83E0C">
        <w:t xml:space="preserve"> для улучшения общего со</w:t>
      </w:r>
      <w:r w:rsidR="00434E80">
        <w:t>с</w:t>
      </w:r>
      <w:r w:rsidR="005246DA" w:rsidRPr="00A83E0C">
        <w:t>тояния пациента</w:t>
      </w:r>
      <w:r w:rsidR="00EC4A01" w:rsidRPr="00A83E0C">
        <w:t xml:space="preserve"> </w:t>
      </w:r>
      <w:r w:rsidR="00C15198" w:rsidRPr="00A83E0C">
        <w:fldChar w:fldCharType="begin"/>
      </w:r>
      <w:r w:rsidR="004034C1">
        <w:instrText xml:space="preserve"> ADDIN ZOTERO_ITEM CSL_CITATION {"citationID":"2cFVZ99s","properties":{"formattedCitation":"[173,174]","plainCitation":"[173,174]","noteIndex":0},"citationItems":[{"id":292,"uris":["http://zotero.org/users/5363772/items/NPVVSF59",["http://zotero.org/users/5363772/items/NPVVSF59"]],"itemData":{"id":292,"type":"article-journal","abstract":"IMPORTANCE: Cancer-related fatigue (CRF) remains one of the most prevalent and troublesome adverse events experienced by patients with cancer during and after therapy. OBJECTIVE: To perform a meta-analysis to establish and compare the mean weighted effect sizes (WESs) of the 4 most commonly recommended treatments for CRF-exercise, psychological, combined exercise and psychological, and pharmaceutical-and to identify independent variables associated with treatment effectiveness. DATA SOURCES: PubMed, PsycINFO, CINAHL, EMBASE, and the Cochrane Library were searched from the inception of each database to May 31, 2016. STUDY SELECTION: Randomized clinical trials in adults with cancer were selected. Inclusion criteria consisted of CRF severity as an outcome and testing of exercise, psychological, exercise plus psychological, or pharmaceutical interventions. DATA EXTRACTION AND SYNTHESIS: Studies were independently reviewed by 12 raters in 3 groups using a systematic and blinded process for reconciling disagreement. Effect sizes (Cohen d) were calculated and inversely weighted by SE. MAIN OUTCOMES AND MEASURES: Severity of CRF was the primary outcome. Study quality was assessed using a modified 12-item version of the Physiotherapy Evidence-Based Database scale (range, 0-12, with 12 indicating best quality). RESULTS: From 17 033 references, 113 unique studies articles (11 525 unique participants; 78% female; mean age, 54 [range, 35-72] years) published from January 1, 1999, through May 31, 2016, had sufficient data. Studies were of good quality (mean Physiotherapy Evidence-Based Database scale score, 8.2; range, 5-12) with no evidence of publication bias. Exercise (WES, 0.30; 95% CI, 0.25-0.36; P &lt; .001), psychological (WES, 0.27; 95% CI, 0.21-0.33; P &lt; .001), and exercise plus psychological interventions (WES, 0.26; 95% CI, 0.13-0.38; P &lt; .001) improved CRF during and after primary treatment, whereas pharmaceutical interventions did not (WES, 0.09; 95% CI, 0.00-0.19; P = .05). Results also suggest that CRF treatment effectiveness was associated with cancer stage, baseline treatment status, experimental treatment format, experimental treatment delivery mode, psychological mode, type of control condition, use of intention-to-treat analysis, and fatigue measures (WES range, -0.91 to 0.99). Results suggest that the effectiveness of behavioral interventions, specifically exercise and psychological interventions, is not attributable to time, attention, and education, and specific intervention modes may be more effective for treating CRF at different points in the cancer treatment trajectory (WES range, 0.09-0.22). CONCLUSIONS AND RELEVANCE: Exercise and psychological interventions are effective for reducing CRF during and after cancer treatment, and they are significantly better than the available pharmaceutical options. Clinicians should prescribe exercise or psychological interventions as first-line treatments for CRF.","archive":"PubMed","archive_location":"28253393","container-title":"JAMA oncology","DOI":"10.1001/jamaoncol.2016.6914","ISSN":"2374-2445","issue":"7","journalAbbreviation":"JAMA Oncol","language":"eng","page":"961-968","title":"Comparison of Pharmaceutical, Psychological, and Exercise Treatments for Cancer-Related Fatigue: A Meta-analysis","volume":"3","author":[{"family":"Mustian","given":"Karen M"},{"family":"Alfano","given":"Catherine M"},{"family":"Heckler","given":"Charles"},{"family":"Kleckner","given":"Amber S"},{"family":"Kleckner","given":"Ian R"},{"family":"Leach","given":"Corinne R"},{"family":"Mohr","given":"David"},{"family":"Palesh","given":"Oxana G"},{"family":"Peppone","given":"Luke J"},{"family":"Piper","given":"Barbara F"},{"family":"Scarpato","given":"John"},{"family":"Smith","given":"Tenbroeck"},{"family":"Sprod","given":"Lisa K"},{"family":"Miller","given":"Suzanne M"}],"issued":{"date-parts":[["2017",7,1]]}}},{"id":294,"uris":["http://zotero.org/users/5363772/items/FDF4XKPH",["http://zotero.org/users/5363772/items/FDF4XKPH"]],"itemData":{"id":294,"type":"article-journal","abstract":"BACKGROUND: Cancer-related fatigue (CRF) is a prevalent and debilitating symptom experienced by cancer survivors, yet treatment options for CRF are limited. In this study, we evaluated the efficacy of weekly Swedish massage therapy (SMT) versus an active control condition (light touch [LT]) and waitlist control (WLC) on persistent CRF in breast cancer survivors. METHODS: This early phase, randomized, single-masked, 6-week investigation of SMT, LT, and WLC enrolled 66 female stage 0-III breast cancer survivors (age range, 32-72 years) who had received surgery plus radiation and/or chemotherapy/chemoprevention with CRF (Brief Fatigue Inventory &gt; 25). The primary outcome was the Multidimensional Fatigue Inventory (MFI), with the National Institutes of Health PROMIS Fatigue scale secondary. RESULTS: Mean baseline MFI scores for 57 evaluable subjects were 62.95 for SMT, 55.00 for LT, and 60.41 for WLC. SMT resulted in a mean (standard deviation) 6-week reduction in MFI total scores of -16.50 (6.37) (n = 20) versus -8.06 (6.50) for LT (n = 20) and an increase of 5.88 (6.48) points for WLC (n = 17) (treatment-by-time P &lt; .0001). The mean baseline PROMIS Fatigue scores were SMT, 22.25; LT, 22.05; and WLC, 23.24. The mean (standard deviation) reduction in PROMIS Fatigue scores was -5.49 (2.53) points for SMT versus -3.24 (2.57) points for LT and -0.06 (1.88) points for WLC (treatment-by-time P = .0008). Higher credibility, expectancy, and preference for SMT than for LT did not account for these results. CONCLUSION: SMT produced clinically significant relief of CRF. This finding suggests that 6 weeks of a safe, widely accepted manual intervention causes a significant reduction in fatigue, a debilitating sequela for cancer survivors. Cancer 2018;124:546-54. © 2017 American Cancer Society.","archive":"PubMed","archive_location":"29044466","container-title":"Cancer","DOI":"10.1002/cncr.31064","ISSN":"1097-0142","issue":"3","journalAbbreviation":"Cancer","language":"eng","page":"546-554","title":"Massage therapy decreases cancer-related fatigue: Results from a randomized early phase trial","volume":"124","author":[{"family":"Kinkead","given":"Becky"},{"family":"Schettler","given":"Pamela J"},{"family":"Larson","given":"Erika R"},{"family":"Carroll","given":"Dedric"},{"family":"Sharenko","given":"Margaret"},{"family":"Nettles","given":"James"},{"family":"Edwards","given":"Sherry A"},{"family":"Miller","given":"Andrew H"},{"family":"Torres","given":"Mylin A"},{"family":"Dunlop","given":"Boadie W"},{"family":"Rakofsky","given":"Jeffrey J"},{"family":"Rapaport","given":"Mark Hyman"}],"issued":{"date-parts":[["2018",2,1]]}}}],"schema":"https://github.com/citation-style-language/schema/raw/master/csl-citation.json"} </w:instrText>
      </w:r>
      <w:r w:rsidR="00C15198" w:rsidRPr="00A83E0C">
        <w:fldChar w:fldCharType="separate"/>
      </w:r>
      <w:r w:rsidR="004034C1" w:rsidRPr="004034C1">
        <w:t>[173,174]</w:t>
      </w:r>
      <w:r w:rsidR="00C15198" w:rsidRPr="00A83E0C">
        <w:fldChar w:fldCharType="end"/>
      </w:r>
      <w:r w:rsidRPr="00A83E0C">
        <w:t>.</w:t>
      </w:r>
    </w:p>
    <w:p w14:paraId="00C06160" w14:textId="77777777" w:rsidR="00DD7BE2" w:rsidRPr="00A83E0C" w:rsidRDefault="00DD7BE2" w:rsidP="00AB423C">
      <w:pPr>
        <w:pStyle w:val="33"/>
        <w:rPr>
          <w:lang w:val="ru-RU"/>
        </w:rPr>
      </w:pPr>
      <w:r w:rsidRPr="00A83E0C">
        <w:rPr>
          <w:lang w:val="ru-RU"/>
        </w:rPr>
        <w:t xml:space="preserve">Уровень убедительности рекомендаций – В (уровень достоверности доказательств – </w:t>
      </w:r>
      <w:r w:rsidR="004C47C9" w:rsidRPr="00A83E0C">
        <w:rPr>
          <w:lang w:val="ru-RU"/>
        </w:rPr>
        <w:t>2</w:t>
      </w:r>
      <w:r w:rsidRPr="00A83E0C">
        <w:rPr>
          <w:lang w:val="ru-RU"/>
        </w:rPr>
        <w:t>)</w:t>
      </w:r>
    </w:p>
    <w:p w14:paraId="6F6440D7" w14:textId="77777777" w:rsidR="00DD7BE2" w:rsidRPr="00A83E0C" w:rsidRDefault="00DD7BE2" w:rsidP="00AB423C">
      <w:pPr>
        <w:pStyle w:val="af0"/>
        <w:adjustRightInd w:val="0"/>
        <w:spacing w:line="360" w:lineRule="auto"/>
        <w:ind w:left="0" w:firstLine="708"/>
        <w:rPr>
          <w:i/>
          <w:lang w:val="ru-RU"/>
        </w:rPr>
      </w:pPr>
      <w:r w:rsidRPr="00A83E0C">
        <w:rPr>
          <w:b/>
          <w:lang w:val="ru-RU"/>
        </w:rPr>
        <w:t xml:space="preserve">Комментарии: </w:t>
      </w:r>
      <w:r w:rsidRPr="00A83E0C">
        <w:rPr>
          <w:i/>
          <w:lang w:val="ru-RU"/>
        </w:rPr>
        <w:t>объем и интенсивность ЛФК подбирается индивидуально исходя из степени слабости (легкая, средняя, тяжелая). При улучшении общего состояния возможно увеличить интенсивность ЛФК. Рекомендуется сочетание аэробной нагрузки и силовой.</w:t>
      </w:r>
    </w:p>
    <w:p w14:paraId="7418754F" w14:textId="77777777" w:rsidR="002E4556" w:rsidRPr="00A83E0C" w:rsidRDefault="002E4556" w:rsidP="000B3A53">
      <w:pPr>
        <w:pStyle w:val="1"/>
      </w:pPr>
      <w:bookmarkStart w:id="23" w:name="_Toc158632228"/>
      <w:r w:rsidRPr="00A83E0C">
        <w:lastRenderedPageBreak/>
        <w:t xml:space="preserve">5. </w:t>
      </w:r>
      <w:r w:rsidR="00CD11D0" w:rsidRPr="00A83E0C">
        <w:t>Профилактика и диспансерное наблюдение, медицинские показания и противопоказания к применению методов профилактики</w:t>
      </w:r>
      <w:bookmarkEnd w:id="23"/>
      <w:r w:rsidR="00F773E2">
        <w:t xml:space="preserve"> </w:t>
      </w:r>
    </w:p>
    <w:p w14:paraId="69595128" w14:textId="6A6F4AD6" w:rsidR="00E208C9" w:rsidRPr="00A83E0C" w:rsidRDefault="009362D7" w:rsidP="00537A85">
      <w:pPr>
        <w:pStyle w:val="2"/>
      </w:pPr>
      <w:r w:rsidRPr="00A83E0C">
        <w:t xml:space="preserve">Пациентам с раком поджелудочной железы </w:t>
      </w:r>
      <w:r w:rsidRPr="00A83E0C">
        <w:rPr>
          <w:b/>
        </w:rPr>
        <w:t>р</w:t>
      </w:r>
      <w:r w:rsidR="003A0B9A" w:rsidRPr="00A83E0C">
        <w:rPr>
          <w:b/>
        </w:rPr>
        <w:t>екомендуется</w:t>
      </w:r>
      <w:r w:rsidR="003A0B9A" w:rsidRPr="00A83E0C">
        <w:t xml:space="preserve"> </w:t>
      </w:r>
      <w:r w:rsidR="001D57A5">
        <w:t>диспансерное</w:t>
      </w:r>
      <w:r w:rsidR="001D57A5" w:rsidRPr="00A83E0C">
        <w:t xml:space="preserve"> </w:t>
      </w:r>
      <w:r w:rsidR="00852DF2" w:rsidRPr="00A83E0C">
        <w:t>наблюдени</w:t>
      </w:r>
      <w:r w:rsidR="002D738B" w:rsidRPr="00A83E0C">
        <w:t>е</w:t>
      </w:r>
      <w:r w:rsidR="00852DF2" w:rsidRPr="00A83E0C">
        <w:t xml:space="preserve"> после окончания лечения</w:t>
      </w:r>
      <w:r w:rsidR="001D57A5">
        <w:t xml:space="preserve"> в соответствии с порядком диспансерного наблюдения за взрослыми с онкологическими </w:t>
      </w:r>
      <w:r w:rsidR="00B455A1">
        <w:t xml:space="preserve">заболеваниями. </w:t>
      </w:r>
      <w:r w:rsidR="00C15198" w:rsidRPr="00A83E0C">
        <w:fldChar w:fldCharType="begin"/>
      </w:r>
      <w:r w:rsidR="004034C1">
        <w:instrText xml:space="preserve"> ADDIN ZOTERO_ITEM CSL_CITATION {"citationID":"EwDPWs4T","properties":{"formattedCitation":"[175]","plainCitation":"[175]","noteIndex":0},"citationItems":[{"id":296,"uris":["http://zotero.org/users/5363772/items/LIZK4LSZ",["http://zotero.org/users/5363772/items/LIZK4LSZ"]],"itemData":{"id":296,"type":"article-journal","abstract":"PurposeTo update the Potentially Curable Pancreatic Cancer: American Society of Clinical Oncology Clinical Practice Guideline published on May 31, 2016. The October 2016 update focuses solely on new evidence that pertains to clinical question 4 of the guideline: What is the appropriate adjuvant regimen for patients with pancreatic cancer who have undergone an R0 or R1 resection of their primary tumor?MethodsThe recently published results of a randomized phase III study prompted an update of this guideline. The high quality of the reported evidence and the potential for its clinical impact prompted the Expert Panel to revise one of the guideline recommendations.ResultsThe ESPAC-4 study, a multicenter, international, open-label randomized controlled phase III trial of adjuvant combination chemotherapy compared gemcitabine and capecitabine with gemcitabine monotherapy in 730 evaluable patients with resected pancreatic ductal adenocarcinoma. Median overall survival was improved in the doublet arm to 28.0 months (95% CI, 23.5 to 31.5 months) versus 25.5 months (95% CI, 22.7 to 27.9 months) for gemcitabine alone (hazard ratio, 0.82; 95% CI, 0.68 to 0.98; P = .032). Grade 3 and 4 adverse events were similar in both arms, although higher rates of hand-foot syndrome and diarrhea occurred in patients randomly assigned to the doublet arm.RecommendationsAll patients with resected pancreatic cancer who did not receive preoperative therapy should be offered 6 months of adjuvant chemotherapy in the absence of medical or surgical contraindications. The doublet regimen of gemcitabine and capecitabine is preferred in the absence of concerns for toxicity or tolerance; alternatively, monotherapy with gemcitabine or fluorouracil plus folinic acid can be offered. Adjuvant treatment should be initiated within 8 weeks of surgical resection, assuming complete recovery. The remaining recommendations from the original 2016 ASCO guideline are unchanged.","container-title":"Journal of Clinical Oncology","DOI":"10.1200/JCO.2017.72.4948","ISSN":"0732-183X","issue":"20","journalAbbreviation":"JCO","page":"2324-2328","title":"Potentially Curable Pancreatic Cancer: American Society of Clinical Oncology Clinical Practice Guideline Update","volume":"35","author":[{"family":"Khorana","given":"Alok A."},{"family":"Mangu","given":"Pamela B."},{"family":"Berlin","given":"Jordan"},{"family":"Engebretson","given":"Anitra"},{"family":"Hong","given":"Theodore S."},{"family":"Maitra","given":"Anirban"},{"family":"Mohile","given":"Supriya G."},{"family":"Mumber","given":"Matthew"},{"family":"Schulick","given":"Richard"},{"family":"Shapiro","given":"Marc"},{"family":"Urba","given":"Susan"},{"family":"Zeh","given":"Herbert J."},{"family":"Katz","given":"Matthew H.G."}],"issued":{"date-parts":[["2017",4,11]]}}}],"schema":"https://github.com/citation-style-language/schema/raw/master/csl-citation.json"} </w:instrText>
      </w:r>
      <w:r w:rsidR="00C15198" w:rsidRPr="00A83E0C">
        <w:fldChar w:fldCharType="separate"/>
      </w:r>
      <w:r w:rsidR="004034C1" w:rsidRPr="004034C1">
        <w:t>[175]</w:t>
      </w:r>
      <w:r w:rsidR="00C15198" w:rsidRPr="00A83E0C">
        <w:fldChar w:fldCharType="end"/>
      </w:r>
      <w:r w:rsidR="00EC4A01" w:rsidRPr="00A83E0C">
        <w:t>.</w:t>
      </w:r>
    </w:p>
    <w:p w14:paraId="228B564E" w14:textId="77777777" w:rsidR="003A0B9A" w:rsidRPr="00A83E0C" w:rsidRDefault="003A0B9A" w:rsidP="00E208C9">
      <w:pPr>
        <w:pStyle w:val="33"/>
        <w:rPr>
          <w:color w:val="auto"/>
          <w:lang w:val="ru-RU"/>
        </w:rPr>
      </w:pPr>
      <w:r w:rsidRPr="00A83E0C">
        <w:rPr>
          <w:color w:val="auto"/>
          <w:lang w:val="ru-RU"/>
        </w:rPr>
        <w:t>Уровень убедител</w:t>
      </w:r>
      <w:r w:rsidR="00E17300" w:rsidRPr="00A83E0C">
        <w:rPr>
          <w:color w:val="auto"/>
          <w:lang w:val="ru-RU"/>
        </w:rPr>
        <w:t xml:space="preserve">ьности рекомендаций </w:t>
      </w:r>
      <w:r w:rsidR="0095587C" w:rsidRPr="00A83E0C">
        <w:rPr>
          <w:color w:val="auto"/>
        </w:rPr>
        <w:t>C</w:t>
      </w:r>
      <w:r w:rsidRPr="00A83E0C">
        <w:rPr>
          <w:color w:val="auto"/>
          <w:lang w:val="ru-RU"/>
        </w:rPr>
        <w:t xml:space="preserve"> (уровен</w:t>
      </w:r>
      <w:r w:rsidR="00E17300" w:rsidRPr="00A83E0C">
        <w:rPr>
          <w:color w:val="auto"/>
          <w:lang w:val="ru-RU"/>
        </w:rPr>
        <w:t xml:space="preserve">ь достоверности доказательств </w:t>
      </w:r>
      <w:r w:rsidR="00626F5D" w:rsidRPr="00A83E0C">
        <w:rPr>
          <w:color w:val="auto"/>
          <w:lang w:val="ru-RU"/>
        </w:rPr>
        <w:t>5</w:t>
      </w:r>
      <w:r w:rsidRPr="00A83E0C">
        <w:rPr>
          <w:color w:val="auto"/>
          <w:lang w:val="ru-RU"/>
        </w:rPr>
        <w:t>)</w:t>
      </w:r>
    </w:p>
    <w:p w14:paraId="567AC1F4" w14:textId="6AD6B457" w:rsidR="00E208C9" w:rsidRPr="00A83E0C" w:rsidRDefault="00E208C9" w:rsidP="009B53C5">
      <w:pPr>
        <w:pStyle w:val="33"/>
        <w:rPr>
          <w:i/>
          <w:color w:val="auto"/>
          <w:lang w:val="ru-RU"/>
        </w:rPr>
      </w:pPr>
      <w:r w:rsidRPr="00A83E0C">
        <w:rPr>
          <w:color w:val="auto"/>
          <w:lang w:val="ru-RU"/>
        </w:rPr>
        <w:t xml:space="preserve">Комментарий: </w:t>
      </w:r>
      <w:r w:rsidR="00B455A1" w:rsidRPr="00B455A1">
        <w:rPr>
          <w:b w:val="0"/>
          <w:bCs/>
          <w:i/>
          <w:iCs/>
          <w:color w:val="auto"/>
          <w:lang w:val="ru-RU"/>
        </w:rPr>
        <w:t>порядок диспансерного наблюдения подразумевает консультацию врача-онколога и обследование каждые 3 месяца в течение первого года, каждые 6 месяцев в течение второго года и далее ежегодно пожизненно</w:t>
      </w:r>
      <w:r w:rsidR="007159CB" w:rsidRPr="007159CB">
        <w:rPr>
          <w:b w:val="0"/>
          <w:bCs/>
          <w:i/>
          <w:iCs/>
          <w:color w:val="auto"/>
          <w:lang w:val="ru-RU"/>
        </w:rPr>
        <w:fldChar w:fldCharType="begin"/>
      </w:r>
      <w:r w:rsidR="004034C1">
        <w:rPr>
          <w:b w:val="0"/>
          <w:bCs/>
          <w:i/>
          <w:iCs/>
          <w:color w:val="auto"/>
          <w:lang w:val="ru-RU"/>
        </w:rPr>
        <w:instrText xml:space="preserve"> ADDIN ZOTERO_ITEM CSL_CITATION {"citationID":"3gUXAWCo","properties":{"formattedCitation":"[176]","plainCitation":"[176]","noteIndex":0},"citationItems":[{"id":1464,"uris":["http://zotero.org/users/5363772/items/2FYUEBRB"],"itemData":{"id":1464,"type":"document","publisher":"Министерство здравоохранения и социального развития РФ","title":"Приказ Министерства здравоохранения Российской Федерации от 04.06.2020 № 548н \"Об утверждении порядка диспансерного наблюдения за взрослыми с онкологическими заболеваниями\"","URL":"http://publication.pravo.gov.ru/Document/View/0001202006300011","accessed":{"date-parts":[["2024",2,19]]},"issued":{"date-parts":[["2020",6,26]]}}}],"schema":"https://github.com/citation-style-language/schema/raw/master/csl-citation.json"} </w:instrText>
      </w:r>
      <w:r w:rsidR="007159CB" w:rsidRPr="007159CB">
        <w:rPr>
          <w:b w:val="0"/>
          <w:bCs/>
          <w:i/>
          <w:iCs/>
          <w:color w:val="auto"/>
          <w:lang w:val="ru-RU"/>
        </w:rPr>
        <w:fldChar w:fldCharType="separate"/>
      </w:r>
      <w:r w:rsidR="004034C1" w:rsidRPr="004034C1">
        <w:rPr>
          <w:lang w:val="ru-RU"/>
        </w:rPr>
        <w:t>[176]</w:t>
      </w:r>
      <w:r w:rsidR="007159CB" w:rsidRPr="007159CB">
        <w:rPr>
          <w:b w:val="0"/>
          <w:bCs/>
          <w:i/>
          <w:iCs/>
          <w:color w:val="auto"/>
          <w:lang w:val="ru-RU"/>
        </w:rPr>
        <w:fldChar w:fldCharType="end"/>
      </w:r>
      <w:r w:rsidR="00B455A1" w:rsidRPr="00B455A1">
        <w:rPr>
          <w:b w:val="0"/>
          <w:bCs/>
          <w:i/>
          <w:iCs/>
          <w:color w:val="auto"/>
          <w:lang w:val="ru-RU"/>
        </w:rPr>
        <w:t>. Н</w:t>
      </w:r>
      <w:r w:rsidRPr="00B455A1">
        <w:rPr>
          <w:b w:val="0"/>
          <w:i/>
          <w:iCs/>
          <w:color w:val="auto"/>
          <w:lang w:val="ru-RU"/>
        </w:rPr>
        <w:t>е</w:t>
      </w:r>
      <w:r w:rsidRPr="00A83E0C">
        <w:rPr>
          <w:b w:val="0"/>
          <w:i/>
          <w:color w:val="auto"/>
          <w:lang w:val="ru-RU"/>
        </w:rPr>
        <w:t xml:space="preserve"> существует доказательств того, что активное наблюдение за пациентами после проведенного лечения и раннее выявление рецидива заболевания увеличивает продолжительность жизни. Поэтому допустимо проводить только сбор жалоб пациента и физикальный осмотр на регулярной основе. Однако быстрое ухудшение состояния при прогрессировании заболевания лимитирует перспективы использования современных режимов химиотерапии. Поэтому оптимальными являются визиты пациента каждые 12 недель в течение первых двух лет, каждые 6 месяцев в последующем для выполнения следующего обследования:</w:t>
      </w:r>
    </w:p>
    <w:p w14:paraId="3E6FA2C1" w14:textId="77777777" w:rsidR="00E208C9" w:rsidRPr="00A83E0C" w:rsidRDefault="00E208C9" w:rsidP="009B53C5">
      <w:pPr>
        <w:pStyle w:val="af0"/>
        <w:numPr>
          <w:ilvl w:val="0"/>
          <w:numId w:val="15"/>
        </w:numPr>
        <w:tabs>
          <w:tab w:val="left" w:pos="284"/>
        </w:tabs>
        <w:spacing w:line="360" w:lineRule="auto"/>
        <w:ind w:left="357" w:hanging="357"/>
        <w:rPr>
          <w:i/>
          <w:lang w:val="ru-RU"/>
        </w:rPr>
      </w:pPr>
      <w:r w:rsidRPr="00A83E0C">
        <w:rPr>
          <w:i/>
          <w:lang w:val="ru-RU"/>
        </w:rPr>
        <w:t>УЗИ брюшной полости КТ</w:t>
      </w:r>
      <w:r w:rsidR="00F773E2">
        <w:rPr>
          <w:i/>
          <w:lang w:val="ru-RU"/>
        </w:rPr>
        <w:t xml:space="preserve"> или </w:t>
      </w:r>
      <w:r w:rsidRPr="00A83E0C">
        <w:rPr>
          <w:i/>
          <w:lang w:val="ru-RU"/>
        </w:rPr>
        <w:t xml:space="preserve">МРТ </w:t>
      </w:r>
      <w:r w:rsidR="00F773E2">
        <w:rPr>
          <w:i/>
          <w:lang w:val="ru-RU"/>
        </w:rPr>
        <w:t xml:space="preserve">органов </w:t>
      </w:r>
      <w:r w:rsidRPr="00A83E0C">
        <w:rPr>
          <w:i/>
          <w:lang w:val="ru-RU"/>
        </w:rPr>
        <w:t>брюшной полости с в/в контрастированием,</w:t>
      </w:r>
    </w:p>
    <w:p w14:paraId="5BC39C48" w14:textId="77777777" w:rsidR="00E208C9" w:rsidRPr="00A83E0C" w:rsidRDefault="00E208C9" w:rsidP="009B53C5">
      <w:pPr>
        <w:pStyle w:val="af0"/>
        <w:numPr>
          <w:ilvl w:val="0"/>
          <w:numId w:val="15"/>
        </w:numPr>
        <w:tabs>
          <w:tab w:val="left" w:pos="284"/>
        </w:tabs>
        <w:spacing w:line="360" w:lineRule="auto"/>
        <w:ind w:left="357" w:hanging="357"/>
        <w:rPr>
          <w:i/>
          <w:lang w:val="ru-RU"/>
        </w:rPr>
      </w:pPr>
      <w:r w:rsidRPr="00A83E0C">
        <w:rPr>
          <w:i/>
          <w:lang w:val="ru-RU"/>
        </w:rPr>
        <w:t xml:space="preserve">УЗИ </w:t>
      </w:r>
      <w:r w:rsidR="00F0619F">
        <w:rPr>
          <w:i/>
          <w:lang w:val="ru-RU"/>
        </w:rPr>
        <w:t xml:space="preserve">органов </w:t>
      </w:r>
      <w:r w:rsidRPr="00A83E0C">
        <w:rPr>
          <w:i/>
          <w:lang w:val="ru-RU"/>
        </w:rPr>
        <w:t>малого таза для женщин,</w:t>
      </w:r>
    </w:p>
    <w:p w14:paraId="7A4F4BA5" w14:textId="77777777" w:rsidR="00E208C9" w:rsidRPr="00A83E0C" w:rsidRDefault="00F0619F" w:rsidP="009B53C5">
      <w:pPr>
        <w:pStyle w:val="af0"/>
        <w:numPr>
          <w:ilvl w:val="0"/>
          <w:numId w:val="15"/>
        </w:numPr>
        <w:tabs>
          <w:tab w:val="left" w:pos="284"/>
        </w:tabs>
        <w:spacing w:line="360" w:lineRule="auto"/>
        <w:ind w:left="357" w:hanging="357"/>
        <w:rPr>
          <w:i/>
          <w:lang w:val="ru-RU"/>
        </w:rPr>
      </w:pPr>
      <w:r>
        <w:rPr>
          <w:i/>
          <w:lang w:val="ru-RU"/>
        </w:rPr>
        <w:t>Прицельная р</w:t>
      </w:r>
      <w:r w:rsidR="00E208C9" w:rsidRPr="00A83E0C">
        <w:rPr>
          <w:i/>
          <w:lang w:val="ru-RU"/>
        </w:rPr>
        <w:t>ентгенография органов грудной клетки,</w:t>
      </w:r>
    </w:p>
    <w:p w14:paraId="4F1602CF" w14:textId="4F61427E" w:rsidR="002556E4" w:rsidRPr="004E104D" w:rsidRDefault="00964910" w:rsidP="00C47457">
      <w:pPr>
        <w:pStyle w:val="af0"/>
        <w:numPr>
          <w:ilvl w:val="0"/>
          <w:numId w:val="15"/>
        </w:numPr>
        <w:tabs>
          <w:tab w:val="left" w:pos="284"/>
        </w:tabs>
        <w:spacing w:line="360" w:lineRule="auto"/>
        <w:ind w:left="357" w:hanging="357"/>
        <w:rPr>
          <w:lang w:val="ru-RU"/>
        </w:rPr>
      </w:pPr>
      <w:r w:rsidRPr="00964910">
        <w:rPr>
          <w:i/>
          <w:lang w:val="ru-RU"/>
        </w:rPr>
        <w:t xml:space="preserve">Исследование уровня ракового эмбрионального антигена в крови, </w:t>
      </w:r>
      <w:r w:rsidR="00C47457">
        <w:rPr>
          <w:i/>
          <w:lang w:val="ru-RU"/>
        </w:rPr>
        <w:t>и</w:t>
      </w:r>
      <w:r w:rsidRPr="00964910">
        <w:rPr>
          <w:i/>
          <w:lang w:val="ru-RU"/>
        </w:rPr>
        <w:t xml:space="preserve">сследование уровня антигена аденогенных раков </w:t>
      </w:r>
      <w:r w:rsidRPr="00964910">
        <w:rPr>
          <w:i/>
        </w:rPr>
        <w:t>CA</w:t>
      </w:r>
      <w:r w:rsidRPr="00964910">
        <w:rPr>
          <w:i/>
          <w:lang w:val="ru-RU"/>
        </w:rPr>
        <w:t xml:space="preserve"> 19-9 в крови</w:t>
      </w:r>
      <w:r w:rsidR="00F0619F" w:rsidRPr="00A83E0C">
        <w:rPr>
          <w:i/>
          <w:lang w:val="ru-RU"/>
        </w:rPr>
        <w:t xml:space="preserve"> </w:t>
      </w:r>
      <w:r w:rsidR="00E208C9" w:rsidRPr="00A83E0C">
        <w:rPr>
          <w:i/>
          <w:lang w:val="ru-RU"/>
        </w:rPr>
        <w:t>в случае их повышенных уровней на долечебном этапе, а также общий и биохимический анализы крови для оценки функции печени и почек</w:t>
      </w:r>
      <w:r w:rsidR="00C47457">
        <w:rPr>
          <w:i/>
          <w:lang w:val="ru-RU"/>
        </w:rPr>
        <w:t xml:space="preserve"> </w:t>
      </w:r>
      <w:r w:rsidR="00C15198" w:rsidRPr="00A83E0C">
        <w:rPr>
          <w:i/>
          <w:lang w:val="ru-RU"/>
        </w:rPr>
        <w:fldChar w:fldCharType="begin"/>
      </w:r>
      <w:r w:rsidR="004034C1">
        <w:rPr>
          <w:i/>
          <w:lang w:val="ru-RU"/>
        </w:rPr>
        <w:instrText xml:space="preserve"> ADDIN ZOTERO_ITEM CSL_CITATION {"citationID":"LmUOILiY","properties":{"formattedCitation":"[177]","plainCitation":"[177]","noteIndex":0},"citationItems":[{"id":56,"uris":["http://zotero.org/users/5363772/items/EB4Z8LLG",["http://zotero.org/users/5363772/items/EB4Z8LLG"]],"itemData":{"id":56,"type":"article-journal","container-title":"Злокачественные опухоли","issue":"3s2","page":"401-413","title":"Практические рекомендации по лекарственному лечению рака поджелудочной железы","volume":"8","author":[{"family":"Покатаев","given":"Илья"},{"family":"Трякин","given":"Алексей"}],"issued":{"date-parts":[["2018"]]}}}],"schema":"https://github.com/citation-style-language/schema/raw/master/csl-citation.json"} </w:instrText>
      </w:r>
      <w:r w:rsidR="00C15198" w:rsidRPr="00A83E0C">
        <w:rPr>
          <w:i/>
          <w:lang w:val="ru-RU"/>
        </w:rPr>
        <w:fldChar w:fldCharType="separate"/>
      </w:r>
      <w:r w:rsidR="004034C1" w:rsidRPr="004034C1">
        <w:rPr>
          <w:lang w:val="ru-RU"/>
        </w:rPr>
        <w:t>[177]</w:t>
      </w:r>
      <w:r w:rsidR="00C15198" w:rsidRPr="00A83E0C">
        <w:rPr>
          <w:i/>
          <w:lang w:val="ru-RU"/>
        </w:rPr>
        <w:fldChar w:fldCharType="end"/>
      </w:r>
      <w:r w:rsidR="00E208C9" w:rsidRPr="00A83E0C">
        <w:rPr>
          <w:i/>
          <w:lang w:val="ru-RU"/>
        </w:rPr>
        <w:t>.</w:t>
      </w:r>
    </w:p>
    <w:p w14:paraId="1B9EA356" w14:textId="5FBA495E" w:rsidR="00090430" w:rsidRDefault="00090430" w:rsidP="004E104D">
      <w:pPr>
        <w:pStyle w:val="2"/>
      </w:pPr>
      <w:r w:rsidRPr="006B3871">
        <w:t xml:space="preserve">Для целей </w:t>
      </w:r>
      <w:r w:rsidRPr="00090430">
        <w:t>профилактики</w:t>
      </w:r>
      <w:r w:rsidRPr="006B3871">
        <w:t xml:space="preserve"> рака поджелудочной железы рекомендован скрининг</w:t>
      </w:r>
      <w:r>
        <w:t xml:space="preserve"> здорового населения, имеющих </w:t>
      </w:r>
      <w:r w:rsidRPr="006B3871">
        <w:t>высок</w:t>
      </w:r>
      <w:r>
        <w:t>ий</w:t>
      </w:r>
      <w:r w:rsidRPr="006B3871">
        <w:t xml:space="preserve"> риск</w:t>
      </w:r>
      <w:r>
        <w:t xml:space="preserve"> развития рака поджелудочной железы</w:t>
      </w:r>
      <w:r w:rsidR="004701F1">
        <w:t xml:space="preserve"> </w:t>
      </w:r>
      <w:r w:rsidR="004701F1">
        <w:fldChar w:fldCharType="begin"/>
      </w:r>
      <w:r w:rsidR="004034C1">
        <w:instrText xml:space="preserve"> ADDIN ZOTERO_ITEM CSL_CITATION {"citationID":"1FcAZtKz","properties":{"formattedCitation":"[178\\uc0\\u8211{}180]","plainCitation":"[178–180]","noteIndex":0},"citationItems":[{"id":601,"uris":["http://zotero.org/users/5363772/items/7EY88LWZ"],"itemData":{"id":601,"type":"article-journal","abstract":"Background Screening individuals at increased risk for pancreatic cancer (PC) detects early, potentially curable, pancreatic neoplasia.\nObjective To develop consortium statements on screening, surveillance and management of high-risk individuals with an inherited predisposition to PC.\nMethods A 49-expert multidisciplinary international consortium met to discuss pancreatic screening and vote on statements. Consensus was considered reached if ≥75% agreed or disagreed.\nResults There was excellent agreement that, to be successful, a screening programme should detect and treat T1N0M0 margin-negative PC and high-grade dysplastic precursor lesions ( pancreatic intraepithelial neoplasia and intraductal papillary mucinous neoplasm). It was agreed that the following were candidates for screening: ﬁrst-degree relatives (FDRs) of patients with PC from a familial PC kindred with at least two affected FDRs; patients with Peutz–Jeghers syndrome; and p16, BRCA2 and hereditary non-polyposis colorectal cancer (HNPCC) mutation carriers with ≥1 affected FDR. Consensus was not reached for the age to initiate screening or stop surveillance. It was agreed that initial screening should include endoscopic ultrasonography (EUS) and/or MRI/magnetic resonance cholangiopancreatography not CT or endoscopic retrograde cholangiopancreatography. There was no consensus on the need for EUS ﬁne-needle aspiration to evaluate cysts. There was disagreement on optimal screening modalities and intervals for follow-up imaging. When surgery is recommended it should be performed at a high-volume centre. There was great disagreement as to which screening abnormalities were of sufﬁcient concern to for surgery to be recommended.\nConclusions Screening is recommended for high-risk individuals, but more evidence is needed, particularly for how to manage patients with detected lesions. Screening and subsequent management should take place at high-volume centres with multidisciplinary teams, preferably within research protocols.","container-title":"Gut","DOI":"10.1136/gutjnl-2012-303108","ISSN":"0017-5749, 1468-3288","issue":"3","journalAbbreviation":"Gut","language":"en","page":"339-347","source":"DOI.org (Crossref)","title":"International Cancer of the Pancreas Screening (CAPS) Consortium summit on the management of patients with increased risk for familial pancreatic cancer","volume":"62","author":[{"family":"Canto","given":"Marcia Irene"},{"family":"Harinck","given":"Femme"},{"family":"Hruban","given":"Ralph H"},{"family":"Offerhaus","given":"George Johan"},{"family":"Poley","given":"Jan-Werner"},{"family":"Kamel","given":"Ihab"},{"family":"Nio","given":"Yung"},{"family":"Schulick","given":"Richard S"},{"family":"Bassi","given":"Claudio"},{"family":"Kluijt","given":"Irma"},{"family":"Levy","given":"Michael J"},{"family":"Chak","given":"Amitabh"},{"family":"Fockens","given":"Paul"},{"family":"Goggins","given":"Michael"},{"family":"Bruno","given":"Marco"}],"issued":{"date-parts":[["2013",3]]}}},{"id":1416,"uris":["http://zotero.org/users/5363772/items/V6IIZQCM"],"itemData":{"id":1416,"type":"article-journal","container-title":"Gastrointestinal Endoscopy","DOI":"10.1016/j.gie.2021.12.001","ISSN":"00165107","issue":"5","journalAbbreviation":"Gastrointestinal Endoscopy","language":"en","page":"817-826","source":"DOI.org (Crossref)","title":"ASGE guideline on screening for pancreatic cancer in individuals with genetic susceptibility: summary and recommendations","title-short":"ASGE guideline on screening for pancreatic cancer in individuals with genetic susceptibility","volume":"95","author":[{"family":"Sawhney","given":"Mandeep S."},{"family":"Calderwood","given":"Audrey H."},{"family":"Thosani","given":"Nirav C."},{"family":"Rebbeck","given":"Timothy R."},{"family":"Wani","given":"Sachin"},{"family":"Canto","given":"Marcia I."},{"family":"Fishman","given":"Douglas S."},{"family":"Golan","given":"Talia"},{"family":"Hidalgo","given":"Manuel"},{"family":"Kwon","given":"Richard S."},{"family":"Riegert-Johnson","given":"Douglas L."},{"family":"Sahani","given":"Dushyant V."},{"family":"Stoffel","given":"Elena M."},{"family":"Vollmer","given":"Charles M."},{"family":"Qumseya","given":"Bashar J."}],"issued":{"date-parts":[["2022",5]]}}},{"id":1413,"uris":["http://zotero.org/users/5363772/items/PPF8KMX5"],"itemData":{"id":1413,"type":"thesis","language":"eng","number-of-pages":"161","title":"NCCN guidelines. Genetic/Familial High-Risk Assessment: Breast, Ovarian, and Pancreatic","URL":"https://www.nccn.org/guidelines/guidelines-detail?category=2&amp;id=1503","author":[{"family":"Daly","given":"Mary B"},{"family":"Pal","given":"Tuya"},{"family":"Arun","given":"Banu K."}],"accessed":{"date-parts":[["2023",10,19]]},"issued":{"date-parts":[["2023"]]}}}],"schema":"https://github.com/citation-style-language/schema/raw/master/csl-citation.json"} </w:instrText>
      </w:r>
      <w:r w:rsidR="004701F1">
        <w:fldChar w:fldCharType="separate"/>
      </w:r>
      <w:r w:rsidR="004034C1" w:rsidRPr="004034C1">
        <w:t>[178–180]</w:t>
      </w:r>
      <w:r w:rsidR="004701F1">
        <w:fldChar w:fldCharType="end"/>
      </w:r>
      <w:r w:rsidR="004701F1">
        <w:rPr>
          <w:lang w:val="en-US"/>
        </w:rPr>
        <w:t>.</w:t>
      </w:r>
    </w:p>
    <w:p w14:paraId="2FECD656" w14:textId="77777777" w:rsidR="00090430" w:rsidRPr="004E104D" w:rsidRDefault="00090430" w:rsidP="00090430">
      <w:pPr>
        <w:pStyle w:val="33"/>
        <w:rPr>
          <w:lang w:val="ru-RU"/>
        </w:rPr>
      </w:pPr>
      <w:r w:rsidRPr="004E104D">
        <w:rPr>
          <w:lang w:val="ru-RU"/>
        </w:rPr>
        <w:t xml:space="preserve">Уровень убедительности рекомендаций </w:t>
      </w:r>
      <w:r w:rsidRPr="00A83E0C">
        <w:t>C</w:t>
      </w:r>
      <w:r w:rsidRPr="004E104D">
        <w:rPr>
          <w:lang w:val="ru-RU"/>
        </w:rPr>
        <w:t xml:space="preserve"> (уровень достоверности доказательств 5)</w:t>
      </w:r>
    </w:p>
    <w:p w14:paraId="1287629B" w14:textId="6C186C4C" w:rsidR="00BA110E" w:rsidRPr="004E104D" w:rsidRDefault="00090430" w:rsidP="00BA110E">
      <w:pPr>
        <w:pStyle w:val="aff2"/>
      </w:pPr>
      <w:r w:rsidRPr="004E104D">
        <w:rPr>
          <w:b/>
          <w:bCs/>
          <w:i w:val="0"/>
          <w:iCs/>
        </w:rPr>
        <w:t>Комментарий</w:t>
      </w:r>
      <w:r>
        <w:t xml:space="preserve">: исследования скрининга рака поджелудочной железы находятся на ранних этапах. Однако </w:t>
      </w:r>
      <w:r w:rsidR="00DC5BFA">
        <w:t xml:space="preserve">раннее метастазирование и </w:t>
      </w:r>
      <w:r>
        <w:t xml:space="preserve">высокая летальность </w:t>
      </w:r>
      <w:r w:rsidR="00DC5BFA">
        <w:t xml:space="preserve">пациентов даже после проведения радикального хирургического лечения на ранних стадиях требует внедрения программы раннего выявления рака </w:t>
      </w:r>
      <w:r w:rsidR="00D005DB">
        <w:t>поджелудочной</w:t>
      </w:r>
      <w:r w:rsidR="00DC5BFA">
        <w:t xml:space="preserve"> железы в группах </w:t>
      </w:r>
      <w:r w:rsidR="00DC5BFA">
        <w:lastRenderedPageBreak/>
        <w:t xml:space="preserve">повышенного риска. Проведенные исследования позволили сформировать группы повышенного риска развития рака поджелудочной железы: </w:t>
      </w:r>
      <w:r w:rsidR="00D005DB">
        <w:t>наличие мутации</w:t>
      </w:r>
      <w:r w:rsidR="00D005DB" w:rsidRPr="00D005DB">
        <w:t xml:space="preserve"> </w:t>
      </w:r>
      <w:r w:rsidR="00D005DB">
        <w:rPr>
          <w:lang w:val="en-US"/>
        </w:rPr>
        <w:t>STK</w:t>
      </w:r>
      <w:r w:rsidR="00D005DB" w:rsidRPr="00D005DB">
        <w:t xml:space="preserve">11, </w:t>
      </w:r>
      <w:r w:rsidR="00D005DB">
        <w:rPr>
          <w:lang w:val="en-US"/>
        </w:rPr>
        <w:t>CDKN</w:t>
      </w:r>
      <w:r w:rsidR="00D005DB" w:rsidRPr="00D005DB">
        <w:t>2</w:t>
      </w:r>
      <w:r w:rsidR="00D005DB">
        <w:rPr>
          <w:lang w:val="en-US"/>
        </w:rPr>
        <w:t>A</w:t>
      </w:r>
      <w:r w:rsidR="00D005DB">
        <w:t xml:space="preserve"> или наличие мутации </w:t>
      </w:r>
      <w:r w:rsidR="00D005DB">
        <w:rPr>
          <w:lang w:val="en-US"/>
        </w:rPr>
        <w:t>BRCA</w:t>
      </w:r>
      <w:r w:rsidR="00D005DB" w:rsidRPr="00D005DB">
        <w:t xml:space="preserve"> </w:t>
      </w:r>
      <w:r w:rsidR="00BA110E" w:rsidRPr="00BA110E">
        <w:t>1/2,</w:t>
      </w:r>
      <w:r w:rsidR="00D005DB" w:rsidRPr="00D005DB">
        <w:t xml:space="preserve"> </w:t>
      </w:r>
      <w:r w:rsidR="00D005DB">
        <w:rPr>
          <w:lang w:val="en-US"/>
        </w:rPr>
        <w:t>ATM</w:t>
      </w:r>
      <w:r w:rsidR="00D005DB" w:rsidRPr="00D005DB">
        <w:t xml:space="preserve">, </w:t>
      </w:r>
      <w:r w:rsidR="00D005DB">
        <w:rPr>
          <w:lang w:val="en-US"/>
        </w:rPr>
        <w:t>PALB</w:t>
      </w:r>
      <w:r w:rsidR="00D005DB" w:rsidRPr="00D005DB">
        <w:t>2</w:t>
      </w:r>
      <w:r w:rsidR="004701F1">
        <w:t xml:space="preserve"> или </w:t>
      </w:r>
      <w:r w:rsidR="00D005DB">
        <w:t>синдрома Линча при условии наличия как минимум одного родственника первой или второй линии родства, страдавшего раком поджелудочной железы. К группе высокого риска относятся также случаи семейного рака поджелудочной железы без выявленной мутации риска: это члены семей с минимум двумя случаями рака поджелудочной железы с одним родственником первой степени родства</w:t>
      </w:r>
      <w:r w:rsidR="00BA110E">
        <w:t xml:space="preserve"> </w:t>
      </w:r>
      <w:r w:rsidR="00BA110E">
        <w:fldChar w:fldCharType="begin"/>
      </w:r>
      <w:r w:rsidR="004034C1">
        <w:instrText xml:space="preserve"> ADDIN ZOTERO_ITEM CSL_CITATION {"citationID":"W9BnqhWF","properties":{"formattedCitation":"[178,181]","plainCitation":"[178,181]","noteIndex":0},"citationItems":[{"id":601,"uris":["http://zotero.org/users/5363772/items/7EY88LWZ"],"itemData":{"id":601,"type":"article-journal","abstract":"Background Screening individuals at increased risk for pancreatic cancer (PC) detects early, potentially curable, pancreatic neoplasia.\nObjective To develop consortium statements on screening, surveillance and management of high-risk individuals with an inherited predisposition to PC.\nMethods A 49-expert multidisciplinary international consortium met to discuss pancreatic screening and vote on statements. Consensus was considered reached if ≥75% agreed or disagreed.\nResults There was excellent agreement that, to be successful, a screening programme should detect and treat T1N0M0 margin-negative PC and high-grade dysplastic precursor lesions ( pancreatic intraepithelial neoplasia and intraductal papillary mucinous neoplasm). It was agreed that the following were candidates for screening: ﬁrst-degree relatives (FDRs) of patients with PC from a familial PC kindred with at least two affected FDRs; patients with Peutz–Jeghers syndrome; and p16, BRCA2 and hereditary non-polyposis colorectal cancer (HNPCC) mutation carriers with ≥1 affected FDR. Consensus was not reached for the age to initiate screening or stop surveillance. It was agreed that initial screening should include endoscopic ultrasonography (EUS) and/or MRI/magnetic resonance cholangiopancreatography not CT or endoscopic retrograde cholangiopancreatography. There was no consensus on the need for EUS ﬁne-needle aspiration to evaluate cysts. There was disagreement on optimal screening modalities and intervals for follow-up imaging. When surgery is recommended it should be performed at a high-volume centre. There was great disagreement as to which screening abnormalities were of sufﬁcient concern to for surgery to be recommended.\nConclusions Screening is recommended for high-risk individuals, but more evidence is needed, particularly for how to manage patients with detected lesions. Screening and subsequent management should take place at high-volume centres with multidisciplinary teams, preferably within research protocols.","container-title":"Gut","DOI":"10.1136/gutjnl-2012-303108","ISSN":"0017-5749, 1468-3288","issue":"3","journalAbbreviation":"Gut","language":"en","page":"339-347","source":"DOI.org (Crossref)","title":"International Cancer of the Pancreas Screening (CAPS) Consortium summit on the management of patients with increased risk for familial pancreatic cancer","volume":"62","author":[{"family":"Canto","given":"Marcia Irene"},{"family":"Harinck","given":"Femme"},{"family":"Hruban","given":"Ralph H"},{"family":"Offerhaus","given":"George Johan"},{"family":"Poley","given":"Jan-Werner"},{"family":"Kamel","given":"Ihab"},{"family":"Nio","given":"Yung"},{"family":"Schulick","given":"Richard S"},{"family":"Bassi","given":"Claudio"},{"family":"Kluijt","given":"Irma"},{"family":"Levy","given":"Michael J"},{"family":"Chak","given":"Amitabh"},{"family":"Fockens","given":"Paul"},{"family":"Goggins","given":"Michael"},{"family":"Bruno","given":"Marco"}],"issued":{"date-parts":[["2013",3]]}}},{"id":1363,"uris":["http://zotero.org/users/5363772/items/DXMKTY2H"],"itemData":{"id":1363,"type":"article-journal","container-title":"Annals of Medicine &amp; Surgery","DOI":"10.1016/j.amsu.2022.104814","ISSN":"2049-0801","language":"en","source":"DOI.org (Crossref)","title":"Screening of pancreatic cancer: Target population, optimal timing and how?","title-short":"Screening of pancreatic cancer","URL":"https://journals.lww.com/10.1016/j.amsu.2022.104814","volume":"84","author":[{"family":"Waleleng","given":"Bradley Jimmy"},{"family":"Adiwinata","given":"Randy"},{"family":"Wenas","given":"Nelly Tendean"},{"family":"Haroen","given":"Harlinda"},{"family":"Rotty","given":"Linda"},{"family":"Gosal","given":"Fandy"},{"family":"Rotty","given":"Luciana"},{"family":"Winarta","given":"Jeanne"},{"family":"Waleleng","given":"Andrew"},{"family":"Simadibrata","given":"Marcellus"}],"accessed":{"date-parts":[["2023",10,19]]},"issued":{"date-parts":[["2022",12]]}}}],"schema":"https://github.com/citation-style-language/schema/raw/master/csl-citation.json"} </w:instrText>
      </w:r>
      <w:r w:rsidR="00BA110E">
        <w:fldChar w:fldCharType="separate"/>
      </w:r>
      <w:r w:rsidR="004034C1" w:rsidRPr="004034C1">
        <w:t>[178,181]</w:t>
      </w:r>
      <w:r w:rsidR="00BA110E">
        <w:fldChar w:fldCharType="end"/>
      </w:r>
      <w:r w:rsidR="00BA110E" w:rsidRPr="004E104D">
        <w:t>.</w:t>
      </w:r>
    </w:p>
    <w:p w14:paraId="15D47E8C" w14:textId="59BFA306" w:rsidR="005923C0" w:rsidRDefault="00CC676B" w:rsidP="005923C0">
      <w:pPr>
        <w:pStyle w:val="aff2"/>
      </w:pPr>
      <w:r>
        <w:t xml:space="preserve">Для пациентов с мутациями </w:t>
      </w:r>
      <w:r>
        <w:rPr>
          <w:lang w:val="en-US"/>
        </w:rPr>
        <w:t>STK</w:t>
      </w:r>
      <w:r w:rsidRPr="00CC676B">
        <w:t xml:space="preserve">11 </w:t>
      </w:r>
      <w:r>
        <w:t xml:space="preserve">рекомендовано начало скрининга в возрасте 30-35 лет; при мутации </w:t>
      </w:r>
      <w:r>
        <w:rPr>
          <w:lang w:val="en-US"/>
        </w:rPr>
        <w:t>CDKN</w:t>
      </w:r>
      <w:r w:rsidRPr="00CC676B">
        <w:t>2</w:t>
      </w:r>
      <w:r>
        <w:rPr>
          <w:lang w:val="en-US"/>
        </w:rPr>
        <w:t>A</w:t>
      </w:r>
      <w:r w:rsidRPr="00CC676B">
        <w:t xml:space="preserve"> – </w:t>
      </w:r>
      <w:r>
        <w:rPr>
          <w:lang w:val="en-US"/>
        </w:rPr>
        <w:t>c</w:t>
      </w:r>
      <w:r w:rsidRPr="00CC676B">
        <w:t xml:space="preserve"> </w:t>
      </w:r>
      <w:r>
        <w:t>40 лет или на 10 лет раньше самого молодого случая рака в семье. Скрининг в других группах риска начинается в возрасте 50 лет или на 10 лет моложе самого раннего случая рака поджелудочной железы в семье</w:t>
      </w:r>
      <w:r w:rsidR="002454F3">
        <w:fldChar w:fldCharType="begin"/>
      </w:r>
      <w:r w:rsidR="004034C1">
        <w:instrText xml:space="preserve"> ADDIN ZOTERO_ITEM CSL_CITATION {"citationID":"hhGeFTHN","properties":{"formattedCitation":"[180]","plainCitation":"[180]","noteIndex":0},"citationItems":[{"id":1413,"uris":["http://zotero.org/users/5363772/items/PPF8KMX5"],"itemData":{"id":1413,"type":"thesis","language":"eng","number-of-pages":"161","title":"NCCN guidelines. Genetic/Familial High-Risk Assessment: Breast, Ovarian, and Pancreatic","URL":"https://www.nccn.org/guidelines/guidelines-detail?category=2&amp;id=1503","author":[{"family":"Daly","given":"Mary B"},{"family":"Pal","given":"Tuya"},{"family":"Arun","given":"Banu K."}],"accessed":{"date-parts":[["2023",10,19]]},"issued":{"date-parts":[["2023"]]}}}],"schema":"https://github.com/citation-style-language/schema/raw/master/csl-citation.json"} </w:instrText>
      </w:r>
      <w:r w:rsidR="002454F3">
        <w:fldChar w:fldCharType="separate"/>
      </w:r>
      <w:r w:rsidR="004034C1" w:rsidRPr="004034C1">
        <w:t>[180]</w:t>
      </w:r>
      <w:r w:rsidR="002454F3">
        <w:fldChar w:fldCharType="end"/>
      </w:r>
      <w:r>
        <w:t xml:space="preserve">. </w:t>
      </w:r>
    </w:p>
    <w:p w14:paraId="431CEBFF" w14:textId="4B6C13E1" w:rsidR="00FC7752" w:rsidRPr="005923C0" w:rsidRDefault="005923C0" w:rsidP="004E104D">
      <w:pPr>
        <w:pStyle w:val="aff2"/>
        <w:ind w:firstLine="0"/>
      </w:pPr>
      <w:r w:rsidRPr="00083AB1">
        <w:t>Ме</w:t>
      </w:r>
      <w:r w:rsidR="00FC7752" w:rsidRPr="00083AB1">
        <w:t>тоды</w:t>
      </w:r>
      <w:r w:rsidR="00FC7752">
        <w:t xml:space="preserve"> скрининга включают </w:t>
      </w:r>
      <w:r w:rsidR="00083AB1">
        <w:t>выполнение</w:t>
      </w:r>
      <w:r w:rsidR="00FC7752">
        <w:t xml:space="preserve"> эндосонографии </w:t>
      </w:r>
      <w:r w:rsidR="00083AB1">
        <w:t>и/или</w:t>
      </w:r>
      <w:r w:rsidR="00FC7752">
        <w:t xml:space="preserve"> МРХПГ на ежегодной основе. Интервалы скрининга могут быть короче при индивидуальных особенностях и подозрительных находках. </w:t>
      </w:r>
      <w:r w:rsidR="000D799B">
        <w:t>Пациенты должны быть проинформированы о рисках скрининга, связанных с выявлением и последующим хирургическим лечением образований, которые при гистологическом заключении не будут иметь элементов тяжелой дисплазии или рака. Хотя доля таких операций достигает 47%, все же скрининг рака поджелудочной железы в отобранной популяции продемонстрировал экономическую эффективность</w:t>
      </w:r>
      <w:r>
        <w:fldChar w:fldCharType="begin"/>
      </w:r>
      <w:r w:rsidR="004034C1">
        <w:instrText xml:space="preserve"> ADDIN ZOTERO_ITEM CSL_CITATION {"citationID":"I2J4r74W","properties":{"formattedCitation":"[182,183]","plainCitation":"[182,183]","noteIndex":0},"citationItems":[{"id":1415,"uris":["http://zotero.org/users/5363772/items/2Z9L8YVV"],"itemData":{"id":1415,"type":"article-journal","abstract":"Objective\n              The aim of the study was to perform an economic analysis to identify the clinical and cost determinants of pancreatic cancer (PC) surveillance in high-risk individuals (HRIs).\n            \n            \n              Methods\n              A Markov model was created to compare the following 3 strategies: no screening, endoscopic ultrasound (EUS), and magnetic resonance imaging (MRI) screening. Patients were considered HRIs according to the Cancer of the Pancreas Screening consortium recommendations. Risk for developing PC, survival, and costs data were obtained from the Surveillance, Epidemiology, and End Results and Medicare databases. Surveillance effectiveness was obtained from a recent meta-analysis.\n            \n            \n              Results\n              Analysis of a cohort with fivefold relative risk of PC higher than the US population showed that MRI is the most cost-effective strategy. For those with the highest risk (&gt;×20 relative risk), EUS became the dominant strategy. Our model was impacted by cost and imaging performance, but still cost-effective within the range reported in literature. Threshold analysis showed that if MRI increases greater than US $1600, EUS becomes more cost-effective. Once patients reached the age of 76 years, “no screening” was favored. Both surveillance strategies were cost-effective over a wide range of willingness to pay.\n            \n            \n              Conclusions\n              Abdominal imaging followed by pancreatectomy is cost-effective to prevent PC in HRIs, favoring MRI in moderate risk cases but EUS in those with highest risk.","container-title":"Pancreas","DOI":"10.1097/MPA.0000000000001268","ISSN":"1536-4828, 0885-3177","issue":"4","journalAbbreviation":"Pancreas","language":"en","page":"526-536","source":"DOI.org (Crossref)","title":"Cost-effectiveness of Pancreatic Cancer Surveillance in High-Risk Individuals: An Economic Analysis","title-short":"Cost-effectiveness of Pancreatic Cancer Surveillance in High-Risk Individuals","volume":"48","author":[{"family":"Corral","given":"Juan E."},{"family":"Das","given":"Ananya"},{"family":"Bruno","given":"Marco J."},{"family":"Wallace","given":"Michael B."}],"issued":{"date-parts":[["2019",4]]}}},{"id":1414,"uris":["http://zotero.org/users/5363772/items/AT9KPRDD"],"itemData":{"id":1414,"type":"article-journal","container-title":"Pancreatology","DOI":"10.1016/j.pan.2016.03.013","ISSN":"14243903","issue":"4","journalAbbreviation":"Pancreatology","language":"en","page":"584-592","source":"DOI.org (Crossref)","title":"Is screening for pancreatic cancer in high-risk groups cost-effective? – Experience from a Danish national screening program","title-short":"Is screening for pancreatic cancer in high-risk groups cost-effective?","volume":"16","author":[{"family":"Joergensen","given":"Maiken Thyregod"},{"family":"Gerdes","given":"Anne-Marie"},{"family":"Sorensen","given":"Jan"},{"family":"Schaffalitzky De Muckadell","given":"Ove"},{"family":"Mortensen","given":"Michael Bau"}],"issued":{"date-parts":[["2016",7]]}}}],"schema":"https://github.com/citation-style-language/schema/raw/master/csl-citation.json"} </w:instrText>
      </w:r>
      <w:r>
        <w:fldChar w:fldCharType="separate"/>
      </w:r>
      <w:r w:rsidR="004034C1" w:rsidRPr="004034C1">
        <w:t>[182,183]</w:t>
      </w:r>
      <w:r>
        <w:fldChar w:fldCharType="end"/>
      </w:r>
      <w:r w:rsidRPr="005923C0">
        <w:t xml:space="preserve">. </w:t>
      </w:r>
      <w:r>
        <w:t>Экспертные сообщества считают, что потенциальная польза скрининга превышает риски</w:t>
      </w:r>
      <w:r>
        <w:fldChar w:fldCharType="begin"/>
      </w:r>
      <w:r w:rsidR="004034C1">
        <w:instrText xml:space="preserve"> ADDIN ZOTERO_ITEM CSL_CITATION {"citationID":"DgzGUr93","properties":{"formattedCitation":"[179]","plainCitation":"[179]","noteIndex":0},"citationItems":[{"id":1416,"uris":["http://zotero.org/users/5363772/items/V6IIZQCM"],"itemData":{"id":1416,"type":"article-journal","container-title":"Gastrointestinal Endoscopy","DOI":"10.1016/j.gie.2021.12.001","ISSN":"00165107","issue":"5","journalAbbreviation":"Gastrointestinal Endoscopy","language":"en","page":"817-826","source":"DOI.org (Crossref)","title":"ASGE guideline on screening for pancreatic cancer in individuals with genetic susceptibility: summary and recommendations","title-short":"ASGE guideline on screening for pancreatic cancer in individuals with genetic susceptibility","volume":"95","author":[{"family":"Sawhney","given":"Mandeep S."},{"family":"Calderwood","given":"Audrey H."},{"family":"Thosani","given":"Nirav C."},{"family":"Rebbeck","given":"Timothy R."},{"family":"Wani","given":"Sachin"},{"family":"Canto","given":"Marcia I."},{"family":"Fishman","given":"Douglas S."},{"family":"Golan","given":"Talia"},{"family":"Hidalgo","given":"Manuel"},{"family":"Kwon","given":"Richard S."},{"family":"Riegert-Johnson","given":"Douglas L."},{"family":"Sahani","given":"Dushyant V."},{"family":"Stoffel","given":"Elena M."},{"family":"Vollmer","given":"Charles M."},{"family":"Qumseya","given":"Bashar J."}],"issued":{"date-parts":[["2022",5]]}}}],"schema":"https://github.com/citation-style-language/schema/raw/master/csl-citation.json"} </w:instrText>
      </w:r>
      <w:r>
        <w:fldChar w:fldCharType="separate"/>
      </w:r>
      <w:r w:rsidR="004034C1" w:rsidRPr="004034C1">
        <w:t>[179]</w:t>
      </w:r>
      <w:r>
        <w:fldChar w:fldCharType="end"/>
      </w:r>
      <w:r w:rsidRPr="005923C0">
        <w:t>.</w:t>
      </w:r>
    </w:p>
    <w:p w14:paraId="1A76A16F" w14:textId="77777777" w:rsidR="003A0B9A" w:rsidRPr="00A83E0C" w:rsidRDefault="006F2430" w:rsidP="000B3A53">
      <w:pPr>
        <w:pStyle w:val="1"/>
      </w:pPr>
      <w:bookmarkStart w:id="24" w:name="_Toc158632229"/>
      <w:r w:rsidRPr="00A83E0C">
        <w:lastRenderedPageBreak/>
        <w:t xml:space="preserve">6. </w:t>
      </w:r>
      <w:r w:rsidR="00DD7BE2" w:rsidRPr="00A83E0C">
        <w:t>Организация</w:t>
      </w:r>
      <w:r w:rsidR="005246DA" w:rsidRPr="00A83E0C">
        <w:t xml:space="preserve"> оказания</w:t>
      </w:r>
      <w:r w:rsidR="00DD7BE2" w:rsidRPr="00A83E0C">
        <w:t xml:space="preserve"> медицинской помощи</w:t>
      </w:r>
      <w:bookmarkEnd w:id="24"/>
    </w:p>
    <w:p w14:paraId="541BD7D2" w14:textId="0D361174" w:rsidR="00DD7BE2" w:rsidRPr="00A83E0C" w:rsidRDefault="00DD7BE2" w:rsidP="00DD7BE2">
      <w:pPr>
        <w:rPr>
          <w:bCs/>
          <w:iCs/>
          <w:color w:val="000000" w:themeColor="text1"/>
          <w:szCs w:val="28"/>
          <w:lang w:val="ru-RU"/>
        </w:rPr>
      </w:pPr>
      <w:r w:rsidRPr="00A83E0C">
        <w:rPr>
          <w:bCs/>
          <w:iCs/>
          <w:color w:val="000000" w:themeColor="text1"/>
          <w:szCs w:val="28"/>
          <w:lang w:val="ru-RU"/>
        </w:rPr>
        <w:t>Медицинская помощь, за исключением медицинской помощи в рамках клинической апробации, в соответствии с федеральным законом от 21.11.2011 №323-ФЗ «Об основах охраны здоровья граждан в Российской Федерации», организуется и оказывается:</w:t>
      </w:r>
    </w:p>
    <w:p w14:paraId="4B336B7B" w14:textId="77777777" w:rsidR="00DD7BE2" w:rsidRPr="00A83E0C" w:rsidRDefault="00DD7BE2" w:rsidP="00DD7BE2">
      <w:pPr>
        <w:pStyle w:val="Default"/>
        <w:numPr>
          <w:ilvl w:val="0"/>
          <w:numId w:val="21"/>
        </w:numPr>
        <w:spacing w:line="360" w:lineRule="auto"/>
        <w:jc w:val="both"/>
        <w:rPr>
          <w:bCs/>
          <w:iCs/>
          <w:color w:val="000000" w:themeColor="text1"/>
          <w:szCs w:val="28"/>
        </w:rPr>
      </w:pPr>
      <w:r w:rsidRPr="00A83E0C">
        <w:rPr>
          <w:bCs/>
          <w:iCs/>
          <w:color w:val="000000" w:themeColor="text1"/>
          <w:szCs w:val="28"/>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EAF1F82" w14:textId="721B6ADD" w:rsidR="00DD7BE2" w:rsidRPr="00A83E0C" w:rsidRDefault="00DD7BE2" w:rsidP="00DD7BE2">
      <w:pPr>
        <w:pStyle w:val="Default"/>
        <w:numPr>
          <w:ilvl w:val="0"/>
          <w:numId w:val="21"/>
        </w:numPr>
        <w:spacing w:line="360" w:lineRule="auto"/>
        <w:jc w:val="both"/>
        <w:rPr>
          <w:bCs/>
          <w:iCs/>
          <w:color w:val="000000" w:themeColor="text1"/>
          <w:szCs w:val="28"/>
        </w:rPr>
      </w:pPr>
      <w:r w:rsidRPr="00A83E0C">
        <w:rPr>
          <w:bCs/>
          <w:iCs/>
          <w:color w:val="000000" w:themeColor="text1"/>
          <w:szCs w:val="28"/>
        </w:rPr>
        <w:t>в соответствии с порядком оказания помощи по профилю «онкология» (</w:t>
      </w:r>
      <w:r w:rsidR="00C23311" w:rsidRPr="00C23311">
        <w:rPr>
          <w:bCs/>
          <w:iCs/>
          <w:color w:val="000000" w:themeColor="text1"/>
          <w:szCs w:val="28"/>
        </w:rPr>
        <w:t xml:space="preserve">Приказ Министерства здравоохранения РФ от 19 февраля 2021 г. N 116н "Об утверждении Порядка оказания медицинской помощи взрослому населению при онкологических заболеваниях" </w:t>
      </w:r>
      <w:r w:rsidRPr="00A83E0C">
        <w:rPr>
          <w:bCs/>
          <w:iCs/>
          <w:color w:val="000000" w:themeColor="text1"/>
          <w:szCs w:val="28"/>
        </w:rPr>
        <w:t>обязательным для исполнения на территории Российской Федерации всеми медицинскими организациями;</w:t>
      </w:r>
    </w:p>
    <w:p w14:paraId="6F587F30" w14:textId="77777777" w:rsidR="00DD7BE2" w:rsidRPr="00A83E0C" w:rsidRDefault="00DD7BE2" w:rsidP="00DD7BE2">
      <w:pPr>
        <w:pStyle w:val="Default"/>
        <w:numPr>
          <w:ilvl w:val="0"/>
          <w:numId w:val="21"/>
        </w:numPr>
        <w:spacing w:line="360" w:lineRule="auto"/>
        <w:jc w:val="both"/>
        <w:rPr>
          <w:bCs/>
          <w:iCs/>
          <w:color w:val="000000" w:themeColor="text1"/>
          <w:szCs w:val="28"/>
        </w:rPr>
      </w:pPr>
      <w:r w:rsidRPr="00A83E0C">
        <w:rPr>
          <w:bCs/>
          <w:iCs/>
          <w:color w:val="000000" w:themeColor="text1"/>
          <w:szCs w:val="28"/>
        </w:rPr>
        <w:t>на основе настоящих клинических рекомендаций;</w:t>
      </w:r>
    </w:p>
    <w:p w14:paraId="311440C9" w14:textId="77777777" w:rsidR="00DD7BE2" w:rsidRPr="00A83E0C" w:rsidRDefault="00DD7BE2" w:rsidP="00DD7BE2">
      <w:pPr>
        <w:pStyle w:val="Default"/>
        <w:numPr>
          <w:ilvl w:val="0"/>
          <w:numId w:val="21"/>
        </w:numPr>
        <w:spacing w:line="360" w:lineRule="auto"/>
        <w:jc w:val="both"/>
        <w:rPr>
          <w:bCs/>
          <w:iCs/>
          <w:color w:val="000000" w:themeColor="text1"/>
          <w:szCs w:val="28"/>
        </w:rPr>
      </w:pPr>
      <w:r w:rsidRPr="00A83E0C">
        <w:rPr>
          <w:bCs/>
          <w:iCs/>
          <w:color w:val="000000" w:themeColor="text1"/>
          <w:szCs w:val="28"/>
        </w:rPr>
        <w:t>с учетом стандартов медицинской помощи, утвержденных уполномоченным федеральным органом исполнительной власти.</w:t>
      </w:r>
    </w:p>
    <w:p w14:paraId="71062BAB" w14:textId="77777777" w:rsidR="00DD7BE2" w:rsidRPr="00A83E0C" w:rsidRDefault="00DD7BE2" w:rsidP="00DD7BE2">
      <w:pPr>
        <w:shd w:val="clear" w:color="auto" w:fill="FFFFFF"/>
        <w:rPr>
          <w:color w:val="333333"/>
          <w:lang w:val="ru-RU"/>
        </w:rPr>
      </w:pPr>
      <w:r w:rsidRPr="00A83E0C">
        <w:rPr>
          <w:rStyle w:val="blk"/>
          <w:color w:val="333333"/>
          <w:lang w:val="ru-RU"/>
        </w:rPr>
        <w:t>Стандарт медицинской помощи разрабатывается на основе настоящих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14C6385C" w14:textId="77777777" w:rsidR="00DD7BE2" w:rsidRPr="00A83E0C" w:rsidRDefault="00DD7BE2" w:rsidP="00DD7BE2">
      <w:pPr>
        <w:shd w:val="clear" w:color="auto" w:fill="FFFFFF"/>
        <w:rPr>
          <w:color w:val="333333"/>
          <w:lang w:val="ru-RU"/>
        </w:rPr>
      </w:pPr>
      <w:bookmarkStart w:id="25" w:name="dst375"/>
      <w:bookmarkEnd w:id="25"/>
      <w:r w:rsidRPr="00A83E0C">
        <w:rPr>
          <w:rStyle w:val="blk"/>
          <w:color w:val="333333"/>
          <w:lang w:val="ru-RU"/>
        </w:rPr>
        <w:t>1) медицинских услуг, включенных в номенклатуру медицинских услуг;</w:t>
      </w:r>
    </w:p>
    <w:p w14:paraId="136CD101" w14:textId="77777777" w:rsidR="00DD7BE2" w:rsidRPr="00A83E0C" w:rsidRDefault="00DD7BE2" w:rsidP="00DD7BE2">
      <w:pPr>
        <w:shd w:val="clear" w:color="auto" w:fill="FFFFFF"/>
        <w:rPr>
          <w:color w:val="333333"/>
          <w:lang w:val="ru-RU"/>
        </w:rPr>
      </w:pPr>
      <w:bookmarkStart w:id="26" w:name="dst376"/>
      <w:bookmarkEnd w:id="26"/>
      <w:r w:rsidRPr="00A83E0C">
        <w:rPr>
          <w:rStyle w:val="blk"/>
          <w:color w:val="333333"/>
          <w:lang w:val="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09AD3F3" w14:textId="77777777" w:rsidR="00DD7BE2" w:rsidRPr="00A83E0C" w:rsidRDefault="00DD7BE2" w:rsidP="00DD7BE2">
      <w:pPr>
        <w:shd w:val="clear" w:color="auto" w:fill="FFFFFF"/>
        <w:rPr>
          <w:color w:val="333333"/>
          <w:lang w:val="ru-RU"/>
        </w:rPr>
      </w:pPr>
      <w:bookmarkStart w:id="27" w:name="dst377"/>
      <w:bookmarkEnd w:id="27"/>
      <w:r w:rsidRPr="00A83E0C">
        <w:rPr>
          <w:rStyle w:val="blk"/>
          <w:color w:val="333333"/>
          <w:lang w:val="ru-RU"/>
        </w:rPr>
        <w:t>3) медицинских изделий, имплантируемых в организм человека;</w:t>
      </w:r>
    </w:p>
    <w:p w14:paraId="5EC20125" w14:textId="77777777" w:rsidR="00DD7BE2" w:rsidRPr="00A83E0C" w:rsidRDefault="00DD7BE2" w:rsidP="00DD7BE2">
      <w:pPr>
        <w:shd w:val="clear" w:color="auto" w:fill="FFFFFF"/>
        <w:rPr>
          <w:color w:val="333333"/>
          <w:lang w:val="ru-RU"/>
        </w:rPr>
      </w:pPr>
      <w:bookmarkStart w:id="28" w:name="dst378"/>
      <w:bookmarkEnd w:id="28"/>
      <w:r w:rsidRPr="00A83E0C">
        <w:rPr>
          <w:rStyle w:val="blk"/>
          <w:color w:val="333333"/>
          <w:lang w:val="ru-RU"/>
        </w:rPr>
        <w:t>4) компонентов крови;</w:t>
      </w:r>
    </w:p>
    <w:p w14:paraId="53B2C98C" w14:textId="77777777" w:rsidR="00DD7BE2" w:rsidRPr="00A83E0C" w:rsidRDefault="00DD7BE2" w:rsidP="00DD7BE2">
      <w:pPr>
        <w:shd w:val="clear" w:color="auto" w:fill="FFFFFF"/>
        <w:rPr>
          <w:color w:val="333333"/>
          <w:lang w:val="ru-RU"/>
        </w:rPr>
      </w:pPr>
      <w:bookmarkStart w:id="29" w:name="dst379"/>
      <w:bookmarkEnd w:id="29"/>
      <w:r w:rsidRPr="00A83E0C">
        <w:rPr>
          <w:rStyle w:val="blk"/>
          <w:color w:val="333333"/>
          <w:lang w:val="ru-RU"/>
        </w:rPr>
        <w:t>5) видов лечебного питания, включая специализированные продукты лечебного питания;</w:t>
      </w:r>
      <w:bookmarkStart w:id="30" w:name="dst380"/>
      <w:bookmarkEnd w:id="30"/>
    </w:p>
    <w:p w14:paraId="0CEAE949" w14:textId="77777777" w:rsidR="00DD7BE2" w:rsidRPr="00A83E0C" w:rsidRDefault="00DD7BE2" w:rsidP="00DD7BE2">
      <w:pPr>
        <w:shd w:val="clear" w:color="auto" w:fill="FFFFFF"/>
        <w:rPr>
          <w:color w:val="333333"/>
          <w:lang w:val="ru-RU"/>
        </w:rPr>
      </w:pPr>
      <w:r w:rsidRPr="00A83E0C">
        <w:rPr>
          <w:rStyle w:val="blk"/>
          <w:color w:val="333333"/>
          <w:lang w:val="ru-RU"/>
        </w:rPr>
        <w:t>6) иного исходя из особенностей заболевания (состояния).</w:t>
      </w:r>
    </w:p>
    <w:p w14:paraId="2B045ECD" w14:textId="77777777" w:rsidR="00DD7BE2" w:rsidRPr="00A83E0C" w:rsidRDefault="00DD7BE2" w:rsidP="00DD7BE2">
      <w:pPr>
        <w:shd w:val="clear" w:color="auto" w:fill="FFFFFF"/>
        <w:rPr>
          <w:color w:val="333333"/>
          <w:lang w:val="ru-RU"/>
        </w:rPr>
      </w:pPr>
      <w:bookmarkStart w:id="31" w:name="dst381"/>
      <w:bookmarkEnd w:id="31"/>
      <w:r w:rsidRPr="00A83E0C">
        <w:rPr>
          <w:rStyle w:val="blk"/>
          <w:color w:val="333333"/>
          <w:lang w:val="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256D424F" w14:textId="77777777" w:rsidR="00C23311" w:rsidRPr="0095136D" w:rsidRDefault="00C23311" w:rsidP="00D54042">
      <w:pPr>
        <w:shd w:val="clear" w:color="auto" w:fill="FFFFFF"/>
        <w:rPr>
          <w:rStyle w:val="blk"/>
          <w:color w:val="333333"/>
          <w:lang w:val="ru-RU"/>
        </w:rPr>
      </w:pPr>
      <w:bookmarkStart w:id="32" w:name="dst382"/>
      <w:bookmarkEnd w:id="32"/>
      <w:r w:rsidRPr="0095136D">
        <w:rPr>
          <w:rStyle w:val="blk"/>
          <w:color w:val="333333"/>
          <w:lang w:val="ru-RU"/>
        </w:rPr>
        <w:lastRenderedPageBreak/>
        <w:t>Первичная специализированная медико-санитарная помощь оказывается врачом-онкологом в центре амбулаторной онкологической помощи, а при его отсутствии в первичном онкологическом кабинете или поликлиническом отделении онкологического диспансера (онкологической больницы) и включает мероприятия по профилактике, диагностике, лечению онкологических заболеваний и медицинской реабилитации.</w:t>
      </w:r>
    </w:p>
    <w:p w14:paraId="6AADDDAE" w14:textId="7462C27D" w:rsidR="00C23311" w:rsidRPr="0095136D" w:rsidRDefault="00C23311" w:rsidP="00D54042">
      <w:pPr>
        <w:shd w:val="clear" w:color="auto" w:fill="FFFFFF"/>
        <w:rPr>
          <w:rStyle w:val="blk"/>
          <w:color w:val="333333"/>
          <w:lang w:val="ru-RU"/>
        </w:rPr>
      </w:pPr>
      <w:r w:rsidRPr="0095136D">
        <w:rPr>
          <w:rStyle w:val="blk"/>
          <w:color w:val="333333"/>
          <w:lang w:val="ru-RU"/>
        </w:rPr>
        <w:t>Врач-онколог центра амбулаторной онкологической помощи, а при отсутствии указанного центра - врач-онколог первичного онкологического кабинета или поликлинического отделения онкологического диспансера (онкологической больницы)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исследования и (или) биопсийного (операционного) материала и направление в патолого-анатомическое бюро (отделение) в соответствии с правилами проведения патолого-анатомических исследований и (или) клинико-диагностическую лабораторию (отдел, отделение) в соответствии с правилами проведения лабораторных исследовани</w:t>
      </w:r>
      <w:r w:rsidR="009F7A85" w:rsidRPr="0095136D">
        <w:rPr>
          <w:rStyle w:val="blk"/>
          <w:color w:val="333333"/>
          <w:lang w:val="ru-RU"/>
        </w:rPr>
        <w:t>й</w:t>
      </w:r>
      <w:r w:rsidRPr="0095136D">
        <w:rPr>
          <w:rStyle w:val="blk"/>
          <w:color w:val="333333"/>
          <w:lang w:val="ru-RU"/>
        </w:rPr>
        <w:t>,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5E7817C6" w14:textId="77777777" w:rsidR="009F7A85" w:rsidRPr="0095136D" w:rsidRDefault="009F7A85" w:rsidP="00D54042">
      <w:pPr>
        <w:shd w:val="clear" w:color="auto" w:fill="FFFFFF"/>
        <w:rPr>
          <w:rStyle w:val="blk"/>
          <w:color w:val="333333"/>
          <w:lang w:val="ru-RU"/>
        </w:rPr>
      </w:pPr>
      <w:r w:rsidRPr="0095136D">
        <w:rPr>
          <w:rStyle w:val="blk"/>
          <w:color w:val="333333"/>
          <w:lang w:val="ru-RU"/>
        </w:rP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биопсийного (операционного) материала или проведения иных диагностических исследований пациент направляется врачом-онкологом в онкологический диспансер (онкологическую больницу), медицинскую организацию, оказывающую медицинскую помощь пациентам с онкологическими заболеваниями.</w:t>
      </w:r>
    </w:p>
    <w:p w14:paraId="74019269" w14:textId="7055E640" w:rsidR="009F7A85" w:rsidRPr="0095136D" w:rsidRDefault="009F7A85" w:rsidP="00D54042">
      <w:pPr>
        <w:shd w:val="clear" w:color="auto" w:fill="FFFFFF"/>
        <w:rPr>
          <w:rStyle w:val="blk"/>
          <w:color w:val="333333"/>
          <w:lang w:val="ru-RU"/>
        </w:rPr>
      </w:pPr>
      <w:r w:rsidRPr="0095136D">
        <w:rPr>
          <w:rStyle w:val="blk"/>
          <w:color w:val="333333"/>
          <w:lang w:val="ru-RU"/>
        </w:rPr>
        <w:t xml:space="preserve">Сроки проведения диагностических инструментальных и лабораторных исследований, в том числе </w:t>
      </w:r>
      <w:r w:rsidR="00D54042" w:rsidRPr="0095136D">
        <w:rPr>
          <w:rStyle w:val="blk"/>
          <w:color w:val="333333"/>
          <w:lang w:val="ru-RU"/>
        </w:rPr>
        <w:t>проведение</w:t>
      </w:r>
      <w:r w:rsidRPr="0095136D">
        <w:rPr>
          <w:rStyle w:val="blk"/>
          <w:color w:val="333333"/>
          <w:lang w:val="ru-RU"/>
        </w:rPr>
        <w:t xml:space="preserve"> патологоанатомических </w:t>
      </w:r>
      <w:r w:rsidR="00D54042" w:rsidRPr="0095136D">
        <w:rPr>
          <w:rStyle w:val="blk"/>
          <w:color w:val="333333"/>
          <w:lang w:val="ru-RU"/>
        </w:rPr>
        <w:t>исследований</w:t>
      </w:r>
      <w:r w:rsidRPr="0095136D">
        <w:rPr>
          <w:rStyle w:val="blk"/>
          <w:color w:val="333333"/>
          <w:lang w:val="ru-RU"/>
        </w:rPr>
        <w:t>, в случае подозрения на онкологические заболевания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0C940BF8" w14:textId="14F0C251" w:rsidR="00DD7BE2" w:rsidRPr="00D54042" w:rsidRDefault="00DD7BE2" w:rsidP="00D54042">
      <w:pPr>
        <w:shd w:val="clear" w:color="auto" w:fill="FFFFFF"/>
        <w:rPr>
          <w:rStyle w:val="blk"/>
          <w:color w:val="333333"/>
          <w:lang w:val="ru-RU"/>
        </w:rPr>
      </w:pPr>
      <w:r w:rsidRPr="00D54042">
        <w:rPr>
          <w:rStyle w:val="blk"/>
          <w:color w:val="333333"/>
          <w:lang w:val="ru-RU"/>
        </w:rPr>
        <w:t>Скорая медицинская помощь оказывается в соответствии с приказом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w:t>
      </w:r>
      <w:r w:rsidR="00D54042" w:rsidRPr="00D54042">
        <w:rPr>
          <w:rStyle w:val="blk"/>
          <w:color w:val="333333"/>
          <w:lang w:val="ru-RU"/>
        </w:rPr>
        <w:t>.</w:t>
      </w:r>
      <w:r w:rsidRPr="00D54042">
        <w:rPr>
          <w:rStyle w:val="blk"/>
          <w:color w:val="333333"/>
          <w:lang w:val="ru-RU"/>
        </w:rPr>
        <w:t xml:space="preserve"> </w:t>
      </w:r>
    </w:p>
    <w:p w14:paraId="269BCF89" w14:textId="77777777" w:rsidR="00DD7BE2" w:rsidRPr="00A83E0C" w:rsidRDefault="00DD7BE2" w:rsidP="00DD7BE2">
      <w:pPr>
        <w:pStyle w:val="Default"/>
        <w:spacing w:line="360" w:lineRule="auto"/>
        <w:ind w:firstLine="709"/>
        <w:jc w:val="both"/>
      </w:pPr>
      <w:r w:rsidRPr="00A83E0C">
        <w:t xml:space="preserve">Скорая медицинская помощь оказывается фельдшерскими выездными бригадами скорой медицинской помощи, врачебными выездными бригадами скорой медицинской помощи в экстренной или неотложной форме вне медицинской организации, а также в </w:t>
      </w:r>
      <w:r w:rsidRPr="00A83E0C">
        <w:lastRenderedPageBreak/>
        <w:t>амбулаторных и стационарных условиях при состояниях, требующих срочного медицинского вмешательства.</w:t>
      </w:r>
    </w:p>
    <w:p w14:paraId="25D064EB" w14:textId="714B9792" w:rsidR="009F7A85" w:rsidRDefault="009F7A85" w:rsidP="00DD7BE2">
      <w:pPr>
        <w:pStyle w:val="Default"/>
        <w:spacing w:line="360" w:lineRule="auto"/>
        <w:ind w:firstLine="709"/>
        <w:jc w:val="both"/>
      </w:pPr>
      <w:r w:rsidRPr="009F7A85">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r>
        <w:t>.</w:t>
      </w:r>
    </w:p>
    <w:p w14:paraId="7D6EFC27" w14:textId="419153C1" w:rsidR="009F7A85" w:rsidRDefault="009F7A85" w:rsidP="009F7A85">
      <w:pPr>
        <w:pStyle w:val="Default"/>
        <w:spacing w:line="360" w:lineRule="auto"/>
        <w:ind w:firstLine="709"/>
        <w:jc w:val="both"/>
      </w:pPr>
      <w:r w:rsidRPr="009F7A85">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r>
        <w:t>.</w:t>
      </w:r>
    </w:p>
    <w:p w14:paraId="29F466FD" w14:textId="0AB65C1F" w:rsidR="009F7A85" w:rsidRDefault="009F7A85" w:rsidP="00DD7BE2">
      <w:pPr>
        <w:pStyle w:val="Default"/>
        <w:spacing w:line="360" w:lineRule="auto"/>
        <w:ind w:firstLine="709"/>
        <w:jc w:val="both"/>
      </w:pPr>
      <w:r w:rsidRPr="009F7A85">
        <w:t>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t>.</w:t>
      </w:r>
    </w:p>
    <w:p w14:paraId="4F5C8161" w14:textId="77777777" w:rsidR="009F7A85" w:rsidRDefault="009F7A85" w:rsidP="00D54042">
      <w:pPr>
        <w:pStyle w:val="Default"/>
        <w:spacing w:line="360" w:lineRule="auto"/>
        <w:ind w:firstLine="709"/>
        <w:jc w:val="both"/>
      </w:pPr>
      <w: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2ADC4134" w14:textId="5D50F4CF" w:rsidR="009F7A85" w:rsidRDefault="00D54042" w:rsidP="00D54042">
      <w:pPr>
        <w:pStyle w:val="Default"/>
        <w:spacing w:line="360" w:lineRule="auto"/>
        <w:ind w:firstLine="709"/>
        <w:jc w:val="both"/>
      </w:pPr>
      <w:r>
        <w:t xml:space="preserve">- </w:t>
      </w:r>
      <w:r w:rsidR="009F7A85">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37B9F2F2" w14:textId="147A241D" w:rsidR="009F7A85" w:rsidRDefault="00D54042" w:rsidP="00D54042">
      <w:pPr>
        <w:pStyle w:val="Default"/>
        <w:spacing w:line="360" w:lineRule="auto"/>
        <w:ind w:firstLine="709"/>
        <w:jc w:val="both"/>
      </w:pPr>
      <w:r>
        <w:t xml:space="preserve">- </w:t>
      </w:r>
      <w:r w:rsidR="009F7A85">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302AF945" w14:textId="1F6F6B3C" w:rsidR="009F7A85" w:rsidRDefault="00D54042" w:rsidP="00D54042">
      <w:pPr>
        <w:pStyle w:val="Default"/>
        <w:spacing w:line="360" w:lineRule="auto"/>
        <w:ind w:firstLine="709"/>
        <w:jc w:val="both"/>
      </w:pPr>
      <w:r>
        <w:lastRenderedPageBreak/>
        <w:t xml:space="preserve">- </w:t>
      </w:r>
      <w:r w:rsidR="009F7A85">
        <w:t>биопсийного (операционного) материала для повторного проведения патоморфологических, иммуногистохимических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03B98B61" w14:textId="77777777" w:rsidR="009F7A85" w:rsidRDefault="009F7A85" w:rsidP="00D54042">
      <w:pPr>
        <w:pStyle w:val="Default"/>
        <w:spacing w:line="360" w:lineRule="auto"/>
        <w:ind w:firstLine="709"/>
        <w:jc w:val="both"/>
      </w:pPr>
      <w: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0024AAA2" w14:textId="77777777" w:rsidR="009F7A85" w:rsidRDefault="009F7A85" w:rsidP="00D54042">
      <w:pPr>
        <w:pStyle w:val="Default"/>
        <w:spacing w:line="360" w:lineRule="auto"/>
        <w:ind w:firstLine="709"/>
        <w:jc w:val="both"/>
      </w:pPr>
      <w:r>
        <w:t>При изменении метода лечения проведение онкологического консилиума обязательно.</w:t>
      </w:r>
    </w:p>
    <w:p w14:paraId="19B2CAA4" w14:textId="77777777" w:rsidR="009F7A85" w:rsidRDefault="009F7A85" w:rsidP="00D54042">
      <w:pPr>
        <w:pStyle w:val="Default"/>
        <w:spacing w:line="360" w:lineRule="auto"/>
        <w:ind w:firstLine="709"/>
        <w:jc w:val="both"/>
      </w:pPr>
      <w:r>
        <w:t>Решение онкологического консилиума оформляется протоколом на бумажном носителе, заполненном разборчиво от руки или в печатном виде и подписанном участниками консилиума, либо в форме электронного документа, подписанного с использованием усиленной квалифицированной электронной подписи участников консилиума.</w:t>
      </w:r>
    </w:p>
    <w:p w14:paraId="7709F0AC" w14:textId="77777777" w:rsidR="009F7A85" w:rsidRDefault="009F7A85" w:rsidP="009F7A85">
      <w:pPr>
        <w:pStyle w:val="Default"/>
        <w:spacing w:line="360" w:lineRule="auto"/>
        <w:ind w:firstLine="709"/>
        <w:jc w:val="both"/>
      </w:pPr>
      <w:r>
        <w:t>Решение онкологического консилиума, оформленное протоколом, вносится в медицинскую документацию пациента.</w:t>
      </w:r>
    </w:p>
    <w:p w14:paraId="1B5795E9" w14:textId="3BDDFDA4" w:rsidR="009F7A85" w:rsidRDefault="009F7A85" w:rsidP="00D54042">
      <w:pPr>
        <w:pStyle w:val="Default"/>
        <w:spacing w:line="360" w:lineRule="auto"/>
        <w:ind w:firstLine="709"/>
        <w:jc w:val="both"/>
      </w:pPr>
      <w: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r w:rsidR="00D54042">
        <w:t>.</w:t>
      </w:r>
    </w:p>
    <w:p w14:paraId="335C6BCA" w14:textId="7EEE7AD6" w:rsidR="009F7A85" w:rsidRDefault="009F7A85" w:rsidP="00D54042">
      <w:pPr>
        <w:pStyle w:val="Default"/>
        <w:spacing w:line="360" w:lineRule="auto"/>
        <w:ind w:firstLine="709"/>
        <w:jc w:val="both"/>
      </w:pPr>
      <w: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r w:rsidR="00D54042">
        <w:t>.</w:t>
      </w:r>
    </w:p>
    <w:p w14:paraId="6C3606E6" w14:textId="3E00CB80" w:rsidR="009F7A85" w:rsidRDefault="009F7A85" w:rsidP="00D54042">
      <w:pPr>
        <w:pStyle w:val="Default"/>
        <w:spacing w:line="360" w:lineRule="auto"/>
        <w:ind w:firstLine="709"/>
        <w:jc w:val="both"/>
      </w:pPr>
      <w: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1D90BD3F" w14:textId="77777777" w:rsidR="00DD7BE2" w:rsidRPr="00A83E0C" w:rsidRDefault="00DD7BE2" w:rsidP="00DD7BE2">
      <w:pPr>
        <w:pStyle w:val="Default"/>
        <w:spacing w:line="360" w:lineRule="auto"/>
        <w:ind w:firstLine="709"/>
        <w:jc w:val="both"/>
      </w:pPr>
      <w:r w:rsidRPr="00A83E0C">
        <w:lastRenderedPageBreak/>
        <w:t>Показания для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54B8D9A6" w14:textId="77777777" w:rsidR="00DD7BE2" w:rsidRPr="00A83E0C" w:rsidRDefault="00DD7BE2" w:rsidP="00DD7BE2">
      <w:pPr>
        <w:pStyle w:val="Default"/>
        <w:spacing w:line="360" w:lineRule="auto"/>
        <w:ind w:firstLine="709"/>
        <w:jc w:val="both"/>
        <w:rPr>
          <w:b/>
        </w:rPr>
      </w:pPr>
      <w:r w:rsidRPr="00A83E0C">
        <w:rPr>
          <w:b/>
        </w:rPr>
        <w:t>Госпитализация показана:</w:t>
      </w:r>
    </w:p>
    <w:p w14:paraId="5282A53F" w14:textId="77777777" w:rsidR="00DD7BE2" w:rsidRPr="00A83E0C" w:rsidRDefault="00DD7BE2" w:rsidP="00DD7BE2">
      <w:pPr>
        <w:pStyle w:val="Default"/>
        <w:numPr>
          <w:ilvl w:val="0"/>
          <w:numId w:val="22"/>
        </w:numPr>
        <w:spacing w:line="360" w:lineRule="auto"/>
        <w:jc w:val="both"/>
      </w:pPr>
      <w:r w:rsidRPr="00A83E0C">
        <w:t>при необходимости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790A49F5" w14:textId="77777777" w:rsidR="00DD7BE2" w:rsidRPr="00A83E0C" w:rsidRDefault="00DD7BE2" w:rsidP="00DD7BE2">
      <w:pPr>
        <w:pStyle w:val="Default"/>
        <w:numPr>
          <w:ilvl w:val="0"/>
          <w:numId w:val="22"/>
        </w:numPr>
        <w:spacing w:line="360" w:lineRule="auto"/>
        <w:jc w:val="both"/>
      </w:pPr>
      <w:r w:rsidRPr="00A83E0C">
        <w:t>при наличии показаний к специализированному противоопухолевому лечению (хирургическое вмешательство, лучевая терапия, в том числе контактная, дистанционная и другие виды лучевой терапии, лекарственная терапия и др.), требующему наблюдения в условиях круглосуточного или дневного стационара;</w:t>
      </w:r>
    </w:p>
    <w:p w14:paraId="1AC447AC" w14:textId="77777777" w:rsidR="00DD7BE2" w:rsidRPr="00A83E0C" w:rsidRDefault="00DD7BE2" w:rsidP="00DD7BE2">
      <w:pPr>
        <w:pStyle w:val="Default"/>
        <w:numPr>
          <w:ilvl w:val="0"/>
          <w:numId w:val="22"/>
        </w:numPr>
        <w:spacing w:line="360" w:lineRule="auto"/>
        <w:jc w:val="both"/>
      </w:pPr>
      <w:r w:rsidRPr="00A83E0C">
        <w:t>при наличии осложнений онкологического заболевания, требующих оказания ему специализированной медицинской помощи в экстренной и неотложной форме.</w:t>
      </w:r>
    </w:p>
    <w:p w14:paraId="76FE5B23" w14:textId="77777777" w:rsidR="00452A3E" w:rsidRPr="00A83E0C" w:rsidRDefault="00DD7BE2" w:rsidP="00A32E56">
      <w:pPr>
        <w:rPr>
          <w:lang w:val="ru-RU"/>
        </w:rPr>
      </w:pPr>
      <w:r w:rsidRPr="00A83E0C">
        <w:rPr>
          <w:b/>
          <w:lang w:val="ru-RU"/>
        </w:rPr>
        <w:t>Показанием к выписке пациента из медицинской организации</w:t>
      </w:r>
      <w:r w:rsidRPr="00A83E0C">
        <w:rPr>
          <w:lang w:val="ru-RU"/>
        </w:rPr>
        <w:t xml:space="preserve"> является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условиях отсутствия осложнений лечения, требующих медикаментозной коррекции или медицинских вмешательств в стационарных условиях.</w:t>
      </w:r>
    </w:p>
    <w:p w14:paraId="16FB3CC3" w14:textId="77777777" w:rsidR="008D30E8" w:rsidRPr="00A83E0C" w:rsidRDefault="007235FD" w:rsidP="000B3A53">
      <w:pPr>
        <w:jc w:val="center"/>
        <w:rPr>
          <w:rFonts w:eastAsia="GalsLightC"/>
          <w:lang w:val="ru-RU"/>
        </w:rPr>
      </w:pPr>
      <w:r w:rsidRPr="00A83E0C">
        <w:rPr>
          <w:lang w:val="ru-RU"/>
        </w:rPr>
        <w:br w:type="page"/>
      </w:r>
      <w:bookmarkStart w:id="33" w:name="_Toc158632230"/>
      <w:r w:rsidRPr="00A83E0C">
        <w:rPr>
          <w:rStyle w:val="10"/>
          <w:lang w:val="ru-RU"/>
        </w:rPr>
        <w:lastRenderedPageBreak/>
        <w:t>7. Дополнительная информация (в том числе факторы, влияющие на исход заболевания или состояния)</w:t>
      </w:r>
      <w:bookmarkEnd w:id="33"/>
    </w:p>
    <w:p w14:paraId="3F56BFCF" w14:textId="3467270F" w:rsidR="003C7187" w:rsidRPr="00A83E0C" w:rsidRDefault="003C7187" w:rsidP="003C7187">
      <w:pPr>
        <w:rPr>
          <w:rFonts w:eastAsia="GalsLightC"/>
          <w:lang w:val="ru-RU"/>
        </w:rPr>
      </w:pPr>
      <w:r w:rsidRPr="00A83E0C">
        <w:rPr>
          <w:rFonts w:eastAsia="GalsLightC"/>
          <w:lang w:val="ru-RU"/>
        </w:rPr>
        <w:t xml:space="preserve">Результаты лечения рака поджелудочной железы улучшаются. Доля долгожителей увеличивается не только за счет совершенствования лечебных подходов у пациентов с неметастатическим процессом </w:t>
      </w:r>
      <w:r w:rsidR="00C15198" w:rsidRPr="00A83E0C">
        <w:rPr>
          <w:rFonts w:eastAsia="GalsLightC"/>
          <w:lang w:val="ru-RU"/>
        </w:rPr>
        <w:fldChar w:fldCharType="begin"/>
      </w:r>
      <w:r w:rsidR="004034C1">
        <w:rPr>
          <w:rFonts w:eastAsia="GalsLightC"/>
          <w:lang w:val="ru-RU"/>
        </w:rPr>
        <w:instrText xml:space="preserve"> ADDIN ZOTERO_ITEM CSL_CITATION {"citationID":"gdKWfk5k","properties":{"formattedCitation":"[76]","plainCitation":"[76]","noteIndex":0},"citationItems":[{"id":50,"uris":["http://zotero.org/users/5363772/items/YT5IVBWP",["http://zotero.org/users/5363772/items/YT5IVBWP"]],"itemData":{"id":50,"type":"article-journal","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 fied-FOLFIRINOX group and 21.4% in the gemcitabine group. The median overall survival was 54.4 months in the modified-FOLFIRINOX group and 35.0 months in the gemcitabine group (stratified hazard ratio for death, 0.64; 95% CI, 0.48 to 0.86; P = 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 The authors’ full names, academic degrees, and affiliations are listed in the Appendix. Address reprint requests to Dr. Conroy at the Department of Medical Oncology, Institut de Cancérologie de Lorraine, 6 Ave. de Bourgogne, CS 30519, 54519 Vandoeuvre-lès-Nancy CEDEX, France, or at ­t.­conroy@­nancy.­unicancer.­fr. *A complete list of the investigators in the Canadian Cancer Trials Group and the Unicancer-GI–PRODIGE Group is provided in the Supplementary Appendix, available at NEJM.org. N Engl J Med 2018;379:2395-406. DOI: 10.1056/NEJMoa1809775 Copyright © 2018 Massachusetts Medical Society.\nCONCLUSIONS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EudraCT number, 2011- ­002026-5­ 2.)","container-title":"New England Journal of Medicine","DOI":"10.1056/NEJMoa1809775","ISSN":"0028-4793, 1533-4406","issue":"25","language":"en","page":"2395-2406","source":"Crossref","title":"FOLFIRINOX or Gemcitabine as Adjuvant Therapy for Pancreatic Cancer","volume":"379","author":[{"family":"Conroy","given":"Thierry"},{"family":"Hammel","given":"Pascal"},{"family":"Hebbar","given":"Mohamed"},{"family":"Ben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issued":{"date-parts":[["2018",12,20]]}}}],"schema":"https://github.com/citation-style-language/schema/raw/master/csl-citation.json"} </w:instrText>
      </w:r>
      <w:r w:rsidR="00C15198" w:rsidRPr="00A83E0C">
        <w:rPr>
          <w:rFonts w:eastAsia="GalsLightC"/>
          <w:lang w:val="ru-RU"/>
        </w:rPr>
        <w:fldChar w:fldCharType="separate"/>
      </w:r>
      <w:r w:rsidR="004034C1" w:rsidRPr="004034C1">
        <w:t>[76]</w:t>
      </w:r>
      <w:r w:rsidR="00C15198" w:rsidRPr="00A83E0C">
        <w:rPr>
          <w:rFonts w:eastAsia="GalsLightC"/>
          <w:lang w:val="ru-RU"/>
        </w:rPr>
        <w:fldChar w:fldCharType="end"/>
      </w:r>
      <w:r w:rsidRPr="00A83E0C">
        <w:rPr>
          <w:rFonts w:eastAsia="GalsLightC"/>
          <w:lang w:val="ru-RU"/>
        </w:rPr>
        <w:t xml:space="preserve">, но и за счет более успешного лечения метастатического рака </w:t>
      </w:r>
      <w:r w:rsidR="00C15198" w:rsidRPr="00A83E0C">
        <w:rPr>
          <w:rFonts w:eastAsia="GalsLightC"/>
          <w:lang w:val="ru-RU"/>
        </w:rPr>
        <w:fldChar w:fldCharType="begin"/>
      </w:r>
      <w:r w:rsidR="004034C1">
        <w:rPr>
          <w:rFonts w:eastAsia="GalsLightC"/>
          <w:lang w:val="ru-RU"/>
        </w:rPr>
        <w:instrText xml:space="preserve"> ADDIN ZOTERO_ITEM CSL_CITATION {"citationID":"NLo782u3","properties":{"formattedCitation":"[76,184]","plainCitation":"[76,184]","noteIndex":0},"citationItems":[{"id":343,"uris":["http://zotero.org/users/5363772/items/5CZHHGBE",["http://zotero.org/users/5363772/items/5CZHHGBE"]],"itemData":{"id":343,"type":"article-journal","abstract":"Background: Metastatic pancreatic cancer (MPC) is associated with an extremely high mortality. Current NCCN guidelines recommend systemic therapy, as it is superior to best supportive care. Undertreatment of MPC continues to be an issue. Recent treatment and survival data of MPC in Veterans’ Affairs’ (VA) hospitals have not been published. The relationship between MPC treatment and survival and the American College of Surgeons’ (ACS) Committee on Cancer (CoC) accreditation in VA hospitals has not been studied.\nMethods: Nationwide data from the National Veterans Affairs Cancer Cube Registry was analyzed. In total, 6,775 patients were diagnosed with MPC between 2000 and 2014. CoC accreditation of each VA hospital was obtained using the ACS website.\nResults: MPC constitutes 52.31% of all pancreatic cancer diagnosed (6,775/12,951 cases). The near totality was men (97.44%). The above 70 years age group and the 60–70 years age group were the most common ages at diagnosis with 39.39% and 38.02% respectively. The proportion of early-onset pancreatic cancer (EOPC) was 2.84%. When compared to all stages of pancreatic cancer, stage IV pancreatic cancer had a lower proportion of cancer originating from the head of the pancreas (39.33% versus 50.63%) and more originating from the tail (17.99% versus 13.39%). Tumors originating from head of the pancreas are more likely to cause biliary symptoms and thus are more likely to be caught at an earlier stage. Overall, treatment rate in the VA at the national level with first-line chemotherapy was 37.61%. The rate of treatment over the years has increased in a linear fashion from 33.01% in 2000 to 41.95% in 2014. This has corresponded with an increase of 1–5 years survival of 9.29% in 2000 to 22.99% in 2014 and 5–10 years survival from 0.96% in 2000 to 6.00% in 2012. Treatment rates in CoC-accredited and non-CoC accredited VA hospitals were similar (38.94% and 38.12%, respectively). Survival rates in CoC-accredited and non-COC accredited VAs were similar with a 1–5 years survival rate of 8.89% and 8.57%, respectively.\nConclusions: Treatment and survival of MPC have risen significantly in the past decade at VA hospitals. CoC accreditation is not associated with a change in treatment or survival rates.","container-title":"Journal of Gastrointestinal Oncology","DOI":"10.21037/jgo.2018.07.08","ISSN":"20786891, 2219679X","issue":"4","journalAbbreviation":"J. Gastrointest. Oncol","language":"en","page":"703-711","source":"DOI.org (Crossref)","title":"Treatment and survival rates of stage IV pancreatic cancer at VA hospitals: a nation-wide study","title-short":"Treatment and survival rates of stage IV pancreatic cancer at VA hospitals","volume":"10","author":[{"family":"Azar","given":"Ibrahim"},{"family":"Virk","given":"Gurjiwan"},{"family":"Esfandiarifard","given":"Saghi"},{"family":"Wazir","given":"Ali"},{"family":"Mehdi","given":"Syed"}],"issued":{"date-parts":[["2019",8]]}}},{"id":50,"uris":["http://zotero.org/users/5363772/items/YT5IVBWP",["http://zotero.org/users/5363772/items/YT5IVBWP"]],"itemData":{"id":50,"type":"article-journal","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 fied-FOLFIRINOX group and 21.4% in the gemcitabine group. The median overall survival was 54.4 months in the modified-FOLFIRINOX group and 35.0 months in the gemcitabine group (stratified hazard ratio for death, 0.64; 95% CI, 0.48 to 0.86; P = 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 The authors’ full names, academic degrees, and affiliations are listed in the Appendix. Address reprint requests to Dr. Conroy at the Department of Medical Oncology, Institut de Cancérologie de Lorraine, 6 Ave. de Bourgogne, CS 30519, 54519 Vandoeuvre-lès-Nancy CEDEX, France, or at ­t.­conroy@­nancy.­unicancer.­fr. *A complete list of the investigators in the Canadian Cancer Trials Group and the Unicancer-GI–PRODIGE Group is provided in the Supplementary Appendix, available at NEJM.org. N Engl J Med 2018;379:2395-406. DOI: 10.1056/NEJMoa1809775 Copyright © 2018 Massachusetts Medical Society.\nCONCLUSIONS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EudraCT number, 2011- ­002026-5­ 2.)","container-title":"New England Journal of Medicine","DOI":"10.1056/NEJMoa1809775","ISSN":"0028-4793, 1533-4406","issue":"25","language":"en","page":"2395-2406","source":"Crossref","title":"FOLFIRINOX or Gemcitabine as Adjuvant Therapy for Pancreatic Cancer","volume":"379","author":[{"family":"Conroy","given":"Thierry"},{"family":"Hammel","given":"Pascal"},{"family":"Hebbar","given":"Mohamed"},{"family":"Ben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issued":{"date-parts":[["2018",12,20]]}}}],"schema":"https://github.com/citation-style-language/schema/raw/master/csl-citation.json"} </w:instrText>
      </w:r>
      <w:r w:rsidR="00C15198" w:rsidRPr="00A83E0C">
        <w:rPr>
          <w:rFonts w:eastAsia="GalsLightC"/>
          <w:lang w:val="ru-RU"/>
        </w:rPr>
        <w:fldChar w:fldCharType="separate"/>
      </w:r>
      <w:r w:rsidR="004034C1" w:rsidRPr="00BE0F39">
        <w:rPr>
          <w:lang w:val="ru-RU"/>
        </w:rPr>
        <w:t>[76,184]</w:t>
      </w:r>
      <w:r w:rsidR="00C15198" w:rsidRPr="00A83E0C">
        <w:rPr>
          <w:rFonts w:eastAsia="GalsLightC"/>
          <w:lang w:val="ru-RU"/>
        </w:rPr>
        <w:fldChar w:fldCharType="end"/>
      </w:r>
      <w:r w:rsidRPr="00A83E0C">
        <w:rPr>
          <w:rFonts w:eastAsia="GalsLightC"/>
          <w:lang w:val="ru-RU"/>
        </w:rPr>
        <w:t xml:space="preserve">. </w:t>
      </w:r>
    </w:p>
    <w:p w14:paraId="7E094029" w14:textId="2382DCC0" w:rsidR="003C7187" w:rsidRPr="00A83E0C" w:rsidRDefault="003C7187" w:rsidP="003C7187">
      <w:pPr>
        <w:rPr>
          <w:rFonts w:eastAsia="GalsLightC"/>
          <w:lang w:val="ru-RU"/>
        </w:rPr>
      </w:pPr>
      <w:r w:rsidRPr="00A83E0C">
        <w:rPr>
          <w:rFonts w:eastAsia="GalsLightC"/>
          <w:lang w:val="ru-RU"/>
        </w:rPr>
        <w:t>Факторы, влияющие на исход заболевания, достаточно многочисленны и включают общее состо</w:t>
      </w:r>
      <w:r w:rsidR="00346903">
        <w:rPr>
          <w:rFonts w:eastAsia="GalsLightC"/>
          <w:lang w:val="ru-RU"/>
        </w:rPr>
        <w:t>яние</w:t>
      </w:r>
      <w:r w:rsidRPr="00A83E0C">
        <w:rPr>
          <w:rFonts w:eastAsia="GalsLightC"/>
          <w:lang w:val="ru-RU"/>
        </w:rPr>
        <w:t xml:space="preserve"> пациента, сопутствующую патологию, распространенность опухолевого процесса, а также наличие осложнений опухолевого процесса. Активно изучаются биомаркеры, способные предсказать склонность опухоли к быст</w:t>
      </w:r>
      <w:r w:rsidR="00346903">
        <w:rPr>
          <w:rFonts w:eastAsia="GalsLightC"/>
          <w:lang w:val="ru-RU"/>
        </w:rPr>
        <w:t>р</w:t>
      </w:r>
      <w:r w:rsidRPr="00A83E0C">
        <w:rPr>
          <w:rFonts w:eastAsia="GalsLightC"/>
          <w:lang w:val="ru-RU"/>
        </w:rPr>
        <w:t xml:space="preserve">ому метастазированию, а также эффективность химиотерапии </w:t>
      </w:r>
      <w:r w:rsidR="00C15198" w:rsidRPr="00A83E0C">
        <w:rPr>
          <w:rFonts w:eastAsia="GalsLightC"/>
          <w:lang w:val="ru-RU"/>
        </w:rPr>
        <w:fldChar w:fldCharType="begin"/>
      </w:r>
      <w:r w:rsidR="004034C1">
        <w:rPr>
          <w:rFonts w:eastAsia="GalsLightC"/>
          <w:lang w:val="ru-RU"/>
        </w:rPr>
        <w:instrText xml:space="preserve"> ADDIN ZOTERO_ITEM CSL_CITATION {"citationID":"ziwa0kiR","properties":{"formattedCitation":"[185, p. 4,186,187]","plainCitation":"[185, p. 4,186,187]","noteIndex":0},"citationItems":[{"id":340,"uris":["http://zotero.org/users/5363772/items/2BT4TBQK",["http://zotero.org/users/5363772/items/2BT4TBQK"]],"itemData":{"id":340,"type":"article-journal","abstract":"The aim of our study was to evaluate consistency of SMAD4 expression in different tumor areas and its correlation with recurrence pattern in patients after resection for pancreatic cancer (PC).","container-title":"Journal of Gastrointestinal Cancer","DOI":"10.1007/s12029-018-0103-6","ISSN":"1941-6636","issue":"3","journalAbbreviation":"Journal of Gastrointestinal Cancer","page":"478-484","title":"Intratumoral Heterogeneity of SMAD4 Immunohistochemical Expression and Its Role in Prediction of Recurrence Pattern in Patients with Resectable Pancreatic Cancer","volume":"50","author":[{"family":"Pokataev","given":"Ilya"},{"family":"Kudaibergenova","given":"Asel"},{"family":"Artemyeva","given":"Anna"},{"family":"Popova","given":"Anna"},{"family":"Rumyantsev","given":"Alexey"},{"family":"Podluzhny","given":"Danil"},{"family":"Kudashkin","given":"Nikolay"},{"family":"Fedyanin","given":"Mikhail"},{"family":"Tryakin","given":"Alexey"},{"family":"Tjulandin","given":"Sergey"}],"issued":{"date-parts":[["2019",9,1]]}},"locator":"4"},{"id":345,"uris":["http://zotero.org/users/5363772/items/GPKU7TYQ",["http://zotero.org/users/5363772/items/GPKU7TYQ"]],"itemData":{"id":345,"type":"article-journal","abstract":"Purpose: To broaden access to and implementation of precision medicine in the care of pancreatic cancer patients, the Know Your Tumor (KYT) program was initiated using a turn-key precision medicine system. Patients undergo commercially available multi-omic profiling to determine molecularly rationalized clinical trials and off-label therapies.","container-title":"Clinical Cancer Research","DOI":"10.1158/1078-0432.CCR-18-0531","ISSN":"1078-0432, 1557-3265","journalAbbreviation":"Clin Cancer Res","language":"en","page":"1078-0432.CCR-18-0531","source":"DOI.org (Crossref)","title":"Molecular Profiling of Patients with Pancreatic Cancer: Initial Results from the Know Your Tumor Initiative","title-short":"Molecular Profiling of Patients with Pancreatic Cancer","author":[{"family":"Pishvaian","given":"Michael J."},{"family":"Bender","given":"Robert J."},{"family":"Halverson","given":"David"},{"family":"Rahib","given":"Lola"},{"family":"Hendifar","given":"Andrew E."},{"family":"Mikhail","given":"Sameh"},{"family":"Chung","given":"Vincent"},{"family":"Picozzi","given":"Vincent J."},{"family":"Sohal","given":"Davendra"},{"family":"Blais","given":"Edik M."},{"family":"Mason","given":"Kimberly"},{"family":"Lyons","given":"Emily E."},{"family":"Matrisian","given":"Lynn M."},{"family":"Brody","given":"Jonathan R."},{"family":"Madhavan","given":"Subha"},{"family":"Petricoin","given":"Emanuel F."}],"issued":{"date-parts":[["2018",6,28]]}}},{"id":346,"uris":["http://zotero.org/users/5363772/items/G9Q7MSE5",["http://zotero.org/users/5363772/items/G9Q7MSE5"]],"itemData":{"id":346,"type":"article-journal","abstract":"Purpose: To perform real-time whole genome sequencing (WGS) and RNA sequencing (RNASeq) of advanced pancreatic ductal adenocarcinoma (PDAC) to identify predictive mutational and transcriptional features for better treatment selection.Experimental Design: Patients with advanced PDAC were prospectively recruited prior to first-line combination chemotherapy. Fresh tumor tissue was acquired by image-guided percutaneous core biopsy for WGS and RNASeq. Laser capture microdissection was performed for all cases. Primary endpoint was feasibility to report WGS results prior to first disease assessment CT scan at 8 weeks. The main secondary endpoint was discovery of patient subsets with predictive mutational and transcriptional signatures.Results: Sixty-three patients underwent a tumor biopsy between December 2015 and June 2017. WGS and RNASeq were successful in 62 (98%) and 60 (95%), respectively. Genomic results were reported at a median of 35 days (range, 19-52 days) from biopsy, meeting the primary feasibility endpoint. Objective responses to first-line chemotherapy were significantly better in patients with the classical PDAC RNA subtype compared with those with the basal-like subtype (P = 0.004). The best progression-free survival was observed in those with classical subtype treated with m-FOLFIRINOX. GATA6 expression in tumor measured by RNA in situ hybridization was found to be a robust surrogate biomarker for differentiating classical and basal-like PDAC subtypes. Potentially actionable genetic alterations were found in 30% of patients.Conclusions: Prospective genomic profiling of advanced PDAC is feasible, and our early data indicate that chemotherapy response differs among patients with different genomic/transcriptomic subtypes. Clin Cancer Res; 24(6); 1344-54. ©2017 AACR.","archive":"PubMed","archive_location":"29288237","container-title":"Clinical cancer research : an official journal of the American Association for Cancer Research","DOI":"10.1158/1078-0432.CCR-17-2994","ISSN":"1078-0432","issue":"6","journalAbbreviation":"Clin Cancer Res","language":"eng","page":"1344-1354","title":"Genomics-Driven Precision Medicine for Advanced Pancreatic Cancer: Early Results from the COMPASS Trial","volume":"24","author":[{"family":"Aung","given":"Kyaw L"},{"family":"Fischer","given":"Sandra E"},{"family":"Denroche","given":"Robert E"},{"family":"Jang","given":"Gun-Ho"},{"family":"Dodd","given":"Anna"},{"family":"Creighton","given":"Sean"},{"family":"Southwood","given":"Bernadette"},{"family":"Liang","given":"Sheng-Ben"},{"family":"Chadwick","given":"Dianne"},{"family":"Zhang","given":"Amy"},{"family":"O'Kane","given":"Grainne M"},{"family":"Albaba","given":"Hamzeh"},{"family":"Moura","given":"Shari"},{"family":"Grant","given":"Robert C"},{"family":"Miller","given":"Jessica K"},{"family":"Mbabaali","given":"Faridah"},{"family":"Pasternack","given":"Danielle"},{"family":"Lungu","given":"Ilinca M"},{"family":"Bartlett","given":"John M S"},{"family":"Ghai","given":"Sangeet"},{"family":"Lemire","given":"Mathieu"},{"family":"Holter","given":"Spring"},{"family":"Connor","given":"Ashton A"},{"family":"Moffitt","given":"Richard A"},{"family":"Yeh","given":"Jen Jen"},{"family":"Timms","given":"Lee"},{"family":"Krzyzanowski","given":"Paul M"},{"family":"Dhani","given":"Neesha"},{"family":"Hedley","given":"David"},{"family":"Notta","given":"Faiyaz"},{"family":"Wilson","given":"Julie M"},{"family":"Moore","given":"Malcolm J"},{"family":"Gallinger","given":"Steven"},{"family":"Knox","given":"Jennifer J"}],"issued":{"date-parts":[["2018",3,15]]}}}],"schema":"https://github.com/citation-style-language/schema/raw/master/csl-citation.json"} </w:instrText>
      </w:r>
      <w:r w:rsidR="00C15198" w:rsidRPr="00A83E0C">
        <w:rPr>
          <w:rFonts w:eastAsia="GalsLightC"/>
          <w:lang w:val="ru-RU"/>
        </w:rPr>
        <w:fldChar w:fldCharType="separate"/>
      </w:r>
      <w:r w:rsidR="004034C1" w:rsidRPr="00BE0F39">
        <w:rPr>
          <w:lang w:val="ru-RU"/>
        </w:rPr>
        <w:t xml:space="preserve">[185, </w:t>
      </w:r>
      <w:r w:rsidR="004034C1" w:rsidRPr="004034C1">
        <w:t>p</w:t>
      </w:r>
      <w:r w:rsidR="004034C1" w:rsidRPr="00BE0F39">
        <w:rPr>
          <w:lang w:val="ru-RU"/>
        </w:rPr>
        <w:t>. 4,186,187]</w:t>
      </w:r>
      <w:r w:rsidR="00C15198" w:rsidRPr="00A83E0C">
        <w:rPr>
          <w:rFonts w:eastAsia="GalsLightC"/>
          <w:lang w:val="ru-RU"/>
        </w:rPr>
        <w:fldChar w:fldCharType="end"/>
      </w:r>
      <w:r w:rsidRPr="00A83E0C">
        <w:rPr>
          <w:rFonts w:eastAsia="GalsLightC"/>
          <w:lang w:val="ru-RU"/>
        </w:rPr>
        <w:t xml:space="preserve">. </w:t>
      </w:r>
    </w:p>
    <w:p w14:paraId="43EF6E8A" w14:textId="208104B7" w:rsidR="003C7187" w:rsidRDefault="003C7187" w:rsidP="003C7187">
      <w:pPr>
        <w:rPr>
          <w:rFonts w:eastAsia="GalsLightC"/>
          <w:lang w:val="ru-RU"/>
        </w:rPr>
      </w:pPr>
      <w:r w:rsidRPr="00A83E0C">
        <w:rPr>
          <w:rFonts w:eastAsia="GalsLightC"/>
          <w:lang w:val="ru-RU"/>
        </w:rPr>
        <w:t xml:space="preserve">Однако многочисленные исследования демонстрируют, что основным фактором, влияющим на исход, является адекватно назначенное и проведенное лечение </w:t>
      </w:r>
      <w:r w:rsidR="00C15198" w:rsidRPr="00A83E0C">
        <w:rPr>
          <w:rFonts w:eastAsia="GalsLightC"/>
          <w:lang w:val="ru-RU"/>
        </w:rPr>
        <w:fldChar w:fldCharType="begin"/>
      </w:r>
      <w:r w:rsidR="004034C1">
        <w:rPr>
          <w:rFonts w:eastAsia="GalsLightC"/>
          <w:lang w:val="ru-RU"/>
        </w:rPr>
        <w:instrText xml:space="preserve"> ADDIN ZOTERO_ITEM CSL_CITATION {"citationID":"53LVJHwy","properties":{"formattedCitation":"[73,91,92]","plainCitation":"[73,91,92]","noteIndex":0},"citationItems":[{"id":257,"uris":["http://zotero.org/users/5363772/items/ZH2KE4A5",["http://zotero.org/users/5363772/items/ZH2KE4A5"]],"itemData":{"id":257,"type":"article-journal","abstract":"Purpose Adjuvant chemotherapy improves patient survival rates after resection for pancreatic adenocarcinoma, but the optimal duration and time to initiate chemotherapy is unknown. Patients and Methods Patients with pancreatic ductal adenocarcinoma treated within the international, phase III, European Study Group for Pancreatic Cancer?3 (version 2) study were included if they had been randomly assigned to chemotherapy. Overall survival analysis was performed on an intention-to-treat basis, retaining patients in their randomized groups, and adjusting the overall treatment effect by known prognostic variables as well as the start time of chemotherapy. Results There were 985 patients, of whom 486 (49%) received gemcitabine and 499 (51%) received fluorouracil; 675 patients (68%) completed all six cycles of chemotherapy (full course) and 293 patients (30%) completed one to five cycles. Lymph node involvement, resection margins status, tumor differentiation, and completion of therapy were all shown by multivariable Cox regression to be independent survival factors. Overall survival favored patients who completed the full six courses of treatment versus those who did not (hazard ratio [HR], 0.516; 95% CI, 0.443 to 0.601; P &lt; .001). Time to starting chemotherapy did not influence overall survival rates for the full study population (HR, 0.985; 95% CI, 0.956 to 1.015). Chemotherapy start time was an important survival factor only for the subgroup of patients who did not complete therapy, in favor of later treatment (P &lt; .001). Conclusion Completion of all six cycles of planned adjuvant chemotherapy rather than early initiation was an independent prognostic factor after resection for pancreatic adenocarcinoma. There seems to be no difference in outcome if chemotherapy is delayed up to 12 weeks, thus allowing adequate time for postoperative recovery.","container-title":"Journal of Clinical Oncology","DOI":"10.1200/JCO.2013.50.7657","ISSN":"0732-183X","issue":"6","journalAbbreviation":"JCO","page":"504-512","title":"Optimal Duration and Timing of Adjuvant Chemotherapy After Definitive Surgery for Ductal Adenocarcinoma of the Pancreas: Ongoing Lessons From the ESPAC-3 Study","volume":"32","author":[{"family":"Valle","given":"Juan W."},{"family":"Palmer","given":"Daniel"},{"family":"Jackson","given":"Richard"},{"family":"Cox","given":"Trevor"},{"family":"Neoptolemos","given":"John P."},{"family":"Ghaneh","given":"Paula"},{"family":"Rawcliffe","given":"Charlotte L."},{"family":"Bassi","given":"Claudio"},{"family":"Stocken","given":"Deborah D."},{"family":"Cunningham","given":"David"},{"family":"O'Reilly","given":"Derek"},{"family":"Goldstein","given":"David"},{"family":"Robinson","given":"Bridget A."},{"family":"Karapetis","given":"Christos"},{"family":"Scarfe","given":"Andrew"},{"family":"Lacaine","given":"Francois"},{"family":"Sand","given":"Juhani"},{"family":"Izbicki","given":"Jakob R."},{"family":"Mayerle","given":"Julia"},{"family":"Dervenis","given":"Christos"},{"family":"Oláh","given":"Attila"},{"family":"Butturini","given":"Giovanni"},{"family":"Lind","given":"Pehr A."},{"family":"Middleton","given":"Mark R."},{"family":"Anthoney","given":"Alan"},{"family":"Sumpter","given":"Kate"},{"family":"Carter","given":"Ross"},{"family":"Büchler","given":"Markus W."}],"issued":{"date-parts":[["2014",1,13]]}}},{"id":348,"uris":["http://zotero.org/users/5363772/items/IQK4XP8X",["http://zotero.org/users/5363772/items/IQK4XP8X"]],"itemData":{"id":348,"type":"article-journal","abstract":"There remains uncertainty regarding the optimal second-line chemotherapy in advanced pancreatic ductal adenocarcinoma (PDAC). The current recommendation of 5-fluorouracil and oxaliplatin may not be relevant in current practice, as FOLFIRINOX (5-fluorouracil, leucovorin, irinotecan and oxaliplatin) has become a more popular first line therapy in fit patients. The majority of studies in this setting are single-arm Phase II trials with significant heterogeneity of patient populations, treatments and outcomes. In this review, we sought to systematically review and synthesise all prospective data available for the second-line treatment of advanced PDAC.","container-title":"Critical Reviews in Oncology/Hematology","DOI":"10.1016/j.critrevonc.2015.07.007","ISSN":"1040-8428","issue":"3","journalAbbreviation":"Critical Reviews in Oncology/Hematology","page":"483-497","title":"Second-line treatment in inoperable pancreatic adenocarcinoma: A systematic review and synthesis of all clinical trials","volume":"96","author":[{"family":"Nagrial","given":"Adnan M."},{"family":"Chin","given":"Venessa T."},{"family":"Sjoquist","given":"Katrin M."},{"family":"Pajic","given":"Marina"},{"family":"Horvath","given":"Lisa G."},{"family":"Biankin","given":"Andrew V."},{"family":"Yip","given":"Desmond"}],"issued":{"date-parts":[["2015",12,1]]}}},{"id":350,"uris":["http://zotero.org/users/5363772/items/NHJAHX5Z",["http://zotero.org/users/5363772/items/NHJAHX5Z"]],"itemData":{"id":350,"type":"article-journal","abstract":"Objectives We aimed to evaluate clinical factors that can predict second-line chemotherapy benefit in patients with pancreatic cancer. Methods In this retrospective study records of patients who received first-line chemotherapy since 2000 to 2015 were analyzed. A number of clinical and laboratory factors were evaluated for prognostic significance in a multivariate Cox proportional hazards model with overall survival as the end-point. Based on independent prognostic factors the prognostic model was constructed to dichotomize patients into two groups of prognosis. Results Records of 172 patients matched the inclusion criteria. Karnofsky performance status ≤70% and neutrophil-to-lymphocyte ratio &gt;5 at the time of disease progression after first-line chemotherapy were independent poor prognostic factors. Administration of second-line chemotherapy improved outcome only in patients with favorable prognosis: median overall survival increased from 1.7 to 5.5 months for patients who received chemotherapy (n=23) and BSC (n=90), respectively (p=0.002). Median overall survival in the group of poor prognosis were 2.3 and 1.7 months for patients who received chemotherapy (n=20) or only BSC (n=39), respectively (p=0.233). Conclusion This novel prognostic model can potentially predict second-line chemotherapy benefit in patients with pancreatic cancer. However it needs to be validated in further trials.","language":"en","page":"6","source":"Zotero","title":"Clinical Predictors of Second-Line Chemotherapy Benefit in Patients with Pancreatic Cancer","author":[{"family":"Pokataev","given":"Ilya"}],"issued":{"date-parts":[["2017"]]}}}],"schema":"https://github.com/citation-style-language/schema/raw/master/csl-citation.json"} </w:instrText>
      </w:r>
      <w:r w:rsidR="00C15198" w:rsidRPr="00A83E0C">
        <w:rPr>
          <w:rFonts w:eastAsia="GalsLightC"/>
          <w:lang w:val="ru-RU"/>
        </w:rPr>
        <w:fldChar w:fldCharType="separate"/>
      </w:r>
      <w:r w:rsidR="004034C1" w:rsidRPr="00BE0F39">
        <w:rPr>
          <w:lang w:val="ru-RU"/>
        </w:rPr>
        <w:t>[73,91,92]</w:t>
      </w:r>
      <w:r w:rsidR="00C15198" w:rsidRPr="00A83E0C">
        <w:rPr>
          <w:rFonts w:eastAsia="GalsLightC"/>
          <w:lang w:val="ru-RU"/>
        </w:rPr>
        <w:fldChar w:fldCharType="end"/>
      </w:r>
      <w:r w:rsidRPr="00A83E0C">
        <w:rPr>
          <w:rFonts w:eastAsia="GalsLightC"/>
          <w:lang w:val="ru-RU"/>
        </w:rPr>
        <w:t xml:space="preserve">. Поэтому считается недопустимым необоснованный отказ в проведении лечения даже при запущенной стадии. </w:t>
      </w:r>
    </w:p>
    <w:p w14:paraId="2EFAFA19" w14:textId="30FF5F8C" w:rsidR="00945AAD" w:rsidRDefault="00945AAD" w:rsidP="00945AAD">
      <w:pPr>
        <w:pStyle w:val="3"/>
        <w:rPr>
          <w:rFonts w:eastAsia="BlissPro-ExtraBold"/>
          <w:lang w:val="ru-RU"/>
        </w:rPr>
      </w:pPr>
      <w:bookmarkStart w:id="34" w:name="_Toc158632231"/>
      <w:r>
        <w:rPr>
          <w:rFonts w:eastAsia="BlissPro-ExtraBold"/>
          <w:lang w:val="ru-RU"/>
        </w:rPr>
        <w:t>7.1 Особенности</w:t>
      </w:r>
      <w:r w:rsidRPr="004E104D">
        <w:rPr>
          <w:rFonts w:eastAsia="BlissPro-ExtraBold"/>
          <w:lang w:val="ru-RU"/>
        </w:rPr>
        <w:t xml:space="preserve"> редких гистологических подтипов новообразований экзокринной части поджелудочной железы</w:t>
      </w:r>
      <w:bookmarkEnd w:id="34"/>
    </w:p>
    <w:p w14:paraId="54429329" w14:textId="75DF782F" w:rsidR="00945AAD" w:rsidRPr="004E104D" w:rsidRDefault="00945AAD" w:rsidP="004E104D">
      <w:pPr>
        <w:rPr>
          <w:rFonts w:eastAsia="BlissPro-Light"/>
          <w:lang w:val="ru-RU"/>
        </w:rPr>
      </w:pPr>
      <w:r w:rsidRPr="004E104D">
        <w:rPr>
          <w:rFonts w:eastAsia="BlissPro-Light"/>
          <w:u w:val="single"/>
          <w:lang w:val="ru-RU"/>
        </w:rPr>
        <w:t>Солидные псевдопапиллярные опухоли</w:t>
      </w:r>
      <w:r w:rsidRPr="004E104D">
        <w:rPr>
          <w:rFonts w:eastAsia="BlissPro-Light"/>
          <w:lang w:val="ru-RU"/>
        </w:rPr>
        <w:t xml:space="preserve"> встречаются в менее чем 1% случаев из всех новообразований поджелудочной железы, преимущественно у женщин (в 90% случаев) в молодом возрасте (средний возраст 20 лет). Если ранее они классифицировались как опухоли с неопределенным потенциалом злокачественности, то в настоящее время они рассматриваются как опухоли с низкой степенью злокачественности</w:t>
      </w:r>
      <w:r w:rsidR="009F04AE">
        <w:rPr>
          <w:rFonts w:eastAsia="BlissPro-Light"/>
          <w:lang w:val="ru-RU"/>
        </w:rPr>
        <w:fldChar w:fldCharType="begin"/>
      </w:r>
      <w:r w:rsidR="004034C1">
        <w:rPr>
          <w:rFonts w:eastAsia="BlissPro-Light"/>
          <w:lang w:val="ru-RU"/>
        </w:rPr>
        <w:instrText xml:space="preserve"> ADDIN ZOTERO_ITEM CSL_CITATION {"citationID":"B64opIx6","properties":{"formattedCitation":"[188\\uc0\\u8211{}190]","plainCitation":"[188–190]","noteIndex":0},"citationItems":[{"id":1443,"uris":["http://zotero.org/users/5363772/items/ZTGGNTUE"],"itemData":{"id":1443,"type":"article-journal","abstract":"Background and aim. Solid pseudopapillary tumor (SPT) of the pancreas is a rare pathological condition, representing less than 3% of all exocrine pancreatic tumors. SPT usually occurs in young females, without notable symptoms, with a low malignant potential and excellent prognosis.Method. We conducted a retrospective study during the period January 2005 - January 2015. SPT patients admitted in our institution were reviewed by describing demographic data, clinico-pathologic and radiological features, therapeutic management and prognosis records.Results. Thirteen patients with SPT were identified (10 females), with a median age of 30 years. The main clinical presentation was abdominal pain (92.3%). The tumor was mostly located in the body or tail of the pancreas (77%), and the mean size was 8.2 cm. Regarding the surgical approach there were 5 distal pancreatectomies with splenectomy, 3 body and tail pancreatectomies, 2 body and tail pancreatectomies with splenectomy, 2 pancreato-duodenectomy, 1 partial enucleation and of all only 2 partial resections. Postoperative hematoxylin- eosin staining and immunohistochemistry confirmed the diagnosis in all cases. None of the patients had lymph nodes metastases. Only one local invasion. There was one case of death due to postoperative complications. Four cases followed adjuvant systemic chemotherapy. The mean follow-up was 18 months, without evidence of recurrence during this period.Conclusion. SPT should always be considered in the differential diagnosis in young women with a pancreatic tumor. Complete surgical excision is the treatment of choice, and is usually curative. The decision to administer systemic therapy must be individualized. Malignant behavior and late recurrences mandates long-term follow-up for patients with SPT.","container-title":"Medicine and Pharmacy Reports","DOI":"10.15386/cjmed-672","ISSN":"2668-0572, 2602-0807","issue":"2","journalAbbreviation":"Medicine and Pharmacy Reports","page":"171-178","source":"DOI.org (Crossref)","title":"Solid pseudopapillary tumor of the pancreas: clinical-pathological features and management of 13 cases","title-short":"Solid pseudopapillary tumor of the pancreas","volume":"90","author":[{"family":"Bochis","given":"Ovidiu Vasile"},{"family":"Bota","given":"Madalina"},{"family":"Mihut","given":"Emilia"},{"family":"Buiga","given":"Rares"},{"family":"Hazbei","given":"Dan Samoila"},{"family":"Irimie","given":"Alexandru"}],"issued":{"date-parts":[["2017",4,26]]}}},{"id":1445,"uris":["http://zotero.org/users/5363772/items/JGEDD2M7"],"itemData":{"id":1445,"type":"article-journal","container-title":"American Journal of Roentgenology","DOI":"10.2214/AJR.05.0569","ISSN":"0361-803X, 1546-3141","issue":"2","journalAbbreviation":"American Journal of Roentgenology","language":"en","page":"W178-W186","source":"DOI.org (Crossref)","title":"Solid Pseudopapillary Tumor of the Pancreas: Typical and Atypical Manifestations","title-short":"Solid Pseudopapillary Tumor of the Pancreas","volume":"187","author":[{"family":"Choi","given":"Jin-Young"},{"family":"Kim","given":"Myeong-Jin"},{"family":"Kim","given":"Joo Hee"},{"family":"Kim","given":"Seung Hyoung"},{"family":"Lim","given":"Joon Sok"},{"family":"Oh","given":"Young Taik"},{"family":"Chung","given":"Jae-Joon"},{"family":"Yoo","given":"Hyung Sik"},{"family":"Lee","given":"Jong Tae"},{"family":"Kim","given":"Ki Whang"}],"issued":{"date-parts":[["2006",8]]}}},{"id":1442,"uris":["http://zotero.org/users/5363772/items/GLRQ6FQU"],"itemData":{"id":1442,"type":"article-journal","container-title":"Canadian Journal of Surgery","DOI":"10.1503/cjs.011810","ISSN":"0008428X","issue":"6","journalAbbreviation":"Can J Surg","page":"368-374","source":"DOI.org (Crossref)","title":"Diagnosis and surgical treatment of solid pseudopapillary neoplasm of the pancreas: analysis of 24 cases","title-short":"Diagnosis and surgical treatment of solid pseudopapillary neoplasm of the pancreas","volume":"54","author":[{"family":"Guo","given":"Ning"}],"issued":{"date-parts":[["2011",12,1]]}}}],"schema":"https://github.com/citation-style-language/schema/raw/master/csl-citation.json"} </w:instrText>
      </w:r>
      <w:r w:rsidR="009F04AE">
        <w:rPr>
          <w:rFonts w:eastAsia="BlissPro-Light"/>
          <w:lang w:val="ru-RU"/>
        </w:rPr>
        <w:fldChar w:fldCharType="separate"/>
      </w:r>
      <w:r w:rsidR="004034C1" w:rsidRPr="00BE0F39">
        <w:rPr>
          <w:lang w:val="ru-RU"/>
        </w:rPr>
        <w:t>[188–190]</w:t>
      </w:r>
      <w:r w:rsidR="009F04AE">
        <w:rPr>
          <w:rFonts w:eastAsia="BlissPro-Light"/>
          <w:lang w:val="ru-RU"/>
        </w:rPr>
        <w:fldChar w:fldCharType="end"/>
      </w:r>
      <w:r w:rsidRPr="004E104D">
        <w:rPr>
          <w:rFonts w:eastAsia="BlissPro-Light"/>
          <w:lang w:val="ru-RU"/>
        </w:rPr>
        <w:t xml:space="preserve">. </w:t>
      </w:r>
    </w:p>
    <w:p w14:paraId="1914747F" w14:textId="77777777" w:rsidR="00945AAD" w:rsidRPr="004E104D" w:rsidRDefault="00945AAD" w:rsidP="004E104D">
      <w:pPr>
        <w:rPr>
          <w:rFonts w:eastAsia="BlissPro-Light"/>
          <w:lang w:val="ru-RU"/>
        </w:rPr>
      </w:pPr>
      <w:r w:rsidRPr="004E104D">
        <w:rPr>
          <w:rFonts w:eastAsia="BlissPro-Light"/>
          <w:lang w:val="ru-RU"/>
        </w:rPr>
        <w:t xml:space="preserve">Опухоли обладают индолентным течением. Прогноз благоприятный. Отдаленные метастазы выявляются в ≈8% случаев. Лечение преимущественно хирургическое, включая случаи с отдаленными метастазами. Частота рецидивов составляет менее 5%. Адъювантная терапия как правило не используется. </w:t>
      </w:r>
    </w:p>
    <w:p w14:paraId="40C5F57E" w14:textId="65725B17" w:rsidR="00945AAD" w:rsidRPr="004E104D" w:rsidRDefault="00945AAD" w:rsidP="004E104D">
      <w:pPr>
        <w:rPr>
          <w:rFonts w:eastAsia="BlissPro-Light"/>
          <w:lang w:val="ru-RU"/>
        </w:rPr>
      </w:pPr>
      <w:r w:rsidRPr="004E104D">
        <w:rPr>
          <w:rFonts w:eastAsia="BlissPro-Light"/>
          <w:lang w:val="ru-RU"/>
        </w:rPr>
        <w:t>Для пациентов с неоперабельными метастазами протоколов химиотерапии не разработано, и опубликованные наблюдения указывают на невысокую непосредственную эффективность химиотерапии, хотя индолентное течение обеспечивает продолжительную стабилизацию. Эти опухоли часто экспрессируют рецепторы половых гормонов, и эндокринная терапия тамоксифеном или ингибиторами ароматазы в сочетании с овариальной супрессией при необходимости может быть рассмотрена</w:t>
      </w:r>
      <w:r w:rsidR="009F04AE">
        <w:rPr>
          <w:rFonts w:eastAsia="BlissPro-Light"/>
          <w:lang w:val="ru-RU"/>
        </w:rPr>
        <w:fldChar w:fldCharType="begin"/>
      </w:r>
      <w:r w:rsidR="004034C1">
        <w:rPr>
          <w:rFonts w:eastAsia="BlissPro-Light"/>
          <w:lang w:val="ru-RU"/>
        </w:rPr>
        <w:instrText xml:space="preserve"> ADDIN ZOTERO_ITEM CSL_CITATION {"citationID":"7oxllyuV","properties":{"formattedCitation":"[188\\uc0\\u8211{}190]","plainCitation":"[188–190]","noteIndex":0},"citationItems":[{"id":1443,"uris":["http://zotero.org/users/5363772/items/ZTGGNTUE"],"itemData":{"id":1443,"type":"article-journal","abstract":"Background and aim. Solid pseudopapillary tumor (SPT) of the pancreas is a rare pathological condition, representing less than 3% of all exocrine pancreatic tumors. SPT usually occurs in young females, without notable symptoms, with a low malignant potential and excellent prognosis.Method. We conducted a retrospective study during the period January 2005 - January 2015. SPT patients admitted in our institution were reviewed by describing demographic data, clinico-pathologic and radiological features, therapeutic management and prognosis records.Results. Thirteen patients with SPT were identified (10 females), with a median age of 30 years. The main clinical presentation was abdominal pain (92.3%). The tumor was mostly located in the body or tail of the pancreas (77%), and the mean size was 8.2 cm. Regarding the surgical approach there were 5 distal pancreatectomies with splenectomy, 3 body and tail pancreatectomies, 2 body and tail pancreatectomies with splenectomy, 2 pancreato-duodenectomy, 1 partial enucleation and of all only 2 partial resections. Postoperative hematoxylin- eosin staining and immunohistochemistry confirmed the diagnosis in all cases. None of the patients had lymph nodes metastases. Only one local invasion. There was one case of death due to postoperative complications. Four cases followed adjuvant systemic chemotherapy. The mean follow-up was 18 months, without evidence of recurrence during this period.Conclusion. SPT should always be considered in the differential diagnosis in young women with a pancreatic tumor. Complete surgical excision is the treatment of choice, and is usually curative. The decision to administer systemic therapy must be individualized. Malignant behavior and late recurrences mandates long-term follow-up for patients with SPT.","container-title":"Medicine and Pharmacy Reports","DOI":"10.15386/cjmed-672","ISSN":"2668-0572, 2602-0807","issue":"2","journalAbbreviation":"Medicine and Pharmacy Reports","page":"171-178","source":"DOI.org (Crossref)","title":"Solid pseudopapillary tumor of the pancreas: clinical-pathological features and management of 13 cases","title-short":"Solid pseudopapillary tumor of the pancreas","volume":"90","author":[{"family":"Bochis","given":"Ovidiu Vasile"},{"family":"Bota","given":"Madalina"},{"family":"Mihut","given":"Emilia"},{"family":"Buiga","given":"Rares"},{"family":"Hazbei","given":"Dan Samoila"},{"family":"Irimie","given":"Alexandru"}],"issued":{"date-parts":[["2017",4,26]]}}},{"id":1445,"uris":["http://zotero.org/users/5363772/items/JGEDD2M7"],"itemData":{"id":1445,"type":"article-journal","container-title":"American Journal of Roentgenology","DOI":"10.2214/AJR.05.0569","ISSN":"0361-803X, 1546-3141","issue":"2","journalAbbreviation":"American Journal of Roentgenology","language":"en","page":"W178-W186","source":"DOI.org (Crossref)","title":"Solid Pseudopapillary Tumor of the Pancreas: Typical and Atypical Manifestations","title-short":"Solid Pseudopapillary Tumor of the Pancreas","volume":"187","author":[{"family":"Choi","given":"Jin-Young"},{"family":"Kim","given":"Myeong-Jin"},{"family":"Kim","given":"Joo Hee"},{"family":"Kim","given":"Seung Hyoung"},{"family":"Lim","given":"Joon Sok"},{"family":"Oh","given":"Young Taik"},{"family":"Chung","given":"Jae-Joon"},{"family":"Yoo","given":"Hyung Sik"},{"family":"Lee","given":"Jong Tae"},{"family":"Kim","given":"Ki Whang"}],"issued":{"date-parts":[["2006",8]]}}},{"id":1442,"uris":["http://zotero.org/users/5363772/items/GLRQ6FQU"],"itemData":{"id":1442,"type":"article-journal","container-title":"Canadian Journal of Surgery","DOI":"10.1503/cjs.011810","ISSN":"0008428X","issue":"6","journalAbbreviation":"Can J Surg","page":"368-374","source":"DOI.org (Crossref)","title":"Diagnosis and surgical treatment of solid pseudopapillary neoplasm of the pancreas: analysis of 24 cases","title-short":"Diagnosis and surgical treatment of solid pseudopapillary neoplasm of the pancreas","volume":"54","author":[{"family":"Guo","given":"Ning"}],"issued":{"date-parts":[["2011",12,1]]}}}],"schema":"https://github.com/citation-style-language/schema/raw/master/csl-citation.json"} </w:instrText>
      </w:r>
      <w:r w:rsidR="009F04AE">
        <w:rPr>
          <w:rFonts w:eastAsia="BlissPro-Light"/>
          <w:lang w:val="ru-RU"/>
        </w:rPr>
        <w:fldChar w:fldCharType="separate"/>
      </w:r>
      <w:r w:rsidR="004034C1" w:rsidRPr="00BE0F39">
        <w:rPr>
          <w:lang w:val="ru-RU"/>
        </w:rPr>
        <w:t>[188–190]</w:t>
      </w:r>
      <w:r w:rsidR="009F04AE">
        <w:rPr>
          <w:rFonts w:eastAsia="BlissPro-Light"/>
          <w:lang w:val="ru-RU"/>
        </w:rPr>
        <w:fldChar w:fldCharType="end"/>
      </w:r>
      <w:r w:rsidRPr="004E104D">
        <w:rPr>
          <w:rFonts w:eastAsia="BlissPro-Light"/>
          <w:lang w:val="ru-RU"/>
        </w:rPr>
        <w:t xml:space="preserve">. </w:t>
      </w:r>
    </w:p>
    <w:p w14:paraId="0567B5F3" w14:textId="77777777" w:rsidR="00945AAD" w:rsidRPr="004E104D" w:rsidRDefault="00945AAD" w:rsidP="004E104D">
      <w:pPr>
        <w:rPr>
          <w:rFonts w:eastAsia="BlissPro-Light"/>
          <w:lang w:val="ru-RU"/>
        </w:rPr>
      </w:pPr>
      <w:r w:rsidRPr="004E104D">
        <w:rPr>
          <w:rFonts w:eastAsia="BlissPro-Light"/>
          <w:u w:val="single"/>
          <w:lang w:val="ru-RU"/>
        </w:rPr>
        <w:lastRenderedPageBreak/>
        <w:t>Ацинарные карциномы и смешанные ацинарно-эндокринные карциномы</w:t>
      </w:r>
      <w:r w:rsidRPr="004E104D">
        <w:rPr>
          <w:rFonts w:eastAsia="BlissPro-Light"/>
          <w:lang w:val="ru-RU"/>
        </w:rPr>
        <w:t xml:space="preserve"> отличаются более благоприятным течением по сравнению с протоковыми карциномами. Общие принципы лечения не отличаются от таковых для протокового рака поджелудочной железы. Смешанные ацинарно-эндокринные карциномы также лечатся по принципам лечения экзокринного рака. </w:t>
      </w:r>
    </w:p>
    <w:p w14:paraId="76BBD037" w14:textId="707299AC" w:rsidR="00945AAD" w:rsidRPr="004E104D" w:rsidRDefault="00945AAD" w:rsidP="004E104D">
      <w:pPr>
        <w:rPr>
          <w:rFonts w:eastAsia="BlissPro-Light"/>
          <w:lang w:val="ru-RU"/>
        </w:rPr>
      </w:pPr>
      <w:r w:rsidRPr="004E104D">
        <w:rPr>
          <w:rFonts w:eastAsia="BlissPro-Light"/>
          <w:lang w:val="ru-RU"/>
        </w:rPr>
        <w:t xml:space="preserve">На молекулярном уровне в этих опухолях редко встречаются мутации </w:t>
      </w:r>
      <w:r w:rsidRPr="004E104D">
        <w:rPr>
          <w:rFonts w:eastAsia="BlissPro-Light"/>
          <w:i/>
          <w:iCs/>
        </w:rPr>
        <w:t>KRAS</w:t>
      </w:r>
      <w:r w:rsidRPr="004E104D">
        <w:rPr>
          <w:rFonts w:eastAsia="BlissPro-Light"/>
          <w:lang w:val="ru-RU"/>
        </w:rPr>
        <w:t xml:space="preserve">. Среди молекулярных нарушений, заслуживающих внимание, следует выделить альтерации </w:t>
      </w:r>
      <w:r w:rsidRPr="004E104D">
        <w:rPr>
          <w:rFonts w:eastAsia="BlissPro-Light"/>
          <w:i/>
          <w:iCs/>
        </w:rPr>
        <w:t>BRAF</w:t>
      </w:r>
      <w:r w:rsidRPr="004E104D">
        <w:rPr>
          <w:rFonts w:eastAsia="BlissPro-Light"/>
          <w:lang w:val="ru-RU"/>
        </w:rPr>
        <w:t xml:space="preserve">. Хотя мутации </w:t>
      </w:r>
      <w:r w:rsidRPr="004E104D">
        <w:rPr>
          <w:rFonts w:eastAsia="BlissPro-Light"/>
          <w:i/>
          <w:iCs/>
        </w:rPr>
        <w:t>BRAF</w:t>
      </w:r>
      <w:r w:rsidRPr="004E104D">
        <w:rPr>
          <w:rFonts w:eastAsia="BlissPro-Light"/>
          <w:lang w:val="ru-RU"/>
        </w:rPr>
        <w:t xml:space="preserve"> выявляются редко, в 23% случаев выявляются перестройки </w:t>
      </w:r>
      <w:r w:rsidRPr="004E104D">
        <w:rPr>
          <w:rFonts w:eastAsia="BlissPro-Light"/>
          <w:i/>
          <w:iCs/>
        </w:rPr>
        <w:t>BRAF</w:t>
      </w:r>
      <w:r w:rsidRPr="004E104D">
        <w:rPr>
          <w:rFonts w:eastAsia="BlissPro-Light"/>
          <w:lang w:val="ru-RU"/>
        </w:rPr>
        <w:t xml:space="preserve"> или </w:t>
      </w:r>
      <w:r w:rsidRPr="004E104D">
        <w:rPr>
          <w:rFonts w:eastAsia="BlissPro-Light"/>
          <w:i/>
          <w:iCs/>
        </w:rPr>
        <w:t>RAF</w:t>
      </w:r>
      <w:r w:rsidRPr="004E104D">
        <w:rPr>
          <w:rFonts w:eastAsia="BlissPro-Light"/>
          <w:i/>
          <w:iCs/>
          <w:lang w:val="ru-RU"/>
        </w:rPr>
        <w:t>1</w:t>
      </w:r>
      <w:r w:rsidRPr="004E104D">
        <w:rPr>
          <w:rFonts w:eastAsia="BlissPro-Light"/>
          <w:lang w:val="ru-RU"/>
        </w:rPr>
        <w:t xml:space="preserve"> (например, слияние </w:t>
      </w:r>
      <w:r w:rsidRPr="004E104D">
        <w:rPr>
          <w:rFonts w:eastAsia="BlissPro-Light"/>
          <w:i/>
          <w:iCs/>
        </w:rPr>
        <w:t>SND</w:t>
      </w:r>
      <w:r w:rsidRPr="004E104D">
        <w:rPr>
          <w:rFonts w:eastAsia="BlissPro-Light"/>
          <w:i/>
          <w:iCs/>
          <w:lang w:val="ru-RU"/>
        </w:rPr>
        <w:t>1-</w:t>
      </w:r>
      <w:r w:rsidRPr="004E104D">
        <w:rPr>
          <w:rFonts w:eastAsia="BlissPro-Light"/>
          <w:i/>
          <w:iCs/>
        </w:rPr>
        <w:t>BRAF</w:t>
      </w:r>
      <w:r w:rsidRPr="004E104D">
        <w:rPr>
          <w:rFonts w:eastAsia="BlissPro-Light"/>
          <w:lang w:val="ru-RU"/>
        </w:rPr>
        <w:t xml:space="preserve">), что делает эти опухоли потенциально чувствительными к терапии ингибиторами МЕК. Анализ небольших работ показывает также более высокую частоту мутаций в генах </w:t>
      </w:r>
      <w:r w:rsidRPr="004E104D">
        <w:rPr>
          <w:rFonts w:eastAsia="BlissPro-Light"/>
          <w:i/>
          <w:iCs/>
        </w:rPr>
        <w:t>BRCA</w:t>
      </w:r>
      <w:r w:rsidRPr="004E104D">
        <w:rPr>
          <w:rFonts w:eastAsia="BlissPro-Light"/>
          <w:lang w:val="ru-RU"/>
        </w:rPr>
        <w:t xml:space="preserve"> и </w:t>
      </w:r>
      <w:r w:rsidRPr="004E104D">
        <w:rPr>
          <w:rFonts w:eastAsia="BlissPro-Light"/>
        </w:rPr>
        <w:t>MSI</w:t>
      </w:r>
      <w:r w:rsidRPr="004E104D">
        <w:rPr>
          <w:rFonts w:eastAsia="BlissPro-Light"/>
          <w:lang w:val="ru-RU"/>
        </w:rPr>
        <w:t>-</w:t>
      </w:r>
      <w:r w:rsidRPr="004E104D">
        <w:rPr>
          <w:rFonts w:eastAsia="BlissPro-Light"/>
        </w:rPr>
        <w:t>H</w:t>
      </w:r>
      <w:r w:rsidRPr="004E104D">
        <w:rPr>
          <w:rFonts w:eastAsia="BlissPro-Light"/>
          <w:lang w:val="ru-RU"/>
        </w:rPr>
        <w:t xml:space="preserve"> при ацинарных карциномах поджелудочной железы</w:t>
      </w:r>
      <w:r w:rsidR="009F04AE">
        <w:rPr>
          <w:rFonts w:eastAsia="BlissPro-Light"/>
          <w:lang w:val="ru-RU"/>
        </w:rPr>
        <w:fldChar w:fldCharType="begin"/>
      </w:r>
      <w:r w:rsidR="004034C1">
        <w:rPr>
          <w:rFonts w:eastAsia="BlissPro-Light"/>
          <w:lang w:val="ru-RU"/>
        </w:rPr>
        <w:instrText xml:space="preserve"> ADDIN ZOTERO_ITEM CSL_CITATION {"citationID":"qGLy6NzO","properties":{"formattedCitation":"[134,191\\uc0\\u8211{}193]","plainCitation":"[134,191–193]","noteIndex":0},"citationItems":[{"id":1340,"uris":["http://zotero.org/users/5363772/items/F48H3N4S"],"itemData":{"id":1340,"type":"article-journal","container-title":"JCO Precision Oncology","DOI":"10.1200/PO.21.00400","ISSN":"2473-4284","issue":"6","journalAbbreviation":"JCO Precision Oncology","language":"en","page":"e2100400","source":"DOI.org (Crossref)","title":"Exceptional Clinical Response to Alectinib in Pancreatic Acinar Cell Carcinoma With a Novel ALK-KANK4 Gene Fusion","author":[{"family":"Gaule","given":"Marina"},{"family":"Pesoni","given":"Camilla"},{"family":"Quinzii","given":"Alberto"},{"family":"Zecchetto","given":"Camilla"},{"family":"Casalino","given":"Simona"},{"family":"Merz","given":"Valeria"},{"family":"Contarelli","given":"Serena"},{"family":"Pietrobono","given":"Silvia"},{"family":"Vissio","given":"Elena"},{"family":"Molinaro","given":"Luca"},{"family":"Manzin","given":"Enrica"},{"family":"Volpatto","given":"Roberta"},{"family":"Vellani","given":"Giorgio"},{"family":"Melisi","given":"Davide"}],"issued":{"date-parts":[["2022",5]]}}},{"id":1447,"uris":["http://zotero.org/users/5363772/items/HX76ATFX"],"itemData":{"id":1447,"type":"article-journal","container-title":"World Journal of Gastroenterology","DOI":"10.3748/wjg.v28.i40.5827","ISSN":"1007-9327","issue":"40","journalAbbreviation":"World J Gastroenterol","page":"5827-5844","source":"DOI.org (Crossref)","title":"Pancreatic acinar cell carcinoma: A comprehensive review","title-short":"Pancreatic acinar cell carcinoma","volume":"28","author":[{"family":"Calimano-Ramirez","given":"Luis Fernando"},{"family":"Daoud","given":"Taher"},{"family":"Gopireddy","given":"Dheeraj Reddy"},{"family":"Morani","given":"Ajaykumar C"},{"family":"Waters","given":"Rebecca"},{"family":"Gumus","given":"Kazim"},{"family":"Klekers","given":"Albert Russell"},{"family":"Bhosale","given":"Priya R"},{"family":"Virarkar","given":"Mayur K"}],"issued":{"date-parts":[["2022",10,21]]}}},{"id":761,"uris":["http://zotero.org/users/5363772/items/QJN9FTX8"],"itemData":{"id":761,"type":"article-journal","abstract":"Pancreatic acinar cell carcinomas (PACC) account for approximately 1% (</w:instrText>
      </w:r>
      <w:r w:rsidR="004034C1">
        <w:rPr>
          <w:rFonts w:ascii="Cambria Math" w:eastAsia="BlissPro-Light" w:hAnsi="Cambria Math" w:cs="Cambria Math"/>
          <w:lang w:val="ru-RU"/>
        </w:rPr>
        <w:instrText>∼</w:instrText>
      </w:r>
      <w:r w:rsidR="004034C1">
        <w:rPr>
          <w:rFonts w:eastAsia="BlissPro-Light"/>
          <w:lang w:val="ru-RU"/>
        </w:rPr>
        <w:instrText xml:space="preserve">500 cases) of pancreatic cancer diagnoses annually in the United States. Oncogenic therapuetic targets have proven elusive in this disease, and chemotherapy and radiotherapy have demonstrated limited efﬁcacy against these tumors. Comprehensive genomic proﬁling of a large series of PACCs (n = 44) identiﬁed recurrent rearrangements involving BRAF and RAF1 (CRAF) in approximately 23% of tumors. The most prevalent fusion, SND1–BRAF, resulted in activation of the MAPK pathway, which was abrogated with MEK inhibition. SND1–BRAF-transformed cells were sensitive to treatment with the MEK inhibitor trametinib. PACCs lacking RAF rearrangements were signiﬁcantly enriched for genomic alterations, causing inactivation of DNA repair genes (45%); these genomic alterations have been associated with sensitivity to platinum-based therapies and PARP inhibitors. Collectively, these results identify potentially actionable genomic alterations in the majority of PACCs and provide a rationale for using personalized therapies in this disease.","container-title":"Cancer Discovery","DOI":"10.1158/2159-8290.CD-14-0617","ISSN":"2159-8274, 2159-8290","issue":"12","journalAbbreviation":"Cancer Discovery","language":"en","page":"1398-1405","source":"DOI.org (Crossref)","title":"Comprehensive Genomic Profiling of Pancreatic Acinar Cell Carcinomas Identifies Recurrent RAF Fusions and Frequent Inactivation of DNA Repair Genes","volume":"4","author":[{"family":"Chmielecki","given":"J."},{"family":"Hutchinson","given":"K. E."},{"family":"Frampton","given":"G. M."},{"family":"Chalmers","given":"Z. R."},{"family":"Johnson","given":"A."},{"family":"Shi","given":"C."},{"family":"Elvin","given":"J."},{"family":"Ali","given":"S. M."},{"family":"Ross","given":"J. S."},{"family":"Basturk","given":"O."},{"family":"Balasubramanian","given":"S."},{"family":"Lipson","given":"D."},{"family":"Yelensky","given":"R."},{"family":"Pao","given":"W."},{"family":"Miller","given":"V. A."},{"family":"Klimstra","given":"D. S."},{"family":"Stephens","given":"P. J."}],"issued":{"date-parts":[["2014",12,1]]}}},{"id":773,"uris":["http://zotero.org/users/5363772/items/3NARMJFM"],"itemData":{"id":773,"type":"article-journal","container-title":"Virchows Archiv","DOI":"10.1007/s00428-014-1562-1","ISSN":"0945-6317, 1432-2307","issue":"5","journalAbbreviation":"Virchows Arch","language":"en","page":"553-564","source":"DOI.org (Crossref)","title":"APC alterations are frequently involved in the pathogenesis of acinar cell carcinoma of the pancreas, mainly through gene loss and promoter hypermethylation","volume":"464","author":[{"family":"Furlan","given":"Daniela"},{"family":"Sahnane","given":"Nora"},{"family":"Bernasconi","given":"Barbara"},{"family":"Frattini","given":"Milo"},{"family":"Tibiletti","given":"Maria Grazia"},{"family":"Molinari","given":"Francesca"},{"family":"Marando","given":"Alessandro"},{"family":"Zhang","given":"Lizhi"},{"family":"Vanoli","given":"Alessandro"},{"family":"Casnedi","given":"Selenia"},{"family":"Adsay","given":"Volkan"},{"family":"Notohara","given":"Kenji"},{"family":"Albarello","given":"Luca"},{"family":"Asioli","given":"Sofia"},{"family":"Sessa","given":"Fausto"},{"family":"Capella","given":"Carlo"},{"family":"La Rosa","given":"Stefano"}],"issued":{"date-parts":[["2014",5]]}}}],"schema":"https://github.com/citation-style-language/schema/raw/master/csl-citation.json"} </w:instrText>
      </w:r>
      <w:r w:rsidR="009F04AE">
        <w:rPr>
          <w:rFonts w:eastAsia="BlissPro-Light"/>
          <w:lang w:val="ru-RU"/>
        </w:rPr>
        <w:fldChar w:fldCharType="separate"/>
      </w:r>
      <w:r w:rsidR="004034C1" w:rsidRPr="00BE0F39">
        <w:rPr>
          <w:lang w:val="ru-RU"/>
        </w:rPr>
        <w:t>[134,191–193]</w:t>
      </w:r>
      <w:r w:rsidR="009F04AE">
        <w:rPr>
          <w:rFonts w:eastAsia="BlissPro-Light"/>
          <w:lang w:val="ru-RU"/>
        </w:rPr>
        <w:fldChar w:fldCharType="end"/>
      </w:r>
      <w:r w:rsidRPr="004E104D">
        <w:rPr>
          <w:rFonts w:eastAsia="BlissPro-Light"/>
          <w:lang w:val="ru-RU"/>
        </w:rPr>
        <w:t xml:space="preserve">. </w:t>
      </w:r>
    </w:p>
    <w:p w14:paraId="1E2FBCE0" w14:textId="1FEE478C" w:rsidR="00945AAD" w:rsidRPr="004E104D" w:rsidRDefault="00945AAD" w:rsidP="004E104D">
      <w:pPr>
        <w:rPr>
          <w:rFonts w:eastAsia="BlissPro-Light"/>
          <w:lang w:val="ru-RU"/>
        </w:rPr>
      </w:pPr>
      <w:r w:rsidRPr="004E104D">
        <w:rPr>
          <w:rFonts w:eastAsia="BlissPro-Light"/>
          <w:u w:val="single"/>
          <w:lang w:val="ru-RU"/>
        </w:rPr>
        <w:t xml:space="preserve">Внутрипротоковая папиллярная муцинозная опухоль, ассоциированная с инвазивной аденокарциномой, и муцинозная кистозная опухоль, ассоциированная с инвазивной аденокарциномой, </w:t>
      </w:r>
      <w:r w:rsidRPr="004E104D">
        <w:rPr>
          <w:rFonts w:eastAsia="BlissPro-Light"/>
          <w:lang w:val="ru-RU"/>
        </w:rPr>
        <w:t>являются группой опухолей, возникших на фоне озлокачествления доброкачественных кистозных новообразований. Их прогноз определяется биологией злокачественного компонента и распространенностью процесса. Накопленный опыт не позволяет сформировать особый алгоритм лечения. Поэтому рекомендуется следовать тем же правилам, которые сформированы для классического протокового рака</w:t>
      </w:r>
      <w:r w:rsidR="009F04AE">
        <w:rPr>
          <w:rFonts w:eastAsia="BlissPro-Light"/>
          <w:lang w:val="ru-RU"/>
        </w:rPr>
        <w:fldChar w:fldCharType="begin"/>
      </w:r>
      <w:r w:rsidR="004034C1">
        <w:rPr>
          <w:rFonts w:eastAsia="BlissPro-Light"/>
          <w:lang w:val="ru-RU"/>
        </w:rPr>
        <w:instrText xml:space="preserve"> ADDIN ZOTERO_ITEM CSL_CITATION {"citationID":"DpvVQkgA","properties":{"formattedCitation":"[194\\uc0\\u8211{}196]","plainCitation":"[194–196]","noteIndex":0},"citationItems":[{"id":1451,"uris":["http://zotero.org/users/5363772/items/TE5B3BQE"],"itemData":{"id":1451,"type":"article-journal","container-title":"European Journal of Surgical Oncology","DOI":"10.1016/j.ejso.2021.12.009","ISSN":"07487983","issue":"6","journalAbbreviation":"European Journal of Surgical Oncology","language":"en","page":"1309-1320","source":"DOI.org (Crossref)","title":"IPMN-associated pancreatic cancer: Survival, prognostic staging and impact of adjuvant chemotherapy","title-short":"IPMN-associated pancreatic cancer","volume":"48","author":[{"family":"Kaiser","given":"Joerg"},{"family":"Scheifele","given":"Cornelius"},{"family":"Hinz","given":"Ulf"},{"family":"Leonhardt","given":"Carl-Stephan"},{"family":"Hank","given":"Thomas"},{"family":"Koenig","given":"Anna-Katharina"},{"family":"Tjaden","given":"Christine"},{"family":"Hackert","given":"Thilo"},{"family":"Bergmann","given":"Frank"},{"family":"Büchler","given":"Markus W."},{"family":"Strobel","given":"Oliver"}],"issued":{"date-parts":[["2022",6]]}}},{"id":9,"uris":["http://zotero.org/users/5363772/items/YKQ35GY4"],"itemData":{"id":9,"type":"article-journal","container-title":"Gut","DOI":"10.1136/gutjnl-2018-316151","ISSN":"0017-5749, 1468-3288","issue":"9","language":"en","page":"1561-1563","source":"Crossref","title":"Genetic unrelatedness of co-occurring pancreatic adenocarcinomas and IPMNs challenges current views of clinical management","volume":"67","author":[{"family":"Scarpa","given":"Aldo"},{"family":"Real","given":"Francisco X"},{"family":"Luchini","given":"Claudio"}],"issued":{"date-parts":[["2018",9]]}}},{"id":1452,"uris":["http://zotero.org/users/5363772/items/ZTW6VYB6"],"itemData":{"id":1452,"type":"article-journal","container-title":"World Journal of Gastrointestinal Surgery","DOI":"10.4240/wjgs.v2.i10.359","ISSN":"1948-9366","issue":"10","journalAbbreviation":"WJGS","language":"en","page":"359","source":"DOI.org (Crossref)","title":"Prognosis of invasive intraductal papillary mucinous neoplasms of the pancreas","volume":"2","author":[{"family":"Yopp","given":"Adam C"}],"issued":{"date-parts":[["2010"]]}}}],"schema":"https://github.com/citation-style-language/schema/raw/master/csl-citation.json"} </w:instrText>
      </w:r>
      <w:r w:rsidR="009F04AE">
        <w:rPr>
          <w:rFonts w:eastAsia="BlissPro-Light"/>
          <w:lang w:val="ru-RU"/>
        </w:rPr>
        <w:fldChar w:fldCharType="separate"/>
      </w:r>
      <w:r w:rsidR="004034C1" w:rsidRPr="00BE0F39">
        <w:rPr>
          <w:lang w:val="ru-RU"/>
        </w:rPr>
        <w:t>[194–196]</w:t>
      </w:r>
      <w:r w:rsidR="009F04AE">
        <w:rPr>
          <w:rFonts w:eastAsia="BlissPro-Light"/>
          <w:lang w:val="ru-RU"/>
        </w:rPr>
        <w:fldChar w:fldCharType="end"/>
      </w:r>
      <w:r w:rsidRPr="004E104D">
        <w:rPr>
          <w:rFonts w:eastAsia="BlissPro-Light"/>
          <w:lang w:val="ru-RU"/>
        </w:rPr>
        <w:t xml:space="preserve">. </w:t>
      </w:r>
    </w:p>
    <w:p w14:paraId="286DB09F" w14:textId="6D27A273" w:rsidR="00945AAD" w:rsidRPr="004E104D" w:rsidRDefault="00945AAD" w:rsidP="004E104D">
      <w:pPr>
        <w:rPr>
          <w:rFonts w:eastAsia="BlissPro-Light"/>
          <w:lang w:val="ru-RU"/>
        </w:rPr>
      </w:pPr>
      <w:r w:rsidRPr="004E104D">
        <w:rPr>
          <w:rFonts w:eastAsia="BlissPro-Light"/>
          <w:u w:val="single"/>
          <w:lang w:val="ru-RU"/>
        </w:rPr>
        <w:t>Серозная цистаденокарцинома</w:t>
      </w:r>
      <w:r w:rsidRPr="004E104D">
        <w:rPr>
          <w:rFonts w:eastAsia="BlissPro-Light"/>
          <w:lang w:val="ru-RU"/>
        </w:rPr>
        <w:t xml:space="preserve"> развивается из доброкачественного предшественника и имеет более благоприятный прогноз, несмотря на способность метастазировать. Индолентное течение ставит на первое место хирургический метод лечения даже при наличии отдаленных метастазов</w:t>
      </w:r>
      <w:r w:rsidR="00440461">
        <w:rPr>
          <w:rFonts w:eastAsia="BlissPro-Light"/>
          <w:lang w:val="ru-RU"/>
        </w:rPr>
        <w:fldChar w:fldCharType="begin"/>
      </w:r>
      <w:r w:rsidR="004034C1">
        <w:rPr>
          <w:rFonts w:eastAsia="BlissPro-Light"/>
          <w:lang w:val="ru-RU"/>
        </w:rPr>
        <w:instrText xml:space="preserve"> ADDIN ZOTERO_ITEM CSL_CITATION {"citationID":"wcpgTqw4","properties":{"formattedCitation":"[197,198]","plainCitation":"[197,198]","noteIndex":0},"citationItems":[{"id":1454,"uris":["http://zotero.org/users/5363772/items/NF55T982"],"itemData":{"id":1454,"type":"article-journal","container-title":"Cureus","DOI":"10.7759/cureus.7707","ISSN":"2168-8184","language":"en","source":"DOI.org (Crossref)","title":"Serous Microcystic Cystadenocarcinoma of the Pancreas with Synchronous Liver Metastases: Clinical Characteristics and Management","title-short":"Serous Microcystic Cystadenocarcinoma of the Pancreas with Synchronous Liver Metastases","URL":"https://www.cureus.com/articles/29820-serous-microcystic-cystadenocarcinoma-of-the-pancreas-with-synchronous-liver-metastases-clinical-characteristics-and-management","author":[{"family":"Massaras","given":"Dimitrios"},{"family":"Pantiora","given":"Eirini V"},{"family":"Koutalas","given":"John"},{"family":"Primetis","given":"Elias C"},{"family":"Fragulidis","given":"Georgios P"}],"accessed":{"date-parts":[["2023",12,6]]},"issued":{"date-parts":[["2020",4,17]]}}},{"id":1456,"uris":["http://zotero.org/users/5363772/items/XII7K9E9"],"itemData":{"id":1456,"type":"article-journal","abstract":"&lt;b&gt;&lt;i&gt;Background/Aims:&lt;/i&gt;&lt;/b&gt; The vast majority of serous cystic neoplasms of the pancreas are benign, and small, asymptomatic lesions, which are generally managed with observation. However, some of these tumors may attain a large size and occasionally metastasize. &lt;b&gt;&lt;i&gt;Methods:&lt;/i&gt;&lt;/b&gt; In this study, we present a 78-year-old man with serous cystadenocarcinoma of the pancreas with liver metastases treated by distal pancreatectomy and liver ablation, who went on to develop new liver metastases 5 years after the initial operation. We perform a literature review to determine the number of these malignant neoplasms previously reported and to identify features associated with malignant lesions. &lt;b&gt;&lt;i&gt;Results:&lt;/i&gt;&lt;/b&gt; Literature reveals that metastatic serous cystadenocarcinomas of the pancreas are rare tumors, occurring in less than 3% of cases of serous cystic neoplasms. All malignant cases reported have been in tumors &gt;4 cm in size. &lt;b&gt;&lt;i&gt;Conclusions:&lt;/i&gt;&lt;/b&gt; Serous cystic neoplasms of the pancreas &gt;4 cm have malignant potential and therefore should be considered for surgical management.","container-title":"Digestive Surgery","DOI":"10.1159/000444721","ISSN":"0253-4886, 1421-9883","issue":"3","journalAbbreviation":"Dig Surg","language":"en","page":"240-248","source":"DOI.org (Crossref)","title":"Serous Cystadenocarcinoma of the Pancreas: Clinical Features and Management of a Rare Tumor","title-short":"Serous Cystadenocarcinoma of the Pancreas","volume":"33","author":[{"family":"Van Dyke","given":"Timothy J."},{"family":"Johlin","given":"Frederick C."},{"family":"Bellizzi","given":"Andrew M."},{"family":"Howe","given":"James R."}],"issued":{"date-parts":[["2016"]]}}}],"schema":"https://github.com/citation-style-language/schema/raw/master/csl-citation.json"} </w:instrText>
      </w:r>
      <w:r w:rsidR="00440461">
        <w:rPr>
          <w:rFonts w:eastAsia="BlissPro-Light"/>
          <w:lang w:val="ru-RU"/>
        </w:rPr>
        <w:fldChar w:fldCharType="separate"/>
      </w:r>
      <w:r w:rsidR="004034C1" w:rsidRPr="00BE0F39">
        <w:rPr>
          <w:rFonts w:eastAsia="BlissPro-Light"/>
          <w:lang w:val="ru-RU"/>
        </w:rPr>
        <w:t>[197,198]</w:t>
      </w:r>
      <w:r w:rsidR="00440461">
        <w:rPr>
          <w:rFonts w:eastAsia="BlissPro-Light"/>
          <w:lang w:val="ru-RU"/>
        </w:rPr>
        <w:fldChar w:fldCharType="end"/>
      </w:r>
      <w:r w:rsidRPr="004E104D">
        <w:rPr>
          <w:rFonts w:eastAsia="BlissPro-Light"/>
          <w:lang w:val="ru-RU"/>
        </w:rPr>
        <w:t xml:space="preserve">. </w:t>
      </w:r>
    </w:p>
    <w:p w14:paraId="5542663C" w14:textId="10BD4577" w:rsidR="00945AAD" w:rsidRPr="00945AAD" w:rsidRDefault="00945AAD" w:rsidP="00945AAD">
      <w:pPr>
        <w:rPr>
          <w:rFonts w:eastAsia="GalsLightC"/>
          <w:lang w:val="ru-RU"/>
        </w:rPr>
      </w:pPr>
      <w:r w:rsidRPr="004E104D">
        <w:rPr>
          <w:rFonts w:eastAsia="BlissPro-Light"/>
          <w:u w:val="single"/>
          <w:lang w:val="ru-RU"/>
        </w:rPr>
        <w:t>Панкреатобластома</w:t>
      </w:r>
      <w:r w:rsidRPr="004E104D">
        <w:rPr>
          <w:rFonts w:eastAsia="BlissPro-Light"/>
          <w:lang w:val="ru-RU"/>
        </w:rPr>
        <w:t xml:space="preserve"> – крайне редко встречающаяся опухоль, возникающая в детском возрасте. В Мире опубликовано порядка 15 случаев диагностирования панкреатобластомы у взрослых пациентов, большинство из которых погибли в короткие сроки. Принципы хирургического лечения, (нео)адъювантной терапии и терапии диссеминированного процесса должны соответствовать клиническим рекомендациям для детей</w:t>
      </w:r>
      <w:r w:rsidR="00440461">
        <w:rPr>
          <w:rFonts w:eastAsia="BlissPro-Light"/>
          <w:lang w:val="ru-RU"/>
        </w:rPr>
        <w:fldChar w:fldCharType="begin"/>
      </w:r>
      <w:r w:rsidR="004034C1">
        <w:rPr>
          <w:rFonts w:eastAsia="BlissPro-Light"/>
          <w:lang w:val="ru-RU"/>
        </w:rPr>
        <w:instrText xml:space="preserve"> ADDIN ZOTERO_ITEM CSL_CITATION {"citationID":"7GaMzjs8","properties":{"formattedCitation":"[199,200]","plainCitation":"[199,200]","noteIndex":0},"citationItems":[{"id":1459,"uris":["http://zotero.org/users/5363772/items/WFLMG6XU"],"itemData":{"id":1459,"type":"article-journal","container-title":"Pancreatology","DOI":"10.1159/000079823","ISSN":"14243903","issue":"5","journalAbbreviation":"Pancreatology","language":"en","page":"441-453","source":"DOI.org (Crossref)","title":"Diagnosis, treatment and outcome of pancreatoblastoma","volume":"4","author":[{"family":"Dhebri","given":"A.R."},{"family":"Connor","given":"S."},{"family":"Campbell","given":"F."},{"family":"Ghaneh","given":"P."},{"family":"Sutton","given":"R."},{"family":"Neoptolemos","given":"J.P."},{"family":"Klöppel","given":"Günter"},{"family":"Kosmahl","given":"Markus"},{"family":"Jänig","given":"Ute"},{"family":"Lüttges","given":"Jutta"}],"issued":{"date-parts":[["2004",1]]}}},{"id":1458,"uris":["http://zotero.org/users/5363772/items/2FS8FUGN"],"itemData":{"id":1458,"type":"article-journal","container-title":"Journal of Pediatric Hematology/Oncology","DOI":"10.1097/MPH.0b013e31824e3839","ISSN":"1077-4114","issue":"Supplement 2","language":"en","page":"S47-S50","source":"DOI.org (Crossref)","title":"Management of Pancreatoblastoma in Children and Young Adults","volume":"34","author":[{"family":"Glick","given":"Richard D."},{"family":"Pashankar","given":"Farzana D."},{"family":"Pappo","given":"Alberto"},{"family":"LaQuaglia","given":"Michael P."}],"issued":{"date-parts":[["2012",5]]}}}],"schema":"https://github.com/citation-style-language/schema/raw/master/csl-citation.json"} </w:instrText>
      </w:r>
      <w:r w:rsidR="00440461">
        <w:rPr>
          <w:rFonts w:eastAsia="BlissPro-Light"/>
          <w:lang w:val="ru-RU"/>
        </w:rPr>
        <w:fldChar w:fldCharType="separate"/>
      </w:r>
      <w:r w:rsidR="004034C1" w:rsidRPr="00BE0F39">
        <w:rPr>
          <w:rFonts w:eastAsia="BlissPro-Light"/>
          <w:lang w:val="ru-RU"/>
        </w:rPr>
        <w:t>[199,200]</w:t>
      </w:r>
      <w:r w:rsidR="00440461">
        <w:rPr>
          <w:rFonts w:eastAsia="BlissPro-Light"/>
          <w:lang w:val="ru-RU"/>
        </w:rPr>
        <w:fldChar w:fldCharType="end"/>
      </w:r>
      <w:r w:rsidRPr="004E104D">
        <w:rPr>
          <w:rFonts w:eastAsia="BlissPro-Light"/>
          <w:lang w:val="ru-RU"/>
        </w:rPr>
        <w:t>.</w:t>
      </w:r>
    </w:p>
    <w:p w14:paraId="53707188" w14:textId="77777777" w:rsidR="003C7187" w:rsidRPr="00A83E0C" w:rsidRDefault="003C7187">
      <w:pPr>
        <w:spacing w:line="240" w:lineRule="auto"/>
        <w:ind w:firstLine="0"/>
        <w:jc w:val="left"/>
        <w:rPr>
          <w:lang w:val="ru-RU"/>
        </w:rPr>
      </w:pPr>
      <w:r w:rsidRPr="00A83E0C">
        <w:rPr>
          <w:lang w:val="ru-RU"/>
        </w:rPr>
        <w:br w:type="page"/>
      </w:r>
    </w:p>
    <w:p w14:paraId="1BC06099" w14:textId="77777777" w:rsidR="008D30E8" w:rsidRPr="00A83E0C" w:rsidRDefault="007235FD" w:rsidP="00ED6231">
      <w:pPr>
        <w:pStyle w:val="1"/>
      </w:pPr>
      <w:bookmarkStart w:id="35" w:name="_Toc158632232"/>
      <w:r w:rsidRPr="00ED6231">
        <w:lastRenderedPageBreak/>
        <w:t>Критерии оценки качества медицинской помощи</w:t>
      </w:r>
      <w:bookmarkEnd w:id="35"/>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5"/>
        <w:gridCol w:w="1461"/>
      </w:tblGrid>
      <w:tr w:rsidR="007170D1" w:rsidRPr="00A83E0C" w14:paraId="1A603899" w14:textId="77777777" w:rsidTr="00EC4A01">
        <w:trPr>
          <w:tblHeader/>
          <w:jc w:val="center"/>
        </w:trPr>
        <w:tc>
          <w:tcPr>
            <w:tcW w:w="351" w:type="pct"/>
            <w:vAlign w:val="center"/>
          </w:tcPr>
          <w:p w14:paraId="3E46A087" w14:textId="77777777" w:rsidR="007170D1" w:rsidRPr="00A83E0C" w:rsidRDefault="007170D1" w:rsidP="008305D8">
            <w:pPr>
              <w:keepNext/>
              <w:spacing w:line="240" w:lineRule="auto"/>
              <w:ind w:firstLine="0"/>
            </w:pPr>
            <w:r w:rsidRPr="00A83E0C">
              <w:t>№</w:t>
            </w:r>
          </w:p>
          <w:p w14:paraId="368937CE" w14:textId="77777777" w:rsidR="007170D1" w:rsidRPr="00A83E0C" w:rsidRDefault="007170D1" w:rsidP="008305D8">
            <w:pPr>
              <w:keepNext/>
              <w:spacing w:line="240" w:lineRule="auto"/>
              <w:ind w:firstLine="0"/>
            </w:pPr>
          </w:p>
        </w:tc>
        <w:tc>
          <w:tcPr>
            <w:tcW w:w="3730" w:type="pct"/>
            <w:vAlign w:val="center"/>
          </w:tcPr>
          <w:p w14:paraId="492EAEBB" w14:textId="77777777" w:rsidR="007170D1" w:rsidRPr="00A83E0C" w:rsidRDefault="007170D1" w:rsidP="00EC4A01">
            <w:pPr>
              <w:keepNext/>
              <w:spacing w:line="240" w:lineRule="auto"/>
              <w:ind w:firstLine="0"/>
              <w:jc w:val="center"/>
              <w:rPr>
                <w:sz w:val="22"/>
              </w:rPr>
            </w:pPr>
            <w:r w:rsidRPr="00A83E0C">
              <w:t>Критерии качества</w:t>
            </w:r>
          </w:p>
        </w:tc>
        <w:tc>
          <w:tcPr>
            <w:tcW w:w="919" w:type="pct"/>
            <w:vAlign w:val="center"/>
          </w:tcPr>
          <w:p w14:paraId="1EF20E0F" w14:textId="77777777" w:rsidR="007170D1" w:rsidRPr="00A83E0C" w:rsidRDefault="007170D1" w:rsidP="00EC4A01">
            <w:pPr>
              <w:keepNext/>
              <w:autoSpaceDE w:val="0"/>
              <w:autoSpaceDN w:val="0"/>
              <w:adjustRightInd w:val="0"/>
              <w:spacing w:line="240" w:lineRule="auto"/>
              <w:ind w:firstLine="0"/>
              <w:jc w:val="center"/>
              <w:rPr>
                <w:rFonts w:eastAsia="Calibri"/>
              </w:rPr>
            </w:pPr>
            <w:r w:rsidRPr="00A83E0C">
              <w:rPr>
                <w:rFonts w:eastAsia="Calibri"/>
              </w:rPr>
              <w:t>Оценка</w:t>
            </w:r>
          </w:p>
          <w:p w14:paraId="47120BEC" w14:textId="77777777" w:rsidR="007170D1" w:rsidRPr="00A83E0C" w:rsidRDefault="007170D1" w:rsidP="00EC4A01">
            <w:pPr>
              <w:keepNext/>
              <w:spacing w:line="240" w:lineRule="auto"/>
              <w:ind w:firstLine="0"/>
              <w:jc w:val="center"/>
            </w:pPr>
            <w:r w:rsidRPr="00A83E0C">
              <w:rPr>
                <w:rFonts w:eastAsia="Calibri"/>
              </w:rPr>
              <w:t>выполнения</w:t>
            </w:r>
          </w:p>
        </w:tc>
      </w:tr>
      <w:tr w:rsidR="007170D1" w:rsidRPr="00A83E0C" w14:paraId="75ACB8AB" w14:textId="77777777" w:rsidTr="00EC4A01">
        <w:trPr>
          <w:tblHeader/>
          <w:jc w:val="center"/>
        </w:trPr>
        <w:tc>
          <w:tcPr>
            <w:tcW w:w="351" w:type="pct"/>
            <w:vAlign w:val="center"/>
          </w:tcPr>
          <w:p w14:paraId="78681394" w14:textId="77777777" w:rsidR="007170D1" w:rsidRPr="00A83E0C" w:rsidRDefault="007170D1" w:rsidP="008305D8">
            <w:pPr>
              <w:spacing w:line="240" w:lineRule="auto"/>
              <w:ind w:firstLine="0"/>
            </w:pPr>
            <w:r w:rsidRPr="00A83E0C">
              <w:t>1</w:t>
            </w:r>
          </w:p>
        </w:tc>
        <w:tc>
          <w:tcPr>
            <w:tcW w:w="3730" w:type="pct"/>
            <w:vAlign w:val="center"/>
          </w:tcPr>
          <w:p w14:paraId="4BC41857" w14:textId="741A33D5" w:rsidR="007170D1" w:rsidRPr="00A83E0C" w:rsidRDefault="00AB5CFE" w:rsidP="00AB5CFE">
            <w:pPr>
              <w:spacing w:line="240" w:lineRule="auto"/>
              <w:ind w:firstLine="0"/>
              <w:rPr>
                <w:lang w:val="ru-RU"/>
              </w:rPr>
            </w:pPr>
            <w:r w:rsidRPr="00A83E0C">
              <w:rPr>
                <w:lang w:val="ru-RU"/>
              </w:rPr>
              <w:t>Выполнен</w:t>
            </w:r>
            <w:r>
              <w:rPr>
                <w:lang w:val="ru-RU"/>
              </w:rPr>
              <w:t xml:space="preserve">а компьютерная томография органов </w:t>
            </w:r>
            <w:r w:rsidRPr="00A83E0C">
              <w:rPr>
                <w:lang w:val="ru-RU"/>
              </w:rPr>
              <w:t>брюшной полости</w:t>
            </w:r>
            <w:r>
              <w:rPr>
                <w:lang w:val="ru-RU"/>
              </w:rPr>
              <w:t xml:space="preserve"> с контрастным усилением</w:t>
            </w:r>
            <w:r w:rsidRPr="00A83E0C">
              <w:rPr>
                <w:lang w:val="ru-RU"/>
              </w:rPr>
              <w:t xml:space="preserve"> </w:t>
            </w:r>
            <w:r w:rsidR="007170D1" w:rsidRPr="00A83E0C">
              <w:rPr>
                <w:lang w:val="ru-RU"/>
              </w:rPr>
              <w:t>и/или магнитно-резонансная томография</w:t>
            </w:r>
            <w:r w:rsidR="00F773E2">
              <w:rPr>
                <w:lang w:val="ru-RU"/>
              </w:rPr>
              <w:t xml:space="preserve"> органов</w:t>
            </w:r>
            <w:r w:rsidR="007170D1" w:rsidRPr="00A83E0C">
              <w:rPr>
                <w:lang w:val="ru-RU"/>
              </w:rPr>
              <w:t xml:space="preserve"> брюшной полости</w:t>
            </w:r>
            <w:r>
              <w:rPr>
                <w:lang w:val="ru-RU"/>
              </w:rPr>
              <w:t xml:space="preserve"> с контрастным усилением, и/или </w:t>
            </w:r>
            <w:r w:rsidR="007170D1" w:rsidRPr="00A83E0C">
              <w:rPr>
                <w:lang w:val="ru-RU"/>
              </w:rPr>
              <w:t xml:space="preserve"> </w:t>
            </w:r>
            <w:r>
              <w:rPr>
                <w:lang w:val="ru-RU"/>
              </w:rPr>
              <w:t xml:space="preserve">ультразвуковое исследование органов брюшной полости при </w:t>
            </w:r>
            <w:r w:rsidR="00C95E82">
              <w:rPr>
                <w:lang w:val="ru-RU"/>
              </w:rPr>
              <w:t>невозможности пров</w:t>
            </w:r>
            <w:r w:rsidR="00ED26E1">
              <w:rPr>
                <w:lang w:val="ru-RU"/>
              </w:rPr>
              <w:t>е</w:t>
            </w:r>
            <w:r w:rsidR="00C95E82">
              <w:rPr>
                <w:lang w:val="ru-RU"/>
              </w:rPr>
              <w:t>дения компьютерной томографии или магнитно-резонансной томографии</w:t>
            </w:r>
            <w:r>
              <w:rPr>
                <w:lang w:val="ru-RU"/>
              </w:rPr>
              <w:t xml:space="preserve"> </w:t>
            </w:r>
            <w:r w:rsidR="007170D1" w:rsidRPr="00A83E0C">
              <w:rPr>
                <w:lang w:val="ru-RU"/>
              </w:rPr>
              <w:t>(при установлении диагноза)</w:t>
            </w:r>
          </w:p>
        </w:tc>
        <w:tc>
          <w:tcPr>
            <w:tcW w:w="919" w:type="pct"/>
            <w:vAlign w:val="center"/>
          </w:tcPr>
          <w:p w14:paraId="3CE699F2" w14:textId="77777777" w:rsidR="007170D1" w:rsidRPr="00A83E0C" w:rsidRDefault="007170D1" w:rsidP="008305D8">
            <w:pPr>
              <w:spacing w:line="240" w:lineRule="auto"/>
              <w:ind w:firstLine="0"/>
              <w:jc w:val="center"/>
              <w:rPr>
                <w:lang w:val="ru-RU"/>
              </w:rPr>
            </w:pPr>
            <w:r w:rsidRPr="00A83E0C">
              <w:rPr>
                <w:rFonts w:eastAsia="Calibri"/>
              </w:rPr>
              <w:t>Да/Нет</w:t>
            </w:r>
          </w:p>
        </w:tc>
      </w:tr>
      <w:tr w:rsidR="007170D1" w:rsidRPr="00A83E0C" w14:paraId="78C9A52C" w14:textId="77777777" w:rsidTr="00EC4A01">
        <w:trPr>
          <w:tblHeader/>
          <w:jc w:val="center"/>
        </w:trPr>
        <w:tc>
          <w:tcPr>
            <w:tcW w:w="351" w:type="pct"/>
            <w:vAlign w:val="center"/>
          </w:tcPr>
          <w:p w14:paraId="7E357D91" w14:textId="77777777" w:rsidR="007170D1" w:rsidRPr="00695557" w:rsidRDefault="00695557" w:rsidP="008305D8">
            <w:pPr>
              <w:spacing w:line="240" w:lineRule="auto"/>
              <w:ind w:firstLine="0"/>
              <w:rPr>
                <w:lang w:val="ru-RU"/>
              </w:rPr>
            </w:pPr>
            <w:r>
              <w:rPr>
                <w:lang w:val="ru-RU"/>
              </w:rPr>
              <w:t>2</w:t>
            </w:r>
          </w:p>
        </w:tc>
        <w:tc>
          <w:tcPr>
            <w:tcW w:w="3730" w:type="pct"/>
            <w:vAlign w:val="center"/>
          </w:tcPr>
          <w:p w14:paraId="651F10D8" w14:textId="43D3BE54" w:rsidR="007170D1" w:rsidRPr="00A83E0C" w:rsidRDefault="007170D1" w:rsidP="00D02366">
            <w:pPr>
              <w:spacing w:line="240" w:lineRule="auto"/>
              <w:ind w:firstLine="0"/>
              <w:rPr>
                <w:lang w:val="ru-RU"/>
              </w:rPr>
            </w:pPr>
            <w:r w:rsidRPr="00A83E0C">
              <w:rPr>
                <w:lang w:val="ru-RU"/>
              </w:rPr>
              <w:t>Выполнено исследование уровня СА19-9 (при установлении диагноза)</w:t>
            </w:r>
          </w:p>
        </w:tc>
        <w:tc>
          <w:tcPr>
            <w:tcW w:w="919" w:type="pct"/>
            <w:vAlign w:val="center"/>
          </w:tcPr>
          <w:p w14:paraId="73D62155" w14:textId="77777777" w:rsidR="007170D1" w:rsidRPr="00A83E0C" w:rsidRDefault="007170D1" w:rsidP="008305D8">
            <w:pPr>
              <w:spacing w:line="240" w:lineRule="auto"/>
              <w:ind w:firstLine="0"/>
              <w:jc w:val="center"/>
              <w:rPr>
                <w:lang w:val="ru-RU"/>
              </w:rPr>
            </w:pPr>
            <w:r w:rsidRPr="00A83E0C">
              <w:rPr>
                <w:rFonts w:eastAsia="Calibri"/>
              </w:rPr>
              <w:t>Да/Нет</w:t>
            </w:r>
          </w:p>
        </w:tc>
      </w:tr>
      <w:tr w:rsidR="007170D1" w:rsidRPr="00A83E0C" w14:paraId="61023EA7" w14:textId="77777777" w:rsidTr="00EC4A01">
        <w:trPr>
          <w:tblHeader/>
          <w:jc w:val="center"/>
        </w:trPr>
        <w:tc>
          <w:tcPr>
            <w:tcW w:w="351" w:type="pct"/>
            <w:vAlign w:val="center"/>
          </w:tcPr>
          <w:p w14:paraId="6AD28D61" w14:textId="77777777" w:rsidR="007170D1" w:rsidRPr="00695557" w:rsidRDefault="00695557" w:rsidP="008305D8">
            <w:pPr>
              <w:spacing w:line="240" w:lineRule="auto"/>
              <w:ind w:firstLine="0"/>
              <w:rPr>
                <w:lang w:val="ru-RU"/>
              </w:rPr>
            </w:pPr>
            <w:r>
              <w:rPr>
                <w:lang w:val="ru-RU"/>
              </w:rPr>
              <w:t>3</w:t>
            </w:r>
          </w:p>
        </w:tc>
        <w:tc>
          <w:tcPr>
            <w:tcW w:w="3730" w:type="pct"/>
            <w:vAlign w:val="center"/>
          </w:tcPr>
          <w:p w14:paraId="2A86C0F2" w14:textId="5AF2F8AD" w:rsidR="007170D1" w:rsidRPr="00A83E0C" w:rsidRDefault="007170D1" w:rsidP="008305D8">
            <w:pPr>
              <w:spacing w:line="240" w:lineRule="auto"/>
              <w:ind w:firstLine="0"/>
              <w:rPr>
                <w:lang w:val="ru-RU"/>
              </w:rPr>
            </w:pPr>
            <w:r w:rsidRPr="00A83E0C">
              <w:rPr>
                <w:lang w:val="ru-RU"/>
              </w:rPr>
              <w:t>Выполнена компьютерная томография органов грудной клетки (при установлении диагноза)</w:t>
            </w:r>
          </w:p>
        </w:tc>
        <w:tc>
          <w:tcPr>
            <w:tcW w:w="919" w:type="pct"/>
            <w:vAlign w:val="center"/>
          </w:tcPr>
          <w:p w14:paraId="0EA4BD63" w14:textId="77777777" w:rsidR="007170D1" w:rsidRPr="00A83E0C" w:rsidRDefault="007170D1" w:rsidP="008305D8">
            <w:pPr>
              <w:spacing w:line="240" w:lineRule="auto"/>
              <w:ind w:firstLine="0"/>
              <w:jc w:val="center"/>
              <w:rPr>
                <w:lang w:val="ru-RU"/>
              </w:rPr>
            </w:pPr>
            <w:r w:rsidRPr="00A83E0C">
              <w:rPr>
                <w:rFonts w:eastAsia="Calibri"/>
              </w:rPr>
              <w:t>Да/Нет</w:t>
            </w:r>
          </w:p>
        </w:tc>
      </w:tr>
      <w:tr w:rsidR="007170D1" w:rsidRPr="00A83E0C" w14:paraId="0C74151A" w14:textId="77777777" w:rsidTr="00EC4A01">
        <w:trPr>
          <w:tblHeader/>
          <w:jc w:val="center"/>
        </w:trPr>
        <w:tc>
          <w:tcPr>
            <w:tcW w:w="351" w:type="pct"/>
            <w:vAlign w:val="center"/>
          </w:tcPr>
          <w:p w14:paraId="2E2A75A5" w14:textId="77777777" w:rsidR="007170D1" w:rsidRPr="00695557" w:rsidRDefault="00695557" w:rsidP="008305D8">
            <w:pPr>
              <w:spacing w:line="240" w:lineRule="auto"/>
              <w:ind w:firstLine="0"/>
              <w:rPr>
                <w:lang w:val="ru-RU"/>
              </w:rPr>
            </w:pPr>
            <w:r>
              <w:rPr>
                <w:lang w:val="ru-RU"/>
              </w:rPr>
              <w:t>4</w:t>
            </w:r>
          </w:p>
        </w:tc>
        <w:tc>
          <w:tcPr>
            <w:tcW w:w="3730" w:type="pct"/>
            <w:vAlign w:val="center"/>
          </w:tcPr>
          <w:p w14:paraId="2DF000C7" w14:textId="77777777" w:rsidR="007170D1" w:rsidRPr="00A83E0C" w:rsidRDefault="007170D1" w:rsidP="008305D8">
            <w:pPr>
              <w:spacing w:line="240" w:lineRule="auto"/>
              <w:ind w:firstLine="0"/>
              <w:rPr>
                <w:lang w:val="ru-RU"/>
              </w:rPr>
            </w:pPr>
            <w:r w:rsidRPr="00A83E0C">
              <w:rPr>
                <w:lang w:val="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919" w:type="pct"/>
            <w:vAlign w:val="center"/>
          </w:tcPr>
          <w:p w14:paraId="6B5A90DB" w14:textId="77777777" w:rsidR="007170D1" w:rsidRPr="00A83E0C" w:rsidRDefault="007170D1" w:rsidP="008305D8">
            <w:pPr>
              <w:spacing w:line="240" w:lineRule="auto"/>
              <w:ind w:firstLine="0"/>
              <w:jc w:val="center"/>
              <w:rPr>
                <w:lang w:val="ru-RU"/>
              </w:rPr>
            </w:pPr>
            <w:r w:rsidRPr="00A83E0C">
              <w:rPr>
                <w:rFonts w:eastAsia="Calibri"/>
              </w:rPr>
              <w:t>Да/Нет</w:t>
            </w:r>
          </w:p>
        </w:tc>
      </w:tr>
      <w:tr w:rsidR="00695557" w:rsidRPr="00A83E0C" w14:paraId="0D03C6F2" w14:textId="77777777" w:rsidTr="00EC4A01">
        <w:trPr>
          <w:tblHeader/>
          <w:jc w:val="center"/>
        </w:trPr>
        <w:tc>
          <w:tcPr>
            <w:tcW w:w="351" w:type="pct"/>
            <w:vAlign w:val="center"/>
          </w:tcPr>
          <w:p w14:paraId="5C5A3D84" w14:textId="77777777" w:rsidR="00695557" w:rsidRPr="00A83E0C" w:rsidRDefault="00695557" w:rsidP="008305D8">
            <w:pPr>
              <w:spacing w:line="240" w:lineRule="auto"/>
              <w:ind w:firstLine="0"/>
            </w:pPr>
            <w:r>
              <w:rPr>
                <w:lang w:val="ru-RU"/>
              </w:rPr>
              <w:t>5</w:t>
            </w:r>
          </w:p>
        </w:tc>
        <w:tc>
          <w:tcPr>
            <w:tcW w:w="3730" w:type="pct"/>
            <w:vAlign w:val="center"/>
          </w:tcPr>
          <w:p w14:paraId="0CF6DE34" w14:textId="77777777" w:rsidR="00695557" w:rsidRPr="00A83E0C" w:rsidRDefault="00695557" w:rsidP="008305D8">
            <w:pPr>
              <w:spacing w:line="240" w:lineRule="auto"/>
              <w:ind w:firstLine="0"/>
              <w:rPr>
                <w:lang w:val="ru-RU"/>
              </w:rPr>
            </w:pPr>
            <w:r>
              <w:rPr>
                <w:lang w:val="ru-RU"/>
              </w:rPr>
              <w:t>Произведена рентгенологическая оценка резектабельности при неметастатическом раке поджелудочной железы</w:t>
            </w:r>
          </w:p>
        </w:tc>
        <w:tc>
          <w:tcPr>
            <w:tcW w:w="919" w:type="pct"/>
            <w:vAlign w:val="center"/>
          </w:tcPr>
          <w:p w14:paraId="75B71DEB" w14:textId="77777777" w:rsidR="00695557" w:rsidRPr="00A83E0C" w:rsidRDefault="00695557" w:rsidP="008305D8">
            <w:pPr>
              <w:spacing w:line="240" w:lineRule="auto"/>
              <w:ind w:firstLine="0"/>
              <w:jc w:val="center"/>
              <w:rPr>
                <w:rFonts w:eastAsia="Calibri"/>
              </w:rPr>
            </w:pPr>
            <w:r w:rsidRPr="009B41ED">
              <w:rPr>
                <w:rFonts w:eastAsia="Calibri"/>
                <w:lang w:val="ru-RU"/>
              </w:rPr>
              <w:t>Да/Нет</w:t>
            </w:r>
          </w:p>
        </w:tc>
      </w:tr>
      <w:tr w:rsidR="00695557" w:rsidRPr="00A83E0C" w14:paraId="1A272E27" w14:textId="77777777" w:rsidTr="00EC4A01">
        <w:trPr>
          <w:tblHeader/>
          <w:jc w:val="center"/>
        </w:trPr>
        <w:tc>
          <w:tcPr>
            <w:tcW w:w="351" w:type="pct"/>
            <w:vAlign w:val="center"/>
          </w:tcPr>
          <w:p w14:paraId="64F3EE14" w14:textId="77777777" w:rsidR="00695557" w:rsidRPr="00334B52" w:rsidRDefault="00695557" w:rsidP="00695557">
            <w:pPr>
              <w:spacing w:line="240" w:lineRule="auto"/>
              <w:ind w:firstLine="0"/>
              <w:rPr>
                <w:lang w:val="ru-RU"/>
              </w:rPr>
            </w:pPr>
            <w:r>
              <w:rPr>
                <w:lang w:val="ru-RU"/>
              </w:rPr>
              <w:t>6</w:t>
            </w:r>
          </w:p>
        </w:tc>
        <w:tc>
          <w:tcPr>
            <w:tcW w:w="3730" w:type="pct"/>
            <w:vAlign w:val="center"/>
          </w:tcPr>
          <w:p w14:paraId="7D016FFF" w14:textId="77777777" w:rsidR="00695557" w:rsidRPr="00A83E0C" w:rsidRDefault="00695557" w:rsidP="00D5044A">
            <w:pPr>
              <w:spacing w:line="240" w:lineRule="auto"/>
              <w:ind w:firstLine="0"/>
              <w:rPr>
                <w:lang w:val="ru-RU"/>
              </w:rPr>
            </w:pPr>
            <w:r w:rsidRPr="00A83E0C">
              <w:rPr>
                <w:lang w:val="ru-RU"/>
              </w:rPr>
              <w:t>Выполнено патолого-анатомическое исследование биопсийного (операционного) материала поджелудочной железы (при хирургическом вмешательстве)</w:t>
            </w:r>
          </w:p>
        </w:tc>
        <w:tc>
          <w:tcPr>
            <w:tcW w:w="919" w:type="pct"/>
            <w:vAlign w:val="center"/>
          </w:tcPr>
          <w:p w14:paraId="3B3277B5" w14:textId="77777777" w:rsidR="00695557" w:rsidRPr="00A83E0C" w:rsidRDefault="00695557" w:rsidP="008305D8">
            <w:pPr>
              <w:spacing w:line="240" w:lineRule="auto"/>
              <w:ind w:firstLine="0"/>
              <w:jc w:val="center"/>
              <w:rPr>
                <w:lang w:val="ru-RU"/>
              </w:rPr>
            </w:pPr>
            <w:r w:rsidRPr="00A83E0C">
              <w:rPr>
                <w:rFonts w:eastAsia="Calibri"/>
              </w:rPr>
              <w:t>Да/Нет</w:t>
            </w:r>
          </w:p>
        </w:tc>
      </w:tr>
      <w:tr w:rsidR="00695557" w:rsidRPr="00A83E0C" w14:paraId="2579ED01" w14:textId="77777777" w:rsidTr="00EC4A01">
        <w:trPr>
          <w:tblHeader/>
          <w:jc w:val="center"/>
        </w:trPr>
        <w:tc>
          <w:tcPr>
            <w:tcW w:w="351" w:type="pct"/>
            <w:vAlign w:val="center"/>
          </w:tcPr>
          <w:p w14:paraId="6C224803" w14:textId="77777777" w:rsidR="00695557" w:rsidRPr="00A83E0C" w:rsidRDefault="00695557" w:rsidP="008305D8">
            <w:pPr>
              <w:spacing w:line="240" w:lineRule="auto"/>
              <w:ind w:firstLine="0"/>
              <w:rPr>
                <w:lang w:val="ru-RU"/>
              </w:rPr>
            </w:pPr>
            <w:r>
              <w:rPr>
                <w:lang w:val="ru-RU"/>
              </w:rPr>
              <w:t>7</w:t>
            </w:r>
          </w:p>
        </w:tc>
        <w:tc>
          <w:tcPr>
            <w:tcW w:w="3730" w:type="pct"/>
            <w:vAlign w:val="center"/>
          </w:tcPr>
          <w:p w14:paraId="7A317D9E" w14:textId="77777777" w:rsidR="00695557" w:rsidRPr="00A83E0C" w:rsidRDefault="00695557" w:rsidP="00DE104D">
            <w:pPr>
              <w:spacing w:line="240" w:lineRule="auto"/>
              <w:ind w:firstLine="0"/>
              <w:rPr>
                <w:lang w:val="ru-RU"/>
              </w:rPr>
            </w:pPr>
            <w:r w:rsidRPr="00A83E0C">
              <w:rPr>
                <w:lang w:val="ru-RU"/>
              </w:rPr>
              <w:t xml:space="preserve">Выполнен общий (клинический) анализ крови развернутый не более, чем за 5 дней до начала курса химиотерапии </w:t>
            </w:r>
            <w:r>
              <w:rPr>
                <w:lang w:val="ru-RU"/>
              </w:rPr>
              <w:t xml:space="preserve">(не более, чем за 14 дней до начала первого курса химиотерапии и/или лучевой терапии) </w:t>
            </w:r>
          </w:p>
        </w:tc>
        <w:tc>
          <w:tcPr>
            <w:tcW w:w="919" w:type="pct"/>
            <w:vAlign w:val="center"/>
          </w:tcPr>
          <w:p w14:paraId="57AD1134" w14:textId="77777777" w:rsidR="00695557" w:rsidRPr="00A83E0C" w:rsidRDefault="00695557" w:rsidP="008305D8">
            <w:pPr>
              <w:spacing w:line="240" w:lineRule="auto"/>
              <w:ind w:firstLine="0"/>
              <w:jc w:val="center"/>
              <w:rPr>
                <w:lang w:val="ru-RU"/>
              </w:rPr>
            </w:pPr>
            <w:r w:rsidRPr="00A83E0C">
              <w:rPr>
                <w:rFonts w:eastAsia="Calibri"/>
              </w:rPr>
              <w:t>Да/Нет</w:t>
            </w:r>
          </w:p>
        </w:tc>
      </w:tr>
    </w:tbl>
    <w:p w14:paraId="51861588" w14:textId="77777777" w:rsidR="00AC1487" w:rsidRPr="00A83E0C" w:rsidRDefault="00AC1487" w:rsidP="00F40A1C">
      <w:pPr>
        <w:ind w:firstLine="0"/>
        <w:rPr>
          <w:lang w:val="ru-RU"/>
        </w:rPr>
      </w:pPr>
    </w:p>
    <w:p w14:paraId="1FF4D7E7" w14:textId="77777777" w:rsidR="002E4556" w:rsidRPr="00A83E0C" w:rsidRDefault="002E4556" w:rsidP="000B3A53">
      <w:pPr>
        <w:pStyle w:val="1"/>
        <w:rPr>
          <w:lang w:val="en-US"/>
        </w:rPr>
      </w:pPr>
      <w:bookmarkStart w:id="36" w:name="_Toc158632233"/>
      <w:r w:rsidRPr="00A83E0C">
        <w:lastRenderedPageBreak/>
        <w:t>Список</w:t>
      </w:r>
      <w:r w:rsidRPr="00A83E0C">
        <w:rPr>
          <w:lang w:val="en-US"/>
        </w:rPr>
        <w:t xml:space="preserve"> </w:t>
      </w:r>
      <w:r w:rsidRPr="00A83E0C">
        <w:t>литературы</w:t>
      </w:r>
      <w:bookmarkEnd w:id="36"/>
    </w:p>
    <w:p w14:paraId="428E8059" w14:textId="77777777" w:rsidR="004034C1" w:rsidRDefault="00C15198" w:rsidP="004034C1">
      <w:pPr>
        <w:pStyle w:val="aff6"/>
      </w:pPr>
      <w:r w:rsidRPr="00A83E0C">
        <w:rPr>
          <w:lang w:val="ru-RU"/>
        </w:rPr>
        <w:fldChar w:fldCharType="begin"/>
      </w:r>
      <w:r w:rsidR="004034C1">
        <w:instrText xml:space="preserve"> ADDIN ZOTERO_BIBL {"uncited":[],"omitted":[],"custom":[]} CSL_BIBLIOGRAPHY </w:instrText>
      </w:r>
      <w:r w:rsidRPr="00A83E0C">
        <w:rPr>
          <w:lang w:val="ru-RU"/>
        </w:rPr>
        <w:fldChar w:fldCharType="separate"/>
      </w:r>
      <w:r w:rsidR="004034C1">
        <w:t>1.</w:t>
      </w:r>
      <w:r w:rsidR="004034C1">
        <w:tab/>
        <w:t>Raimondi S., Maisonneuve P., Lowenfels A.B. Epidemiology of pancreatic cancer: an overview // Nature Reviews Gastroenterology &amp;Amp; Hepatology. 2009. Vol. 6. P. 699.</w:t>
      </w:r>
    </w:p>
    <w:p w14:paraId="6FDEBA82" w14:textId="77777777" w:rsidR="004034C1" w:rsidRDefault="004034C1" w:rsidP="004034C1">
      <w:pPr>
        <w:pStyle w:val="aff6"/>
      </w:pPr>
      <w:r>
        <w:t>2.</w:t>
      </w:r>
      <w:r>
        <w:tab/>
        <w:t>Wolpin B.M. et al. Plasma 25-hydroxyvitamin D and risk of pancreatic cancer // Cancer Epidemiol Biomarkers Prev. 2012. Vol. 21, № 1. P. 82–91.</w:t>
      </w:r>
    </w:p>
    <w:p w14:paraId="4EA607CF" w14:textId="77777777" w:rsidR="004034C1" w:rsidRDefault="004034C1" w:rsidP="004034C1">
      <w:pPr>
        <w:pStyle w:val="aff6"/>
      </w:pPr>
      <w:r>
        <w:t>3.</w:t>
      </w:r>
      <w:r>
        <w:tab/>
        <w:t>Duell E.J. et al. Pancreatitis and pancreatic cancer risk: a pooled analysis in the International Pancreatic Cancer Case-Control Consortium (PanC4) // Ann Oncol. 2012. Vol. 23, № 11. P. 2964–2970.</w:t>
      </w:r>
    </w:p>
    <w:p w14:paraId="52867055" w14:textId="77777777" w:rsidR="004034C1" w:rsidRDefault="004034C1" w:rsidP="004034C1">
      <w:pPr>
        <w:pStyle w:val="aff6"/>
      </w:pPr>
      <w:r>
        <w:t>4.</w:t>
      </w:r>
      <w:r>
        <w:tab/>
        <w:t>Huang Y. et al. Prediabetes and the risk of cancer: a meta-analysis // Diabetologia. 2014. Vol. 57, № 11. P. 2261–2269.</w:t>
      </w:r>
    </w:p>
    <w:p w14:paraId="0A904872" w14:textId="77777777" w:rsidR="004034C1" w:rsidRDefault="004034C1" w:rsidP="004034C1">
      <w:pPr>
        <w:pStyle w:val="aff6"/>
      </w:pPr>
      <w:r>
        <w:t>5.</w:t>
      </w:r>
      <w:r>
        <w:tab/>
        <w:t>Makohon-Moore A., Iacobuzio-Donahue C.A. Pancreatic cancer biology and genetics from an evolutionary perspective // Nat Rev Cancer. 2016. Vol. 16, № 9. P. 553–565.</w:t>
      </w:r>
    </w:p>
    <w:p w14:paraId="5C37EF8A" w14:textId="77777777" w:rsidR="004034C1" w:rsidRDefault="004034C1" w:rsidP="004034C1">
      <w:pPr>
        <w:pStyle w:val="aff6"/>
      </w:pPr>
      <w:r>
        <w:t>6.</w:t>
      </w:r>
      <w:r>
        <w:tab/>
        <w:t>Pandit S. et al. Incidental liver metastasis in pancreatic adenocarcinoma // Journal of Surgical Case Reports. 2019. Vol. 2019, № 3.</w:t>
      </w:r>
    </w:p>
    <w:p w14:paraId="68ED6ED3" w14:textId="77777777" w:rsidR="004034C1" w:rsidRDefault="004034C1" w:rsidP="004034C1">
      <w:pPr>
        <w:pStyle w:val="aff6"/>
      </w:pPr>
      <w:r>
        <w:t>7.</w:t>
      </w:r>
      <w:r>
        <w:tab/>
        <w:t>Ansari D. et al. Pancreatic cancer: disease dynamics, tumor biology and the role of the microenvironment // Oncotarget. 2018. Vol. 9, № 5. P. 6644–6651.</w:t>
      </w:r>
    </w:p>
    <w:p w14:paraId="77C191DB" w14:textId="77777777" w:rsidR="004034C1" w:rsidRPr="00B860E7" w:rsidRDefault="004034C1" w:rsidP="004034C1">
      <w:pPr>
        <w:pStyle w:val="aff6"/>
        <w:rPr>
          <w:lang w:val="ru-RU"/>
        </w:rPr>
      </w:pPr>
      <w:r>
        <w:t>8.</w:t>
      </w:r>
      <w:r>
        <w:tab/>
        <w:t>Khan M.A.A. et al. Molecular Drivers of Pancreatic Cancer Pathogenesis: Looking Inward to Move Forward // Int J Mol Sci. 2017. Vol</w:t>
      </w:r>
      <w:r w:rsidRPr="00B860E7">
        <w:rPr>
          <w:lang w:val="ru-RU"/>
        </w:rPr>
        <w:t xml:space="preserve">. 18, № 4. </w:t>
      </w:r>
      <w:r>
        <w:t>P</w:t>
      </w:r>
      <w:r w:rsidRPr="00B860E7">
        <w:rPr>
          <w:lang w:val="ru-RU"/>
        </w:rPr>
        <w:t>. 779.</w:t>
      </w:r>
    </w:p>
    <w:p w14:paraId="58056C67" w14:textId="77777777" w:rsidR="004034C1" w:rsidRPr="00B860E7" w:rsidRDefault="004034C1" w:rsidP="004034C1">
      <w:pPr>
        <w:pStyle w:val="aff6"/>
        <w:rPr>
          <w:lang w:val="ru-RU"/>
        </w:rPr>
      </w:pPr>
      <w:r w:rsidRPr="00B860E7">
        <w:rPr>
          <w:lang w:val="ru-RU"/>
        </w:rPr>
        <w:t>9.</w:t>
      </w:r>
      <w:r w:rsidRPr="00B860E7">
        <w:rPr>
          <w:lang w:val="ru-RU"/>
        </w:rPr>
        <w:tab/>
        <w:t>Каприн А.Д. Состояние онкологической помощи населению России в 2021 году. М.: МНИОИ им. П.А. Герцена − филиал ФГБУ «НМИЦ радиологии» Минздрава России. Москва, 2022.</w:t>
      </w:r>
    </w:p>
    <w:p w14:paraId="631C9058" w14:textId="77777777" w:rsidR="004034C1" w:rsidRDefault="004034C1" w:rsidP="004034C1">
      <w:pPr>
        <w:pStyle w:val="aff6"/>
      </w:pPr>
      <w:r w:rsidRPr="00B860E7">
        <w:rPr>
          <w:lang w:val="ru-RU"/>
        </w:rPr>
        <w:t>10.</w:t>
      </w:r>
      <w:r w:rsidRPr="00B860E7">
        <w:rPr>
          <w:lang w:val="ru-RU"/>
        </w:rPr>
        <w:tab/>
        <w:t xml:space="preserve">Каприн А.Д. Злокачественные новообразования в России в 2021 году (заболеваемость и смертность). М.: МНИОИ им. П.А. Герцена − филиал ФГБУ «НМИЦ радиологии» Минздрава России. </w:t>
      </w:r>
      <w:r>
        <w:t>Москва, 2022. 252 p.</w:t>
      </w:r>
    </w:p>
    <w:p w14:paraId="59DA7382" w14:textId="77777777" w:rsidR="004034C1" w:rsidRDefault="004034C1" w:rsidP="004034C1">
      <w:pPr>
        <w:pStyle w:val="aff6"/>
      </w:pPr>
      <w:r>
        <w:t>11.</w:t>
      </w:r>
      <w:r>
        <w:tab/>
        <w:t>Rawla P., Sunkara T., Gaduputi V. Epidemiology of Pancreatic Cancer: Global Trends, Etiology and Risk Factors // World J Oncol. 2019. Vol. 10, № 1. P. 10–27.</w:t>
      </w:r>
    </w:p>
    <w:p w14:paraId="2C8E1F84" w14:textId="77777777" w:rsidR="004034C1" w:rsidRPr="00B860E7" w:rsidRDefault="004034C1" w:rsidP="004034C1">
      <w:pPr>
        <w:pStyle w:val="aff6"/>
        <w:rPr>
          <w:lang w:val="ru-RU"/>
        </w:rPr>
      </w:pPr>
      <w:r>
        <w:t>12.</w:t>
      </w:r>
      <w:r>
        <w:tab/>
        <w:t xml:space="preserve">Ducreux M. et al. Cancer of the pancreas: ESMO Clinical Practice Guidelines for diagnosis, treatment and follow-up† // Annals of Oncology. </w:t>
      </w:r>
      <w:r w:rsidRPr="00B860E7">
        <w:rPr>
          <w:lang w:val="ru-RU"/>
        </w:rPr>
        <w:t xml:space="preserve">2015. </w:t>
      </w:r>
      <w:r>
        <w:t>Vol</w:t>
      </w:r>
      <w:r w:rsidRPr="00B860E7">
        <w:rPr>
          <w:lang w:val="ru-RU"/>
        </w:rPr>
        <w:t xml:space="preserve">. 26, № </w:t>
      </w:r>
      <w:r>
        <w:t>suppl</w:t>
      </w:r>
      <w:r w:rsidRPr="00B860E7">
        <w:rPr>
          <w:lang w:val="ru-RU"/>
        </w:rPr>
        <w:t xml:space="preserve">_5. </w:t>
      </w:r>
      <w:r>
        <w:t>P</w:t>
      </w:r>
      <w:r w:rsidRPr="00B860E7">
        <w:rPr>
          <w:lang w:val="ru-RU"/>
        </w:rPr>
        <w:t xml:space="preserve">. </w:t>
      </w:r>
      <w:r>
        <w:t>v</w:t>
      </w:r>
      <w:r w:rsidRPr="00B860E7">
        <w:rPr>
          <w:lang w:val="ru-RU"/>
        </w:rPr>
        <w:t>56–</w:t>
      </w:r>
      <w:r>
        <w:t>v</w:t>
      </w:r>
      <w:r w:rsidRPr="00B860E7">
        <w:rPr>
          <w:lang w:val="ru-RU"/>
        </w:rPr>
        <w:t>68.</w:t>
      </w:r>
    </w:p>
    <w:p w14:paraId="635BC3E6" w14:textId="77777777" w:rsidR="004034C1" w:rsidRPr="00B860E7" w:rsidRDefault="004034C1" w:rsidP="004034C1">
      <w:pPr>
        <w:pStyle w:val="aff6"/>
        <w:rPr>
          <w:lang w:val="ru-RU"/>
        </w:rPr>
      </w:pPr>
      <w:r w:rsidRPr="00B860E7">
        <w:rPr>
          <w:lang w:val="ru-RU"/>
        </w:rPr>
        <w:t>13.</w:t>
      </w:r>
      <w:r w:rsidRPr="00B860E7">
        <w:rPr>
          <w:lang w:val="ru-RU"/>
        </w:rPr>
        <w:tab/>
        <w:t xml:space="preserve">Трякин А., Бесова Н., Волков Н. Практические рекомендации по общим принципам проведения противоопухолевой лекарственной терапии // Злокачественные опухоли. Практические рекомендации </w:t>
      </w:r>
      <w:r>
        <w:t>RUSSCO</w:t>
      </w:r>
      <w:r w:rsidRPr="00B860E7">
        <w:rPr>
          <w:lang w:val="ru-RU"/>
        </w:rPr>
        <w:t xml:space="preserve">. 2020. </w:t>
      </w:r>
      <w:r>
        <w:t>Vol</w:t>
      </w:r>
      <w:r w:rsidRPr="00B860E7">
        <w:rPr>
          <w:lang w:val="ru-RU"/>
        </w:rPr>
        <w:t>. 10, № 3</w:t>
      </w:r>
      <w:r>
        <w:t>s</w:t>
      </w:r>
      <w:r w:rsidRPr="00B860E7">
        <w:rPr>
          <w:lang w:val="ru-RU"/>
        </w:rPr>
        <w:t>2.</w:t>
      </w:r>
    </w:p>
    <w:p w14:paraId="52772A31" w14:textId="77777777" w:rsidR="004034C1" w:rsidRPr="00B860E7" w:rsidRDefault="004034C1" w:rsidP="004034C1">
      <w:pPr>
        <w:pStyle w:val="aff6"/>
        <w:rPr>
          <w:lang w:val="ru-RU"/>
        </w:rPr>
      </w:pPr>
      <w:r w:rsidRPr="00B860E7">
        <w:rPr>
          <w:lang w:val="ru-RU"/>
        </w:rPr>
        <w:t>14.</w:t>
      </w:r>
      <w:r w:rsidRPr="00B860E7">
        <w:rPr>
          <w:lang w:val="ru-RU"/>
        </w:rPr>
        <w:tab/>
        <w:t xml:space="preserve">Приказ Министерства здравоохранения и социального развития РФ от 20 ноября 2006 г. </w:t>
      </w:r>
      <w:r>
        <w:t>N</w:t>
      </w:r>
      <w:r w:rsidRPr="00B860E7">
        <w:rPr>
          <w:lang w:val="ru-RU"/>
        </w:rPr>
        <w:t xml:space="preserve"> 783 “Об утверждении стандарта медицинской помощи больным со злокачественным новообразованием поджелудочной железы (при оказании специализированной помощи).” Министерство здравоохранения и социального развития РФ, 2006.</w:t>
      </w:r>
    </w:p>
    <w:p w14:paraId="409A7942" w14:textId="77777777" w:rsidR="004034C1" w:rsidRPr="00B860E7" w:rsidRDefault="004034C1" w:rsidP="004034C1">
      <w:pPr>
        <w:pStyle w:val="aff6"/>
        <w:rPr>
          <w:lang w:val="ru-RU"/>
        </w:rPr>
      </w:pPr>
      <w:r w:rsidRPr="00B860E7">
        <w:rPr>
          <w:lang w:val="ru-RU"/>
        </w:rPr>
        <w:t>15.</w:t>
      </w:r>
      <w:r w:rsidRPr="00B860E7">
        <w:rPr>
          <w:lang w:val="ru-RU"/>
        </w:rPr>
        <w:tab/>
        <w:t xml:space="preserve">Трякин А., Бесова Н., Волков Н. Практические рекомендации по общим принципам проведения противоопухолевой лекарственной терапии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28–41.</w:t>
      </w:r>
    </w:p>
    <w:p w14:paraId="012AC28E" w14:textId="77777777" w:rsidR="004034C1" w:rsidRDefault="004034C1" w:rsidP="004034C1">
      <w:pPr>
        <w:pStyle w:val="aff6"/>
      </w:pPr>
      <w:r w:rsidRPr="00B860E7">
        <w:rPr>
          <w:lang w:val="ru-RU"/>
        </w:rPr>
        <w:t>16.</w:t>
      </w:r>
      <w:r w:rsidRPr="00B860E7">
        <w:rPr>
          <w:lang w:val="ru-RU"/>
        </w:rPr>
        <w:tab/>
      </w:r>
      <w:r>
        <w:t>Modlin</w:t>
      </w:r>
      <w:r w:rsidRPr="00B860E7">
        <w:rPr>
          <w:lang w:val="ru-RU"/>
        </w:rPr>
        <w:t xml:space="preserve"> </w:t>
      </w:r>
      <w:r>
        <w:t>I</w:t>
      </w:r>
      <w:r w:rsidRPr="00B860E7">
        <w:rPr>
          <w:lang w:val="ru-RU"/>
        </w:rPr>
        <w:t>.</w:t>
      </w:r>
      <w:r>
        <w:t>M</w:t>
      </w:r>
      <w:r w:rsidRPr="00B860E7">
        <w:rPr>
          <w:lang w:val="ru-RU"/>
        </w:rPr>
        <w:t xml:space="preserve">. </w:t>
      </w:r>
      <w:r>
        <w:t>et</w:t>
      </w:r>
      <w:r w:rsidRPr="00B860E7">
        <w:rPr>
          <w:lang w:val="ru-RU"/>
        </w:rPr>
        <w:t xml:space="preserve"> </w:t>
      </w:r>
      <w:r>
        <w:t>al</w:t>
      </w:r>
      <w:r w:rsidRPr="00B860E7">
        <w:rPr>
          <w:lang w:val="ru-RU"/>
        </w:rPr>
        <w:t xml:space="preserve">. </w:t>
      </w:r>
      <w:r>
        <w:t>Chromogranin A—Biological Function and Clinical Utility in Neuro Endocrine Tumor Disease // Annals of Surgical Oncology. 2010. Vol. 17, № 9. P. 2427–2443.</w:t>
      </w:r>
    </w:p>
    <w:p w14:paraId="60767270" w14:textId="77777777" w:rsidR="004034C1" w:rsidRDefault="004034C1" w:rsidP="004034C1">
      <w:pPr>
        <w:pStyle w:val="aff6"/>
      </w:pPr>
      <w:r>
        <w:t>17.</w:t>
      </w:r>
      <w:r>
        <w:tab/>
        <w:t>O’Toole D. et al. ENETS Consensus Guidelines for the Standards of Care in Neuroendocrine Tumors: Biochemical Markers // Neuroendocrinology. 2009. Vol. 90, № 2. P. 194–202.</w:t>
      </w:r>
    </w:p>
    <w:p w14:paraId="3B111D03" w14:textId="77777777" w:rsidR="004034C1" w:rsidRDefault="004034C1" w:rsidP="004034C1">
      <w:pPr>
        <w:pStyle w:val="aff6"/>
      </w:pPr>
      <w:r>
        <w:t>18.</w:t>
      </w:r>
      <w:r>
        <w:tab/>
        <w:t>DelMaschio A. et al. Pancreatic cancer versus chronic pancreatitis: diagnosis with CA 19-9 assessment, US, CT, and CT-guided fine-needle biopsy. // Radiology. 1991. Vol. 178, № 1. P. 95–99.</w:t>
      </w:r>
    </w:p>
    <w:p w14:paraId="1A92D7BB" w14:textId="77777777" w:rsidR="004034C1" w:rsidRDefault="004034C1" w:rsidP="004034C1">
      <w:pPr>
        <w:pStyle w:val="aff6"/>
      </w:pPr>
      <w:r>
        <w:t>19.</w:t>
      </w:r>
      <w:r>
        <w:tab/>
        <w:t>Tempero M.A. et al. NCCN Guidelines. Pancreatic adenocarcinoma. Version 1.2019. 2018. P. 155.</w:t>
      </w:r>
    </w:p>
    <w:p w14:paraId="0E6ADA08" w14:textId="77777777" w:rsidR="004034C1" w:rsidRDefault="004034C1" w:rsidP="004034C1">
      <w:pPr>
        <w:pStyle w:val="aff6"/>
      </w:pPr>
      <w:r>
        <w:lastRenderedPageBreak/>
        <w:t>20.</w:t>
      </w:r>
      <w:r>
        <w:tab/>
        <w:t>Tanaka K., Kida M. Role of endoscopy in screening of early pancreatic cancer and bile duct cancer // Digestive Endoscopy. John Wiley &amp; Sons, Ltd, 2009. Vol. 21, № s1. P. S97–S100.</w:t>
      </w:r>
    </w:p>
    <w:p w14:paraId="343B281E" w14:textId="77777777" w:rsidR="004034C1" w:rsidRDefault="004034C1" w:rsidP="004034C1">
      <w:pPr>
        <w:pStyle w:val="aff6"/>
      </w:pPr>
      <w:r>
        <w:t>21.</w:t>
      </w:r>
      <w:r>
        <w:tab/>
        <w:t>Pancreatic Cancer Guidelines. Updated: Mar 07, 2019 [Electronic resource]. URL: https://emedicine.medscape.com/article/280605-guidelines#g2 (accessed: 16.12.2019).</w:t>
      </w:r>
    </w:p>
    <w:p w14:paraId="5C7EDE1D" w14:textId="77777777" w:rsidR="004034C1" w:rsidRPr="00B860E7" w:rsidRDefault="004034C1" w:rsidP="004034C1">
      <w:pPr>
        <w:pStyle w:val="aff6"/>
        <w:rPr>
          <w:lang w:val="ru-RU"/>
        </w:rPr>
      </w:pPr>
      <w:r w:rsidRPr="00B860E7">
        <w:rPr>
          <w:lang w:val="ru-RU"/>
        </w:rPr>
        <w:t>22.</w:t>
      </w:r>
      <w:r w:rsidRPr="00B860E7">
        <w:rPr>
          <w:lang w:val="ru-RU"/>
        </w:rPr>
        <w:tab/>
        <w:t xml:space="preserve">Кармазановский Г. Дифференциальная диагностика и определение резектабельности рака поджелудочной железы с помощью МСКТ и МРТ // Анналы хирургической гепатологии. 2019. </w:t>
      </w:r>
      <w:r>
        <w:t>Vol</w:t>
      </w:r>
      <w:r w:rsidRPr="00B860E7">
        <w:rPr>
          <w:lang w:val="ru-RU"/>
        </w:rPr>
        <w:t xml:space="preserve">. 24, № 3. </w:t>
      </w:r>
      <w:r>
        <w:t>P</w:t>
      </w:r>
      <w:r w:rsidRPr="00B860E7">
        <w:rPr>
          <w:lang w:val="ru-RU"/>
        </w:rPr>
        <w:t>. 22–35.</w:t>
      </w:r>
    </w:p>
    <w:p w14:paraId="0A1BE8DD" w14:textId="77777777" w:rsidR="004034C1" w:rsidRDefault="004034C1" w:rsidP="004034C1">
      <w:pPr>
        <w:pStyle w:val="aff6"/>
      </w:pPr>
      <w:r w:rsidRPr="00B860E7">
        <w:rPr>
          <w:lang w:val="ru-RU"/>
        </w:rPr>
        <w:t>23.</w:t>
      </w:r>
      <w:r w:rsidRPr="00B860E7">
        <w:rPr>
          <w:lang w:val="ru-RU"/>
        </w:rPr>
        <w:tab/>
      </w:r>
      <w:r>
        <w:t>Li</w:t>
      </w:r>
      <w:r w:rsidRPr="00B860E7">
        <w:rPr>
          <w:lang w:val="ru-RU"/>
        </w:rPr>
        <w:t xml:space="preserve"> </w:t>
      </w:r>
      <w:r>
        <w:t>K</w:t>
      </w:r>
      <w:r w:rsidRPr="00B860E7">
        <w:rPr>
          <w:lang w:val="ru-RU"/>
        </w:rPr>
        <w:t>.</w:t>
      </w:r>
      <w:r>
        <w:t>C</w:t>
      </w:r>
      <w:r w:rsidRPr="00B860E7">
        <w:rPr>
          <w:lang w:val="ru-RU"/>
        </w:rPr>
        <w:t xml:space="preserve">. </w:t>
      </w:r>
      <w:r>
        <w:t>et</w:t>
      </w:r>
      <w:r w:rsidRPr="00B860E7">
        <w:rPr>
          <w:lang w:val="ru-RU"/>
        </w:rPr>
        <w:t xml:space="preserve"> </w:t>
      </w:r>
      <w:r>
        <w:t>al</w:t>
      </w:r>
      <w:r w:rsidRPr="00B860E7">
        <w:rPr>
          <w:lang w:val="ru-RU"/>
        </w:rPr>
        <w:t xml:space="preserve">. </w:t>
      </w:r>
      <w:r>
        <w:t>Simultaneous measurement of flow in the superior mesenteric vein and artery with cine phase-contrast MR imaging: value in diagnosis of chronic mesenteric ischemia. Work in progress. // Radiology. 1995. Vol. 194, № 2. P. 327–330.</w:t>
      </w:r>
    </w:p>
    <w:p w14:paraId="6BC11018" w14:textId="77777777" w:rsidR="004034C1" w:rsidRDefault="004034C1" w:rsidP="004034C1">
      <w:pPr>
        <w:pStyle w:val="aff6"/>
      </w:pPr>
      <w:r>
        <w:t>24.</w:t>
      </w:r>
      <w:r>
        <w:tab/>
        <w:t>Megibow A.J. et al. Pancreatic adenocarcinoma: CT versus MR imaging in the evaluation of resectability--report of the Radiology Diagnostic Oncology Group. // Radiology. 1995. Vol. 195, № 2. P. 327–332.</w:t>
      </w:r>
    </w:p>
    <w:p w14:paraId="68935031" w14:textId="77777777" w:rsidR="004034C1" w:rsidRDefault="004034C1" w:rsidP="004034C1">
      <w:pPr>
        <w:pStyle w:val="aff6"/>
      </w:pPr>
      <w:r>
        <w:t>25.</w:t>
      </w:r>
      <w:r>
        <w:tab/>
        <w:t>Sheridan M.B. et al. Dynamic contrast-enhanced MR imaging and dual-phase helical CT in the preoperative assessment of suspected pancreatic cancer: a comparative study with receiver operating characteristic analysis. // American Journal of Roentgenology. 1999. Vol. 173, № 3. P. 583–590.</w:t>
      </w:r>
    </w:p>
    <w:p w14:paraId="76786228" w14:textId="77777777" w:rsidR="004034C1" w:rsidRDefault="004034C1" w:rsidP="004034C1">
      <w:pPr>
        <w:pStyle w:val="aff6"/>
      </w:pPr>
      <w:r>
        <w:t>26.</w:t>
      </w:r>
      <w:r>
        <w:tab/>
        <w:t>Buchs N.C. et al. Vascular invasion in pancreatic cancer: Imaging modalities, preoperative diagnosis and surgical management // World J Gastroenterol. 2010. Vol. 16, № 7. P. 818–831.</w:t>
      </w:r>
    </w:p>
    <w:p w14:paraId="035A8A20" w14:textId="77777777" w:rsidR="004034C1" w:rsidRDefault="004034C1" w:rsidP="004034C1">
      <w:pPr>
        <w:pStyle w:val="aff6"/>
      </w:pPr>
      <w:r>
        <w:t>27.</w:t>
      </w:r>
      <w:r>
        <w:tab/>
        <w:t>Holzapfel K. et al. Comparison of diffusion-weighted MR imaging and multidetector-row CT in the detection of liver metastases in patients operated for pancreatic cancer // Abdominal Imaging. 2011. Vol. 36, № 2. P. 179–184.</w:t>
      </w:r>
    </w:p>
    <w:p w14:paraId="4371AF30" w14:textId="77777777" w:rsidR="004034C1" w:rsidRDefault="004034C1" w:rsidP="004034C1">
      <w:pPr>
        <w:pStyle w:val="aff6"/>
      </w:pPr>
      <w:r>
        <w:t>28.</w:t>
      </w:r>
      <w:r>
        <w:tab/>
        <w:t>Motosugi U. et al. Detection of Pancreatic Carcinoma and Liver Metastases with Gadoxetic Acid–enhanced MR Imaging: Comparison with Contrast-enhanced Multi–Detector Row CT // Radiology. 2011. Vol. 260, № 2. P. 446–453.</w:t>
      </w:r>
    </w:p>
    <w:p w14:paraId="7B5A9BCD" w14:textId="77777777" w:rsidR="004034C1" w:rsidRDefault="004034C1" w:rsidP="004034C1">
      <w:pPr>
        <w:pStyle w:val="aff6"/>
      </w:pPr>
      <w:r>
        <w:t>29.</w:t>
      </w:r>
      <w:r>
        <w:tab/>
        <w:t>Li J. et al. Endoscopic Ultrasonography for Tumor Node Staging and Vascular Invasion in Pancreatic Cancer: A Meta-Analysis // Digestive Surgery. 2014. Vol. 31, № 4–5. P. 297–305.</w:t>
      </w:r>
    </w:p>
    <w:p w14:paraId="5E17FFBB" w14:textId="77777777" w:rsidR="004034C1" w:rsidRDefault="004034C1" w:rsidP="004034C1">
      <w:pPr>
        <w:pStyle w:val="aff6"/>
      </w:pPr>
      <w:r>
        <w:t>30.</w:t>
      </w:r>
      <w:r>
        <w:tab/>
        <w:t>Wyse J.M. et al. Randomized, Double-Blind, Controlled Trial of Early Endoscopic Ultrasound–Guided Celiac Plexus Neurolysis  to Prevent Pain Progression in Patients With Newly Diagnosed, Painful, Inoperable Pancreatic Cancer // JCO. 2011. Vol. 29, № 26. P. 3541–3546.</w:t>
      </w:r>
    </w:p>
    <w:p w14:paraId="59BA974D" w14:textId="77777777" w:rsidR="004034C1" w:rsidRDefault="004034C1" w:rsidP="004034C1">
      <w:pPr>
        <w:pStyle w:val="aff6"/>
      </w:pPr>
      <w:r>
        <w:t>31.</w:t>
      </w:r>
      <w:r>
        <w:tab/>
        <w:t>Agarwal B. et al. Endoscopic Ultrasound-Guided Fine Needle Aspiration and Multidetector Spiral CT in the Diagnosis of Pancreatic Cancer // Am J Gastroenterology. 2004. Vol. 99, № 5. P. 844–850.</w:t>
      </w:r>
    </w:p>
    <w:p w14:paraId="664B542A" w14:textId="77777777" w:rsidR="004034C1" w:rsidRDefault="004034C1" w:rsidP="004034C1">
      <w:pPr>
        <w:pStyle w:val="aff6"/>
      </w:pPr>
      <w:r>
        <w:t>32.</w:t>
      </w:r>
      <w:r>
        <w:tab/>
        <w:t>Farma J.M. et al. PET/CT Fusion Scan Enhances CT Staging in Patients with Pancreatic Neoplasms // Annals of Surgical Oncology. 2008. Vol. 15, № 9. P. 2465–2471.</w:t>
      </w:r>
    </w:p>
    <w:p w14:paraId="72E8BE60" w14:textId="77777777" w:rsidR="004034C1" w:rsidRDefault="004034C1" w:rsidP="004034C1">
      <w:pPr>
        <w:pStyle w:val="aff6"/>
      </w:pPr>
      <w:r>
        <w:t>33.</w:t>
      </w:r>
      <w:r>
        <w:tab/>
        <w:t>Borad M.J. et al. Skeletal metastases in pancreatic cancer: a retrospective study and review of the literature // Yale J Biol Med. Yale Journal of Biology and Medicine, 2009. Vol. 82, № 1. P. 1–6.</w:t>
      </w:r>
    </w:p>
    <w:p w14:paraId="65DC5106" w14:textId="77777777" w:rsidR="004034C1" w:rsidRDefault="004034C1" w:rsidP="004034C1">
      <w:pPr>
        <w:pStyle w:val="aff6"/>
      </w:pPr>
      <w:r>
        <w:t>34.</w:t>
      </w:r>
      <w:r>
        <w:tab/>
        <w:t>Jambor M.A. et al. The role of staging laparoscopy in pancreatic adenocarcinoma and its effect on patients’ survival // World Journal of Surgical Oncology. 2022. Vol. 20, № 1. P. 337.</w:t>
      </w:r>
    </w:p>
    <w:p w14:paraId="501D3F9A" w14:textId="77777777" w:rsidR="004034C1" w:rsidRDefault="004034C1" w:rsidP="004034C1">
      <w:pPr>
        <w:pStyle w:val="aff6"/>
      </w:pPr>
      <w:r>
        <w:t>35.</w:t>
      </w:r>
      <w:r>
        <w:tab/>
        <w:t>Sasaki T. et al. Brain metastasis in pancreatic cancer: Two case reports // Medicine. 2019. Vol. 98, № 4.</w:t>
      </w:r>
    </w:p>
    <w:p w14:paraId="0D1DCA6B" w14:textId="77777777" w:rsidR="004034C1" w:rsidRDefault="004034C1" w:rsidP="004034C1">
      <w:pPr>
        <w:pStyle w:val="aff6"/>
      </w:pPr>
      <w:r>
        <w:t>36.</w:t>
      </w:r>
      <w:r>
        <w:tab/>
        <w:t>Lemke J. et al. Brain metastasis in pancreatic cancer // Int J Mol Sci. MDPI, 2013. Vol. 14, № 2. P. 4163–4173.</w:t>
      </w:r>
    </w:p>
    <w:p w14:paraId="4AEB2BAF" w14:textId="77777777" w:rsidR="004034C1" w:rsidRDefault="004034C1" w:rsidP="004034C1">
      <w:pPr>
        <w:pStyle w:val="aff6"/>
      </w:pPr>
      <w:r>
        <w:t>37.</w:t>
      </w:r>
      <w:r>
        <w:tab/>
        <w:t>Bertero Edoardo et al. Linking Heart Failure to Cancer // Circulation. American Heart Association, 2018. Vol. 138, № 7. P. 735–742.</w:t>
      </w:r>
    </w:p>
    <w:p w14:paraId="3AF7B6FC" w14:textId="77777777" w:rsidR="004034C1" w:rsidRDefault="004034C1" w:rsidP="004034C1">
      <w:pPr>
        <w:pStyle w:val="aff6"/>
      </w:pPr>
      <w:r>
        <w:lastRenderedPageBreak/>
        <w:t>38.</w:t>
      </w:r>
      <w:r>
        <w:tab/>
        <w:t>Buza Vitaly, Rajagopalan Bharath, Curtis Anne B. Cancer Treatment–Induced Arrhythmias // Circulation: Arrhythmia and Electrophysiology. American Heart Association, 2017. Vol. 10, № 8. P. e005443.</w:t>
      </w:r>
    </w:p>
    <w:p w14:paraId="4C33B64A" w14:textId="77777777" w:rsidR="004034C1" w:rsidRPr="00B860E7" w:rsidRDefault="004034C1" w:rsidP="004034C1">
      <w:pPr>
        <w:pStyle w:val="aff6"/>
        <w:rPr>
          <w:lang w:val="ru-RU"/>
        </w:rPr>
      </w:pPr>
      <w:r>
        <w:t>39.</w:t>
      </w:r>
      <w:r>
        <w:tab/>
        <w:t>Naing A. et al. Electrocardiograms (ECGs) in phase I anticancer drug development: the MD Anderson Cancer Center experience with 8518 ECGs // Annals of Oncology. Elsevier</w:t>
      </w:r>
      <w:r w:rsidRPr="00B860E7">
        <w:rPr>
          <w:lang w:val="ru-RU"/>
        </w:rPr>
        <w:t xml:space="preserve">, 2012. </w:t>
      </w:r>
      <w:r>
        <w:t>Vol</w:t>
      </w:r>
      <w:r w:rsidRPr="00B860E7">
        <w:rPr>
          <w:lang w:val="ru-RU"/>
        </w:rPr>
        <w:t xml:space="preserve">. 23, № 11. </w:t>
      </w:r>
      <w:r>
        <w:t>P</w:t>
      </w:r>
      <w:r w:rsidRPr="00B860E7">
        <w:rPr>
          <w:lang w:val="ru-RU"/>
        </w:rPr>
        <w:t>. 2960–2963.</w:t>
      </w:r>
    </w:p>
    <w:p w14:paraId="76E51F6E" w14:textId="77777777" w:rsidR="004034C1" w:rsidRDefault="004034C1" w:rsidP="004034C1">
      <w:pPr>
        <w:pStyle w:val="aff6"/>
      </w:pPr>
      <w:r w:rsidRPr="00B860E7">
        <w:rPr>
          <w:lang w:val="ru-RU"/>
        </w:rPr>
        <w:t>40.</w:t>
      </w:r>
      <w:r w:rsidRPr="00B860E7">
        <w:rPr>
          <w:lang w:val="ru-RU"/>
        </w:rPr>
        <w:tab/>
        <w:t xml:space="preserve">Покатаев И.А. Консервативное лечение пациентов с местнораспространенным и метастатическим раком поджелудочной железы: Диссертация на соискание ученой степени доктора медицинских наук. </w:t>
      </w:r>
      <w:r>
        <w:t>Москва, 2020. 268 p.</w:t>
      </w:r>
    </w:p>
    <w:p w14:paraId="4EF3A40A" w14:textId="77777777" w:rsidR="004034C1" w:rsidRDefault="004034C1" w:rsidP="004034C1">
      <w:pPr>
        <w:pStyle w:val="aff6"/>
      </w:pPr>
      <w:r>
        <w:t>41.</w:t>
      </w:r>
      <w:r>
        <w:tab/>
        <w:t>Daly M. et al. Genetic/familial high-risk assessment: Breast and ovarian, version 2.2017: Featured updates to the NCCN guidelines // Journal of the National Comprehensive Cancer Network : JNCCN. 2017. Vol. 15. P. 9–20.</w:t>
      </w:r>
    </w:p>
    <w:p w14:paraId="73E8EED1" w14:textId="77777777" w:rsidR="004034C1" w:rsidRDefault="004034C1" w:rsidP="004034C1">
      <w:pPr>
        <w:pStyle w:val="aff6"/>
      </w:pPr>
      <w:r>
        <w:t>42.</w:t>
      </w:r>
      <w:r>
        <w:tab/>
        <w:t>Emelyanova M. et al. Platinum-based chemotherapy for pancreatic cancer: impact of mutations in the homologous recombination repair and Fanconi anemia genes // Ther Adv Med Oncol. 2022. Vol. 14. P. 175883592210830.</w:t>
      </w:r>
    </w:p>
    <w:p w14:paraId="4A1ECA4D" w14:textId="77777777" w:rsidR="004034C1" w:rsidRDefault="004034C1" w:rsidP="004034C1">
      <w:pPr>
        <w:pStyle w:val="aff6"/>
      </w:pPr>
      <w:r>
        <w:t>43.</w:t>
      </w:r>
      <w:r>
        <w:tab/>
        <w:t>Pishvaian M.J. et al. Outcomes in pancreatic adenocarcinoma (PDA) patients (pts) with genetic alterations in DNA damage repair (DDR) pathways: Results from the Know Your Tumor (KYT) program. // JCO. 2019. Vol. 37, № 4_suppl. P. 191–191.</w:t>
      </w:r>
    </w:p>
    <w:p w14:paraId="1A43C7EA" w14:textId="77777777" w:rsidR="004034C1" w:rsidRDefault="004034C1" w:rsidP="004034C1">
      <w:pPr>
        <w:pStyle w:val="aff6"/>
      </w:pPr>
      <w:r>
        <w:t>44.</w:t>
      </w:r>
      <w:r>
        <w:tab/>
        <w:t>Pishvaian M.J. et al. Overall survival in patients with pancreatic cancer receiving matched therapies following molecular profiling: a retrospective analysis of the Know Your Tumor registry trial // The Lancet Oncology. 2020. Vol. 21, № 4. P. 508–518.</w:t>
      </w:r>
    </w:p>
    <w:p w14:paraId="35590A9D" w14:textId="77777777" w:rsidR="004034C1" w:rsidRDefault="004034C1" w:rsidP="004034C1">
      <w:pPr>
        <w:pStyle w:val="aff6"/>
      </w:pPr>
      <w:r>
        <w:t>45.</w:t>
      </w:r>
      <w:r>
        <w:tab/>
        <w:t>Hu Z.I. et al. Evaluating Mismatch Repair Deficiency in Pancreatic Adenocarcinoma: Challenges and Recommendations // Clin Cancer Res. 2018. Vol. 24, № 6. P. 1326–1336.</w:t>
      </w:r>
    </w:p>
    <w:p w14:paraId="33F90220" w14:textId="77777777" w:rsidR="004034C1" w:rsidRDefault="004034C1" w:rsidP="004034C1">
      <w:pPr>
        <w:pStyle w:val="aff6"/>
      </w:pPr>
      <w:r>
        <w:t>46.</w:t>
      </w:r>
      <w:r>
        <w:tab/>
        <w:t xml:space="preserve">Sokol E.S. et al. PARP Inhibitor Insensitivity to </w:t>
      </w:r>
      <w:r>
        <w:rPr>
          <w:i/>
          <w:iCs/>
        </w:rPr>
        <w:t>BRCA1/2</w:t>
      </w:r>
      <w:r>
        <w:t xml:space="preserve"> Monoallelic Mutations in Microsatellite Instability-High Cancers // JCO Precision Oncology. 2022. № 6. P. e2100531.</w:t>
      </w:r>
    </w:p>
    <w:p w14:paraId="72D35E56" w14:textId="77777777" w:rsidR="004034C1" w:rsidRDefault="004034C1" w:rsidP="004034C1">
      <w:pPr>
        <w:pStyle w:val="aff6"/>
      </w:pPr>
      <w:r>
        <w:t>47.</w:t>
      </w:r>
      <w:r>
        <w:tab/>
        <w:t>Qiu M. et al. Pathologic Diagnosis of Pancreatic Adenocarcinoma in the United States: Its Status and Prognostic Value // J Cancer. 2016. Vol. 7, № 6. P. 694–701.</w:t>
      </w:r>
    </w:p>
    <w:p w14:paraId="31D70BD8" w14:textId="77777777" w:rsidR="004034C1" w:rsidRPr="00B860E7" w:rsidRDefault="004034C1" w:rsidP="004034C1">
      <w:pPr>
        <w:pStyle w:val="aff6"/>
        <w:rPr>
          <w:lang w:val="ru-RU"/>
        </w:rPr>
      </w:pPr>
      <w:r>
        <w:t>48.</w:t>
      </w:r>
      <w:r>
        <w:tab/>
        <w:t xml:space="preserve">Protocol for the Examination of Specimens From Patients With Carcinoma of the Pancreas [Electronic resource] // American Colledge of pathlogists. </w:t>
      </w:r>
      <w:r w:rsidRPr="00B860E7">
        <w:rPr>
          <w:lang w:val="ru-RU"/>
        </w:rPr>
        <w:t xml:space="preserve">2017. </w:t>
      </w:r>
      <w:r>
        <w:t>URL</w:t>
      </w:r>
      <w:r w:rsidRPr="00B860E7">
        <w:rPr>
          <w:lang w:val="ru-RU"/>
        </w:rPr>
        <w:t xml:space="preserve">: </w:t>
      </w:r>
      <w:r>
        <w:t>https</w:t>
      </w:r>
      <w:r w:rsidRPr="00B860E7">
        <w:rPr>
          <w:lang w:val="ru-RU"/>
        </w:rPr>
        <w:t>://</w:t>
      </w:r>
      <w:r>
        <w:t>www</w:t>
      </w:r>
      <w:r w:rsidRPr="00B860E7">
        <w:rPr>
          <w:lang w:val="ru-RU"/>
        </w:rPr>
        <w:t>.</w:t>
      </w:r>
      <w:r>
        <w:t>cap</w:t>
      </w:r>
      <w:r w:rsidRPr="00B860E7">
        <w:rPr>
          <w:lang w:val="ru-RU"/>
        </w:rPr>
        <w:t>.</w:t>
      </w:r>
      <w:r>
        <w:t>org</w:t>
      </w:r>
      <w:r w:rsidRPr="00B860E7">
        <w:rPr>
          <w:lang w:val="ru-RU"/>
        </w:rPr>
        <w:t xml:space="preserve"> (</w:t>
      </w:r>
      <w:r>
        <w:t>accessed</w:t>
      </w:r>
      <w:r w:rsidRPr="00B860E7">
        <w:rPr>
          <w:lang w:val="ru-RU"/>
        </w:rPr>
        <w:t>: 07.03.2024).</w:t>
      </w:r>
    </w:p>
    <w:p w14:paraId="21EE2806" w14:textId="77777777" w:rsidR="004034C1" w:rsidRPr="00B860E7" w:rsidRDefault="004034C1" w:rsidP="004034C1">
      <w:pPr>
        <w:pStyle w:val="aff6"/>
        <w:rPr>
          <w:lang w:val="ru-RU"/>
        </w:rPr>
      </w:pPr>
      <w:r w:rsidRPr="00B860E7">
        <w:rPr>
          <w:lang w:val="ru-RU"/>
        </w:rPr>
        <w:t>49.</w:t>
      </w:r>
      <w:r w:rsidRPr="00B860E7">
        <w:rPr>
          <w:lang w:val="ru-RU"/>
        </w:rPr>
        <w:tab/>
        <w:t xml:space="preserve">Патютко Ю.И. Гепатопанкреатодуоденальная резекция - есть ли перспективы? // Хирургия. Журнал им. Н.И. Пирогова. 2011. № 8. </w:t>
      </w:r>
      <w:r>
        <w:t>P</w:t>
      </w:r>
      <w:r w:rsidRPr="00B860E7">
        <w:rPr>
          <w:lang w:val="ru-RU"/>
        </w:rPr>
        <w:t>. 41–46.</w:t>
      </w:r>
    </w:p>
    <w:p w14:paraId="48823DC1" w14:textId="77777777" w:rsidR="004034C1" w:rsidRPr="00B860E7" w:rsidRDefault="004034C1" w:rsidP="004034C1">
      <w:pPr>
        <w:pStyle w:val="aff6"/>
        <w:rPr>
          <w:lang w:val="ru-RU"/>
        </w:rPr>
      </w:pPr>
      <w:r w:rsidRPr="00B860E7">
        <w:rPr>
          <w:lang w:val="ru-RU"/>
        </w:rPr>
        <w:t>50.</w:t>
      </w:r>
      <w:r w:rsidRPr="00B860E7">
        <w:rPr>
          <w:lang w:val="ru-RU"/>
        </w:rPr>
        <w:tab/>
        <w:t xml:space="preserve">Патютко Ю.И. Проксимальная и дистальная резекция поджелудочной железы с сохранением тела // Хирургия. Журнал им. Н.И. Пирогова. 2012. № 2. </w:t>
      </w:r>
      <w:r>
        <w:t>P</w:t>
      </w:r>
      <w:r w:rsidRPr="00B860E7">
        <w:rPr>
          <w:lang w:val="ru-RU"/>
        </w:rPr>
        <w:t>. 70–73.</w:t>
      </w:r>
    </w:p>
    <w:p w14:paraId="4787EB35" w14:textId="77777777" w:rsidR="004034C1" w:rsidRDefault="004034C1" w:rsidP="004034C1">
      <w:pPr>
        <w:pStyle w:val="aff6"/>
      </w:pPr>
      <w:r w:rsidRPr="00B860E7">
        <w:rPr>
          <w:lang w:val="ru-RU"/>
        </w:rPr>
        <w:t>51.</w:t>
      </w:r>
      <w:r w:rsidRPr="00B860E7">
        <w:rPr>
          <w:lang w:val="ru-RU"/>
        </w:rPr>
        <w:tab/>
      </w:r>
      <w:r>
        <w:t>Unno</w:t>
      </w:r>
      <w:r w:rsidRPr="00B860E7">
        <w:rPr>
          <w:lang w:val="ru-RU"/>
        </w:rPr>
        <w:t xml:space="preserve"> </w:t>
      </w:r>
      <w:r>
        <w:t>M</w:t>
      </w:r>
      <w:r w:rsidRPr="00B860E7">
        <w:rPr>
          <w:lang w:val="ru-RU"/>
        </w:rPr>
        <w:t xml:space="preserve">. </w:t>
      </w:r>
      <w:r>
        <w:t>et</w:t>
      </w:r>
      <w:r w:rsidRPr="00B860E7">
        <w:rPr>
          <w:lang w:val="ru-RU"/>
        </w:rPr>
        <w:t xml:space="preserve"> </w:t>
      </w:r>
      <w:r>
        <w:t>al</w:t>
      </w:r>
      <w:r w:rsidRPr="00B860E7">
        <w:rPr>
          <w:lang w:val="ru-RU"/>
        </w:rPr>
        <w:t xml:space="preserve">. </w:t>
      </w:r>
      <w:r>
        <w:t>Randomized phase II/III trial of neoadjuvant chemotherapy with gemcitabine and S-1 versus upfront surgery for resectable pancreatic cancer (Prep-02/JSAP-05). // JCO. 2019. Vol. 37, № 4_suppl. P. 189–189.</w:t>
      </w:r>
    </w:p>
    <w:p w14:paraId="44571EC7" w14:textId="77777777" w:rsidR="004034C1" w:rsidRDefault="004034C1" w:rsidP="004034C1">
      <w:pPr>
        <w:pStyle w:val="aff6"/>
      </w:pPr>
      <w:r>
        <w:t>52.</w:t>
      </w:r>
      <w:r>
        <w:tab/>
        <w:t>Van Tienhoven G. et al. Preoperative chemoradiotherapy versus immediate surgery for resectable and borderline resectable pancreatic cancer (PREOPANC-1): A randomized, controlled, multicenter phase III trial. // JCO. 2018. Vol. 36, № 18_suppl. P. LBA4002–LBA4002.</w:t>
      </w:r>
    </w:p>
    <w:p w14:paraId="5D449FEB" w14:textId="77777777" w:rsidR="004034C1" w:rsidRDefault="004034C1" w:rsidP="004034C1">
      <w:pPr>
        <w:pStyle w:val="aff6"/>
      </w:pPr>
      <w:r>
        <w:t>53.</w:t>
      </w:r>
      <w:r>
        <w:tab/>
        <w:t>Reni M. et al. Safety and efficacy of preoperative or postoperative chemotherapy for resectable pancreatic adenocarcinoma (PACT-15): a randomised, open-label, phase 2–3 trial // The Lancet Gastroenterology &amp; Hepatology. 2018. Vol. 3, № 6. P. 413–423.</w:t>
      </w:r>
    </w:p>
    <w:p w14:paraId="2CB7DC3B" w14:textId="77777777" w:rsidR="004034C1" w:rsidRPr="00B860E7" w:rsidRDefault="004034C1" w:rsidP="004034C1">
      <w:pPr>
        <w:pStyle w:val="aff6"/>
        <w:rPr>
          <w:lang w:val="ru-RU"/>
        </w:rPr>
      </w:pPr>
      <w:r>
        <w:t>54.</w:t>
      </w:r>
      <w:r>
        <w:tab/>
        <w:t>Gudjonsson B. Pancreatic Cancer: 80 Years of Surgery-Percentage and Repetitions // HPB Surg. 2016. Vol</w:t>
      </w:r>
      <w:r w:rsidRPr="00B860E7">
        <w:rPr>
          <w:lang w:val="ru-RU"/>
        </w:rPr>
        <w:t xml:space="preserve">. 2016. </w:t>
      </w:r>
      <w:r>
        <w:t>P</w:t>
      </w:r>
      <w:r w:rsidRPr="00B860E7">
        <w:rPr>
          <w:lang w:val="ru-RU"/>
        </w:rPr>
        <w:t>. 6839687–6839687.</w:t>
      </w:r>
    </w:p>
    <w:p w14:paraId="24887F74" w14:textId="77777777" w:rsidR="004034C1" w:rsidRDefault="004034C1" w:rsidP="004034C1">
      <w:pPr>
        <w:pStyle w:val="aff6"/>
      </w:pPr>
      <w:r w:rsidRPr="00B860E7">
        <w:rPr>
          <w:lang w:val="ru-RU"/>
        </w:rPr>
        <w:t>55.</w:t>
      </w:r>
      <w:r w:rsidRPr="00B860E7">
        <w:rPr>
          <w:lang w:val="ru-RU"/>
        </w:rPr>
        <w:tab/>
        <w:t xml:space="preserve">Патютко Ю.И. Резекция сосудов в хирургии рака поджелудочной железы // Вестник хирургической гастроэнтерологии. </w:t>
      </w:r>
      <w:r>
        <w:t>2012. № 3. P. 21–32.</w:t>
      </w:r>
    </w:p>
    <w:p w14:paraId="238E4B93" w14:textId="77777777" w:rsidR="004034C1" w:rsidRDefault="004034C1" w:rsidP="004034C1">
      <w:pPr>
        <w:pStyle w:val="aff6"/>
      </w:pPr>
      <w:r>
        <w:lastRenderedPageBreak/>
        <w:t>56.</w:t>
      </w:r>
      <w:r>
        <w:tab/>
        <w:t>Unno M. et al. Randomized phase II/III trial of neoadjuvant chemotherapy with gemcitabine and S-1 versus upfront surgery for resectable pancreatic cancer (Prep-02/JSAP-05). // JCO. 2019. Vol. 37, № 4_suppl. P. 189–189.</w:t>
      </w:r>
    </w:p>
    <w:p w14:paraId="24F6165A" w14:textId="77777777" w:rsidR="004034C1" w:rsidRDefault="004034C1" w:rsidP="004034C1">
      <w:pPr>
        <w:pStyle w:val="aff6"/>
      </w:pPr>
      <w:r>
        <w:t>57.</w:t>
      </w:r>
      <w:r>
        <w:tab/>
        <w:t>Ghaneh P. et al. ESPAC-5F: Four-arm, prospective, multicenter, international randomized phase II trial of immediate surgery compared with neoadjuvant gemcitabine plus capecitabine (GEMCAP) or FOLFIRINOX or chemoradiotherapy (CRT) in patients with borderline resectable pancreatic cancer. // JCO. Wolters Kluwer, 2020. Vol. 38, № 15_suppl. P. 4505–4505.</w:t>
      </w:r>
    </w:p>
    <w:p w14:paraId="0FC44D45" w14:textId="77777777" w:rsidR="004034C1" w:rsidRDefault="004034C1" w:rsidP="004034C1">
      <w:pPr>
        <w:pStyle w:val="aff6"/>
      </w:pPr>
      <w:r>
        <w:t>58.</w:t>
      </w:r>
      <w:r>
        <w:tab/>
        <w:t>Tempero M.A., Malafa M.P., Benson Al.B. NCCN Clinical Practice Guidelines in Oncology. Pancreatic Adenocarcinoma. NCCN.org, 2023.</w:t>
      </w:r>
    </w:p>
    <w:p w14:paraId="78D509FC" w14:textId="77777777" w:rsidR="004034C1" w:rsidRPr="00B860E7" w:rsidRDefault="004034C1" w:rsidP="004034C1">
      <w:pPr>
        <w:pStyle w:val="aff6"/>
        <w:rPr>
          <w:lang w:val="ru-RU"/>
        </w:rPr>
      </w:pPr>
      <w:r>
        <w:t>59.</w:t>
      </w:r>
      <w:r>
        <w:tab/>
        <w:t xml:space="preserve">Патютко Ю.И. Тотальная панкреатэктомия при опухолевом поражении поджелудочной железы // Хирургия. </w:t>
      </w:r>
      <w:r w:rsidRPr="00B860E7">
        <w:rPr>
          <w:lang w:val="ru-RU"/>
        </w:rPr>
        <w:t xml:space="preserve">Журнал им. Н.И. Пирогова. 2016. № 9. </w:t>
      </w:r>
      <w:r>
        <w:t>P</w:t>
      </w:r>
      <w:r w:rsidRPr="00B860E7">
        <w:rPr>
          <w:lang w:val="ru-RU"/>
        </w:rPr>
        <w:t>. 13–20.</w:t>
      </w:r>
    </w:p>
    <w:p w14:paraId="1FECF20C" w14:textId="77777777" w:rsidR="004034C1" w:rsidRDefault="004034C1" w:rsidP="004034C1">
      <w:pPr>
        <w:pStyle w:val="aff6"/>
      </w:pPr>
      <w:r w:rsidRPr="00B860E7">
        <w:rPr>
          <w:lang w:val="ru-RU"/>
        </w:rPr>
        <w:t>60.</w:t>
      </w:r>
      <w:r w:rsidRPr="00B860E7">
        <w:rPr>
          <w:lang w:val="ru-RU"/>
        </w:rPr>
        <w:tab/>
      </w:r>
      <w:r>
        <w:t>Fathi</w:t>
      </w:r>
      <w:r w:rsidRPr="00B860E7">
        <w:rPr>
          <w:lang w:val="ru-RU"/>
        </w:rPr>
        <w:t xml:space="preserve"> </w:t>
      </w:r>
      <w:r>
        <w:t>A</w:t>
      </w:r>
      <w:r w:rsidRPr="00B860E7">
        <w:rPr>
          <w:lang w:val="ru-RU"/>
        </w:rPr>
        <w:t>.</w:t>
      </w:r>
      <w:r>
        <w:t>H</w:t>
      </w:r>
      <w:r w:rsidRPr="00B860E7">
        <w:rPr>
          <w:lang w:val="ru-RU"/>
        </w:rPr>
        <w:t xml:space="preserve">. </w:t>
      </w:r>
      <w:r>
        <w:t>et</w:t>
      </w:r>
      <w:r w:rsidRPr="00B860E7">
        <w:rPr>
          <w:lang w:val="ru-RU"/>
        </w:rPr>
        <w:t xml:space="preserve"> </w:t>
      </w:r>
      <w:r>
        <w:t>al</w:t>
      </w:r>
      <w:r w:rsidRPr="00B860E7">
        <w:rPr>
          <w:lang w:val="ru-RU"/>
        </w:rPr>
        <w:t xml:space="preserve">. </w:t>
      </w:r>
      <w:r>
        <w:t>Extended Perioperative Antibiotic Coverage in Conjunction with Intraoperative Bile Cultures Decreases Infectious Complications after Pancreaticoduodenectomy // HPB Surgery. 2016. Vol. 2016. P. 1–6.</w:t>
      </w:r>
    </w:p>
    <w:p w14:paraId="600E869B" w14:textId="77777777" w:rsidR="004034C1" w:rsidRDefault="004034C1" w:rsidP="004034C1">
      <w:pPr>
        <w:pStyle w:val="aff6"/>
      </w:pPr>
      <w:r>
        <w:t>61.</w:t>
      </w:r>
      <w:r>
        <w:tab/>
        <w:t>Phillips M.E. et al. Consensus for the management of pancreatic exocrine insufficiency: UK practical guidelines // BMJ Open Gastroenterol. 2021. Vol. 8, № 1. P. e000643.</w:t>
      </w:r>
    </w:p>
    <w:p w14:paraId="284ED6C1" w14:textId="77777777" w:rsidR="004034C1" w:rsidRDefault="004034C1" w:rsidP="004034C1">
      <w:pPr>
        <w:pStyle w:val="aff6"/>
      </w:pPr>
      <w:r>
        <w:t>62.</w:t>
      </w:r>
      <w:r>
        <w:tab/>
        <w:t>Roeyen G. et al. Expert opinion on management of pancreatic exocrine insufficiency in pancreatic cancer // ESMO Open. 2022. Vol. 7, № 1. P. 100386.</w:t>
      </w:r>
    </w:p>
    <w:p w14:paraId="739179E9" w14:textId="77777777" w:rsidR="004034C1" w:rsidRPr="00B860E7" w:rsidRDefault="004034C1" w:rsidP="004034C1">
      <w:pPr>
        <w:pStyle w:val="aff6"/>
        <w:rPr>
          <w:lang w:val="ru-RU"/>
        </w:rPr>
      </w:pPr>
      <w:r>
        <w:t>63.</w:t>
      </w:r>
      <w:r>
        <w:tab/>
        <w:t xml:space="preserve">De La Iglesia D. et al. Pancreatic exocrine insufficiency and pancreatic enzyme replacement therapy in patients with advanced pancreatic cancer: A systematic review and meta‐analysis // UEG Journal. </w:t>
      </w:r>
      <w:r w:rsidRPr="00B860E7">
        <w:rPr>
          <w:lang w:val="ru-RU"/>
        </w:rPr>
        <w:t xml:space="preserve">2020. </w:t>
      </w:r>
      <w:r>
        <w:t>Vol</w:t>
      </w:r>
      <w:r w:rsidRPr="00B860E7">
        <w:rPr>
          <w:lang w:val="ru-RU"/>
        </w:rPr>
        <w:t xml:space="preserve">. 8, № 9. </w:t>
      </w:r>
      <w:r>
        <w:t>P</w:t>
      </w:r>
      <w:r w:rsidRPr="00B860E7">
        <w:rPr>
          <w:lang w:val="ru-RU"/>
        </w:rPr>
        <w:t>. 1115–1125.</w:t>
      </w:r>
    </w:p>
    <w:p w14:paraId="2EFECAA5" w14:textId="77777777" w:rsidR="004034C1" w:rsidRDefault="004034C1" w:rsidP="004034C1">
      <w:pPr>
        <w:pStyle w:val="aff6"/>
      </w:pPr>
      <w:r w:rsidRPr="00B860E7">
        <w:rPr>
          <w:lang w:val="ru-RU"/>
        </w:rPr>
        <w:t>64.</w:t>
      </w:r>
      <w:r w:rsidRPr="00B860E7">
        <w:rPr>
          <w:lang w:val="ru-RU"/>
        </w:rPr>
        <w:tab/>
        <w:t xml:space="preserve">Базин И., Покатаев И. Место химиотерапии в лечении локализованного рака поджелудочной железы. </w:t>
      </w:r>
      <w:r>
        <w:t>2016. Vol. 21, № 4(спецвыпуск 1). P. 20–25.</w:t>
      </w:r>
    </w:p>
    <w:p w14:paraId="7FB0DE19" w14:textId="77777777" w:rsidR="004034C1" w:rsidRDefault="004034C1" w:rsidP="004034C1">
      <w:pPr>
        <w:pStyle w:val="aff6"/>
      </w:pPr>
      <w:r>
        <w:t>65.</w:t>
      </w:r>
      <w:r>
        <w:tab/>
        <w:t>Massucco P. et al. Pancreatic Resections after Chemoradiotherapy for Locally Advanced Ductal Adenocarcinoma: Analysis of Perioperative Outcome and Survival // Annals of Surgical Oncology. 2006. Vol. 13, № 9. P. 1201–1208.</w:t>
      </w:r>
    </w:p>
    <w:p w14:paraId="3F457432" w14:textId="77777777" w:rsidR="004034C1" w:rsidRDefault="004034C1" w:rsidP="004034C1">
      <w:pPr>
        <w:pStyle w:val="aff6"/>
      </w:pPr>
      <w:r>
        <w:t>66.</w:t>
      </w:r>
      <w:r>
        <w:tab/>
        <w:t>Kunzmann V. et al. 671OConversion rate in locally advanced pancreatic cancer (LAPC) after nab-paclitaxel/gemcitabine- or FOLFIRINOX-based induction chemotherapy (NEOLAP): Final results of a multicenter randomised phase II AIO trial // Annals of Oncology. 2019. Vol. 30, № Supplement_5. P. mdz247.</w:t>
      </w:r>
    </w:p>
    <w:p w14:paraId="6687799A" w14:textId="77777777" w:rsidR="004034C1" w:rsidRDefault="004034C1" w:rsidP="004034C1">
      <w:pPr>
        <w:pStyle w:val="aff6"/>
      </w:pPr>
      <w:r>
        <w:t>67.</w:t>
      </w:r>
      <w:r>
        <w:tab/>
        <w:t>Rombouts S.J. et al. Systematic Review of Resection Rates and Clinical Outcomes After FOLFIRINOX-Based Treatment in Patients with Locally Advanced Pancreatic Cancer // Ann Surg Oncol. 2016. Vol. 23, № 13. P. 4352–4360.</w:t>
      </w:r>
    </w:p>
    <w:p w14:paraId="7651082C" w14:textId="77777777" w:rsidR="004034C1" w:rsidRDefault="004034C1" w:rsidP="004034C1">
      <w:pPr>
        <w:pStyle w:val="aff6"/>
      </w:pPr>
      <w:r>
        <w:t>68.</w:t>
      </w:r>
      <w:r>
        <w:tab/>
        <w:t>Hammel P. et al. Effect of Chemoradiotherapy vs Chemotherapy on Survival in Patients With Locally Advanced Pancreatic Cancer Controlled After 4 Months of Gemcitabine With or Without Erlotinib: The LAP07 Randomized Clinical Trial // JAMA. 2016. Vol. 315, № 17. P. 1844–1853.</w:t>
      </w:r>
    </w:p>
    <w:p w14:paraId="1DB36A29" w14:textId="77777777" w:rsidR="004034C1" w:rsidRDefault="004034C1" w:rsidP="004034C1">
      <w:pPr>
        <w:pStyle w:val="aff6"/>
      </w:pPr>
      <w:r>
        <w:t>69.</w:t>
      </w:r>
      <w:r>
        <w:tab/>
        <w:t>Fietkau R. et al. Randomized phase III trial of induction chemotherapy followed by chemoradiotherapy or chemotherapy alone for nonresectable locally advanced pancreatic cancer: First results of the CONKO-007 trial. // JCO. Wolters Kluwer, 2022. Vol. 40, № 16_suppl. P. 4008–4008.</w:t>
      </w:r>
    </w:p>
    <w:p w14:paraId="06FC6936" w14:textId="77777777" w:rsidR="004034C1" w:rsidRDefault="004034C1" w:rsidP="004034C1">
      <w:pPr>
        <w:pStyle w:val="aff6"/>
      </w:pPr>
      <w:r>
        <w:t>70.</w:t>
      </w:r>
      <w:r>
        <w:tab/>
        <w:t>Katz M.H.G. et al. Alliance A021501: Preoperative mFOLFIRINOX or mFOLFIRINOX plus hypofractionated radiation therapy (RT) for borderline resectable (BR) adenocarcinoma of the pancreas. // JCO. Wolters Kluwer, 2021. Vol. 39, № 3_suppl. P. 377–377.</w:t>
      </w:r>
    </w:p>
    <w:p w14:paraId="1C5CE694" w14:textId="77777777" w:rsidR="004034C1" w:rsidRDefault="004034C1" w:rsidP="004034C1">
      <w:pPr>
        <w:pStyle w:val="aff6"/>
      </w:pPr>
      <w:r>
        <w:t>71.</w:t>
      </w:r>
      <w:r>
        <w:tab/>
        <w:t>Liao W.-C. et al. Adjuvant treatments for resected pancreatic adenocarcinoma: a systematic review and network meta-analysis // The Lancet Oncology. 2013. Vol. 14, № 11. P. 1095–1103.</w:t>
      </w:r>
    </w:p>
    <w:p w14:paraId="33068AD1" w14:textId="77777777" w:rsidR="004034C1" w:rsidRDefault="004034C1" w:rsidP="004034C1">
      <w:pPr>
        <w:pStyle w:val="aff6"/>
      </w:pPr>
      <w:r>
        <w:t>72.</w:t>
      </w:r>
      <w:r>
        <w:tab/>
        <w:t>Ma S.J. et al. Association of Timing of Adjuvant Therapy With Survival in Patients With Resected Stage I to II Pancreatic Cancer // JAMA Netw Open. 2019. Vol. 2, № 8. P. e199126.</w:t>
      </w:r>
    </w:p>
    <w:p w14:paraId="1D083F9B" w14:textId="77777777" w:rsidR="004034C1" w:rsidRDefault="004034C1" w:rsidP="004034C1">
      <w:pPr>
        <w:pStyle w:val="aff6"/>
      </w:pPr>
      <w:r>
        <w:lastRenderedPageBreak/>
        <w:t>73.</w:t>
      </w:r>
      <w:r>
        <w:tab/>
        <w:t>Valle J.W. et al. Optimal Duration and Timing of Adjuvant Chemotherapy After Definitive Surgery for Ductal Adenocarcinoma of the Pancreas: Ongoing Lessons From the ESPAC-3 Study // JCO. 2014. Vol. 32, № 6. P. 504–512.</w:t>
      </w:r>
    </w:p>
    <w:p w14:paraId="607CE251" w14:textId="77777777" w:rsidR="004034C1" w:rsidRDefault="004034C1" w:rsidP="004034C1">
      <w:pPr>
        <w:pStyle w:val="aff6"/>
      </w:pPr>
      <w:r>
        <w:t>74.</w:t>
      </w:r>
      <w:r>
        <w:tab/>
        <w:t>Neoptolemos J.P. et al. Comparison of adjuvant gemcitabine and capecitabine with gemcitabine monotherapy in patients with resected pancreatic cancer (ESPAC-4): a multicentre, open-label, randomised, phase 3 trial // The Lancet. 2017. Vol. 389, № 10073. P. 1011–1024.</w:t>
      </w:r>
    </w:p>
    <w:p w14:paraId="3203226E" w14:textId="77777777" w:rsidR="004034C1" w:rsidRDefault="004034C1" w:rsidP="004034C1">
      <w:pPr>
        <w:pStyle w:val="aff6"/>
      </w:pPr>
      <w:r>
        <w:t>75.</w:t>
      </w:r>
      <w:r>
        <w:tab/>
        <w:t>Neoptolemos J.P. et al. Effect of Adjuvant Chemotherapy With Fluorouracil Plus Folinic Acid or Gemcitabine vs Observation on Survival in Patients With Resected Periampullary Adenocarcinoma: The ESPAC-3 Periampullary Cancer Randomized TrialAdjuvant Therapy and Periampullary Adenocarcinoma // JAMA. 2012. Vol. 308, № 2. P. 147–156.</w:t>
      </w:r>
    </w:p>
    <w:p w14:paraId="3D4CAA1B" w14:textId="77777777" w:rsidR="004034C1" w:rsidRDefault="004034C1" w:rsidP="004034C1">
      <w:pPr>
        <w:pStyle w:val="aff6"/>
      </w:pPr>
      <w:r>
        <w:t>76.</w:t>
      </w:r>
      <w:r>
        <w:tab/>
        <w:t>Conroy T. et al. FOLFIRINOX or Gemcitabine as Adjuvant Therapy for Pancreatic Cancer // New England Journal of Medicine. 2018. Vol. 379, № 25. P. 2395–2406.</w:t>
      </w:r>
    </w:p>
    <w:p w14:paraId="4126A6F9" w14:textId="77777777" w:rsidR="004034C1" w:rsidRDefault="004034C1" w:rsidP="004034C1">
      <w:pPr>
        <w:pStyle w:val="aff6"/>
      </w:pPr>
      <w:r>
        <w:t>77.</w:t>
      </w:r>
      <w:r>
        <w:tab/>
        <w:t>Oettle H. et al. Adjuvant Chemotherapy With Gemcitabine vs Observation in Patients Undergoing Curative-Intent Resection of Pancreatic CancerA Randomized Controlled Trial // JAMA. 2007. Vol. 297, № 3. P. 267–277.</w:t>
      </w:r>
    </w:p>
    <w:p w14:paraId="02E07E25" w14:textId="77777777" w:rsidR="004034C1" w:rsidRDefault="004034C1" w:rsidP="004034C1">
      <w:pPr>
        <w:pStyle w:val="aff6"/>
      </w:pPr>
      <w:r>
        <w:t>78.</w:t>
      </w:r>
      <w:r>
        <w:tab/>
        <w:t>Neoptolemos J.P. et al. A Randomized Trial of Chemoradiotherapy and Chemotherapy after Resection of Pancreatic Cancer // N Engl J Med. 2004. Vol. 350, № 12. P. 1200–1210.</w:t>
      </w:r>
    </w:p>
    <w:p w14:paraId="79540331" w14:textId="77777777" w:rsidR="004034C1" w:rsidRDefault="004034C1" w:rsidP="004034C1">
      <w:pPr>
        <w:pStyle w:val="aff6"/>
      </w:pPr>
      <w:r>
        <w:t>79.</w:t>
      </w:r>
      <w:r>
        <w:tab/>
        <w:t>Cartwright T.H. et al. Phase II Study of Oral Capecitabine in Patients With Advanced or Metastatic Pancreatic Cancer // JCO. 2002. Vol. 20, № 1. P. 160–164.</w:t>
      </w:r>
    </w:p>
    <w:p w14:paraId="270B6006" w14:textId="77777777" w:rsidR="004034C1" w:rsidRPr="00B860E7" w:rsidRDefault="004034C1" w:rsidP="004034C1">
      <w:pPr>
        <w:pStyle w:val="aff6"/>
        <w:rPr>
          <w:lang w:val="ru-RU"/>
        </w:rPr>
      </w:pPr>
      <w:r>
        <w:t>80.</w:t>
      </w:r>
      <w:r>
        <w:tab/>
        <w:t xml:space="preserve">Carvalho De Brito A.B., Riechelmann R.P., Fonseca De Jesus V.H. Impact of Granulocyte Colony-Stimulating Factor (G-CSF) on the Outcomes of Patients With Metastatic Pancreatic Adenocarcinoma (MPA) During First-Line Treatment With FOLFIRINOX: A Single-Center Retrospective Analysis // Cancer Control. </w:t>
      </w:r>
      <w:r w:rsidRPr="00B860E7">
        <w:rPr>
          <w:lang w:val="ru-RU"/>
        </w:rPr>
        <w:t xml:space="preserve">2023. </w:t>
      </w:r>
      <w:r>
        <w:t>Vol</w:t>
      </w:r>
      <w:r w:rsidRPr="00B860E7">
        <w:rPr>
          <w:lang w:val="ru-RU"/>
        </w:rPr>
        <w:t xml:space="preserve">. 30. </w:t>
      </w:r>
      <w:r>
        <w:t>P</w:t>
      </w:r>
      <w:r w:rsidRPr="00B860E7">
        <w:rPr>
          <w:lang w:val="ru-RU"/>
        </w:rPr>
        <w:t>. 107327482211495.</w:t>
      </w:r>
    </w:p>
    <w:p w14:paraId="7A6F7BE6" w14:textId="77777777" w:rsidR="004034C1" w:rsidRDefault="004034C1" w:rsidP="004034C1">
      <w:pPr>
        <w:pStyle w:val="aff6"/>
      </w:pPr>
      <w:r w:rsidRPr="00B860E7">
        <w:rPr>
          <w:lang w:val="ru-RU"/>
        </w:rPr>
        <w:t>81.</w:t>
      </w:r>
      <w:r w:rsidRPr="00B860E7">
        <w:rPr>
          <w:lang w:val="ru-RU"/>
        </w:rPr>
        <w:tab/>
        <w:t xml:space="preserve">Покатаев И., Тюляндин С. Системная лекарственная терапия метастатического рака поджелудочной железы // Современная онкология. </w:t>
      </w:r>
      <w:r>
        <w:t>2016. № 1. P. 20–24.</w:t>
      </w:r>
    </w:p>
    <w:p w14:paraId="21F12FD3" w14:textId="77777777" w:rsidR="004034C1" w:rsidRDefault="004034C1" w:rsidP="004034C1">
      <w:pPr>
        <w:pStyle w:val="aff6"/>
      </w:pPr>
      <w:r>
        <w:t>82.</w:t>
      </w:r>
      <w:r>
        <w:tab/>
        <w:t>Burris H.A. et al. Improvements in survival and clinical benefit with gemcitabine as first-line therapy for patients with advanced pancreas cancer: a randomized trial. // JCO. 1997. Vol. 15, № 6. P. 2403–2413.</w:t>
      </w:r>
    </w:p>
    <w:p w14:paraId="3CC48280" w14:textId="77777777" w:rsidR="004034C1" w:rsidRDefault="004034C1" w:rsidP="004034C1">
      <w:pPr>
        <w:pStyle w:val="aff6"/>
      </w:pPr>
      <w:r>
        <w:t>83.</w:t>
      </w:r>
      <w:r>
        <w:tab/>
        <w:t>Chin V. et al. Chemotherapy and radiotherapy for advanced pancreatic cancer // Cochrane Database of Systematic Reviews / ed. Cochrane Upper GI and Pancreatic Diseases Group. 2018.</w:t>
      </w:r>
    </w:p>
    <w:p w14:paraId="59CF41F7" w14:textId="77777777" w:rsidR="004034C1" w:rsidRDefault="004034C1" w:rsidP="004034C1">
      <w:pPr>
        <w:pStyle w:val="aff6"/>
      </w:pPr>
      <w:r>
        <w:t>84.</w:t>
      </w:r>
      <w:r>
        <w:tab/>
        <w:t>Von Hoff D.D. et al. Increased Survival in Pancreatic Cancer with nab-Paclitaxel plus Gemcitabine // N Engl J Med. 2013. Vol. 369, № 18. P. 1691–1703.</w:t>
      </w:r>
    </w:p>
    <w:p w14:paraId="7F2275EC" w14:textId="77777777" w:rsidR="004034C1" w:rsidRDefault="004034C1" w:rsidP="004034C1">
      <w:pPr>
        <w:pStyle w:val="aff6"/>
      </w:pPr>
      <w:r>
        <w:t>85.</w:t>
      </w:r>
      <w:r>
        <w:tab/>
        <w:t>Conroy T. et al. FOLFIRINOX versus Gemcitabine for Metastatic Pancreatic Cancer // N Engl J Med. 2011. Vol. 364, № 19. P. 1817–1825.</w:t>
      </w:r>
    </w:p>
    <w:p w14:paraId="6812CCBA" w14:textId="77777777" w:rsidR="004034C1" w:rsidRDefault="004034C1" w:rsidP="004034C1">
      <w:pPr>
        <w:pStyle w:val="aff6"/>
      </w:pPr>
      <w:r>
        <w:t>86.</w:t>
      </w:r>
      <w:r>
        <w:tab/>
        <w:t>Inal A. et al. Gemcitabine Alone versus combination of Gemcitabine and Cisplatin for the Treatment of Patients with Locally Advanced and/or Metastatic Pancreatic Carcinoma: A Retrospective Analysis of multicenter study (Anatolian Society of Medical Oncology) // neo. 2012. Vol. 59, № 03. P. 297–301.</w:t>
      </w:r>
    </w:p>
    <w:p w14:paraId="3444EE49" w14:textId="77777777" w:rsidR="004034C1" w:rsidRDefault="004034C1" w:rsidP="004034C1">
      <w:pPr>
        <w:pStyle w:val="aff6"/>
      </w:pPr>
      <w:r>
        <w:t>87.</w:t>
      </w:r>
      <w:r>
        <w:tab/>
        <w:t>Louvet C. et al. Gemcitabine in Combination With Oxaliplatin Compared With Gemcitabine Alone in Locally Advanced or Metastatic Pancreatic Cancer: Results of a GERCOR and GISCAD Phase III Trial // JCO. 2005. Vol. 23, № 15. P. 3509–3516.</w:t>
      </w:r>
    </w:p>
    <w:p w14:paraId="537643E1" w14:textId="77777777" w:rsidR="004034C1" w:rsidRDefault="004034C1" w:rsidP="004034C1">
      <w:pPr>
        <w:pStyle w:val="aff6"/>
      </w:pPr>
      <w:r>
        <w:t>88.</w:t>
      </w:r>
      <w:r>
        <w:tab/>
        <w:t>Moore M.J. et al. Erlotinib Plus Gemcitabine Compared With Gemcitabine Alone in Patients With Advanced Pancreatic Cancer: A Phase III Trial of the National Cancer Institute of Canada Clinical Trials Group // JCO. 2007. Vol. 25, № 15. P. 1960–1966.</w:t>
      </w:r>
    </w:p>
    <w:p w14:paraId="7B16F503" w14:textId="77777777" w:rsidR="004034C1" w:rsidRDefault="004034C1" w:rsidP="004034C1">
      <w:pPr>
        <w:pStyle w:val="aff6"/>
      </w:pPr>
      <w:r>
        <w:t>89.</w:t>
      </w:r>
      <w:r>
        <w:tab/>
        <w:t>Dahan L. et al. FOLFIRINOX until progression, FOLFIRINOX with maintenance treatment, or sequential treatment with gemcitabine and FOLFIRI.3 for first-line treatment of metastatic pancreatic cancer: A randomized phase II trial (PRODIGE 35-PANOPTIMOX). // JCO. 2018. Vol. 36, № 15_suppl. P. 4000–4000.</w:t>
      </w:r>
    </w:p>
    <w:p w14:paraId="3AC271F8" w14:textId="77777777" w:rsidR="004034C1" w:rsidRDefault="004034C1" w:rsidP="004034C1">
      <w:pPr>
        <w:pStyle w:val="aff6"/>
      </w:pPr>
      <w:r>
        <w:lastRenderedPageBreak/>
        <w:t>90.</w:t>
      </w:r>
      <w:r>
        <w:tab/>
        <w:t>Golan T. et al. Maintenance Olaparib for Germline BRCA-Mutated Metastatic Pancreatic Cancer // N Engl J Med. 2019. Vol. 381, № 4. P. 317–327.</w:t>
      </w:r>
    </w:p>
    <w:p w14:paraId="509B16ED" w14:textId="77777777" w:rsidR="004034C1" w:rsidRDefault="004034C1" w:rsidP="004034C1">
      <w:pPr>
        <w:pStyle w:val="aff6"/>
      </w:pPr>
      <w:r>
        <w:t>91.</w:t>
      </w:r>
      <w:r>
        <w:tab/>
        <w:t>Nagrial A.M. et al. Second-line treatment in inoperable pancreatic adenocarcinoma: A systematic review and synthesis of all clinical trials // Critical Reviews in Oncology/Hematology. 2015. Vol. 96, № 3. P. 483–497.</w:t>
      </w:r>
    </w:p>
    <w:p w14:paraId="68CB6826" w14:textId="77777777" w:rsidR="004034C1" w:rsidRDefault="004034C1" w:rsidP="004034C1">
      <w:pPr>
        <w:pStyle w:val="aff6"/>
      </w:pPr>
      <w:r>
        <w:t>92.</w:t>
      </w:r>
      <w:r>
        <w:tab/>
        <w:t>Pokataev I. Clinical Predictors of Second-Line Chemotherapy Benefit in Patients with Pancreatic Cancer. 2017. P. 6.</w:t>
      </w:r>
    </w:p>
    <w:p w14:paraId="5E6762C7" w14:textId="77777777" w:rsidR="004034C1" w:rsidRDefault="004034C1" w:rsidP="004034C1">
      <w:pPr>
        <w:pStyle w:val="aff6"/>
      </w:pPr>
      <w:r>
        <w:t>93.</w:t>
      </w:r>
      <w:r>
        <w:tab/>
        <w:t>Boeck S. et al. Oral Capecitabine in Gemcitabine-Pretreated Patients with Advanced Pancreatic Cancer // Oncology. 2007. Vol. 73, № 3–4. P. 221–227.</w:t>
      </w:r>
    </w:p>
    <w:p w14:paraId="3F45587D" w14:textId="77777777" w:rsidR="004034C1" w:rsidRDefault="004034C1" w:rsidP="004034C1">
      <w:pPr>
        <w:pStyle w:val="aff6"/>
      </w:pPr>
      <w:r>
        <w:t>94.</w:t>
      </w:r>
      <w:r>
        <w:tab/>
        <w:t>Novarino A. et al. Oxaliplatin, 5-Fluorouracil, and Leucovorin as Second-Line Treatment for Advanced Pancreatic Cancer // American Journal of Clinical Oncology. 2009. Vol. 32, № 1.</w:t>
      </w:r>
    </w:p>
    <w:p w14:paraId="62609856" w14:textId="77777777" w:rsidR="004034C1" w:rsidRDefault="004034C1" w:rsidP="004034C1">
      <w:pPr>
        <w:pStyle w:val="aff6"/>
      </w:pPr>
      <w:r>
        <w:t>95.</w:t>
      </w:r>
      <w:r>
        <w:tab/>
        <w:t>Xiong H.Q. et al. Phase 2 trial of oxaliplatin plus capecitabine (XELOX) as second-line therapy for patients with advanced pancreatic cancer // Cancer. 2008. Vol. 113, № 8. P. 2046–2052.</w:t>
      </w:r>
    </w:p>
    <w:p w14:paraId="2EC10EC8" w14:textId="77777777" w:rsidR="004034C1" w:rsidRDefault="004034C1" w:rsidP="004034C1">
      <w:pPr>
        <w:pStyle w:val="aff6"/>
      </w:pPr>
      <w:r>
        <w:t>96.</w:t>
      </w:r>
      <w:r>
        <w:tab/>
        <w:t>Neuzillet C. et al. FOLFIRI regimen in metastatic pancreatic adenocarcinoma resistant to gemcitabine and platinum-salts // World J Gastroenterol. 2012. Vol. 18, № 33. P. 4533–4541.</w:t>
      </w:r>
    </w:p>
    <w:p w14:paraId="3F60EBF1" w14:textId="77777777" w:rsidR="004034C1" w:rsidRDefault="004034C1" w:rsidP="004034C1">
      <w:pPr>
        <w:pStyle w:val="aff6"/>
      </w:pPr>
      <w:r>
        <w:t>97.</w:t>
      </w:r>
      <w:r>
        <w:tab/>
        <w:t>van der Gaag N.A. et al. Preoperative Biliary Drainage for Cancer of the Head of the Pancreas // N Engl J Med. 2010. Vol. 362, № 2. P. 129–137.</w:t>
      </w:r>
    </w:p>
    <w:p w14:paraId="04485BDD" w14:textId="77777777" w:rsidR="004034C1" w:rsidRDefault="004034C1" w:rsidP="004034C1">
      <w:pPr>
        <w:pStyle w:val="aff6"/>
      </w:pPr>
      <w:r>
        <w:t>98.</w:t>
      </w:r>
      <w:r>
        <w:tab/>
        <w:t>Mita N. et al. Second-Line Gemcitabine Plus Nab-Paclitaxel for Patients with Unresectable Advanced Pancreatic Cancer after First-Line FOLFIRINOX Failure // JCM. 2019. Vol. 8, № 6. P. 761.</w:t>
      </w:r>
    </w:p>
    <w:p w14:paraId="66F8E28F" w14:textId="77777777" w:rsidR="004034C1" w:rsidRDefault="004034C1" w:rsidP="004034C1">
      <w:pPr>
        <w:pStyle w:val="aff6"/>
      </w:pPr>
      <w:r>
        <w:t>99.</w:t>
      </w:r>
      <w:r>
        <w:tab/>
        <w:t>Colucci G. et al. Randomized Phase III Trial of Gemcitabine Plus Cisplatin Compared With Single-Agent Gemcitabine As First-Line Treatment of Patients With Advanced Pancreatic Cancer: The GIP-1 Study // JCO. 2010. Vol. 28, № 10. P. 1645–1651.</w:t>
      </w:r>
    </w:p>
    <w:p w14:paraId="75186768" w14:textId="77777777" w:rsidR="004034C1" w:rsidRDefault="004034C1" w:rsidP="004034C1">
      <w:pPr>
        <w:pStyle w:val="aff6"/>
      </w:pPr>
      <w:r>
        <w:t>100.</w:t>
      </w:r>
      <w:r>
        <w:tab/>
        <w:t>Tschoep-Lechner K.E. et al. Gemcitabine and cisplatin combined with regional hyperthermia as second-line treatment in patients with gemcitabine-refractory advanced pancreatic cancer // International Journal of Hyperthermia. 2013. Vol. 29, № 1. P. 8–16.</w:t>
      </w:r>
    </w:p>
    <w:p w14:paraId="4443EA5B" w14:textId="77777777" w:rsidR="004034C1" w:rsidRDefault="004034C1" w:rsidP="004034C1">
      <w:pPr>
        <w:pStyle w:val="aff6"/>
      </w:pPr>
      <w:r>
        <w:t>101.</w:t>
      </w:r>
      <w:r>
        <w:tab/>
        <w:t>Demols A. et al. Gemcitabine and oxaliplatin (GEMOX) in gemcitabine refractory advanced pancreatic adenocarcinoma: a phase II study // Br J Cancer. 2006. Vol. 94, № 4. P. 481–485.</w:t>
      </w:r>
    </w:p>
    <w:p w14:paraId="7C827C59" w14:textId="77777777" w:rsidR="004034C1" w:rsidRDefault="004034C1" w:rsidP="004034C1">
      <w:pPr>
        <w:pStyle w:val="aff6"/>
      </w:pPr>
      <w:r>
        <w:t>102.</w:t>
      </w:r>
      <w:r>
        <w:tab/>
        <w:t>Isayama H. et al. Gemcitabine and Oxaliplatin Combination Chemotherapy for Patients with Refractory Pancreatic Cancer // Oncology. 2011. Vol. 80, № 1–2. P. 97–101.</w:t>
      </w:r>
    </w:p>
    <w:p w14:paraId="34E953A0" w14:textId="77777777" w:rsidR="004034C1" w:rsidRDefault="004034C1" w:rsidP="004034C1">
      <w:pPr>
        <w:pStyle w:val="aff6"/>
      </w:pPr>
      <w:r>
        <w:t>103.</w:t>
      </w:r>
      <w:r>
        <w:tab/>
        <w:t>Viaud J. et al. Gemcitabine as second-line chemotherapy after Folfirinox failure in advanced pancreatic adenocarcinoma: A retrospective study // Digestive and Liver Disease. 2017. Vol. 49, № 6. P. 692–696.</w:t>
      </w:r>
    </w:p>
    <w:p w14:paraId="7639ED2D" w14:textId="77777777" w:rsidR="004034C1" w:rsidRDefault="004034C1" w:rsidP="004034C1">
      <w:pPr>
        <w:pStyle w:val="aff6"/>
      </w:pPr>
      <w:r>
        <w:t>104.</w:t>
      </w:r>
      <w:r>
        <w:tab/>
        <w:t>da Rocha Lino A. et al. Role of gemcitabine as second-line therapy after progression on FOLFIRINOX in advanced pancreatic cancer: a retrospective analysis // J Gastrointest Oncol. 2015. Vol. 6, № 5. P. 511–515.</w:t>
      </w:r>
    </w:p>
    <w:p w14:paraId="274CBF33" w14:textId="77777777" w:rsidR="004034C1" w:rsidRDefault="004034C1" w:rsidP="004034C1">
      <w:pPr>
        <w:pStyle w:val="aff6"/>
      </w:pPr>
      <w:r>
        <w:t>105.</w:t>
      </w:r>
      <w:r>
        <w:tab/>
        <w:t>Chung M.J. et al. Multicenter phase II trial of modified FOLFIRINOX in gemcitabine-refractory pancreatic cancer // WJGO. 2018. Vol. 10, № 12. P. 505–515.</w:t>
      </w:r>
    </w:p>
    <w:p w14:paraId="464FD813" w14:textId="77777777" w:rsidR="004034C1" w:rsidRDefault="004034C1" w:rsidP="004034C1">
      <w:pPr>
        <w:pStyle w:val="aff6"/>
      </w:pPr>
      <w:r>
        <w:t>106.</w:t>
      </w:r>
      <w:r>
        <w:tab/>
        <w:t>Taher K. Treatment of Pancreatic Adenocarcinoma with FOLFIRINOX-A Study of Efficacy and Safety in a Saudi Population. 2019. P. 5.</w:t>
      </w:r>
    </w:p>
    <w:p w14:paraId="002134DC" w14:textId="77777777" w:rsidR="004034C1" w:rsidRDefault="004034C1" w:rsidP="004034C1">
      <w:pPr>
        <w:pStyle w:val="aff6"/>
      </w:pPr>
      <w:r>
        <w:t>107.</w:t>
      </w:r>
      <w:r>
        <w:tab/>
        <w:t>Zaanan A. et al. FOLFOX as second-line chemotherapy in patients with pretreated metastatic pancreatic cancer from the FIRGEM study // BMC cancer. 2014. Vol. 14. P. 441.</w:t>
      </w:r>
    </w:p>
    <w:p w14:paraId="14F59B3D" w14:textId="77777777" w:rsidR="004034C1" w:rsidRDefault="004034C1" w:rsidP="004034C1">
      <w:pPr>
        <w:pStyle w:val="aff6"/>
      </w:pPr>
      <w:r>
        <w:t>108.</w:t>
      </w:r>
      <w:r>
        <w:tab/>
        <w:t>Berk V. et al. XELOX versus FOLFOX4 as Second Line Chemotherapy in Advanced Pancreatic Cancer // HGE. 2012.</w:t>
      </w:r>
    </w:p>
    <w:p w14:paraId="2D51394C" w14:textId="77777777" w:rsidR="004034C1" w:rsidRDefault="004034C1" w:rsidP="004034C1">
      <w:pPr>
        <w:pStyle w:val="aff6"/>
      </w:pPr>
      <w:r>
        <w:t>109.</w:t>
      </w:r>
      <w:r>
        <w:tab/>
        <w:t>Kang S.P., Saif M.W. Optimal Second Line Treatment Options for Gemcitabine Refractory Advanced Pancreatic Cancer Patients. Can We Establish Standard of Care with Available Data? P. 8.</w:t>
      </w:r>
    </w:p>
    <w:p w14:paraId="200FDB0E" w14:textId="77777777" w:rsidR="004034C1" w:rsidRDefault="004034C1" w:rsidP="004034C1">
      <w:pPr>
        <w:pStyle w:val="aff6"/>
      </w:pPr>
      <w:r>
        <w:lastRenderedPageBreak/>
        <w:t>110.</w:t>
      </w:r>
      <w:r>
        <w:tab/>
        <w:t>Yoo C. et al. A randomised phase II study of modified FOLFIRI.3 vs modified FOLFOX as second-line therapy in patients with gemcitabine-refractory advanced pancreatic cancer // Br J Cancer. 2009. Vol. 101, № 10. P. 1658–1663.</w:t>
      </w:r>
    </w:p>
    <w:p w14:paraId="1B5367DA" w14:textId="77777777" w:rsidR="004034C1" w:rsidRDefault="004034C1" w:rsidP="004034C1">
      <w:pPr>
        <w:pStyle w:val="aff6"/>
      </w:pPr>
      <w:r>
        <w:t>111.</w:t>
      </w:r>
      <w:r>
        <w:tab/>
        <w:t>Cereda S. et al. XELIRI or FOLFIRI as Salvage Therapy in Advanced Pancreatic Cancer // Anticancer Research. 2010. Vol. 30, № 11. P. 4785–4790.</w:t>
      </w:r>
    </w:p>
    <w:p w14:paraId="69C3DFC6" w14:textId="77777777" w:rsidR="004034C1" w:rsidRDefault="004034C1" w:rsidP="004034C1">
      <w:pPr>
        <w:pStyle w:val="aff6"/>
      </w:pPr>
      <w:r>
        <w:t>112.</w:t>
      </w:r>
      <w:r>
        <w:tab/>
        <w:t>Pelzer U. et al. Best supportive care (BSC) versus oxaliplatin, folinic acid and 5-fluorouracil (OFF) plus BSC in patients for second-line advanced pancreatic cancer: A phase III-study from the German CONKO-study group // European Journal of Cancer. 2011. Vol. 47, № 11. P. 1676–1681.</w:t>
      </w:r>
    </w:p>
    <w:p w14:paraId="1A6C9702" w14:textId="77777777" w:rsidR="004034C1" w:rsidRDefault="004034C1" w:rsidP="004034C1">
      <w:pPr>
        <w:pStyle w:val="aff6"/>
      </w:pPr>
      <w:r>
        <w:t>113.</w:t>
      </w:r>
      <w:r>
        <w:tab/>
        <w:t>Le D.T. et al. Mismatch repair deficiency predicts response of solid tumors to PD-1 blockade // Science. 2017. Vol. 357, № 6349. P. 409–413.</w:t>
      </w:r>
    </w:p>
    <w:p w14:paraId="52E9E6AA" w14:textId="77777777" w:rsidR="004034C1" w:rsidRDefault="004034C1" w:rsidP="004034C1">
      <w:pPr>
        <w:pStyle w:val="aff6"/>
      </w:pPr>
      <w:r>
        <w:t>114.</w:t>
      </w:r>
      <w:r>
        <w:tab/>
        <w:t>Peng S.-H. et al. Maintenance therapy of low-dose nivolumab, S-1, and leucovorin in metastatic pancreatic adenocarcinoma with a germline mutation of MSH6: A case report // Front. Immunol. 2022. Vol. 13. P. 1077840.</w:t>
      </w:r>
    </w:p>
    <w:p w14:paraId="7242F7C6" w14:textId="77777777" w:rsidR="004034C1" w:rsidRDefault="004034C1" w:rsidP="004034C1">
      <w:pPr>
        <w:pStyle w:val="aff6"/>
      </w:pPr>
      <w:r>
        <w:t>115.</w:t>
      </w:r>
      <w:r>
        <w:tab/>
        <w:t>Chen I.M. et al. Randomized Phase II Study of Nivolumab With or Without Ipilimumab Combined With Stereotactic Body Radiotherapy for Refractory Metastatic Pancreatic Cancer (CheckPAC) // JCO. 2022. Vol. 40, № 27. P. 3180–3189.</w:t>
      </w:r>
    </w:p>
    <w:p w14:paraId="0E2855FA" w14:textId="77777777" w:rsidR="004034C1" w:rsidRDefault="004034C1" w:rsidP="004034C1">
      <w:pPr>
        <w:pStyle w:val="aff6"/>
      </w:pPr>
      <w:r>
        <w:t>116.</w:t>
      </w:r>
      <w:r>
        <w:tab/>
        <w:t>Terrero G. et al. Ipilimumab/Nivolumab Therapy in Patients With Metastatic Pancreatic or Biliary Cancer With Homologous Recombination Deficiency Pathogenic Germline Variants // JAMA Oncol. 2022. Vol. 8, № 6. P. 938.</w:t>
      </w:r>
    </w:p>
    <w:p w14:paraId="3C7712CA" w14:textId="77777777" w:rsidR="004034C1" w:rsidRDefault="004034C1" w:rsidP="004034C1">
      <w:pPr>
        <w:pStyle w:val="aff6"/>
      </w:pPr>
      <w:r>
        <w:t>117.</w:t>
      </w:r>
      <w:r>
        <w:tab/>
        <w:t>Hennessy B.T. et al. Lower dose capecitabine has a more favorable therapeutic index in metastatic breast cancer: retrospective analysis of patients treated at M. D. Anderson Cancer Center and a review of capecitabine toxicity in the literature // Annals of Oncology. Elsevier, 2005. Vol. 16, № 8. P. 1289–1296.</w:t>
      </w:r>
    </w:p>
    <w:p w14:paraId="3F18A759" w14:textId="77777777" w:rsidR="004034C1" w:rsidRDefault="004034C1" w:rsidP="004034C1">
      <w:pPr>
        <w:pStyle w:val="aff6"/>
      </w:pPr>
      <w:r>
        <w:t>118.</w:t>
      </w:r>
      <w:r>
        <w:tab/>
        <w:t>Park S.J., Lee M.A. Oral chemotherapy as second-line treatment option for gemcitabine-refractory advanced pancreatic cancer with poor performance status. // JCO. 2019. Vol. 37, № 4_suppl. P. 405–405.</w:t>
      </w:r>
    </w:p>
    <w:p w14:paraId="2FD8E49D" w14:textId="77777777" w:rsidR="004034C1" w:rsidRDefault="004034C1" w:rsidP="004034C1">
      <w:pPr>
        <w:pStyle w:val="aff6"/>
      </w:pPr>
      <w:r>
        <w:t>119.</w:t>
      </w:r>
      <w:r>
        <w:tab/>
        <w:t>Burch P.A. et al. Phase III Evaluation of Octreotide &lt;em&gt;versus&lt;/em&gt; Chemotherapy with 5-Fluorouracil or 5-Fluorouracil Plus Leucovorin in Advanced Exocrine Pancreatic Cancer: A North Central Cancer Treatment Group Study // Clin Cancer Res. 2000. Vol. 6, № 9. P. 3486.</w:t>
      </w:r>
    </w:p>
    <w:p w14:paraId="2EC7285D" w14:textId="77777777" w:rsidR="004034C1" w:rsidRDefault="004034C1" w:rsidP="004034C1">
      <w:pPr>
        <w:pStyle w:val="aff6"/>
      </w:pPr>
      <w:r>
        <w:t>120.</w:t>
      </w:r>
      <w:r>
        <w:tab/>
        <w:t>Neoptolemos J.P. et al. Adjuvant Chemotherapy With Fluorouracil Plus Folinic Acid vs Gemcitabine Following Pancreatic Cancer Resection: A Randomized Controlled Trial // JAMA. 2010. Vol. 304, № 10. P. 1073.</w:t>
      </w:r>
    </w:p>
    <w:p w14:paraId="29643CA5" w14:textId="77777777" w:rsidR="004034C1" w:rsidRDefault="004034C1" w:rsidP="004034C1">
      <w:pPr>
        <w:pStyle w:val="aff6"/>
      </w:pPr>
      <w:r>
        <w:t>121.</w:t>
      </w:r>
      <w:r>
        <w:tab/>
        <w:t>Aguirre A.J. Oncogenic NRG1 Fusions: A New Hope for Targeted Therapy in Pancreatic Cancer // Clinical Cancer Research. 2019. Vol. 25, № 15. P. 4589–4591.</w:t>
      </w:r>
    </w:p>
    <w:p w14:paraId="05775D03" w14:textId="77777777" w:rsidR="004034C1" w:rsidRDefault="004034C1" w:rsidP="004034C1">
      <w:pPr>
        <w:pStyle w:val="aff6"/>
      </w:pPr>
      <w:r>
        <w:t>122.</w:t>
      </w:r>
      <w:r>
        <w:tab/>
        <w:t>Laskin J. et al. NRG1 fusion-driven tumors: biology, detection, and the therapeutic role of afatinib and other ErbB-targeting agents // Annals of Oncology. 2020. Vol. 31, № 12. P. 1693–1703.</w:t>
      </w:r>
    </w:p>
    <w:p w14:paraId="4F37F21D" w14:textId="77777777" w:rsidR="004034C1" w:rsidRDefault="004034C1" w:rsidP="004034C1">
      <w:pPr>
        <w:pStyle w:val="aff6"/>
      </w:pPr>
      <w:r>
        <w:t>123.</w:t>
      </w:r>
      <w:r>
        <w:tab/>
        <w:t xml:space="preserve">Liu S.V. et al. Efficacy of afatinib in patients with advanced/metastatic solid tumors harboring </w:t>
      </w:r>
      <w:r>
        <w:rPr>
          <w:i/>
          <w:iCs/>
        </w:rPr>
        <w:t>NRG1</w:t>
      </w:r>
      <w:r>
        <w:t xml:space="preserve"> gene fusions: A novel, prospective real-world outcomes study based on single-patient protocol data. // JCO. 2022. Vol. 40, № 16_suppl. P. TPS3180–TPS3180.</w:t>
      </w:r>
    </w:p>
    <w:p w14:paraId="30501AF4" w14:textId="77777777" w:rsidR="004034C1" w:rsidRDefault="004034C1" w:rsidP="004034C1">
      <w:pPr>
        <w:pStyle w:val="aff6"/>
      </w:pPr>
      <w:r>
        <w:t>124.</w:t>
      </w:r>
      <w:r>
        <w:tab/>
        <w:t>O’Reilly E.M., Hechtman J.F. Tumour response to TRK inhibition in a patient with pancreatic adenocarcinoma harbouring an NTRK gene fusion // Annals of Oncology. 2019. Vol. 30. P. viii36–viii40.</w:t>
      </w:r>
    </w:p>
    <w:p w14:paraId="0C26C302" w14:textId="77777777" w:rsidR="004034C1" w:rsidRDefault="004034C1" w:rsidP="004034C1">
      <w:pPr>
        <w:pStyle w:val="aff6"/>
      </w:pPr>
      <w:r>
        <w:t>125.</w:t>
      </w:r>
      <w:r>
        <w:tab/>
        <w:t>Pishvaian M.J. et al. Clinical benefit of entrectinib for patients with metastatic pancreatic cancer who harbor NTRK and ROS1 fusions. // JCO. 2018. Vol. 36, № 4_suppl. P. 521–521.</w:t>
      </w:r>
    </w:p>
    <w:p w14:paraId="4613D854" w14:textId="77777777" w:rsidR="004034C1" w:rsidRDefault="004034C1" w:rsidP="004034C1">
      <w:pPr>
        <w:pStyle w:val="aff6"/>
      </w:pPr>
      <w:r>
        <w:t>126.</w:t>
      </w:r>
      <w:r>
        <w:tab/>
        <w:t>King D.A. et al. Complete remission in a patient with widely metastatic HER2-amplified pancreatic adenocarcinoma following multimodal therapy informed by tumor sequencing and organoid profiling: preprint. Oncology, 2021.</w:t>
      </w:r>
    </w:p>
    <w:p w14:paraId="025ED5A0" w14:textId="77777777" w:rsidR="004034C1" w:rsidRDefault="004034C1" w:rsidP="004034C1">
      <w:pPr>
        <w:pStyle w:val="aff6"/>
      </w:pPr>
      <w:r>
        <w:lastRenderedPageBreak/>
        <w:t>127.</w:t>
      </w:r>
      <w:r>
        <w:tab/>
        <w:t>Meric-Bernstam F. et al. Efficacy and safety of trastuzumab deruxtecan (T-DXd) in patients (pts) with HER2-expressing solid tumors: DESTINY-PanTumor02 (DP-02) interim results. // JCO. 2023. Vol. 41, № 17_suppl. P. LBA3000–LBA3000.</w:t>
      </w:r>
    </w:p>
    <w:p w14:paraId="0B361D11" w14:textId="77777777" w:rsidR="004034C1" w:rsidRDefault="004034C1" w:rsidP="004034C1">
      <w:pPr>
        <w:pStyle w:val="aff6"/>
      </w:pPr>
      <w:r>
        <w:t>128.</w:t>
      </w:r>
      <w:r>
        <w:tab/>
        <w:t>Shin J.E. et al. Efficacy of dabrafenib/trametinib in pancreatic ductal adenocarcinoma with BRAF NVTAP deletion: A case report // Front. Oncol. 2022. Vol. 12. P. 976450.</w:t>
      </w:r>
    </w:p>
    <w:p w14:paraId="3605C2A9" w14:textId="77777777" w:rsidR="004034C1" w:rsidRDefault="004034C1" w:rsidP="004034C1">
      <w:pPr>
        <w:pStyle w:val="aff6"/>
      </w:pPr>
      <w:r>
        <w:t>129.</w:t>
      </w:r>
      <w:r>
        <w:tab/>
        <w:t>Wang Z. et al. Vemurafenib Combined With Trametinib Significantly Benefits the Survival of a Patient With Stage IV Pancreatic Ductal Adenocarcinoma With BRAF V600E Mutation: A Case Report // Front. Oncol. 2022. Vol. 11. P. 801320.</w:t>
      </w:r>
    </w:p>
    <w:p w14:paraId="1609A1AF" w14:textId="77777777" w:rsidR="004034C1" w:rsidRDefault="004034C1" w:rsidP="004034C1">
      <w:pPr>
        <w:pStyle w:val="aff6"/>
      </w:pPr>
      <w:r>
        <w:t>130.</w:t>
      </w:r>
      <w:r>
        <w:tab/>
        <w:t>Tuli R. et al. Anaplastic Lymphoma Kinase Rearrangement and Response to Crizotinib in Pancreatic Ductal Adenocarcinoma // JCO Precision Oncology. 2017. № 1. P. 1–5.</w:t>
      </w:r>
    </w:p>
    <w:p w14:paraId="0A8C6808" w14:textId="77777777" w:rsidR="004034C1" w:rsidRDefault="004034C1" w:rsidP="004034C1">
      <w:pPr>
        <w:pStyle w:val="aff6"/>
      </w:pPr>
      <w:r>
        <w:t>131.</w:t>
      </w:r>
      <w:r>
        <w:tab/>
        <w:t xml:space="preserve">Fountzilas C. et al. A phase I study of the </w:t>
      </w:r>
      <w:r>
        <w:rPr>
          <w:smallCaps/>
        </w:rPr>
        <w:t>anaplastic lymphoma kinase</w:t>
      </w:r>
      <w:r>
        <w:t xml:space="preserve"> inhibitor ceritinib in combination with </w:t>
      </w:r>
      <w:r>
        <w:rPr>
          <w:smallCaps/>
        </w:rPr>
        <w:t>gemcitabine‐based</w:t>
      </w:r>
      <w:r>
        <w:t xml:space="preserve"> chemotherapy in patients with advanced solid tumors // Intl Journal of Cancer. 2021. Vol. 149, № 12. P. 2063–2074.</w:t>
      </w:r>
    </w:p>
    <w:p w14:paraId="477FA9E3" w14:textId="77777777" w:rsidR="004034C1" w:rsidRDefault="004034C1" w:rsidP="004034C1">
      <w:pPr>
        <w:pStyle w:val="aff6"/>
      </w:pPr>
      <w:r>
        <w:t>132.</w:t>
      </w:r>
      <w:r>
        <w:tab/>
        <w:t>Jamshed M.B. et al. Antitumor activity and combined inhibitory effect of ceritinib with gemcitabine in pancreatic cancer // American Journal of Physiology-Gastrointestinal and Liver Physiology. 2020. Vol. 318, № 1. P. G109–G119.</w:t>
      </w:r>
    </w:p>
    <w:p w14:paraId="07A53F09" w14:textId="77777777" w:rsidR="004034C1" w:rsidRDefault="004034C1" w:rsidP="004034C1">
      <w:pPr>
        <w:pStyle w:val="aff6"/>
      </w:pPr>
      <w:r>
        <w:t>133.</w:t>
      </w:r>
      <w:r>
        <w:tab/>
        <w:t xml:space="preserve">Velthaus J.-L. et al. Lorlatinib Induces Durable Disease Stabilization in a Pancreatic Cancer Patient with a </w:t>
      </w:r>
      <w:r>
        <w:rPr>
          <w:b/>
          <w:bCs/>
          <w:i/>
          <w:iCs/>
        </w:rPr>
        <w:t>ROS1</w:t>
      </w:r>
      <w:r>
        <w:t xml:space="preserve"> p.L1950F Mutation: Case Report // Oncol Res Treat. 2021. Vol. 44, № 9. P. 495–502.</w:t>
      </w:r>
    </w:p>
    <w:p w14:paraId="69700061" w14:textId="77777777" w:rsidR="004034C1" w:rsidRDefault="004034C1" w:rsidP="004034C1">
      <w:pPr>
        <w:pStyle w:val="aff6"/>
      </w:pPr>
      <w:r>
        <w:t>134.</w:t>
      </w:r>
      <w:r>
        <w:tab/>
        <w:t>Gaule M. et al. Exceptional Clinical Response to Alectinib in Pancreatic Acinar Cell Carcinoma With a Novel ALK-KANK4 Gene Fusion // JCO Precision Oncology. 2022. № 6. P. e2100400.</w:t>
      </w:r>
    </w:p>
    <w:p w14:paraId="08CB675A" w14:textId="77777777" w:rsidR="004034C1" w:rsidRDefault="004034C1" w:rsidP="004034C1">
      <w:pPr>
        <w:pStyle w:val="aff6"/>
      </w:pPr>
      <w:r>
        <w:t>135.</w:t>
      </w:r>
      <w:r>
        <w:tab/>
        <w:t>Lee J. et al. Impact of epidermal growth factor receptor (EGFR) kinase mutations,EGFR gene amplifications, andKRAS mutations on survival of pancreatic adenocarcinoma // Cancer. 2007. Vol. 109, № 8. P. 1561–1569.</w:t>
      </w:r>
    </w:p>
    <w:p w14:paraId="7E48A090" w14:textId="77777777" w:rsidR="004034C1" w:rsidRDefault="004034C1" w:rsidP="004034C1">
      <w:pPr>
        <w:pStyle w:val="aff6"/>
      </w:pPr>
      <w:r>
        <w:t>136.</w:t>
      </w:r>
      <w:r>
        <w:tab/>
        <w:t>Lu S. et al. Fruquintinib with gefitinib as first-line therapy in patients carrying EGFR mutations with advanced non-small cell lung cancer: a single-arm, phase II study // Transl Lung Cancer Res. 2021. Vol. 10, № 2. P. 839–854.</w:t>
      </w:r>
    </w:p>
    <w:p w14:paraId="4344AF58" w14:textId="77777777" w:rsidR="004034C1" w:rsidRDefault="004034C1" w:rsidP="004034C1">
      <w:pPr>
        <w:pStyle w:val="aff6"/>
      </w:pPr>
      <w:r>
        <w:t>137.</w:t>
      </w:r>
      <w:r>
        <w:tab/>
        <w:t>Wang J.P. et al. Erlotinib is effective in pancreatic cancer with epidermal growth factor receptor mutations: a randomized, open-label, prospective trial // Oncotarget. 2015. Vol. 6, № 20. P. 18162–18173.</w:t>
      </w:r>
    </w:p>
    <w:p w14:paraId="3D07A6B3" w14:textId="77777777" w:rsidR="004034C1" w:rsidRDefault="004034C1" w:rsidP="004034C1">
      <w:pPr>
        <w:pStyle w:val="aff6"/>
      </w:pPr>
      <w:r>
        <w:t>138.</w:t>
      </w:r>
      <w:r>
        <w:tab/>
        <w:t>Huguet F. et al. Afatinib, an Irreversible EGFR Family Inhibitor, Shows Activity Toward Pancreatic Cancer Cells, Alone and in Combination with Radiotherapy, Independent of KRAS Status // Targ Oncol. 2016. Vol. 11, № 3. P. 371–381.</w:t>
      </w:r>
    </w:p>
    <w:p w14:paraId="6992F1CC" w14:textId="77777777" w:rsidR="004034C1" w:rsidRDefault="004034C1" w:rsidP="004034C1">
      <w:pPr>
        <w:pStyle w:val="aff6"/>
      </w:pPr>
      <w:r>
        <w:t>139.</w:t>
      </w:r>
      <w:r>
        <w:tab/>
        <w:t>Haas M. et al. ACCEPT: Afatinib as cancer therapy for exocrine pancreatic tumors–An explorative randomized phase II trial. // JCO. 2015. Vol. 33, № 15_suppl. P. TPS4150–TPS4150.</w:t>
      </w:r>
    </w:p>
    <w:p w14:paraId="455317F8" w14:textId="77777777" w:rsidR="004034C1" w:rsidRDefault="004034C1" w:rsidP="004034C1">
      <w:pPr>
        <w:pStyle w:val="aff6"/>
      </w:pPr>
      <w:r>
        <w:t>140.</w:t>
      </w:r>
      <w:r>
        <w:tab/>
        <w:t>Bruera E. et al. A controlled trial of megestrol acetate on appetite, caloric intake, nutritional status, and other symptoms in patients with advanced cancer // Cancer. 1990. Vol. 66, № 6. P. 1279–1282.</w:t>
      </w:r>
    </w:p>
    <w:p w14:paraId="1FCB5E69" w14:textId="77777777" w:rsidR="004034C1" w:rsidRDefault="004034C1" w:rsidP="004034C1">
      <w:pPr>
        <w:pStyle w:val="aff6"/>
      </w:pPr>
      <w:r>
        <w:t>141.</w:t>
      </w:r>
      <w:r>
        <w:tab/>
        <w:t>Tan C.R. et al. Pancreatic cancer cachexia: a review of mechanisms and therapeutics // Front. Physiol. 2014. Vol. 5.</w:t>
      </w:r>
    </w:p>
    <w:p w14:paraId="57F1A966" w14:textId="77777777" w:rsidR="004034C1" w:rsidRDefault="004034C1" w:rsidP="004034C1">
      <w:pPr>
        <w:pStyle w:val="aff6"/>
      </w:pPr>
      <w:r>
        <w:t>142.</w:t>
      </w:r>
      <w:r>
        <w:tab/>
        <w:t>Balaban E.P. et al. Locally Advanced, Unresectable Pancreatic Cancer: American Society of Clinical Oncology Clinical Practice Guideline // JCO. 2016. Vol. 34, № 22. P. 2654–2668.</w:t>
      </w:r>
    </w:p>
    <w:p w14:paraId="6CFCA44A" w14:textId="77777777" w:rsidR="004034C1" w:rsidRPr="00B860E7" w:rsidRDefault="004034C1" w:rsidP="004034C1">
      <w:pPr>
        <w:pStyle w:val="aff6"/>
        <w:rPr>
          <w:lang w:val="ru-RU"/>
        </w:rPr>
      </w:pPr>
      <w:r>
        <w:t>143.</w:t>
      </w:r>
      <w:r>
        <w:tab/>
        <w:t xml:space="preserve">Palta M. et al. Radiation Therapy for Pancreatic Cancer: Executive Summary of an ASTRO Clinical Practice Guideline // Practical Radiation Oncology. </w:t>
      </w:r>
      <w:r w:rsidRPr="00B860E7">
        <w:rPr>
          <w:lang w:val="ru-RU"/>
        </w:rPr>
        <w:t xml:space="preserve">2019. </w:t>
      </w:r>
      <w:r>
        <w:t>Vol</w:t>
      </w:r>
      <w:r w:rsidRPr="00B860E7">
        <w:rPr>
          <w:lang w:val="ru-RU"/>
        </w:rPr>
        <w:t xml:space="preserve">. 9, № 5. </w:t>
      </w:r>
      <w:r>
        <w:t>P</w:t>
      </w:r>
      <w:r w:rsidRPr="00B860E7">
        <w:rPr>
          <w:lang w:val="ru-RU"/>
        </w:rPr>
        <w:t>. 322–332.</w:t>
      </w:r>
    </w:p>
    <w:p w14:paraId="33379CDA" w14:textId="77777777" w:rsidR="004034C1" w:rsidRDefault="004034C1" w:rsidP="004034C1">
      <w:pPr>
        <w:pStyle w:val="aff6"/>
      </w:pPr>
      <w:r w:rsidRPr="00B860E7">
        <w:rPr>
          <w:lang w:val="ru-RU"/>
        </w:rPr>
        <w:t>144.</w:t>
      </w:r>
      <w:r w:rsidRPr="00B860E7">
        <w:rPr>
          <w:lang w:val="ru-RU"/>
        </w:rPr>
        <w:tab/>
        <w:t xml:space="preserve">Кудашкин Н.Е. Стратегия радикального лечения опухолей периампулярной локализации, осложненных механической желтухой // Фарматека. </w:t>
      </w:r>
      <w:r>
        <w:t>2012. Vol. 241, № 8. P. 77–81.</w:t>
      </w:r>
    </w:p>
    <w:p w14:paraId="7789154F" w14:textId="77777777" w:rsidR="004034C1" w:rsidRDefault="004034C1" w:rsidP="004034C1">
      <w:pPr>
        <w:pStyle w:val="aff6"/>
      </w:pPr>
      <w:r>
        <w:lastRenderedPageBreak/>
        <w:t>145.</w:t>
      </w:r>
      <w:r>
        <w:tab/>
        <w:t>Maire F. et al. Long-term Outcome of Biliary and Duodenal Stents in Palliative Treatment of Patients with Unresectable Adenocarcinoma of the Head of Pancreas // Am J Gastroenterol. 2006. Vol. 101, № 4. P. 735–742.</w:t>
      </w:r>
    </w:p>
    <w:p w14:paraId="610367CA" w14:textId="77777777" w:rsidR="004034C1" w:rsidRDefault="004034C1" w:rsidP="004034C1">
      <w:pPr>
        <w:pStyle w:val="aff6"/>
      </w:pPr>
      <w:r>
        <w:t>146.</w:t>
      </w:r>
      <w:r>
        <w:tab/>
        <w:t>Jeurnink S.M. et al. Gastrojejunostomy versus stent placement in patients with malignant gastric outlet obstruction: a comparison in 95 patients // Journal of Surgical Oncology. 2007. Vol. 96, № 5. P. 389–396.</w:t>
      </w:r>
    </w:p>
    <w:p w14:paraId="5AB1A665" w14:textId="77777777" w:rsidR="004034C1" w:rsidRDefault="004034C1" w:rsidP="004034C1">
      <w:pPr>
        <w:pStyle w:val="aff6"/>
      </w:pPr>
      <w:r>
        <w:t>147.</w:t>
      </w:r>
      <w:r>
        <w:tab/>
        <w:t>Wong G.Y. et al. Effect of Neurolytic Celiac Plexus Block on Pain Relief, Quality of Life, and Survival in Patients With Unresectable Pancreatic CancerA Randomized Controlled Trial // JAMA. 2004. Vol. 291, № 9. P. 1092–1099.</w:t>
      </w:r>
    </w:p>
    <w:p w14:paraId="6C494DC0" w14:textId="77777777" w:rsidR="004034C1" w:rsidRDefault="004034C1" w:rsidP="004034C1">
      <w:pPr>
        <w:pStyle w:val="aff6"/>
      </w:pPr>
      <w:r>
        <w:t>148.</w:t>
      </w:r>
      <w:r>
        <w:tab/>
        <w:t>Hameed M., Hameed H., Erdek M. Pain Management in Pancreatic Cancer // Cancers. 2010. Vol. 3, № 1. P. 43–60.</w:t>
      </w:r>
    </w:p>
    <w:p w14:paraId="5338AF84" w14:textId="77777777" w:rsidR="004034C1" w:rsidRDefault="004034C1" w:rsidP="004034C1">
      <w:pPr>
        <w:pStyle w:val="aff6"/>
      </w:pPr>
      <w:r>
        <w:t>149.</w:t>
      </w:r>
      <w:r>
        <w:tab/>
        <w:t>Wolny-Rokicka E. et al. Tolerance and efficacy of palliative radiotherapy for advanced pancreatic cancer: A retrospective analysis of single-institutional experiences // Molecular and Clinical Oncology. 2016. Vol. 4, № 6. P. 1088–1092.</w:t>
      </w:r>
    </w:p>
    <w:p w14:paraId="40B24307" w14:textId="77777777" w:rsidR="004034C1" w:rsidRDefault="004034C1" w:rsidP="004034C1">
      <w:pPr>
        <w:pStyle w:val="aff6"/>
      </w:pPr>
      <w:r>
        <w:t>150.</w:t>
      </w:r>
      <w:r>
        <w:tab/>
        <w:t>Hart P.A. et al. Type 3c (pancreatogenic) diabetes mellitus secondary to chronic pancreatitis and pancreatic cancer // The Lancet Gastroenterology &amp; Hepatology. 2016. Vol. 1, № 3. P. 226–237.</w:t>
      </w:r>
    </w:p>
    <w:p w14:paraId="11C248D9" w14:textId="77777777" w:rsidR="004034C1" w:rsidRDefault="004034C1" w:rsidP="004034C1">
      <w:pPr>
        <w:pStyle w:val="aff6"/>
      </w:pPr>
      <w:r>
        <w:t>151.</w:t>
      </w:r>
      <w:r>
        <w:tab/>
        <w:t>Sangisetty S.L. Malignant ascites: A review of prognostic factors, pathophysiology and therapeutic measures // WJGS. 2012. Vol. 4, № 4. P. 87.</w:t>
      </w:r>
    </w:p>
    <w:p w14:paraId="6571767C" w14:textId="77777777" w:rsidR="004034C1" w:rsidRDefault="004034C1" w:rsidP="004034C1">
      <w:pPr>
        <w:pStyle w:val="aff6"/>
      </w:pPr>
      <w:r>
        <w:t>152.</w:t>
      </w:r>
      <w:r>
        <w:tab/>
        <w:t>Takahara N. et al. Pancreatic Cancer With Malignant Ascites: Clinical Features and Outcomes // Pancreas. 2015. P. 1.</w:t>
      </w:r>
    </w:p>
    <w:p w14:paraId="4CDB6217" w14:textId="77777777" w:rsidR="004034C1" w:rsidRPr="00B860E7" w:rsidRDefault="004034C1" w:rsidP="004034C1">
      <w:pPr>
        <w:pStyle w:val="aff6"/>
        <w:rPr>
          <w:lang w:val="ru-RU"/>
        </w:rPr>
      </w:pPr>
      <w:r>
        <w:t>153.</w:t>
      </w:r>
      <w:r>
        <w:tab/>
        <w:t>Scotté F. The importance of supportive care in optimizing treatment outcomes of patients with advanced prostate cancer // Oncologist. AlphaMed</w:t>
      </w:r>
      <w:r w:rsidRPr="00B860E7">
        <w:rPr>
          <w:lang w:val="ru-RU"/>
        </w:rPr>
        <w:t xml:space="preserve"> </w:t>
      </w:r>
      <w:r>
        <w:t>Press</w:t>
      </w:r>
      <w:r w:rsidRPr="00B860E7">
        <w:rPr>
          <w:lang w:val="ru-RU"/>
        </w:rPr>
        <w:t xml:space="preserve">, 2012. </w:t>
      </w:r>
      <w:r>
        <w:t>Vol</w:t>
      </w:r>
      <w:r w:rsidRPr="00B860E7">
        <w:rPr>
          <w:lang w:val="ru-RU"/>
        </w:rPr>
        <w:t xml:space="preserve">. 17 </w:t>
      </w:r>
      <w:r>
        <w:t>Suppl</w:t>
      </w:r>
      <w:r w:rsidRPr="00B860E7">
        <w:rPr>
          <w:lang w:val="ru-RU"/>
        </w:rPr>
        <w:t xml:space="preserve"> 1, № </w:t>
      </w:r>
      <w:r>
        <w:t>Suppl</w:t>
      </w:r>
      <w:r w:rsidRPr="00B860E7">
        <w:rPr>
          <w:lang w:val="ru-RU"/>
        </w:rPr>
        <w:t xml:space="preserve"> 1. </w:t>
      </w:r>
      <w:r>
        <w:t>P</w:t>
      </w:r>
      <w:r w:rsidRPr="00B860E7">
        <w:rPr>
          <w:lang w:val="ru-RU"/>
        </w:rPr>
        <w:t>. 23–30.</w:t>
      </w:r>
    </w:p>
    <w:p w14:paraId="174EED8A" w14:textId="77777777" w:rsidR="004034C1" w:rsidRPr="00B860E7" w:rsidRDefault="004034C1" w:rsidP="004034C1">
      <w:pPr>
        <w:pStyle w:val="aff6"/>
        <w:rPr>
          <w:lang w:val="ru-RU"/>
        </w:rPr>
      </w:pPr>
      <w:r w:rsidRPr="00B860E7">
        <w:rPr>
          <w:lang w:val="ru-RU"/>
        </w:rPr>
        <w:t>154.</w:t>
      </w:r>
      <w:r w:rsidRPr="00B860E7">
        <w:rPr>
          <w:lang w:val="ru-RU"/>
        </w:rPr>
        <w:tab/>
        <w:t xml:space="preserve">Владимирова Л.Ю., Гладков О.А., Королева И.А. Практические рекомендации по профилактике и лечению тошноты и рвоты у онкологических больных. Практические рекомендации </w:t>
      </w:r>
      <w:r>
        <w:t>RUSSCO</w:t>
      </w:r>
      <w:r w:rsidRPr="00B860E7">
        <w:rPr>
          <w:lang w:val="ru-RU"/>
        </w:rPr>
        <w:t xml:space="preserve">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29–43.</w:t>
      </w:r>
    </w:p>
    <w:p w14:paraId="49FB9129" w14:textId="77777777" w:rsidR="004034C1" w:rsidRPr="00B860E7" w:rsidRDefault="004034C1" w:rsidP="004034C1">
      <w:pPr>
        <w:pStyle w:val="aff6"/>
        <w:rPr>
          <w:lang w:val="ru-RU"/>
        </w:rPr>
      </w:pPr>
      <w:r w:rsidRPr="00B860E7">
        <w:rPr>
          <w:lang w:val="ru-RU"/>
        </w:rPr>
        <w:t>155.</w:t>
      </w:r>
      <w:r w:rsidRPr="00B860E7">
        <w:rPr>
          <w:lang w:val="ru-RU"/>
        </w:rPr>
        <w:tab/>
        <w:t xml:space="preserve">Багрова С.Г., Басин Е.М., Борзов К.А. Профилактика и лечение патологии костной ткани при злокачественных новообразованиях. Практические рекомендации </w:t>
      </w:r>
      <w:r>
        <w:t>RUSSCO</w:t>
      </w:r>
      <w:r w:rsidRPr="00B860E7">
        <w:rPr>
          <w:lang w:val="ru-RU"/>
        </w:rPr>
        <w:t xml:space="preserve">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44–59.</w:t>
      </w:r>
    </w:p>
    <w:p w14:paraId="52FCBD6A" w14:textId="77777777" w:rsidR="004034C1" w:rsidRPr="00B860E7" w:rsidRDefault="004034C1" w:rsidP="004034C1">
      <w:pPr>
        <w:pStyle w:val="aff6"/>
        <w:rPr>
          <w:lang w:val="ru-RU"/>
        </w:rPr>
      </w:pPr>
      <w:r w:rsidRPr="00B860E7">
        <w:rPr>
          <w:lang w:val="ru-RU"/>
        </w:rPr>
        <w:t>156.</w:t>
      </w:r>
      <w:r w:rsidRPr="00B860E7">
        <w:rPr>
          <w:lang w:val="ru-RU"/>
        </w:rPr>
        <w:tab/>
        <w:t xml:space="preserve">Сакаева Д.Д., Борисов К.Е., Булавина И.С. Практические рекомендации по диагностике и лечению фебрильной нейтропении. Практические рекомендации </w:t>
      </w:r>
      <w:r>
        <w:t>RUSSCO</w:t>
      </w:r>
      <w:r w:rsidRPr="00B860E7">
        <w:rPr>
          <w:lang w:val="ru-RU"/>
        </w:rPr>
        <w:t xml:space="preserve">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60–68.</w:t>
      </w:r>
    </w:p>
    <w:p w14:paraId="44FB7E73" w14:textId="77777777" w:rsidR="004034C1" w:rsidRPr="00B860E7" w:rsidRDefault="004034C1" w:rsidP="004034C1">
      <w:pPr>
        <w:pStyle w:val="aff6"/>
        <w:rPr>
          <w:lang w:val="ru-RU"/>
        </w:rPr>
      </w:pPr>
      <w:r w:rsidRPr="00B860E7">
        <w:rPr>
          <w:lang w:val="ru-RU"/>
        </w:rPr>
        <w:t>157.</w:t>
      </w:r>
      <w:r w:rsidRPr="00B860E7">
        <w:rPr>
          <w:lang w:val="ru-RU"/>
        </w:rPr>
        <w:tab/>
        <w:t xml:space="preserve">Ткаченко П.Е., Ивашкин В.Т., Маевская М.В. Практические рекомендации по коррекции гепатотоксичности, индуцированной противоопухолевой терапией. Практические рекомендации </w:t>
      </w:r>
      <w:r>
        <w:t>RUSSCO</w:t>
      </w:r>
      <w:r w:rsidRPr="00B860E7">
        <w:rPr>
          <w:lang w:val="ru-RU"/>
        </w:rPr>
        <w:t xml:space="preserve">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69–82.</w:t>
      </w:r>
    </w:p>
    <w:p w14:paraId="7F2ECDAD" w14:textId="77777777" w:rsidR="004034C1" w:rsidRPr="00B860E7" w:rsidRDefault="004034C1" w:rsidP="004034C1">
      <w:pPr>
        <w:pStyle w:val="aff6"/>
        <w:rPr>
          <w:lang w:val="ru-RU"/>
        </w:rPr>
      </w:pPr>
      <w:r w:rsidRPr="00B860E7">
        <w:rPr>
          <w:lang w:val="ru-RU"/>
        </w:rPr>
        <w:t>158.</w:t>
      </w:r>
      <w:r w:rsidRPr="00B860E7">
        <w:rPr>
          <w:lang w:val="ru-RU"/>
        </w:rPr>
        <w:tab/>
        <w:t xml:space="preserve">Виценя М.В., Агеев Ф.Т., Орлова Р.В. Практические рекомендации по коррекции кардиоваскулярной токсичности противоопухолевой лекарственной терапии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83–107.</w:t>
      </w:r>
    </w:p>
    <w:p w14:paraId="41956620" w14:textId="77777777" w:rsidR="004034C1" w:rsidRPr="00B860E7" w:rsidRDefault="004034C1" w:rsidP="004034C1">
      <w:pPr>
        <w:pStyle w:val="aff6"/>
        <w:rPr>
          <w:lang w:val="ru-RU"/>
        </w:rPr>
      </w:pPr>
      <w:r w:rsidRPr="00B860E7">
        <w:rPr>
          <w:lang w:val="ru-RU"/>
        </w:rPr>
        <w:t>159.</w:t>
      </w:r>
      <w:r w:rsidRPr="00B860E7">
        <w:rPr>
          <w:lang w:val="ru-RU"/>
        </w:rPr>
        <w:tab/>
        <w:t xml:space="preserve">Королева И.А., Болотина Л.В., Гладков О.А. Практические рекомендации по лекарственному лечению дерматологических реакций у пациентов, получающих противоопухолевую лекарственную терапию // Злокачественные опухоли :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108–131.</w:t>
      </w:r>
    </w:p>
    <w:p w14:paraId="1B7BB245" w14:textId="77777777" w:rsidR="004034C1" w:rsidRPr="00B860E7" w:rsidRDefault="004034C1" w:rsidP="004034C1">
      <w:pPr>
        <w:pStyle w:val="aff6"/>
        <w:rPr>
          <w:lang w:val="ru-RU"/>
        </w:rPr>
      </w:pPr>
      <w:r w:rsidRPr="00B860E7">
        <w:rPr>
          <w:lang w:val="ru-RU"/>
        </w:rPr>
        <w:lastRenderedPageBreak/>
        <w:t>160.</w:t>
      </w:r>
      <w:r w:rsidRPr="00B860E7">
        <w:rPr>
          <w:lang w:val="ru-RU"/>
        </w:rPr>
        <w:tab/>
        <w:t xml:space="preserve">Сытов А.В., Зузов С.А., Лейдерман Н.Н. Практические рекомендации по нутритивной поддержке онкологических больных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132–142.</w:t>
      </w:r>
    </w:p>
    <w:p w14:paraId="7372AFF8" w14:textId="77777777" w:rsidR="004034C1" w:rsidRPr="00B860E7" w:rsidRDefault="004034C1" w:rsidP="004034C1">
      <w:pPr>
        <w:pStyle w:val="aff6"/>
        <w:rPr>
          <w:lang w:val="ru-RU"/>
        </w:rPr>
      </w:pPr>
      <w:r w:rsidRPr="00B860E7">
        <w:rPr>
          <w:lang w:val="ru-RU"/>
        </w:rPr>
        <w:t>161.</w:t>
      </w:r>
      <w:r w:rsidRPr="00B860E7">
        <w:rPr>
          <w:lang w:val="ru-RU"/>
        </w:rPr>
        <w:tab/>
        <w:t xml:space="preserve">Громова Е.Г., Бирюкова Л.С., Джумабаева Б.Т. Практические рекомендации по коррекции нефротоксичности противоопухолевых препаратов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153–166.</w:t>
      </w:r>
    </w:p>
    <w:p w14:paraId="11D5B20F" w14:textId="77777777" w:rsidR="004034C1" w:rsidRPr="00B860E7" w:rsidRDefault="004034C1" w:rsidP="004034C1">
      <w:pPr>
        <w:pStyle w:val="aff6"/>
        <w:rPr>
          <w:lang w:val="ru-RU"/>
        </w:rPr>
      </w:pPr>
      <w:r w:rsidRPr="00B860E7">
        <w:rPr>
          <w:lang w:val="ru-RU"/>
        </w:rPr>
        <w:t>162.</w:t>
      </w:r>
      <w:r w:rsidRPr="00B860E7">
        <w:rPr>
          <w:lang w:val="ru-RU"/>
        </w:rPr>
        <w:tab/>
        <w:t xml:space="preserve">Сомонова О.В., Антух Э.А., Долгушин Б.И. Практические рекомендации по профилактике и лечению тромбоэмболических осложнений у онкологических больных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167–178.</w:t>
      </w:r>
    </w:p>
    <w:p w14:paraId="4E1CB1C1" w14:textId="77777777" w:rsidR="004034C1" w:rsidRPr="00B860E7" w:rsidRDefault="004034C1" w:rsidP="004034C1">
      <w:pPr>
        <w:pStyle w:val="aff6"/>
        <w:rPr>
          <w:lang w:val="ru-RU"/>
        </w:rPr>
      </w:pPr>
      <w:r w:rsidRPr="00B860E7">
        <w:rPr>
          <w:lang w:val="ru-RU"/>
        </w:rPr>
        <w:t>163.</w:t>
      </w:r>
      <w:r w:rsidRPr="00B860E7">
        <w:rPr>
          <w:lang w:val="ru-RU"/>
        </w:rPr>
        <w:tab/>
        <w:t xml:space="preserve">Буйденок Ю.В., Обухова О.А. Рекомендации по лечению последствий экстравазации противоопухолевых препаратов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179–189.</w:t>
      </w:r>
    </w:p>
    <w:p w14:paraId="3DDC1DD1" w14:textId="77777777" w:rsidR="004034C1" w:rsidRDefault="004034C1" w:rsidP="004034C1">
      <w:pPr>
        <w:pStyle w:val="aff6"/>
      </w:pPr>
      <w:r w:rsidRPr="00B860E7">
        <w:rPr>
          <w:lang w:val="ru-RU"/>
        </w:rPr>
        <w:t>164.</w:t>
      </w:r>
      <w:r w:rsidRPr="00B860E7">
        <w:rPr>
          <w:lang w:val="ru-RU"/>
        </w:rPr>
        <w:tab/>
        <w:t xml:space="preserve">Проценко С.А., Баллюзек М.Ф., Васильев Д.А. Практические рекомендации по управлению иммуноопосредованными нежелательными явлениями // Злокачественные опухоли: Практические рекомендации </w:t>
      </w:r>
      <w:r>
        <w:t>RUSSCO</w:t>
      </w:r>
      <w:r w:rsidRPr="00B860E7">
        <w:rPr>
          <w:lang w:val="ru-RU"/>
        </w:rPr>
        <w:t xml:space="preserve">. </w:t>
      </w:r>
      <w:r>
        <w:t>2023. Vol. 13, № 3s2. P. 210–249.</w:t>
      </w:r>
    </w:p>
    <w:p w14:paraId="4070B98F" w14:textId="77777777" w:rsidR="004034C1" w:rsidRPr="00B860E7" w:rsidRDefault="004034C1" w:rsidP="004034C1">
      <w:pPr>
        <w:pStyle w:val="aff6"/>
        <w:rPr>
          <w:lang w:val="ru-RU"/>
        </w:rPr>
      </w:pPr>
      <w:r>
        <w:t>165.</w:t>
      </w:r>
      <w:r>
        <w:tab/>
        <w:t xml:space="preserve">Gilliland T. et al. Nutritional and Metabolic Derangements in Pancreatic Cancer and Pancreatic Resection // Nutrients. </w:t>
      </w:r>
      <w:r w:rsidRPr="00B860E7">
        <w:rPr>
          <w:lang w:val="ru-RU"/>
        </w:rPr>
        <w:t xml:space="preserve">2017. </w:t>
      </w:r>
      <w:r>
        <w:t>Vol</w:t>
      </w:r>
      <w:r w:rsidRPr="00B860E7">
        <w:rPr>
          <w:lang w:val="ru-RU"/>
        </w:rPr>
        <w:t xml:space="preserve">. 9, № 3. </w:t>
      </w:r>
      <w:r>
        <w:t>P</w:t>
      </w:r>
      <w:r w:rsidRPr="00B860E7">
        <w:rPr>
          <w:lang w:val="ru-RU"/>
        </w:rPr>
        <w:t>. 243.</w:t>
      </w:r>
    </w:p>
    <w:p w14:paraId="3F8B8C99" w14:textId="77777777" w:rsidR="004034C1" w:rsidRPr="00B860E7" w:rsidRDefault="004034C1" w:rsidP="004034C1">
      <w:pPr>
        <w:pStyle w:val="aff6"/>
        <w:rPr>
          <w:lang w:val="ru-RU"/>
        </w:rPr>
      </w:pPr>
      <w:r w:rsidRPr="00B860E7">
        <w:rPr>
          <w:lang w:val="ru-RU"/>
        </w:rPr>
        <w:t>166.</w:t>
      </w:r>
      <w:r w:rsidRPr="00B860E7">
        <w:rPr>
          <w:lang w:val="ru-RU"/>
        </w:rPr>
        <w:tab/>
        <w:t xml:space="preserve">Сытов А.В., Зузов С.А., Кукош М.Ю. Практические рекомендации по лечению синдрома анорексии-кахексии у онкологических больных // Злокачественные опухоли. Практические рекомендации </w:t>
      </w:r>
      <w:r>
        <w:t>RUSSCO</w:t>
      </w:r>
      <w:r w:rsidRPr="00B860E7">
        <w:rPr>
          <w:lang w:val="ru-RU"/>
        </w:rPr>
        <w:t xml:space="preserve">. 2023. </w:t>
      </w:r>
      <w:r>
        <w:t>Vol</w:t>
      </w:r>
      <w:r w:rsidRPr="00B860E7">
        <w:rPr>
          <w:lang w:val="ru-RU"/>
        </w:rPr>
        <w:t>. 13, № 3</w:t>
      </w:r>
      <w:r>
        <w:t>s</w:t>
      </w:r>
      <w:r w:rsidRPr="00B860E7">
        <w:rPr>
          <w:lang w:val="ru-RU"/>
        </w:rPr>
        <w:t xml:space="preserve">2. </w:t>
      </w:r>
      <w:r>
        <w:t>P</w:t>
      </w:r>
      <w:r w:rsidRPr="00B860E7">
        <w:rPr>
          <w:lang w:val="ru-RU"/>
        </w:rPr>
        <w:t>. 143–147.</w:t>
      </w:r>
    </w:p>
    <w:p w14:paraId="679DA7C4" w14:textId="77777777" w:rsidR="004034C1" w:rsidRDefault="004034C1" w:rsidP="004034C1">
      <w:pPr>
        <w:pStyle w:val="aff6"/>
      </w:pPr>
      <w:r w:rsidRPr="00B860E7">
        <w:rPr>
          <w:lang w:val="ru-RU"/>
        </w:rPr>
        <w:t>167.</w:t>
      </w:r>
      <w:r w:rsidRPr="00B860E7">
        <w:rPr>
          <w:lang w:val="ru-RU"/>
        </w:rPr>
        <w:tab/>
      </w:r>
      <w:r>
        <w:t>Hulzebos</w:t>
      </w:r>
      <w:r w:rsidRPr="00B860E7">
        <w:rPr>
          <w:lang w:val="ru-RU"/>
        </w:rPr>
        <w:t xml:space="preserve"> </w:t>
      </w:r>
      <w:r>
        <w:t>E</w:t>
      </w:r>
      <w:r w:rsidRPr="00B860E7">
        <w:rPr>
          <w:lang w:val="ru-RU"/>
        </w:rPr>
        <w:t>.</w:t>
      </w:r>
      <w:r>
        <w:t>H</w:t>
      </w:r>
      <w:r w:rsidRPr="00B860E7">
        <w:rPr>
          <w:lang w:val="ru-RU"/>
        </w:rPr>
        <w:t>.</w:t>
      </w:r>
      <w:r>
        <w:t>J</w:t>
      </w:r>
      <w:r w:rsidRPr="00B860E7">
        <w:rPr>
          <w:lang w:val="ru-RU"/>
        </w:rPr>
        <w:t xml:space="preserve">. </w:t>
      </w:r>
      <w:r>
        <w:t>et</w:t>
      </w:r>
      <w:r w:rsidRPr="00B860E7">
        <w:rPr>
          <w:lang w:val="ru-RU"/>
        </w:rPr>
        <w:t xml:space="preserve"> </w:t>
      </w:r>
      <w:r>
        <w:t>al</w:t>
      </w:r>
      <w:r w:rsidRPr="00B860E7">
        <w:rPr>
          <w:lang w:val="ru-RU"/>
        </w:rPr>
        <w:t xml:space="preserve">. </w:t>
      </w:r>
      <w:r>
        <w:t>Preoperative Intensive Inspiratory Muscle Training to Prevent Postoperative Pulmonary Complications in High-Risk Patients Undergoing CABG SurgeryA Randomized Clinical Trial // JAMA. 2006. Vol. 296, № 15. P. 1851–1857.</w:t>
      </w:r>
    </w:p>
    <w:p w14:paraId="2639F068" w14:textId="77777777" w:rsidR="004034C1" w:rsidRDefault="004034C1" w:rsidP="004034C1">
      <w:pPr>
        <w:pStyle w:val="aff6"/>
      </w:pPr>
      <w:r>
        <w:t>168.</w:t>
      </w:r>
      <w:r>
        <w:tab/>
        <w:t>Silver J.K., Baima J. Cancer Prehabilitation: An Opportunity to Decrease Treatment-Related Morbidity, Increase Cancer Treatment Options, and Improve Physical and Psychological Health Outcomes // American Journal of Physical Medicine &amp; Rehabilitation. 2013. Vol. 92, № 8.</w:t>
      </w:r>
    </w:p>
    <w:p w14:paraId="17C89655" w14:textId="77777777" w:rsidR="004034C1" w:rsidRDefault="004034C1" w:rsidP="004034C1">
      <w:pPr>
        <w:pStyle w:val="aff6"/>
      </w:pPr>
      <w:r>
        <w:t>169.</w:t>
      </w:r>
      <w:r>
        <w:tab/>
        <w:t>Tsimopoulou I. et al. Psychological Prehabilitation Before Cancer Surgery: A Systematic Review // Annals of Surgical Oncology. 2015. Vol. 22, № 13. P. 4117–4123.</w:t>
      </w:r>
    </w:p>
    <w:p w14:paraId="053BF879" w14:textId="77777777" w:rsidR="004034C1" w:rsidRDefault="004034C1" w:rsidP="004034C1">
      <w:pPr>
        <w:pStyle w:val="aff6"/>
      </w:pPr>
      <w:r>
        <w:t>170.</w:t>
      </w:r>
      <w:r>
        <w:tab/>
        <w:t>Wichmann M. A prospective clinical feasibility study for multimodal “fast track” rehabilitation in elective pancreatic cancer surgery. // Rozhl Chir. 2006. Vol. 85, № 4. P. 169–175.</w:t>
      </w:r>
    </w:p>
    <w:p w14:paraId="68B7F945" w14:textId="77777777" w:rsidR="004034C1" w:rsidRDefault="004034C1" w:rsidP="004034C1">
      <w:pPr>
        <w:pStyle w:val="aff6"/>
      </w:pPr>
      <w:r>
        <w:t>171.</w:t>
      </w:r>
      <w:r>
        <w:tab/>
        <w:t>Hijazi Y., Gondal U., Aziz O. A systematic review of prehabilitation programs in abdominal cancer surgery // International Journal of Surgery. 2017. Vol. 39. P. 156–162.</w:t>
      </w:r>
    </w:p>
    <w:p w14:paraId="74E2B88F" w14:textId="77777777" w:rsidR="004034C1" w:rsidRDefault="004034C1" w:rsidP="004034C1">
      <w:pPr>
        <w:pStyle w:val="aff6"/>
      </w:pPr>
      <w:r>
        <w:t>172.</w:t>
      </w:r>
      <w:r>
        <w:tab/>
        <w:t>Wren S.M. et al. Postoperative Pneumonia-Prevention Program for the Inpatient Surgical Ward // Journal of the American College of Surgeons. 2010. Vol. 210, № 4. P. 491–495.</w:t>
      </w:r>
    </w:p>
    <w:p w14:paraId="38CF46C0" w14:textId="77777777" w:rsidR="004034C1" w:rsidRDefault="004034C1" w:rsidP="004034C1">
      <w:pPr>
        <w:pStyle w:val="aff6"/>
      </w:pPr>
      <w:r>
        <w:t>173.</w:t>
      </w:r>
      <w:r>
        <w:tab/>
        <w:t>Mustian K.M. et al. Comparison of Pharmaceutical, Psychological, and Exercise Treatments for Cancer-Related Fatigue: A Meta-analysis // JAMA Oncol. 2017. Vol. 3, № 7. P. 961–968.</w:t>
      </w:r>
    </w:p>
    <w:p w14:paraId="02DA16E2" w14:textId="77777777" w:rsidR="004034C1" w:rsidRDefault="004034C1" w:rsidP="004034C1">
      <w:pPr>
        <w:pStyle w:val="aff6"/>
      </w:pPr>
      <w:r>
        <w:t>174.</w:t>
      </w:r>
      <w:r>
        <w:tab/>
        <w:t>Kinkead B. et al. Massage therapy decreases cancer-related fatigue: Results from a randomized early phase trial // Cancer. 2018. Vol. 124, № 3. P. 546–554.</w:t>
      </w:r>
    </w:p>
    <w:p w14:paraId="03AC9B7F" w14:textId="77777777" w:rsidR="004034C1" w:rsidRPr="00B860E7" w:rsidRDefault="004034C1" w:rsidP="004034C1">
      <w:pPr>
        <w:pStyle w:val="aff6"/>
        <w:rPr>
          <w:lang w:val="ru-RU"/>
        </w:rPr>
      </w:pPr>
      <w:r>
        <w:t>175.</w:t>
      </w:r>
      <w:r>
        <w:tab/>
        <w:t>Khorana A.A. et al. Potentially Curable Pancreatic Cancer: American Society of Clinical Oncology Clinical Practice Guideline Update // JCO. 2017. Vol</w:t>
      </w:r>
      <w:r w:rsidRPr="00B860E7">
        <w:rPr>
          <w:lang w:val="ru-RU"/>
        </w:rPr>
        <w:t xml:space="preserve">. 35, № 20. </w:t>
      </w:r>
      <w:r>
        <w:t>P</w:t>
      </w:r>
      <w:r w:rsidRPr="00B860E7">
        <w:rPr>
          <w:lang w:val="ru-RU"/>
        </w:rPr>
        <w:t>. 2324–2328.</w:t>
      </w:r>
    </w:p>
    <w:p w14:paraId="0FD5FDE1" w14:textId="77777777" w:rsidR="004034C1" w:rsidRPr="00B860E7" w:rsidRDefault="004034C1" w:rsidP="004034C1">
      <w:pPr>
        <w:pStyle w:val="aff6"/>
        <w:rPr>
          <w:lang w:val="ru-RU"/>
        </w:rPr>
      </w:pPr>
      <w:r w:rsidRPr="00B860E7">
        <w:rPr>
          <w:lang w:val="ru-RU"/>
        </w:rPr>
        <w:t>176.</w:t>
      </w:r>
      <w:r w:rsidRPr="00B860E7">
        <w:rPr>
          <w:lang w:val="ru-RU"/>
        </w:rPr>
        <w:tab/>
        <w:t>Приказ Министерства здравоохранения Российской Федерации от 04.06.2020 № 548н “Об утверждении порядка диспансерного наблюдения за взрослыми с онкологическими заболеваниями.” Министерство здравоохранения и социального развития РФ, 2020.</w:t>
      </w:r>
    </w:p>
    <w:p w14:paraId="1F7967B0" w14:textId="77777777" w:rsidR="004034C1" w:rsidRDefault="004034C1" w:rsidP="004034C1">
      <w:pPr>
        <w:pStyle w:val="aff6"/>
      </w:pPr>
      <w:r w:rsidRPr="00B860E7">
        <w:rPr>
          <w:lang w:val="ru-RU"/>
        </w:rPr>
        <w:lastRenderedPageBreak/>
        <w:t>177.</w:t>
      </w:r>
      <w:r w:rsidRPr="00B860E7">
        <w:rPr>
          <w:lang w:val="ru-RU"/>
        </w:rPr>
        <w:tab/>
        <w:t xml:space="preserve">Покатаев И., Трякин А. Практические рекомендации по лекарственному лечению рака поджелудочной железы // Злокачественные опухоли. </w:t>
      </w:r>
      <w:r>
        <w:t>2018. Vol. 8, № 3s2. P. 401–413.</w:t>
      </w:r>
    </w:p>
    <w:p w14:paraId="0F8B960E" w14:textId="77777777" w:rsidR="004034C1" w:rsidRDefault="004034C1" w:rsidP="004034C1">
      <w:pPr>
        <w:pStyle w:val="aff6"/>
      </w:pPr>
      <w:r>
        <w:t>178.</w:t>
      </w:r>
      <w:r>
        <w:tab/>
        <w:t>Canto M.I. et al. International Cancer of the Pancreas Screening (CAPS) Consortium summit on the management of patients with increased risk for familial pancreatic cancer // Gut. 2013. Vol. 62, № 3. P. 339–347.</w:t>
      </w:r>
    </w:p>
    <w:p w14:paraId="79086160" w14:textId="77777777" w:rsidR="004034C1" w:rsidRDefault="004034C1" w:rsidP="004034C1">
      <w:pPr>
        <w:pStyle w:val="aff6"/>
      </w:pPr>
      <w:r>
        <w:t>179.</w:t>
      </w:r>
      <w:r>
        <w:tab/>
        <w:t>Sawhney M.S. et al. ASGE guideline on screening for pancreatic cancer in individuals with genetic susceptibility: summary and recommendations // Gastrointestinal Endoscopy. 2022. Vol. 95, № 5. P. 817–826.</w:t>
      </w:r>
    </w:p>
    <w:p w14:paraId="518C909B" w14:textId="77777777" w:rsidR="004034C1" w:rsidRDefault="004034C1" w:rsidP="004034C1">
      <w:pPr>
        <w:pStyle w:val="aff6"/>
      </w:pPr>
      <w:r>
        <w:t>180.</w:t>
      </w:r>
      <w:r>
        <w:tab/>
        <w:t>Daly M.B., Pal T., Arun B.K. NCCN guidelines. Genetic/Familial High-Risk Assessment: Breast, Ovarian, and Pancreatic. 2023. 161 p.</w:t>
      </w:r>
    </w:p>
    <w:p w14:paraId="18945BC2" w14:textId="77777777" w:rsidR="004034C1" w:rsidRDefault="004034C1" w:rsidP="004034C1">
      <w:pPr>
        <w:pStyle w:val="aff6"/>
      </w:pPr>
      <w:r>
        <w:t>181.</w:t>
      </w:r>
      <w:r>
        <w:tab/>
        <w:t>Waleleng B.J. et al. Screening of pancreatic cancer: Target population, optimal timing and how? // Annals of Medicine &amp; Surgery. 2022. Vol. 84.</w:t>
      </w:r>
    </w:p>
    <w:p w14:paraId="0E90E5F7" w14:textId="77777777" w:rsidR="004034C1" w:rsidRDefault="004034C1" w:rsidP="004034C1">
      <w:pPr>
        <w:pStyle w:val="aff6"/>
      </w:pPr>
      <w:r>
        <w:t>182.</w:t>
      </w:r>
      <w:r>
        <w:tab/>
        <w:t>Corral J.E. et al. Cost-effectiveness of Pancreatic Cancer Surveillance in High-Risk Individuals: An Economic Analysis // Pancreas. 2019. Vol. 48, № 4. P. 526–536.</w:t>
      </w:r>
    </w:p>
    <w:p w14:paraId="67D2E8F4" w14:textId="77777777" w:rsidR="004034C1" w:rsidRDefault="004034C1" w:rsidP="004034C1">
      <w:pPr>
        <w:pStyle w:val="aff6"/>
      </w:pPr>
      <w:r>
        <w:t>183.</w:t>
      </w:r>
      <w:r>
        <w:tab/>
        <w:t>Joergensen M.T. et al. Is screening for pancreatic cancer in high-risk groups cost-effective? – Experience from a Danish national screening program // Pancreatology. 2016. Vol. 16, № 4. P. 584–592.</w:t>
      </w:r>
    </w:p>
    <w:p w14:paraId="213FC9A2" w14:textId="77777777" w:rsidR="004034C1" w:rsidRDefault="004034C1" w:rsidP="004034C1">
      <w:pPr>
        <w:pStyle w:val="aff6"/>
      </w:pPr>
      <w:r>
        <w:t>184.</w:t>
      </w:r>
      <w:r>
        <w:tab/>
        <w:t>Azar I. et al. Treatment and survival rates of stage IV pancreatic cancer at VA hospitals: a nation-wide study // J. Gastrointest. Oncol. 2019. Vol. 10, № 4. P. 703–711.</w:t>
      </w:r>
    </w:p>
    <w:p w14:paraId="27272265" w14:textId="77777777" w:rsidR="004034C1" w:rsidRDefault="004034C1" w:rsidP="004034C1">
      <w:pPr>
        <w:pStyle w:val="aff6"/>
      </w:pPr>
      <w:r>
        <w:t>185.</w:t>
      </w:r>
      <w:r>
        <w:tab/>
        <w:t>Pokataev I. et al. Intratumoral Heterogeneity of SMAD4 Immunohistochemical Expression and Its Role in Prediction of Recurrence Pattern in Patients with Resectable Pancreatic Cancer // Journal of Gastrointestinal Cancer. 2019. Vol. 50, № 3. P. 478–484.</w:t>
      </w:r>
    </w:p>
    <w:p w14:paraId="235F4EAA" w14:textId="77777777" w:rsidR="004034C1" w:rsidRDefault="004034C1" w:rsidP="004034C1">
      <w:pPr>
        <w:pStyle w:val="aff6"/>
      </w:pPr>
      <w:r>
        <w:t>186.</w:t>
      </w:r>
      <w:r>
        <w:tab/>
        <w:t>Pishvaian M.J. et al. Molecular Profiling of Patients with Pancreatic Cancer: Initial Results from the Know Your Tumor Initiative // Clin Cancer Res. 2018. P. 1078-0432.CCR-18–0531.</w:t>
      </w:r>
    </w:p>
    <w:p w14:paraId="1A599EA9" w14:textId="77777777" w:rsidR="004034C1" w:rsidRDefault="004034C1" w:rsidP="004034C1">
      <w:pPr>
        <w:pStyle w:val="aff6"/>
      </w:pPr>
      <w:r>
        <w:t>187.</w:t>
      </w:r>
      <w:r>
        <w:tab/>
        <w:t>Aung K.L. et al. Genomics-Driven Precision Medicine for Advanced Pancreatic Cancer: Early Results from the COMPASS Trial // Clin Cancer Res. 2018. Vol. 24, № 6. P. 1344–1354.</w:t>
      </w:r>
    </w:p>
    <w:p w14:paraId="7B287722" w14:textId="77777777" w:rsidR="004034C1" w:rsidRDefault="004034C1" w:rsidP="004034C1">
      <w:pPr>
        <w:pStyle w:val="aff6"/>
      </w:pPr>
      <w:r>
        <w:t>188.</w:t>
      </w:r>
      <w:r>
        <w:tab/>
        <w:t>Bochis O.V. et al. Solid pseudopapillary tumor of the pancreas: clinical-pathological features and management of 13 cases // Medicine and Pharmacy Reports. 2017. Vol. 90, № 2. P. 171–178.</w:t>
      </w:r>
    </w:p>
    <w:p w14:paraId="5A6F46F7" w14:textId="77777777" w:rsidR="004034C1" w:rsidRDefault="004034C1" w:rsidP="004034C1">
      <w:pPr>
        <w:pStyle w:val="aff6"/>
      </w:pPr>
      <w:r>
        <w:t>189.</w:t>
      </w:r>
      <w:r>
        <w:tab/>
        <w:t>Choi J.-Y. et al. Solid Pseudopapillary Tumor of the Pancreas: Typical and Atypical Manifestations // American Journal of Roentgenology. 2006. Vol. 187, № 2. P. W178–W186.</w:t>
      </w:r>
    </w:p>
    <w:p w14:paraId="7A02560E" w14:textId="77777777" w:rsidR="004034C1" w:rsidRDefault="004034C1" w:rsidP="004034C1">
      <w:pPr>
        <w:pStyle w:val="aff6"/>
      </w:pPr>
      <w:r>
        <w:t>190.</w:t>
      </w:r>
      <w:r>
        <w:tab/>
        <w:t>Guo N. Diagnosis and surgical treatment of solid pseudopapillary neoplasm of the pancreas: analysis of 24 cases // Can J Surg. 2011. Vol. 54, № 6. P. 368–374.</w:t>
      </w:r>
    </w:p>
    <w:p w14:paraId="46AC5F9B" w14:textId="77777777" w:rsidR="004034C1" w:rsidRDefault="004034C1" w:rsidP="004034C1">
      <w:pPr>
        <w:pStyle w:val="aff6"/>
      </w:pPr>
      <w:r>
        <w:t>191.</w:t>
      </w:r>
      <w:r>
        <w:tab/>
        <w:t>Calimano-Ramirez L.F. et al. Pancreatic acinar cell carcinoma: A comprehensive review // World J Gastroenterol. 2022. Vol. 28, № 40. P. 5827–5844.</w:t>
      </w:r>
    </w:p>
    <w:p w14:paraId="5DDC9559" w14:textId="77777777" w:rsidR="004034C1" w:rsidRDefault="004034C1" w:rsidP="004034C1">
      <w:pPr>
        <w:pStyle w:val="aff6"/>
      </w:pPr>
      <w:r>
        <w:t>192.</w:t>
      </w:r>
      <w:r>
        <w:tab/>
        <w:t>Chmielecki J. et al. Comprehensive Genomic Profiling of Pancreatic Acinar Cell Carcinomas Identifies Recurrent RAF Fusions and Frequent Inactivation of DNA Repair Genes // Cancer Discovery. 2014. Vol. 4, № 12. P. 1398–1405.</w:t>
      </w:r>
    </w:p>
    <w:p w14:paraId="725A6194" w14:textId="77777777" w:rsidR="004034C1" w:rsidRDefault="004034C1" w:rsidP="004034C1">
      <w:pPr>
        <w:pStyle w:val="aff6"/>
      </w:pPr>
      <w:r>
        <w:t>193.</w:t>
      </w:r>
      <w:r>
        <w:tab/>
        <w:t>Furlan D. et al. APC alterations are frequently involved in the pathogenesis of acinar cell carcinoma of the pancreas, mainly through gene loss and promoter hypermethylation // Virchows Arch. 2014. Vol. 464, № 5. P. 553–564.</w:t>
      </w:r>
    </w:p>
    <w:p w14:paraId="105E5A56" w14:textId="77777777" w:rsidR="004034C1" w:rsidRDefault="004034C1" w:rsidP="004034C1">
      <w:pPr>
        <w:pStyle w:val="aff6"/>
      </w:pPr>
      <w:r>
        <w:t>194.</w:t>
      </w:r>
      <w:r>
        <w:tab/>
        <w:t>Kaiser J. et al. IPMN-associated pancreatic cancer: Survival, prognostic staging and impact of adjuvant chemotherapy // European Journal of Surgical Oncology. 2022. Vol. 48, № 6. P. 1309–1320.</w:t>
      </w:r>
    </w:p>
    <w:p w14:paraId="0EBC5A8E" w14:textId="77777777" w:rsidR="004034C1" w:rsidRDefault="004034C1" w:rsidP="004034C1">
      <w:pPr>
        <w:pStyle w:val="aff6"/>
      </w:pPr>
      <w:r>
        <w:t>195.</w:t>
      </w:r>
      <w:r>
        <w:tab/>
        <w:t>Scarpa A., Real F.X., Luchini C. Genetic unrelatedness of co-occurring pancreatic adenocarcinomas and IPMNs challenges current views of clinical management // Gut. 2018. Vol. 67, № 9. P. 1561–1563.</w:t>
      </w:r>
    </w:p>
    <w:p w14:paraId="6AEAADBC" w14:textId="77777777" w:rsidR="004034C1" w:rsidRDefault="004034C1" w:rsidP="004034C1">
      <w:pPr>
        <w:pStyle w:val="aff6"/>
      </w:pPr>
      <w:r>
        <w:t>196.</w:t>
      </w:r>
      <w:r>
        <w:tab/>
        <w:t>Yopp A.C. Prognosis of invasive intraductal papillary mucinous neoplasms of the pancreas // WJGS. 2010. Vol. 2, № 10. P. 359.</w:t>
      </w:r>
    </w:p>
    <w:p w14:paraId="4817EF52" w14:textId="77777777" w:rsidR="004034C1" w:rsidRDefault="004034C1" w:rsidP="004034C1">
      <w:pPr>
        <w:pStyle w:val="aff6"/>
      </w:pPr>
      <w:r>
        <w:lastRenderedPageBreak/>
        <w:t>197.</w:t>
      </w:r>
      <w:r>
        <w:tab/>
        <w:t>Massaras D. et al. Serous Microcystic Cystadenocarcinoma of the Pancreas with Synchronous Liver Metastases: Clinical Characteristics and Management // Cureus. 2020.</w:t>
      </w:r>
    </w:p>
    <w:p w14:paraId="5944F787" w14:textId="77777777" w:rsidR="004034C1" w:rsidRDefault="004034C1" w:rsidP="004034C1">
      <w:pPr>
        <w:pStyle w:val="aff6"/>
      </w:pPr>
      <w:r>
        <w:t>198.</w:t>
      </w:r>
      <w:r>
        <w:tab/>
        <w:t>Van Dyke T.J. et al. Serous Cystadenocarcinoma of the Pancreas: Clinical Features and Management of a Rare Tumor // Dig Surg. 2016. Vol. 33, № 3. P. 240–248.</w:t>
      </w:r>
    </w:p>
    <w:p w14:paraId="45D8CE9C" w14:textId="77777777" w:rsidR="004034C1" w:rsidRDefault="004034C1" w:rsidP="004034C1">
      <w:pPr>
        <w:pStyle w:val="aff6"/>
      </w:pPr>
      <w:r>
        <w:t>199.</w:t>
      </w:r>
      <w:r>
        <w:tab/>
        <w:t>Dhebri A.R. et al. Diagnosis, treatment and outcome of pancreatoblastoma // Pancreatology. 2004. Vol. 4, № 5. P. 441–453.</w:t>
      </w:r>
    </w:p>
    <w:p w14:paraId="297B04F9" w14:textId="77777777" w:rsidR="004034C1" w:rsidRDefault="004034C1" w:rsidP="004034C1">
      <w:pPr>
        <w:pStyle w:val="aff6"/>
      </w:pPr>
      <w:r>
        <w:t>200.</w:t>
      </w:r>
      <w:r>
        <w:tab/>
        <w:t>Glick R.D. et al. Management of Pancreatoblastoma in Children and Young Adults // Journal of Pediatric Hematology/Oncology. 2012. Vol. 34, № Supplement 2. P. S47–S50.</w:t>
      </w:r>
    </w:p>
    <w:p w14:paraId="6F7A972D" w14:textId="77777777" w:rsidR="004034C1" w:rsidRPr="00B860E7" w:rsidRDefault="004034C1" w:rsidP="004034C1">
      <w:pPr>
        <w:pStyle w:val="aff6"/>
        <w:rPr>
          <w:lang w:val="ru-RU"/>
        </w:rPr>
      </w:pPr>
      <w:r>
        <w:t>201.</w:t>
      </w:r>
      <w:r>
        <w:tab/>
        <w:t xml:space="preserve">Oken M.M. et al. Toxicity and response criteria of the Eastern Cooperative Oncology Group // American Journal of Clinical Oncology. </w:t>
      </w:r>
      <w:r w:rsidRPr="00B860E7">
        <w:rPr>
          <w:lang w:val="ru-RU"/>
        </w:rPr>
        <w:t xml:space="preserve">1982. </w:t>
      </w:r>
      <w:r>
        <w:t>Vol</w:t>
      </w:r>
      <w:r w:rsidRPr="00B860E7">
        <w:rPr>
          <w:lang w:val="ru-RU"/>
        </w:rPr>
        <w:t>. 5, № 6.</w:t>
      </w:r>
    </w:p>
    <w:p w14:paraId="4D068791" w14:textId="77777777" w:rsidR="004034C1" w:rsidRPr="00B860E7" w:rsidRDefault="004034C1" w:rsidP="004034C1">
      <w:pPr>
        <w:pStyle w:val="aff6"/>
        <w:rPr>
          <w:lang w:val="ru-RU"/>
        </w:rPr>
      </w:pPr>
      <w:r w:rsidRPr="00B860E7">
        <w:rPr>
          <w:lang w:val="ru-RU"/>
        </w:rPr>
        <w:t>202.</w:t>
      </w:r>
      <w:r w:rsidRPr="00B860E7">
        <w:rPr>
          <w:lang w:val="ru-RU"/>
        </w:rPr>
        <w:tab/>
        <w:t>Гомболевский В., Лайпан А., Шапиев А. Методические рекомендации по применению критериев ответа солидных опухолей на химиотерапевтическое лечение (</w:t>
      </w:r>
      <w:r>
        <w:t>RECIST</w:t>
      </w:r>
      <w:r w:rsidRPr="00B860E7">
        <w:rPr>
          <w:lang w:val="ru-RU"/>
        </w:rPr>
        <w:t xml:space="preserve"> 1.1) // Методические рекомендации №46. № 2018.</w:t>
      </w:r>
    </w:p>
    <w:p w14:paraId="7B83FF62" w14:textId="1E92CFB2" w:rsidR="008D0434" w:rsidRPr="001E4AC9" w:rsidRDefault="00C15198" w:rsidP="00F40A1C">
      <w:pPr>
        <w:pStyle w:val="aff6"/>
        <w:spacing w:line="360" w:lineRule="auto"/>
        <w:ind w:firstLine="708"/>
        <w:rPr>
          <w:lang w:val="ru-RU"/>
        </w:rPr>
      </w:pPr>
      <w:r w:rsidRPr="00A83E0C">
        <w:rPr>
          <w:lang w:val="ru-RU"/>
        </w:rPr>
        <w:fldChar w:fldCharType="end"/>
      </w:r>
    </w:p>
    <w:p w14:paraId="11E95BCC" w14:textId="77777777" w:rsidR="00AC1487" w:rsidRPr="001E4AC9" w:rsidRDefault="00AC1487" w:rsidP="00DC7BE7">
      <w:pPr>
        <w:rPr>
          <w:lang w:val="ru-RU"/>
        </w:rPr>
      </w:pPr>
      <w:r w:rsidRPr="001E4AC9">
        <w:rPr>
          <w:lang w:val="ru-RU"/>
        </w:rPr>
        <w:br w:type="page"/>
      </w:r>
    </w:p>
    <w:p w14:paraId="40736B10" w14:textId="77777777" w:rsidR="002E4556" w:rsidRPr="00A83E0C" w:rsidRDefault="002E4556" w:rsidP="000B3A53">
      <w:pPr>
        <w:pStyle w:val="1"/>
      </w:pPr>
      <w:bookmarkStart w:id="37" w:name="_Toc158632234"/>
      <w:r w:rsidRPr="00A83E0C">
        <w:lastRenderedPageBreak/>
        <w:t xml:space="preserve">Приложение А1. </w:t>
      </w:r>
      <w:r w:rsidR="00CD11D0" w:rsidRPr="00A83E0C">
        <w:t>Состав рабочей группы по разработке и пересмотру клинических рекомендаций</w:t>
      </w:r>
      <w:bookmarkEnd w:id="37"/>
    </w:p>
    <w:p w14:paraId="26DF295E" w14:textId="77A7DE60" w:rsidR="000E397D" w:rsidRPr="00A83E0C" w:rsidRDefault="000E397D" w:rsidP="000E397D">
      <w:pPr>
        <w:rPr>
          <w:lang w:val="ru-RU"/>
        </w:rPr>
      </w:pPr>
      <w:r w:rsidRPr="00A83E0C">
        <w:rPr>
          <w:b/>
          <w:lang w:val="ru-RU"/>
        </w:rPr>
        <w:t>Покатаев И.А.,</w:t>
      </w:r>
      <w:r w:rsidR="00AF253F">
        <w:rPr>
          <w:lang w:val="ru-RU"/>
        </w:rPr>
        <w:t xml:space="preserve"> д</w:t>
      </w:r>
      <w:r w:rsidRPr="00A83E0C">
        <w:rPr>
          <w:lang w:val="ru-RU"/>
        </w:rPr>
        <w:t xml:space="preserve">.м.н., </w:t>
      </w:r>
      <w:r w:rsidR="003A169B">
        <w:rPr>
          <w:lang w:val="ru-RU"/>
        </w:rPr>
        <w:t>руководитель службы химиотерапевтического лечения</w:t>
      </w:r>
      <w:r w:rsidR="000A3C3A">
        <w:rPr>
          <w:lang w:val="ru-RU"/>
        </w:rPr>
        <w:t xml:space="preserve"> ГБУЗ «Городская клиническая онкологическая больница №1 ДЗМ», Москва</w:t>
      </w:r>
    </w:p>
    <w:p w14:paraId="4F930F5C" w14:textId="3709C31B" w:rsidR="003B3375" w:rsidRDefault="003B3375" w:rsidP="003B3375">
      <w:pPr>
        <w:rPr>
          <w:lang w:val="ru-RU"/>
        </w:rPr>
      </w:pPr>
      <w:r w:rsidRPr="00A83E0C">
        <w:rPr>
          <w:b/>
          <w:lang w:val="ru-RU"/>
        </w:rPr>
        <w:t>Алиева С.Б..,</w:t>
      </w:r>
      <w:r w:rsidRPr="00A83E0C">
        <w:rPr>
          <w:lang w:val="ru-RU"/>
        </w:rPr>
        <w:t xml:space="preserve"> </w:t>
      </w:r>
      <w:r w:rsidR="009F23FD" w:rsidRPr="00A83E0C">
        <w:rPr>
          <w:lang w:val="ru-RU"/>
        </w:rPr>
        <w:t>д</w:t>
      </w:r>
      <w:r w:rsidRPr="00A83E0C">
        <w:rPr>
          <w:lang w:val="ru-RU"/>
        </w:rPr>
        <w:t xml:space="preserve">.м.н., </w:t>
      </w:r>
      <w:r w:rsidR="009F23FD" w:rsidRPr="00A83E0C">
        <w:rPr>
          <w:lang w:val="ru-RU"/>
        </w:rPr>
        <w:t>ведущий</w:t>
      </w:r>
      <w:r w:rsidRPr="00A83E0C">
        <w:rPr>
          <w:lang w:val="ru-RU"/>
        </w:rPr>
        <w:t xml:space="preserve"> научный сотрудник отделения радиологического НИИ клинической и экспериментальной радиологии 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24223543" w14:textId="34E1E5FC" w:rsidR="00346903" w:rsidRDefault="003A169B" w:rsidP="003B3375">
      <w:pPr>
        <w:rPr>
          <w:lang w:val="ru-RU"/>
        </w:rPr>
      </w:pPr>
      <w:r w:rsidRPr="002F77F7">
        <w:rPr>
          <w:b/>
          <w:bCs/>
          <w:lang w:val="ru-RU"/>
        </w:rPr>
        <w:t>Галкин В.Н.,</w:t>
      </w:r>
      <w:r>
        <w:rPr>
          <w:lang w:val="ru-RU"/>
        </w:rPr>
        <w:t xml:space="preserve"> главный врач ГБУЗ «Городская клиническая больница </w:t>
      </w:r>
      <w:r w:rsidR="00C671E0">
        <w:rPr>
          <w:lang w:val="ru-RU"/>
        </w:rPr>
        <w:t>им. С.С. Юдина</w:t>
      </w:r>
      <w:r>
        <w:rPr>
          <w:lang w:val="ru-RU"/>
        </w:rPr>
        <w:t xml:space="preserve"> ДЗМ», Москва</w:t>
      </w:r>
    </w:p>
    <w:p w14:paraId="2609D3CE" w14:textId="25BE0DFE" w:rsidR="00AD3438" w:rsidRPr="00A83E0C" w:rsidRDefault="00AD3438" w:rsidP="00DC7BE7">
      <w:pPr>
        <w:rPr>
          <w:b/>
          <w:lang w:val="ru-RU"/>
        </w:rPr>
      </w:pPr>
      <w:r w:rsidRPr="00A83E0C">
        <w:rPr>
          <w:b/>
          <w:lang w:val="ru-RU"/>
        </w:rPr>
        <w:t>Гладков О.А.,</w:t>
      </w:r>
      <w:r w:rsidRPr="00A83E0C">
        <w:rPr>
          <w:lang w:val="ru-RU"/>
        </w:rPr>
        <w:t xml:space="preserve"> профессор, д.м.н., </w:t>
      </w:r>
      <w:r w:rsidR="00F55E3F" w:rsidRPr="00F55E3F">
        <w:rPr>
          <w:lang w:val="ru-RU"/>
        </w:rPr>
        <w:t>ГАУЗ «Челябинский областной клинический центр онкологии и ядерной медицины»</w:t>
      </w:r>
      <w:r w:rsidRPr="00A83E0C">
        <w:rPr>
          <w:lang w:val="ru-RU"/>
        </w:rPr>
        <w:t>, Челябинск</w:t>
      </w:r>
    </w:p>
    <w:p w14:paraId="620F593B" w14:textId="77777777" w:rsidR="00C33D61" w:rsidRPr="00A83E0C" w:rsidRDefault="00C33D61" w:rsidP="00DC7BE7">
      <w:pPr>
        <w:rPr>
          <w:lang w:val="ru-RU"/>
        </w:rPr>
      </w:pPr>
      <w:r w:rsidRPr="00A83E0C">
        <w:rPr>
          <w:b/>
          <w:lang w:val="ru-RU"/>
        </w:rPr>
        <w:t xml:space="preserve">Загайнов </w:t>
      </w:r>
      <w:r w:rsidR="00AD3438" w:rsidRPr="00A83E0C">
        <w:rPr>
          <w:b/>
          <w:lang w:val="ru-RU"/>
        </w:rPr>
        <w:t>В.Е.</w:t>
      </w:r>
      <w:r w:rsidRPr="00A83E0C">
        <w:rPr>
          <w:b/>
          <w:lang w:val="ru-RU"/>
        </w:rPr>
        <w:t xml:space="preserve">, </w:t>
      </w:r>
      <w:r w:rsidRPr="00A83E0C">
        <w:rPr>
          <w:lang w:val="ru-RU"/>
        </w:rPr>
        <w:t>д.м.н., главный специалист по хирургии, заведующий кафедрой хирургических болезней ГБОУ ВПО НижГМА,</w:t>
      </w:r>
      <w:r w:rsidR="00AD3438" w:rsidRPr="00A83E0C">
        <w:rPr>
          <w:lang w:val="ru-RU"/>
        </w:rPr>
        <w:t xml:space="preserve"> </w:t>
      </w:r>
      <w:r w:rsidRPr="00A83E0C">
        <w:rPr>
          <w:lang w:val="ru-RU"/>
        </w:rPr>
        <w:t xml:space="preserve">Приволжский Окружной медицинский центр ФМБА России (ПОМЦ), Нижний Новгород </w:t>
      </w:r>
    </w:p>
    <w:p w14:paraId="01DF0CA5" w14:textId="77777777" w:rsidR="008C7E93" w:rsidRPr="00A83E0C" w:rsidRDefault="008C7E93" w:rsidP="00DC7BE7">
      <w:pPr>
        <w:rPr>
          <w:lang w:val="ru-RU"/>
        </w:rPr>
      </w:pPr>
      <w:r w:rsidRPr="00A83E0C">
        <w:rPr>
          <w:b/>
          <w:lang w:val="ru-RU"/>
        </w:rPr>
        <w:t>Карачун А.М.,</w:t>
      </w:r>
      <w:r w:rsidRPr="00A83E0C">
        <w:rPr>
          <w:lang w:val="ru-RU"/>
        </w:rPr>
        <w:t xml:space="preserve"> д.м.н., заведующий хирургическим отделением абдоминальной онкологи ФГБУ «НМИЦ онкологии им. Н. Н. Петрова» Минздрава России</w:t>
      </w:r>
    </w:p>
    <w:p w14:paraId="64F4D21B" w14:textId="24A960B1" w:rsidR="008332C8" w:rsidRDefault="008332C8" w:rsidP="008332C8">
      <w:pPr>
        <w:rPr>
          <w:lang w:val="ru-RU"/>
        </w:rPr>
      </w:pPr>
      <w:r w:rsidRPr="00A83E0C">
        <w:rPr>
          <w:b/>
          <w:lang w:val="ru-RU"/>
        </w:rPr>
        <w:t>Кармазановский Г.Г.,</w:t>
      </w:r>
      <w:r w:rsidRPr="00A83E0C">
        <w:rPr>
          <w:lang w:val="ru-RU"/>
        </w:rPr>
        <w:t xml:space="preserve"> </w:t>
      </w:r>
      <w:r w:rsidR="00B11558">
        <w:rPr>
          <w:lang w:val="ru-RU"/>
        </w:rPr>
        <w:t>академик</w:t>
      </w:r>
      <w:r w:rsidRPr="00A83E0C">
        <w:rPr>
          <w:lang w:val="ru-RU"/>
        </w:rPr>
        <w:t xml:space="preserve"> РАН, д.м.н., </w:t>
      </w:r>
      <w:r w:rsidR="00822A31" w:rsidRPr="00A83E0C">
        <w:rPr>
          <w:lang w:val="ru-RU"/>
        </w:rPr>
        <w:t xml:space="preserve">профессор, </w:t>
      </w:r>
      <w:r w:rsidR="00167655" w:rsidRPr="00A83E0C">
        <w:rPr>
          <w:lang w:val="ru-RU"/>
        </w:rPr>
        <w:t>з</w:t>
      </w:r>
      <w:r w:rsidRPr="00A83E0C">
        <w:rPr>
          <w:lang w:val="ru-RU"/>
        </w:rPr>
        <w:t>аведующий отделением рентгенологии и магнитно-резонансных исследований с кабинетом ультразвуковой диагностики  ФГБУ «Национальный медицинский исследовательский центр хирургии им. А.В</w:t>
      </w:r>
      <w:r w:rsidR="00167655" w:rsidRPr="00A83E0C">
        <w:rPr>
          <w:lang w:val="ru-RU"/>
        </w:rPr>
        <w:t>. Вишневского» Минздрава России</w:t>
      </w:r>
    </w:p>
    <w:p w14:paraId="6727788B" w14:textId="77777777" w:rsidR="00ED26E1" w:rsidRPr="00A83E0C" w:rsidRDefault="00ED26E1" w:rsidP="00ED26E1">
      <w:pPr>
        <w:rPr>
          <w:b/>
          <w:lang w:val="ru-RU"/>
        </w:rPr>
      </w:pPr>
      <w:r w:rsidRPr="00ED26E1">
        <w:rPr>
          <w:b/>
          <w:bCs/>
          <w:lang w:val="ru-RU"/>
        </w:rPr>
        <w:t>Комаров Ю.И.,</w:t>
      </w:r>
      <w:r>
        <w:rPr>
          <w:lang w:val="ru-RU"/>
        </w:rPr>
        <w:t xml:space="preserve"> к.м.н., заместитель директора по организационно-методической работе ФГБУ «НМИЦ онкологии им. Н.Н. Петрова» Минздрава России</w:t>
      </w:r>
    </w:p>
    <w:p w14:paraId="1F2D508C" w14:textId="60CA2044" w:rsidR="008332C8" w:rsidRDefault="008332C8" w:rsidP="00B11558">
      <w:pPr>
        <w:rPr>
          <w:lang w:val="ru-RU"/>
        </w:rPr>
      </w:pPr>
      <w:r w:rsidRPr="00A83E0C">
        <w:rPr>
          <w:b/>
          <w:lang w:val="ru-RU"/>
        </w:rPr>
        <w:t xml:space="preserve">Кригер </w:t>
      </w:r>
      <w:r w:rsidR="00167655" w:rsidRPr="00A83E0C">
        <w:rPr>
          <w:b/>
          <w:lang w:val="ru-RU"/>
        </w:rPr>
        <w:t>А.Г.</w:t>
      </w:r>
      <w:r w:rsidRPr="00A83E0C">
        <w:rPr>
          <w:b/>
          <w:lang w:val="ru-RU"/>
        </w:rPr>
        <w:t>,</w:t>
      </w:r>
      <w:r w:rsidRPr="00A83E0C">
        <w:rPr>
          <w:lang w:val="ru-RU"/>
        </w:rPr>
        <w:t xml:space="preserve"> д.м.н., профессор, </w:t>
      </w:r>
      <w:r w:rsidR="00B11558" w:rsidRPr="00B11558">
        <w:rPr>
          <w:rFonts w:hint="eastAsia"/>
          <w:lang w:val="ru-RU"/>
        </w:rPr>
        <w:t>главный</w:t>
      </w:r>
      <w:r w:rsidR="00B11558" w:rsidRPr="00B11558">
        <w:rPr>
          <w:lang w:val="ru-RU"/>
        </w:rPr>
        <w:t xml:space="preserve"> </w:t>
      </w:r>
      <w:r w:rsidR="00B11558" w:rsidRPr="00B11558">
        <w:rPr>
          <w:rFonts w:hint="eastAsia"/>
          <w:lang w:val="ru-RU"/>
        </w:rPr>
        <w:t>научный</w:t>
      </w:r>
      <w:r w:rsidR="00B11558" w:rsidRPr="00B11558">
        <w:rPr>
          <w:lang w:val="ru-RU"/>
        </w:rPr>
        <w:t xml:space="preserve"> </w:t>
      </w:r>
      <w:r w:rsidR="00B11558" w:rsidRPr="00B11558">
        <w:rPr>
          <w:rFonts w:hint="eastAsia"/>
          <w:lang w:val="ru-RU"/>
        </w:rPr>
        <w:t>сотрудник</w:t>
      </w:r>
      <w:r w:rsidR="00B11558">
        <w:rPr>
          <w:lang w:val="ru-RU"/>
        </w:rPr>
        <w:t xml:space="preserve"> </w:t>
      </w:r>
      <w:r w:rsidR="00B11558">
        <w:rPr>
          <w:rFonts w:hint="eastAsia"/>
          <w:lang w:val="ru-RU"/>
        </w:rPr>
        <w:t>Ф</w:t>
      </w:r>
      <w:r w:rsidR="00B11558">
        <w:rPr>
          <w:lang w:val="ru-RU"/>
        </w:rPr>
        <w:t>ГБУ</w:t>
      </w:r>
      <w:r w:rsidR="00B11558" w:rsidRPr="00B11558">
        <w:rPr>
          <w:lang w:val="ru-RU"/>
        </w:rPr>
        <w:t xml:space="preserve"> "</w:t>
      </w:r>
      <w:r w:rsidR="00B11558" w:rsidRPr="00B11558">
        <w:rPr>
          <w:rFonts w:hint="eastAsia"/>
          <w:lang w:val="ru-RU"/>
        </w:rPr>
        <w:t>Российский</w:t>
      </w:r>
      <w:r w:rsidR="00B11558" w:rsidRPr="00B11558">
        <w:rPr>
          <w:lang w:val="ru-RU"/>
        </w:rPr>
        <w:t xml:space="preserve"> </w:t>
      </w:r>
      <w:r w:rsidR="00B11558" w:rsidRPr="00B11558">
        <w:rPr>
          <w:rFonts w:hint="eastAsia"/>
          <w:lang w:val="ru-RU"/>
        </w:rPr>
        <w:t>научный</w:t>
      </w:r>
      <w:r w:rsidR="00B11558" w:rsidRPr="00B11558">
        <w:rPr>
          <w:lang w:val="ru-RU"/>
        </w:rPr>
        <w:t xml:space="preserve"> </w:t>
      </w:r>
      <w:r w:rsidR="00B11558" w:rsidRPr="00B11558">
        <w:rPr>
          <w:rFonts w:hint="eastAsia"/>
          <w:lang w:val="ru-RU"/>
        </w:rPr>
        <w:t>центр</w:t>
      </w:r>
      <w:r w:rsidR="00B11558">
        <w:rPr>
          <w:lang w:val="ru-RU"/>
        </w:rPr>
        <w:t xml:space="preserve"> </w:t>
      </w:r>
      <w:r w:rsidR="00B11558" w:rsidRPr="00B11558">
        <w:rPr>
          <w:rFonts w:hint="eastAsia"/>
          <w:lang w:val="ru-RU"/>
        </w:rPr>
        <w:t>рентгенорадиологии</w:t>
      </w:r>
      <w:r w:rsidR="00B11558" w:rsidRPr="00B11558">
        <w:rPr>
          <w:lang w:val="ru-RU"/>
        </w:rPr>
        <w:t>" Минздрава России, Москва</w:t>
      </w:r>
      <w:r w:rsidR="00B11558">
        <w:rPr>
          <w:lang w:val="ru-RU"/>
        </w:rPr>
        <w:t xml:space="preserve"> </w:t>
      </w:r>
    </w:p>
    <w:p w14:paraId="4050E5DA" w14:textId="2326E113" w:rsidR="002F77F7" w:rsidRPr="00A83E0C" w:rsidRDefault="002F77F7" w:rsidP="002F77F7">
      <w:pPr>
        <w:rPr>
          <w:lang w:val="ru-RU"/>
        </w:rPr>
      </w:pPr>
      <w:r w:rsidRPr="00A83E0C">
        <w:rPr>
          <w:b/>
          <w:lang w:val="ru-RU"/>
        </w:rPr>
        <w:t>Кудашкин Н.Е.,</w:t>
      </w:r>
      <w:r w:rsidRPr="00A83E0C">
        <w:rPr>
          <w:lang w:val="ru-RU"/>
        </w:rPr>
        <w:t xml:space="preserve"> к.м.н., старший научный сотрудник онкологического отделения хирургических методов лечения №7 опухолей гепатопанкреатобилиарной зоны 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2877C335" w14:textId="77777777" w:rsidR="00B5143F" w:rsidRDefault="00B5143F" w:rsidP="006C6EC6">
      <w:pPr>
        <w:rPr>
          <w:b/>
          <w:lang w:val="ru-RU"/>
        </w:rPr>
      </w:pPr>
      <w:r w:rsidRPr="00B5143F">
        <w:rPr>
          <w:b/>
          <w:lang w:val="ru-RU"/>
        </w:rPr>
        <w:t xml:space="preserve">Кучин Д.М., </w:t>
      </w:r>
      <w:r w:rsidRPr="00B5143F">
        <w:rPr>
          <w:lang w:val="ru-RU"/>
        </w:rPr>
        <w:t xml:space="preserve">к.м.н., врач-онколог, </w:t>
      </w:r>
      <w:r>
        <w:rPr>
          <w:lang w:val="ru-RU"/>
        </w:rPr>
        <w:t>ФБУЗ «</w:t>
      </w:r>
      <w:r w:rsidRPr="00A83E0C">
        <w:rPr>
          <w:lang w:val="ru-RU"/>
        </w:rPr>
        <w:t>Приволжский Окружной медицинский центр ФМБА России (ПОМЦ)</w:t>
      </w:r>
      <w:r>
        <w:rPr>
          <w:lang w:val="ru-RU"/>
        </w:rPr>
        <w:t>»</w:t>
      </w:r>
      <w:r w:rsidRPr="00A83E0C">
        <w:rPr>
          <w:lang w:val="ru-RU"/>
        </w:rPr>
        <w:t>, Нижний Новгород</w:t>
      </w:r>
      <w:r w:rsidRPr="00A83E0C">
        <w:rPr>
          <w:b/>
          <w:lang w:val="ru-RU"/>
        </w:rPr>
        <w:t xml:space="preserve"> </w:t>
      </w:r>
    </w:p>
    <w:p w14:paraId="15889283" w14:textId="77777777" w:rsidR="008C7E93" w:rsidRPr="00A83E0C" w:rsidRDefault="008C7E93" w:rsidP="006C6EC6">
      <w:pPr>
        <w:rPr>
          <w:sz w:val="22"/>
          <w:lang w:val="ru-RU"/>
        </w:rPr>
      </w:pPr>
      <w:r w:rsidRPr="00A83E0C">
        <w:rPr>
          <w:b/>
          <w:lang w:val="ru-RU"/>
        </w:rPr>
        <w:t>Лебедев К.К.,</w:t>
      </w:r>
      <w:r w:rsidRPr="00A83E0C">
        <w:rPr>
          <w:lang w:val="ru-RU"/>
        </w:rPr>
        <w:t xml:space="preserve"> к.м.н., онколог хирургического отделения абдоминальной онкологи ФГБУ «НМИЦ онкологии им. Н. Н. Петрова» Минздрава России;</w:t>
      </w:r>
    </w:p>
    <w:p w14:paraId="33695F4B" w14:textId="77777777" w:rsidR="006C6EC6" w:rsidRDefault="006C6EC6" w:rsidP="006C6EC6">
      <w:pPr>
        <w:rPr>
          <w:lang w:val="ru-RU"/>
        </w:rPr>
      </w:pPr>
      <w:r w:rsidRPr="00A83E0C">
        <w:rPr>
          <w:b/>
          <w:lang w:val="ru-RU"/>
        </w:rPr>
        <w:lastRenderedPageBreak/>
        <w:t>Лукьянченко А.Б.</w:t>
      </w:r>
      <w:r w:rsidR="00B42466" w:rsidRPr="00A83E0C">
        <w:rPr>
          <w:bCs/>
          <w:lang w:val="ru-RU"/>
        </w:rPr>
        <w:t xml:space="preserve">, </w:t>
      </w:r>
      <w:r w:rsidR="00B42466" w:rsidRPr="00A83E0C">
        <w:rPr>
          <w:lang w:val="ru-RU"/>
        </w:rPr>
        <w:t>д.м.н.</w:t>
      </w:r>
      <w:r w:rsidR="002A4002">
        <w:rPr>
          <w:lang w:val="ru-RU"/>
        </w:rPr>
        <w:t>,</w:t>
      </w:r>
      <w:r w:rsidR="00B42466" w:rsidRPr="00A83E0C">
        <w:rPr>
          <w:lang w:val="ru-RU"/>
        </w:rPr>
        <w:t xml:space="preserve"> ведущий научный сотрудник рентгенодиагностического отделения ФГБУ «Национальный медицинский исследовательский центр онкологии им. Н.Н. Блохина» Минздрава России, Москва</w:t>
      </w:r>
    </w:p>
    <w:p w14:paraId="6C798075" w14:textId="125D97CF" w:rsidR="002A4002" w:rsidRPr="00A83E0C" w:rsidRDefault="002A4002" w:rsidP="006C6EC6">
      <w:pPr>
        <w:rPr>
          <w:b/>
          <w:lang w:val="ru-RU"/>
        </w:rPr>
      </w:pPr>
      <w:r w:rsidRPr="00E91ED0">
        <w:rPr>
          <w:b/>
          <w:lang w:val="ru-RU"/>
        </w:rPr>
        <w:t>Лядов В.К.,</w:t>
      </w:r>
      <w:r>
        <w:rPr>
          <w:lang w:val="ru-RU"/>
        </w:rPr>
        <w:t xml:space="preserve"> д.м.н., заведующий онко</w:t>
      </w:r>
      <w:r w:rsidR="000A3C3A">
        <w:rPr>
          <w:lang w:val="ru-RU"/>
        </w:rPr>
        <w:t>логическим отделением №4 ГБУЗ «Г</w:t>
      </w:r>
      <w:r>
        <w:rPr>
          <w:lang w:val="ru-RU"/>
        </w:rPr>
        <w:t xml:space="preserve">ородская клиническая больница </w:t>
      </w:r>
      <w:r w:rsidR="00C671E0">
        <w:rPr>
          <w:lang w:val="ru-RU"/>
        </w:rPr>
        <w:t xml:space="preserve">им. С.С. Юдина </w:t>
      </w:r>
      <w:r>
        <w:rPr>
          <w:lang w:val="ru-RU"/>
        </w:rPr>
        <w:t>ДЗМ», Москва</w:t>
      </w:r>
    </w:p>
    <w:p w14:paraId="0C41FBE6" w14:textId="77777777" w:rsidR="006C6EC6" w:rsidRPr="00A83E0C" w:rsidRDefault="006C6EC6" w:rsidP="00DC7BE7">
      <w:pPr>
        <w:rPr>
          <w:b/>
          <w:lang w:val="ru-RU"/>
        </w:rPr>
      </w:pPr>
      <w:r w:rsidRPr="00A83E0C">
        <w:rPr>
          <w:b/>
          <w:lang w:val="ru-RU"/>
        </w:rPr>
        <w:t>Малихова О.А.</w:t>
      </w:r>
      <w:r w:rsidR="006B28DB" w:rsidRPr="00A83E0C">
        <w:rPr>
          <w:b/>
          <w:lang w:val="ru-RU"/>
        </w:rPr>
        <w:t>,</w:t>
      </w:r>
      <w:r w:rsidRPr="00A83E0C">
        <w:rPr>
          <w:b/>
          <w:lang w:val="ru-RU"/>
        </w:rPr>
        <w:t xml:space="preserve"> </w:t>
      </w:r>
      <w:r w:rsidR="006B28DB" w:rsidRPr="00A83E0C">
        <w:rPr>
          <w:lang w:val="ru-RU"/>
        </w:rPr>
        <w:t xml:space="preserve">д.м.н., профессор кафедры Онкологии и паллиативной медицины РМАНПО, зав отделением </w:t>
      </w:r>
      <w:r w:rsidR="006269F2" w:rsidRPr="00A83E0C">
        <w:rPr>
          <w:lang w:val="ru-RU"/>
        </w:rPr>
        <w:t>э</w:t>
      </w:r>
      <w:r w:rsidR="006B28DB" w:rsidRPr="00A83E0C">
        <w:rPr>
          <w:lang w:val="ru-RU"/>
        </w:rPr>
        <w:t xml:space="preserve">ндоскопии </w:t>
      </w:r>
      <w:r w:rsidR="006269F2" w:rsidRPr="00A83E0C">
        <w:rPr>
          <w:lang w:val="ru-RU"/>
        </w:rPr>
        <w:t>ФГБУ «Национальный медицинский исследовательский центр онкологии им. Н.Н. Блохина» Минздрава России, Москва</w:t>
      </w:r>
    </w:p>
    <w:p w14:paraId="5A694F8A" w14:textId="77777777" w:rsidR="006C6EC6" w:rsidRPr="00A83E0C" w:rsidRDefault="006C6EC6" w:rsidP="006C6EC6">
      <w:pPr>
        <w:rPr>
          <w:b/>
          <w:lang w:val="ru-RU"/>
        </w:rPr>
      </w:pPr>
      <w:r w:rsidRPr="00A83E0C">
        <w:rPr>
          <w:b/>
          <w:lang w:val="ru-RU"/>
        </w:rPr>
        <w:t>Мороз Е.А.</w:t>
      </w:r>
      <w:r w:rsidR="006269F2" w:rsidRPr="00A83E0C">
        <w:rPr>
          <w:b/>
          <w:lang w:val="ru-RU"/>
        </w:rPr>
        <w:t xml:space="preserve">, </w:t>
      </w:r>
      <w:r w:rsidR="006269F2" w:rsidRPr="00A83E0C">
        <w:rPr>
          <w:lang w:val="ru-RU"/>
        </w:rPr>
        <w:t>старший научный сотрудник патологоанатомического отделения отдела морфологической и молекулярно-генетической диагностики опухолей</w:t>
      </w:r>
      <w:r w:rsidR="006269F2" w:rsidRPr="00A83E0C">
        <w:rPr>
          <w:b/>
          <w:lang w:val="ru-RU"/>
        </w:rPr>
        <w:t xml:space="preserve"> </w:t>
      </w:r>
      <w:r w:rsidR="006269F2" w:rsidRPr="00A83E0C">
        <w:rPr>
          <w:lang w:val="ru-RU"/>
        </w:rPr>
        <w:t>ФГБУ «Национальный медицинский исследовательский центр онкологии им. Н.Н. Блохина» Минздрава России, Москва</w:t>
      </w:r>
    </w:p>
    <w:p w14:paraId="151D48B0" w14:textId="2551D9E2" w:rsidR="006C6EC6" w:rsidRPr="00A83E0C" w:rsidRDefault="006C6EC6" w:rsidP="006C6EC6">
      <w:pPr>
        <w:rPr>
          <w:lang w:val="ru-RU"/>
        </w:rPr>
      </w:pPr>
      <w:r w:rsidRPr="00A83E0C">
        <w:rPr>
          <w:b/>
          <w:lang w:val="ru-RU"/>
        </w:rPr>
        <w:t>Обухова О.А.</w:t>
      </w:r>
      <w:r w:rsidR="00BB6B55" w:rsidRPr="00A83E0C">
        <w:rPr>
          <w:lang w:val="ru-RU"/>
        </w:rPr>
        <w:t>, к.м.н., заведующая отделением медицинской реабилитации ФГБУ «</w:t>
      </w:r>
      <w:r w:rsidR="00C671E0" w:rsidRPr="00A83E0C">
        <w:rPr>
          <w:lang w:val="ru-RU"/>
        </w:rPr>
        <w:t>Национальный медицинский исследовательский центр онкологии им. Н.Н. Блохина</w:t>
      </w:r>
      <w:r w:rsidR="00BB6B55" w:rsidRPr="00A83E0C">
        <w:rPr>
          <w:lang w:val="ru-RU"/>
        </w:rPr>
        <w:t>» Минздрава России</w:t>
      </w:r>
    </w:p>
    <w:p w14:paraId="1F7A3C77" w14:textId="07E3783B" w:rsidR="00720589" w:rsidRPr="00A83E0C" w:rsidRDefault="00720589" w:rsidP="006C6EC6">
      <w:pPr>
        <w:rPr>
          <w:b/>
          <w:lang w:val="ru-RU"/>
        </w:rPr>
      </w:pPr>
      <w:r w:rsidRPr="00A83E0C">
        <w:rPr>
          <w:b/>
          <w:lang w:val="ru-RU"/>
        </w:rPr>
        <w:t>Патютко Ю.И.,</w:t>
      </w:r>
      <w:r w:rsidRPr="00A83E0C">
        <w:rPr>
          <w:lang w:val="ru-RU"/>
        </w:rPr>
        <w:t xml:space="preserve"> д.м.н., профессор, ведущий научный сотрудник отделением хирургическим </w:t>
      </w:r>
      <w:r w:rsidRPr="00A83E0C">
        <w:t>N</w:t>
      </w:r>
      <w:r w:rsidRPr="00A83E0C">
        <w:rPr>
          <w:lang w:val="ru-RU"/>
        </w:rPr>
        <w:t>7 опухолей печени и поджелудочной железы 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2F6E615F" w14:textId="4FD23DBE" w:rsidR="00E208C9" w:rsidRPr="00A83E0C" w:rsidRDefault="00E208C9" w:rsidP="00DC7BE7">
      <w:pPr>
        <w:rPr>
          <w:lang w:val="ru-RU"/>
        </w:rPr>
      </w:pPr>
      <w:r w:rsidRPr="00A83E0C">
        <w:rPr>
          <w:b/>
          <w:lang w:val="ru-RU"/>
        </w:rPr>
        <w:t>Подлужный Д.В.,</w:t>
      </w:r>
      <w:r w:rsidRPr="00A83E0C">
        <w:rPr>
          <w:lang w:val="ru-RU"/>
        </w:rPr>
        <w:t xml:space="preserve"> к.м.н., заведующий отделением хирургическим </w:t>
      </w:r>
      <w:r w:rsidRPr="00A83E0C">
        <w:t>N</w:t>
      </w:r>
      <w:r w:rsidRPr="00A83E0C">
        <w:rPr>
          <w:lang w:val="ru-RU"/>
        </w:rPr>
        <w:t>7 опухолей печени и поджелудочной железы 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389A3F92" w14:textId="77777777" w:rsidR="008C7E93" w:rsidRPr="00A83E0C" w:rsidRDefault="008C7E93" w:rsidP="00397841">
      <w:pPr>
        <w:rPr>
          <w:lang w:val="ru-RU"/>
        </w:rPr>
      </w:pPr>
      <w:r w:rsidRPr="00A83E0C">
        <w:rPr>
          <w:b/>
          <w:lang w:val="ru-RU"/>
        </w:rPr>
        <w:t xml:space="preserve">Ткаченко Е.В., </w:t>
      </w:r>
      <w:r w:rsidRPr="00A83E0C">
        <w:rPr>
          <w:lang w:val="ru-RU"/>
        </w:rPr>
        <w:t>к.м.н., заведующая отделением краткосрочной химиотерапии ФГБУ «НМИЦ онкологии им. Н. Н. Петрова» Минздрава России</w:t>
      </w:r>
    </w:p>
    <w:p w14:paraId="10859783" w14:textId="04CA78AE" w:rsidR="003B3375" w:rsidRPr="00913445" w:rsidRDefault="003B3375" w:rsidP="003B3375">
      <w:pPr>
        <w:rPr>
          <w:lang w:val="ru-RU"/>
        </w:rPr>
      </w:pPr>
      <w:r w:rsidRPr="00A83E0C">
        <w:rPr>
          <w:b/>
          <w:lang w:val="ru-RU"/>
        </w:rPr>
        <w:t>Трякин А.А.,</w:t>
      </w:r>
      <w:r w:rsidRPr="00A83E0C">
        <w:rPr>
          <w:lang w:val="ru-RU"/>
        </w:rPr>
        <w:t xml:space="preserve"> д.м.н., </w:t>
      </w:r>
      <w:r w:rsidR="00AF253F">
        <w:rPr>
          <w:lang w:val="ru-RU"/>
        </w:rPr>
        <w:t>заведующий</w:t>
      </w:r>
      <w:r w:rsidR="00C17E72" w:rsidRPr="00A83E0C">
        <w:rPr>
          <w:lang w:val="ru-RU"/>
        </w:rPr>
        <w:t xml:space="preserve"> </w:t>
      </w:r>
      <w:r w:rsidR="00F3257E" w:rsidRPr="00A83E0C">
        <w:rPr>
          <w:lang w:val="ru-RU"/>
        </w:rPr>
        <w:t>онкологическ</w:t>
      </w:r>
      <w:r w:rsidR="00AF253F">
        <w:rPr>
          <w:lang w:val="ru-RU"/>
        </w:rPr>
        <w:t>им</w:t>
      </w:r>
      <w:r w:rsidR="00F3257E" w:rsidRPr="00A83E0C">
        <w:rPr>
          <w:lang w:val="ru-RU"/>
        </w:rPr>
        <w:t xml:space="preserve"> отделени</w:t>
      </w:r>
      <w:r w:rsidR="00AF253F">
        <w:rPr>
          <w:lang w:val="ru-RU"/>
        </w:rPr>
        <w:t>ем</w:t>
      </w:r>
      <w:r w:rsidR="00F3257E" w:rsidRPr="00A83E0C">
        <w:rPr>
          <w:lang w:val="ru-RU"/>
        </w:rPr>
        <w:t xml:space="preserve"> лекарственных методов лечения (химиотерапевтического) №2 </w:t>
      </w:r>
      <w:r w:rsidRPr="00A83E0C">
        <w:rPr>
          <w:lang w:val="ru-RU"/>
        </w:rPr>
        <w:t>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70123D66" w14:textId="004B0AF1" w:rsidR="00160B3F" w:rsidRPr="00A83E0C" w:rsidRDefault="006C6EC6" w:rsidP="00160B3F">
      <w:pPr>
        <w:rPr>
          <w:lang w:val="ru-RU"/>
        </w:rPr>
      </w:pPr>
      <w:r w:rsidRPr="00A83E0C">
        <w:rPr>
          <w:b/>
          <w:lang w:val="ru-RU"/>
        </w:rPr>
        <w:t>Тулин П.Е.</w:t>
      </w:r>
      <w:r w:rsidR="00BB6B55" w:rsidRPr="00A83E0C">
        <w:rPr>
          <w:b/>
          <w:lang w:val="ru-RU"/>
        </w:rPr>
        <w:t>,</w:t>
      </w:r>
      <w:r w:rsidR="00BB6B55" w:rsidRPr="00A83E0C">
        <w:rPr>
          <w:lang w:val="ru-RU"/>
        </w:rPr>
        <w:t xml:space="preserve"> к.м.н., старший научный сотрудник отделения</w:t>
      </w:r>
      <w:r w:rsidR="00BB6B55" w:rsidRPr="00A83E0C">
        <w:t> </w:t>
      </w:r>
      <w:r w:rsidR="00BB6B55" w:rsidRPr="00A83E0C">
        <w:rPr>
          <w:lang w:val="ru-RU"/>
        </w:rPr>
        <w:t>отделения позитронной эмиссионной томографии</w:t>
      </w:r>
      <w:r w:rsidR="00BB6B55" w:rsidRPr="00A83E0C">
        <w:t> </w:t>
      </w:r>
      <w:r w:rsidR="00BB6B55" w:rsidRPr="00A83E0C">
        <w:rPr>
          <w:lang w:val="ru-RU"/>
        </w:rPr>
        <w:t>ФГБУ «</w:t>
      </w:r>
      <w:r w:rsidR="00C671E0" w:rsidRPr="00A83E0C">
        <w:rPr>
          <w:lang w:val="ru-RU"/>
        </w:rPr>
        <w:t>Национальный медицинский исследовательский центр онкологии им. Н.Н. Блохина</w:t>
      </w:r>
      <w:r w:rsidR="00BB6B55" w:rsidRPr="00A83E0C">
        <w:rPr>
          <w:lang w:val="ru-RU"/>
        </w:rPr>
        <w:t>» Минздрава России</w:t>
      </w:r>
    </w:p>
    <w:p w14:paraId="06CA76D5" w14:textId="77777777" w:rsidR="008332C8" w:rsidRPr="00A83E0C" w:rsidRDefault="008332C8" w:rsidP="008332C8">
      <w:pPr>
        <w:rPr>
          <w:lang w:val="ru-RU"/>
        </w:rPr>
      </w:pPr>
      <w:r w:rsidRPr="00A83E0C">
        <w:rPr>
          <w:b/>
          <w:lang w:val="ru-RU"/>
        </w:rPr>
        <w:t>Фадеева Н.В.,</w:t>
      </w:r>
      <w:r w:rsidRPr="00A83E0C">
        <w:rPr>
          <w:lang w:val="ru-RU"/>
        </w:rPr>
        <w:t xml:space="preserve"> к.м.н., заведующая отделением противоопухолевой лекарственной терапии ГБУЗ «Челябинский областной клинический центр онкологии и ядерной медицины», главный внештатный химиотерапевт Министерства здравоохранения Челябинской области</w:t>
      </w:r>
    </w:p>
    <w:p w14:paraId="203D77C3" w14:textId="23C3F9F2" w:rsidR="00160B3F" w:rsidRPr="00A83E0C" w:rsidRDefault="00160B3F" w:rsidP="00160B3F">
      <w:pPr>
        <w:rPr>
          <w:rFonts w:eastAsia="Calibri"/>
          <w:lang w:val="ru-RU"/>
        </w:rPr>
      </w:pPr>
      <w:r w:rsidRPr="00A83E0C">
        <w:rPr>
          <w:b/>
          <w:lang w:val="ru-RU"/>
        </w:rPr>
        <w:lastRenderedPageBreak/>
        <w:t>Федянин М.Ю</w:t>
      </w:r>
      <w:r w:rsidRPr="00A83E0C">
        <w:rPr>
          <w:lang w:val="ru-RU"/>
        </w:rPr>
        <w:t xml:space="preserve">., д.м.н., </w:t>
      </w:r>
      <w:r w:rsidR="00B11558">
        <w:rPr>
          <w:lang w:val="ru-RU"/>
        </w:rPr>
        <w:t>р</w:t>
      </w:r>
      <w:r w:rsidR="00B11558" w:rsidRPr="00B11558">
        <w:rPr>
          <w:lang w:val="ru-RU"/>
        </w:rPr>
        <w:t>уководитель службы химиотерапевтического лечения</w:t>
      </w:r>
      <w:r w:rsidR="00B11558" w:rsidRPr="00A83E0C">
        <w:rPr>
          <w:lang w:val="ru-RU"/>
        </w:rPr>
        <w:t xml:space="preserve"> </w:t>
      </w:r>
      <w:r w:rsidR="00B11558">
        <w:rPr>
          <w:lang w:val="ru-RU"/>
        </w:rPr>
        <w:t xml:space="preserve">ММКЦ «Коммунарка», </w:t>
      </w:r>
      <w:r w:rsidRPr="00A83E0C">
        <w:rPr>
          <w:lang w:val="ru-RU"/>
        </w:rPr>
        <w:t>старший научный сотрудник онкологического отделения лекарственных методов лечения (химиотерапевтического) № 2 ФГБУ «</w:t>
      </w:r>
      <w:r w:rsidR="00C671E0" w:rsidRPr="00A83E0C">
        <w:rPr>
          <w:lang w:val="ru-RU"/>
        </w:rPr>
        <w:t>Национальный медицинский исследовательский центр онкологии им. Н.Н. Блохина</w:t>
      </w:r>
      <w:r w:rsidRPr="00A83E0C">
        <w:rPr>
          <w:lang w:val="ru-RU"/>
        </w:rPr>
        <w:t>» Минздрава России</w:t>
      </w:r>
    </w:p>
    <w:p w14:paraId="71283806" w14:textId="7627E157" w:rsidR="006C6EC6" w:rsidRPr="00A83E0C" w:rsidRDefault="006C6EC6" w:rsidP="006C6EC6">
      <w:pPr>
        <w:rPr>
          <w:lang w:val="ru-RU"/>
        </w:rPr>
      </w:pPr>
      <w:r w:rsidRPr="00A83E0C">
        <w:rPr>
          <w:b/>
          <w:lang w:val="ru-RU"/>
        </w:rPr>
        <w:t>Юричев И.Н.</w:t>
      </w:r>
      <w:r w:rsidR="006269F2" w:rsidRPr="00A83E0C">
        <w:rPr>
          <w:b/>
          <w:lang w:val="ru-RU"/>
        </w:rPr>
        <w:t xml:space="preserve">, </w:t>
      </w:r>
      <w:r w:rsidR="006269F2" w:rsidRPr="00A83E0C">
        <w:rPr>
          <w:lang w:val="ru-RU"/>
        </w:rPr>
        <w:t>к.м.н., врач-эндоскопист</w:t>
      </w:r>
      <w:r w:rsidR="00B11558">
        <w:rPr>
          <w:lang w:val="ru-RU"/>
        </w:rPr>
        <w:t>,</w:t>
      </w:r>
      <w:r w:rsidR="006269F2" w:rsidRPr="00A83E0C">
        <w:rPr>
          <w:lang w:val="ru-RU"/>
        </w:rPr>
        <w:t xml:space="preserve"> </w:t>
      </w:r>
      <w:r w:rsidR="00B11558">
        <w:rPr>
          <w:lang w:val="ru-RU"/>
        </w:rPr>
        <w:t>к</w:t>
      </w:r>
      <w:r w:rsidR="00B11558" w:rsidRPr="00B11558">
        <w:rPr>
          <w:lang w:val="ru-RU"/>
        </w:rPr>
        <w:t>линический госпиталь Лапино-1 «Мать и дитя»</w:t>
      </w:r>
      <w:r w:rsidR="006269F2" w:rsidRPr="00A83E0C">
        <w:rPr>
          <w:lang w:val="ru-RU"/>
        </w:rPr>
        <w:t>, Моск</w:t>
      </w:r>
      <w:r w:rsidR="00B11558">
        <w:rPr>
          <w:lang w:val="ru-RU"/>
        </w:rPr>
        <w:t>овская область</w:t>
      </w:r>
    </w:p>
    <w:p w14:paraId="08F00402" w14:textId="6209E9A8" w:rsidR="00DD4317" w:rsidRDefault="00BE2CA4" w:rsidP="006C6EC6">
      <w:pPr>
        <w:rPr>
          <w:lang w:val="ru-RU"/>
        </w:rPr>
      </w:pPr>
      <w:r>
        <w:rPr>
          <w:b/>
          <w:lang w:val="ru-RU"/>
        </w:rPr>
        <w:t xml:space="preserve">Черных М.В., </w:t>
      </w:r>
      <w:r w:rsidRPr="00BE2CA4">
        <w:rPr>
          <w:lang w:val="ru-RU"/>
        </w:rPr>
        <w:t xml:space="preserve">к.м.н., </w:t>
      </w:r>
      <w:r w:rsidR="00B11558">
        <w:rPr>
          <w:lang w:val="ru-RU"/>
        </w:rPr>
        <w:t>з</w:t>
      </w:r>
      <w:r w:rsidR="00B11558" w:rsidRPr="00B11558">
        <w:rPr>
          <w:lang w:val="ru-RU"/>
        </w:rPr>
        <w:t xml:space="preserve">аместитель директора по радиологическим методам лечения НИИ </w:t>
      </w:r>
      <w:r w:rsidR="00B11558">
        <w:rPr>
          <w:lang w:val="ru-RU"/>
        </w:rPr>
        <w:t>клинической онкологии</w:t>
      </w:r>
      <w:r w:rsidR="00B11558" w:rsidRPr="00B11558">
        <w:rPr>
          <w:lang w:val="ru-RU"/>
        </w:rPr>
        <w:t xml:space="preserve">, заведующая отделением радиотерапии, </w:t>
      </w:r>
      <w:r w:rsidR="00B11558" w:rsidRPr="00A83E0C">
        <w:rPr>
          <w:lang w:val="ru-RU"/>
        </w:rPr>
        <w:t>ФГБУ «</w:t>
      </w:r>
      <w:r w:rsidR="00C671E0" w:rsidRPr="00A83E0C">
        <w:rPr>
          <w:lang w:val="ru-RU"/>
        </w:rPr>
        <w:t>Национальный медицинский исследовательский центр онкологии им. Н.Н. Блохина</w:t>
      </w:r>
      <w:r w:rsidR="00B11558" w:rsidRPr="00A83E0C">
        <w:rPr>
          <w:lang w:val="ru-RU"/>
        </w:rPr>
        <w:t>» Минздрава России</w:t>
      </w:r>
    </w:p>
    <w:p w14:paraId="1B24AD22" w14:textId="77777777" w:rsidR="00B860E7" w:rsidRDefault="00B860E7" w:rsidP="006C6EC6">
      <w:pPr>
        <w:rPr>
          <w:lang w:val="ru-RU"/>
        </w:rPr>
      </w:pPr>
    </w:p>
    <w:p w14:paraId="79C60919" w14:textId="33E9606B" w:rsidR="00B860E7" w:rsidRDefault="00B860E7" w:rsidP="006C6EC6">
      <w:pPr>
        <w:rPr>
          <w:lang w:val="ru-RU"/>
        </w:rPr>
      </w:pPr>
      <w:r>
        <w:rPr>
          <w:lang w:val="ru-RU"/>
        </w:rPr>
        <w:t>Блок по организации медицинской помощи:</w:t>
      </w:r>
    </w:p>
    <w:p w14:paraId="28F9AB2D" w14:textId="77777777" w:rsidR="00B860E7" w:rsidRPr="00A83E0C" w:rsidRDefault="00B860E7" w:rsidP="00B860E7">
      <w:pPr>
        <w:rPr>
          <w:lang w:val="ru-RU"/>
        </w:rPr>
      </w:pPr>
      <w:r w:rsidRPr="00A83E0C">
        <w:rPr>
          <w:b/>
          <w:bCs/>
          <w:lang w:val="ru-RU"/>
        </w:rPr>
        <w:t>Геворкян Т. Г</w:t>
      </w:r>
      <w:r w:rsidRPr="00A83E0C">
        <w:rPr>
          <w:lang w:val="ru-RU"/>
        </w:rPr>
        <w:t>., заместитель директора НИИ КЭР ФГБУ «Национальный медицинский исследовательский центр онкологии им. Н.Н. Блохина» Минздрава России.</w:t>
      </w:r>
    </w:p>
    <w:p w14:paraId="38085922" w14:textId="77777777" w:rsidR="00B860E7" w:rsidRPr="00A83E0C" w:rsidRDefault="00B860E7" w:rsidP="00B860E7">
      <w:pPr>
        <w:rPr>
          <w:lang w:val="ru-RU"/>
        </w:rPr>
      </w:pPr>
      <w:r w:rsidRPr="00A83E0C">
        <w:rPr>
          <w:b/>
          <w:bCs/>
          <w:lang w:val="ru-RU"/>
        </w:rPr>
        <w:t>Иванов С. А</w:t>
      </w:r>
      <w:r w:rsidRPr="00A83E0C">
        <w:rPr>
          <w:lang w:val="ru-RU"/>
        </w:rPr>
        <w:t>., профессор РАН, д.м.н., директор МРНЦ им. А.Ф. Цыба – филиала ФГБУ «НМИЦ радиологии» Минздрава России.</w:t>
      </w:r>
    </w:p>
    <w:p w14:paraId="6267AB75" w14:textId="1E052CA1" w:rsidR="00B860E7" w:rsidRPr="00A83E0C" w:rsidRDefault="00B860E7" w:rsidP="00B860E7">
      <w:pPr>
        <w:rPr>
          <w:lang w:val="ru-RU"/>
        </w:rPr>
      </w:pPr>
      <w:r w:rsidRPr="00A83E0C">
        <w:rPr>
          <w:b/>
          <w:bCs/>
          <w:lang w:val="ru-RU"/>
        </w:rPr>
        <w:t>Невольских А. А.,</w:t>
      </w:r>
      <w:r w:rsidRPr="00A83E0C">
        <w:rPr>
          <w:lang w:val="ru-RU"/>
        </w:rPr>
        <w:t xml:space="preserve"> д.м.н., заместитель директора по лечебной работе МРНЦ им. А.Ф. Цыба – филиала ФГБУ «НМИЦ радиологии» Минздрава России.</w:t>
      </w:r>
    </w:p>
    <w:p w14:paraId="5E13C7EF" w14:textId="77777777" w:rsidR="00B860E7" w:rsidRPr="00A83E0C" w:rsidRDefault="00B860E7" w:rsidP="00B860E7">
      <w:pPr>
        <w:rPr>
          <w:lang w:val="ru-RU"/>
        </w:rPr>
      </w:pPr>
      <w:r w:rsidRPr="00A83E0C">
        <w:rPr>
          <w:b/>
          <w:bCs/>
          <w:lang w:val="ru-RU"/>
        </w:rPr>
        <w:t>Хайлова Ж. В</w:t>
      </w:r>
      <w:r w:rsidRPr="00A83E0C">
        <w:rPr>
          <w:lang w:val="ru-RU"/>
        </w:rPr>
        <w:t>., к.м.н., заместитель директора по организационно-методической работе МРНЦ им. А.Ф. Цыба – филиала ФГБУ «НМИЦ радиологии» Минздрава России.</w:t>
      </w:r>
    </w:p>
    <w:p w14:paraId="71F1AC7D" w14:textId="77777777" w:rsidR="00B860E7" w:rsidRDefault="00B860E7" w:rsidP="006C6EC6">
      <w:pPr>
        <w:rPr>
          <w:lang w:val="ru-RU"/>
        </w:rPr>
      </w:pPr>
    </w:p>
    <w:p w14:paraId="0E04AB44" w14:textId="799FA6B2" w:rsidR="00B860E7" w:rsidRDefault="00B860E7" w:rsidP="006C6EC6">
      <w:pPr>
        <w:rPr>
          <w:lang w:val="ru-RU"/>
        </w:rPr>
      </w:pPr>
      <w:r>
        <w:rPr>
          <w:lang w:val="ru-RU"/>
        </w:rPr>
        <w:t>Блок по сопроводительной терапии:</w:t>
      </w:r>
    </w:p>
    <w:p w14:paraId="287F65C8" w14:textId="479328C5" w:rsidR="00B860E7" w:rsidRPr="00B860E7" w:rsidRDefault="00B860E7" w:rsidP="00B860E7">
      <w:pPr>
        <w:rPr>
          <w:lang w:val="ru-RU"/>
        </w:rPr>
      </w:pPr>
      <w:r w:rsidRPr="00B860E7">
        <w:rPr>
          <w:b/>
          <w:lang w:val="ru-RU"/>
        </w:rPr>
        <w:t>Багрова С</w:t>
      </w:r>
      <w:r>
        <w:rPr>
          <w:b/>
          <w:lang w:val="ru-RU"/>
        </w:rPr>
        <w:t>.</w:t>
      </w:r>
      <w:r w:rsidRPr="00B860E7">
        <w:rPr>
          <w:b/>
          <w:lang w:val="ru-RU"/>
        </w:rPr>
        <w:t>Г</w:t>
      </w:r>
      <w:r>
        <w:rPr>
          <w:b/>
          <w:lang w:val="ru-RU"/>
        </w:rPr>
        <w:t>.</w:t>
      </w:r>
      <w:r w:rsidRPr="00B860E7">
        <w:rPr>
          <w:lang w:val="ru-RU"/>
        </w:rPr>
        <w:t>, к.м.н., научный сотрудник отделения химиотерапии №1 отдела лекарственного лечения ФГБУ «НМИЦ онкологии им. Н.Н. Блохина» Минздрава России</w:t>
      </w:r>
    </w:p>
    <w:p w14:paraId="3A7060CE" w14:textId="54E570ED" w:rsidR="00B860E7" w:rsidRPr="00B860E7" w:rsidRDefault="00B860E7" w:rsidP="00B860E7">
      <w:pPr>
        <w:tabs>
          <w:tab w:val="left" w:pos="2055"/>
        </w:tabs>
        <w:rPr>
          <w:lang w:val="ru-RU"/>
        </w:rPr>
      </w:pPr>
      <w:r w:rsidRPr="00B860E7">
        <w:rPr>
          <w:b/>
          <w:lang w:val="ru-RU"/>
        </w:rPr>
        <w:t>Буйденок Ю</w:t>
      </w:r>
      <w:r>
        <w:rPr>
          <w:b/>
          <w:lang w:val="ru-RU"/>
        </w:rPr>
        <w:t>.</w:t>
      </w:r>
      <w:r w:rsidRPr="00B860E7">
        <w:rPr>
          <w:b/>
          <w:lang w:val="ru-RU"/>
        </w:rPr>
        <w:t>В</w:t>
      </w:r>
      <w:r>
        <w:rPr>
          <w:b/>
          <w:lang w:val="ru-RU"/>
        </w:rPr>
        <w:t>.</w:t>
      </w:r>
      <w:r w:rsidRPr="00B860E7">
        <w:rPr>
          <w:b/>
          <w:lang w:val="ru-RU"/>
        </w:rPr>
        <w:t>,</w:t>
      </w:r>
      <w:r w:rsidRPr="00B860E7">
        <w:rPr>
          <w:lang w:val="ru-RU"/>
        </w:rPr>
        <w:t xml:space="preserve"> д.м.н., профессор, ведущий научный сотрудник отделения интервенционной радиологии ФГБУ «НМИЦ онкологии им. Н.Н. Блохина» Минздрава России</w:t>
      </w:r>
    </w:p>
    <w:p w14:paraId="043E8CB1" w14:textId="012A1C7A" w:rsidR="00B860E7" w:rsidRPr="00B860E7" w:rsidRDefault="00B860E7" w:rsidP="00B860E7">
      <w:pPr>
        <w:rPr>
          <w:lang w:val="ru-RU"/>
        </w:rPr>
      </w:pPr>
      <w:r w:rsidRPr="00B860E7">
        <w:rPr>
          <w:b/>
          <w:lang w:val="ru-RU"/>
        </w:rPr>
        <w:t>Виценя М</w:t>
      </w:r>
      <w:r>
        <w:rPr>
          <w:b/>
          <w:lang w:val="ru-RU"/>
        </w:rPr>
        <w:t>.</w:t>
      </w:r>
      <w:r w:rsidRPr="00B860E7">
        <w:rPr>
          <w:b/>
          <w:lang w:val="ru-RU"/>
        </w:rPr>
        <w:t>В</w:t>
      </w:r>
      <w:r>
        <w:rPr>
          <w:b/>
          <w:lang w:val="ru-RU"/>
        </w:rPr>
        <w:t>.</w:t>
      </w:r>
      <w:r w:rsidRPr="00B860E7">
        <w:rPr>
          <w:lang w:val="ru-RU"/>
        </w:rPr>
        <w:t>, к.м.н., старший научный сотрудник, кардиолог ФГБУ «Национальный медицинский исследовательский центр кардиологии» Минздрава России</w:t>
      </w:r>
    </w:p>
    <w:p w14:paraId="6EA80B36" w14:textId="023DF943" w:rsidR="00B860E7" w:rsidRPr="00B860E7" w:rsidRDefault="00B860E7" w:rsidP="00B860E7">
      <w:pPr>
        <w:rPr>
          <w:lang w:val="ru-RU"/>
        </w:rPr>
      </w:pPr>
      <w:r w:rsidRPr="00B860E7">
        <w:rPr>
          <w:b/>
          <w:lang w:val="ru-RU"/>
        </w:rPr>
        <w:t>Владимирова Л</w:t>
      </w:r>
      <w:r>
        <w:rPr>
          <w:b/>
          <w:lang w:val="ru-RU"/>
        </w:rPr>
        <w:t>.</w:t>
      </w:r>
      <w:r w:rsidRPr="00B860E7">
        <w:rPr>
          <w:b/>
          <w:lang w:val="ru-RU"/>
        </w:rPr>
        <w:t>Ю</w:t>
      </w:r>
      <w:r>
        <w:rPr>
          <w:b/>
          <w:lang w:val="ru-RU"/>
        </w:rPr>
        <w:t>.</w:t>
      </w:r>
      <w:r w:rsidRPr="00B860E7">
        <w:rPr>
          <w:lang w:val="ru-RU"/>
        </w:rPr>
        <w:t>, д.м.н., профессор, заведующая отделением противоопухолевой лекарственной терапии ФГБУ «НМИЦ онкологии» Минздрава России</w:t>
      </w:r>
    </w:p>
    <w:p w14:paraId="3FC2F733" w14:textId="43AF014C" w:rsidR="00B860E7" w:rsidRPr="00B860E7" w:rsidRDefault="00B860E7" w:rsidP="00B860E7">
      <w:pPr>
        <w:tabs>
          <w:tab w:val="left" w:pos="2055"/>
        </w:tabs>
        <w:rPr>
          <w:lang w:val="ru-RU"/>
        </w:rPr>
      </w:pPr>
      <w:r w:rsidRPr="00B860E7">
        <w:rPr>
          <w:b/>
          <w:lang w:val="ru-RU"/>
        </w:rPr>
        <w:t>Громова Е</w:t>
      </w:r>
      <w:r>
        <w:rPr>
          <w:b/>
          <w:lang w:val="ru-RU"/>
        </w:rPr>
        <w:t>.</w:t>
      </w:r>
      <w:r w:rsidRPr="00B860E7">
        <w:rPr>
          <w:b/>
          <w:lang w:val="ru-RU"/>
        </w:rPr>
        <w:t>Г</w:t>
      </w:r>
      <w:r>
        <w:rPr>
          <w:b/>
          <w:lang w:val="ru-RU"/>
        </w:rPr>
        <w:t>.</w:t>
      </w:r>
      <w:r w:rsidRPr="00B860E7">
        <w:rPr>
          <w:b/>
          <w:lang w:val="ru-RU"/>
        </w:rPr>
        <w:t>,</w:t>
      </w:r>
      <w:r w:rsidRPr="00B860E7">
        <w:rPr>
          <w:lang w:val="ru-RU"/>
        </w:rPr>
        <w:t xml:space="preserve"> д.м.н., врач-анестезиолог-реаниматолог отделения реанимации и интенсивной терапии ФГБУ «НМИЦ онкологии им. Н.Н. Блохина» Минздрава России</w:t>
      </w:r>
    </w:p>
    <w:p w14:paraId="35923E9D" w14:textId="479FC1FC" w:rsidR="00B860E7" w:rsidRPr="00B860E7" w:rsidRDefault="00B860E7" w:rsidP="00B860E7">
      <w:pPr>
        <w:rPr>
          <w:lang w:val="ru-RU"/>
        </w:rPr>
      </w:pPr>
      <w:r w:rsidRPr="00B860E7">
        <w:rPr>
          <w:b/>
          <w:lang w:val="ru-RU"/>
        </w:rPr>
        <w:lastRenderedPageBreak/>
        <w:t>Исянгулова А</w:t>
      </w:r>
      <w:r>
        <w:rPr>
          <w:b/>
          <w:lang w:val="ru-RU"/>
        </w:rPr>
        <w:t>.</w:t>
      </w:r>
      <w:r w:rsidRPr="00B860E7">
        <w:rPr>
          <w:b/>
          <w:lang w:val="ru-RU"/>
        </w:rPr>
        <w:t>З</w:t>
      </w:r>
      <w:r>
        <w:rPr>
          <w:b/>
          <w:lang w:val="ru-RU"/>
        </w:rPr>
        <w:t>.</w:t>
      </w:r>
      <w:r w:rsidRPr="00B860E7">
        <w:rPr>
          <w:b/>
          <w:lang w:val="ru-RU"/>
        </w:rPr>
        <w:t>,</w:t>
      </w:r>
      <w:r w:rsidRPr="00B860E7">
        <w:rPr>
          <w:lang w:val="ru-RU"/>
        </w:rPr>
        <w:t xml:space="preserve"> к.м.н., врач-онколог поликлинического отделения ГАУЗ «Республиканский клинический онкологический диспансер им. профессора М.З. Сигала Министерства здравоохранения Республики Татарстан»</w:t>
      </w:r>
    </w:p>
    <w:p w14:paraId="4678D3C4" w14:textId="56706544" w:rsidR="00B860E7" w:rsidRPr="00B860E7" w:rsidRDefault="00B860E7" w:rsidP="00B860E7">
      <w:pPr>
        <w:tabs>
          <w:tab w:val="left" w:pos="1095"/>
        </w:tabs>
        <w:rPr>
          <w:lang w:val="ru-RU"/>
        </w:rPr>
      </w:pPr>
      <w:r w:rsidRPr="00B860E7">
        <w:rPr>
          <w:b/>
          <w:lang w:val="ru-RU"/>
        </w:rPr>
        <w:t>Карасева В</w:t>
      </w:r>
      <w:r>
        <w:rPr>
          <w:b/>
          <w:lang w:val="ru-RU"/>
        </w:rPr>
        <w:t>.</w:t>
      </w:r>
      <w:r w:rsidRPr="00B860E7">
        <w:rPr>
          <w:b/>
          <w:lang w:val="ru-RU"/>
        </w:rPr>
        <w:t>В</w:t>
      </w:r>
      <w:r>
        <w:rPr>
          <w:b/>
          <w:lang w:val="ru-RU"/>
        </w:rPr>
        <w:t>.</w:t>
      </w:r>
      <w:r w:rsidRPr="00B860E7">
        <w:rPr>
          <w:b/>
          <w:lang w:val="ru-RU"/>
        </w:rPr>
        <w:t>,</w:t>
      </w:r>
      <w:r w:rsidRPr="00B860E7">
        <w:rPr>
          <w:lang w:val="ru-RU"/>
        </w:rPr>
        <w:t xml:space="preserve"> д.м.н., профессор кафедры онкологии факультета усовершенствования врачей ФГБОУ ВО РНИМУ им. Н.И. Пирогова Минздрава России</w:t>
      </w:r>
    </w:p>
    <w:p w14:paraId="2460F207" w14:textId="3238B878" w:rsidR="00B860E7" w:rsidRPr="00B860E7" w:rsidRDefault="00B860E7" w:rsidP="00B860E7">
      <w:pPr>
        <w:tabs>
          <w:tab w:val="left" w:pos="2055"/>
        </w:tabs>
        <w:rPr>
          <w:lang w:val="ru-RU"/>
        </w:rPr>
      </w:pPr>
      <w:r w:rsidRPr="00B860E7">
        <w:rPr>
          <w:b/>
          <w:lang w:val="ru-RU"/>
        </w:rPr>
        <w:t>Когония Л</w:t>
      </w:r>
      <w:r>
        <w:rPr>
          <w:b/>
          <w:lang w:val="ru-RU"/>
        </w:rPr>
        <w:t>.</w:t>
      </w:r>
      <w:r w:rsidRPr="00B860E7">
        <w:rPr>
          <w:b/>
          <w:lang w:val="ru-RU"/>
        </w:rPr>
        <w:t>М</w:t>
      </w:r>
      <w:r>
        <w:rPr>
          <w:b/>
          <w:lang w:val="ru-RU"/>
        </w:rPr>
        <w:t>.</w:t>
      </w:r>
      <w:r w:rsidRPr="00B860E7">
        <w:rPr>
          <w:b/>
          <w:lang w:val="ru-RU"/>
        </w:rPr>
        <w:t>,</w:t>
      </w:r>
      <w:r w:rsidRPr="00B860E7">
        <w:rPr>
          <w:lang w:val="ru-RU"/>
        </w:rPr>
        <w:t xml:space="preserve"> д.м.н., профессор кафедры онкологии ГБУЗ МО МОНИКИ им. М.Ф. Владимирского</w:t>
      </w:r>
    </w:p>
    <w:p w14:paraId="3631B8A1" w14:textId="26DA9B95" w:rsidR="00B860E7" w:rsidRPr="00B860E7" w:rsidRDefault="00B860E7" w:rsidP="00B860E7">
      <w:pPr>
        <w:tabs>
          <w:tab w:val="left" w:pos="2055"/>
        </w:tabs>
        <w:rPr>
          <w:lang w:val="ru-RU"/>
        </w:rPr>
      </w:pPr>
      <w:r w:rsidRPr="00B860E7">
        <w:rPr>
          <w:b/>
          <w:lang w:val="ru-RU"/>
        </w:rPr>
        <w:t>Королева И</w:t>
      </w:r>
      <w:r>
        <w:rPr>
          <w:b/>
          <w:lang w:val="ru-RU"/>
        </w:rPr>
        <w:t>.</w:t>
      </w:r>
      <w:r w:rsidRPr="00B860E7">
        <w:rPr>
          <w:b/>
          <w:lang w:val="ru-RU"/>
        </w:rPr>
        <w:t>А</w:t>
      </w:r>
      <w:r>
        <w:rPr>
          <w:b/>
          <w:lang w:val="ru-RU"/>
        </w:rPr>
        <w:t>.</w:t>
      </w:r>
      <w:r w:rsidRPr="00B860E7">
        <w:rPr>
          <w:b/>
          <w:lang w:val="ru-RU"/>
        </w:rPr>
        <w:t>,</w:t>
      </w:r>
      <w:r w:rsidRPr="00B860E7">
        <w:rPr>
          <w:lang w:val="ru-RU"/>
        </w:rPr>
        <w:t xml:space="preserve"> д.м.н., профессор кафедры клинической медицины последипломного образования Медицинского университета «Реавиз»</w:t>
      </w:r>
    </w:p>
    <w:p w14:paraId="2C84DA45" w14:textId="0E021819" w:rsidR="00B860E7" w:rsidRPr="00B860E7" w:rsidRDefault="00B860E7" w:rsidP="00B860E7">
      <w:pPr>
        <w:rPr>
          <w:lang w:val="ru-RU"/>
        </w:rPr>
      </w:pPr>
      <w:r w:rsidRPr="00B860E7">
        <w:rPr>
          <w:b/>
          <w:lang w:val="ru-RU"/>
        </w:rPr>
        <w:t>Латипова Д</w:t>
      </w:r>
      <w:r>
        <w:rPr>
          <w:b/>
          <w:lang w:val="ru-RU"/>
        </w:rPr>
        <w:t>.</w:t>
      </w:r>
      <w:r w:rsidRPr="00B860E7">
        <w:rPr>
          <w:b/>
          <w:lang w:val="ru-RU"/>
        </w:rPr>
        <w:t>Х</w:t>
      </w:r>
      <w:r>
        <w:rPr>
          <w:b/>
          <w:lang w:val="ru-RU"/>
        </w:rPr>
        <w:t>.</w:t>
      </w:r>
      <w:r w:rsidRPr="00B860E7">
        <w:rPr>
          <w:lang w:val="ru-RU"/>
        </w:rPr>
        <w:t>, к.м.н., врач-онколог отделения противоопухолевой лекарственной терапии, старший научный сотрудник научного отдела инновационных методов терапевтической онкологии и реабилитации ФГБУ «НМИЦ онкологии им. Н.Н. Петрова» Минздрава России, доцент кафедры онкологии ФБГОУ «СПбГПМУ» Минздрава РФ</w:t>
      </w:r>
    </w:p>
    <w:p w14:paraId="7FB6647A" w14:textId="6ECD0133" w:rsidR="00B860E7" w:rsidRPr="00B860E7" w:rsidRDefault="00B860E7" w:rsidP="00B860E7">
      <w:pPr>
        <w:rPr>
          <w:lang w:val="ru-RU"/>
        </w:rPr>
      </w:pPr>
      <w:r w:rsidRPr="00B860E7">
        <w:rPr>
          <w:b/>
          <w:lang w:val="ru-RU"/>
        </w:rPr>
        <w:t>Орлова Р</w:t>
      </w:r>
      <w:r>
        <w:rPr>
          <w:b/>
          <w:lang w:val="ru-RU"/>
        </w:rPr>
        <w:t>.</w:t>
      </w:r>
      <w:r w:rsidRPr="00B860E7">
        <w:rPr>
          <w:b/>
          <w:lang w:val="ru-RU"/>
        </w:rPr>
        <w:t>В</w:t>
      </w:r>
      <w:r>
        <w:rPr>
          <w:b/>
          <w:lang w:val="ru-RU"/>
        </w:rPr>
        <w:t>.</w:t>
      </w:r>
      <w:r w:rsidRPr="00B860E7">
        <w:rPr>
          <w:lang w:val="ru-RU"/>
        </w:rPr>
        <w:t>, д.м.н., профессор, заведующая кафедрой онкологии медицинского факультета ФГБОУВО «Санкт-Петербургский государственный университет», главный специалист по клинической онкологии СПб ГБУЗ «Городской клинический онкологический диспансер»</w:t>
      </w:r>
    </w:p>
    <w:p w14:paraId="13398D3E" w14:textId="3C335EAB" w:rsidR="00B860E7" w:rsidRPr="00B860E7" w:rsidRDefault="00B860E7" w:rsidP="00B860E7">
      <w:pPr>
        <w:tabs>
          <w:tab w:val="left" w:pos="1095"/>
        </w:tabs>
        <w:rPr>
          <w:lang w:val="ru-RU"/>
        </w:rPr>
      </w:pPr>
      <w:r w:rsidRPr="00B860E7">
        <w:rPr>
          <w:b/>
          <w:lang w:val="ru-RU"/>
        </w:rPr>
        <w:t>Проценко С</w:t>
      </w:r>
      <w:r>
        <w:rPr>
          <w:b/>
          <w:lang w:val="ru-RU"/>
        </w:rPr>
        <w:t>.</w:t>
      </w:r>
      <w:r w:rsidRPr="00B860E7">
        <w:rPr>
          <w:b/>
          <w:lang w:val="ru-RU"/>
        </w:rPr>
        <w:t>А</w:t>
      </w:r>
      <w:r>
        <w:rPr>
          <w:b/>
          <w:lang w:val="ru-RU"/>
        </w:rPr>
        <w:t>.</w:t>
      </w:r>
      <w:r w:rsidRPr="00B860E7">
        <w:rPr>
          <w:b/>
          <w:lang w:val="ru-RU"/>
        </w:rPr>
        <w:t>,</w:t>
      </w:r>
      <w:r w:rsidRPr="00B860E7">
        <w:rPr>
          <w:lang w:val="ru-RU"/>
        </w:rPr>
        <w:t xml:space="preserve"> д.м.н., заведующая отделением химиотерапии и инновационных технологий ФГБУ «НМИЦ онкологии им. Н.Н. Петрова» Минздрава России</w:t>
      </w:r>
    </w:p>
    <w:p w14:paraId="21EC2CD0" w14:textId="1DA2C50D" w:rsidR="00B860E7" w:rsidRPr="00B860E7" w:rsidRDefault="00B860E7" w:rsidP="00B860E7">
      <w:pPr>
        <w:rPr>
          <w:lang w:val="ru-RU"/>
        </w:rPr>
      </w:pPr>
      <w:r w:rsidRPr="00B860E7">
        <w:rPr>
          <w:b/>
          <w:lang w:val="ru-RU"/>
        </w:rPr>
        <w:t>Сакаева Д</w:t>
      </w:r>
      <w:r>
        <w:rPr>
          <w:b/>
          <w:lang w:val="ru-RU"/>
        </w:rPr>
        <w:t>.</w:t>
      </w:r>
      <w:r w:rsidRPr="00B860E7">
        <w:rPr>
          <w:b/>
          <w:lang w:val="ru-RU"/>
        </w:rPr>
        <w:t>Д</w:t>
      </w:r>
      <w:r>
        <w:rPr>
          <w:b/>
          <w:lang w:val="ru-RU"/>
        </w:rPr>
        <w:t>.</w:t>
      </w:r>
      <w:r w:rsidRPr="00B860E7">
        <w:rPr>
          <w:b/>
          <w:lang w:val="ru-RU"/>
        </w:rPr>
        <w:t>,</w:t>
      </w:r>
      <w:r w:rsidRPr="00B860E7">
        <w:rPr>
          <w:lang w:val="ru-RU"/>
        </w:rPr>
        <w:t xml:space="preserve"> д.м.н., профессор, заместитель главного врача по онкологии КГ «Мать и Дитя»</w:t>
      </w:r>
    </w:p>
    <w:p w14:paraId="7C7FDE42" w14:textId="37CEEADC" w:rsidR="00B860E7" w:rsidRPr="00B860E7" w:rsidRDefault="00B860E7" w:rsidP="00B860E7">
      <w:pPr>
        <w:rPr>
          <w:lang w:val="ru-RU"/>
        </w:rPr>
      </w:pPr>
      <w:r w:rsidRPr="00B860E7">
        <w:rPr>
          <w:b/>
          <w:lang w:val="ru-RU"/>
        </w:rPr>
        <w:t>Семиглазова Т</w:t>
      </w:r>
      <w:r>
        <w:rPr>
          <w:b/>
          <w:lang w:val="ru-RU"/>
        </w:rPr>
        <w:t>.</w:t>
      </w:r>
      <w:r w:rsidRPr="00B860E7">
        <w:rPr>
          <w:b/>
          <w:lang w:val="ru-RU"/>
        </w:rPr>
        <w:t>Ю</w:t>
      </w:r>
      <w:r>
        <w:rPr>
          <w:b/>
          <w:lang w:val="ru-RU"/>
        </w:rPr>
        <w:t>.</w:t>
      </w:r>
      <w:r w:rsidRPr="00B860E7">
        <w:rPr>
          <w:lang w:val="ru-RU"/>
        </w:rPr>
        <w:t>, д.м.н., профессор, заведующая научным отделом инновационных методов терапевтической онкологии и реабилитации ФГБУ «НМИЦ онкологии им. Н.Н. Петрова» Минздрава России, профессор кафедры ГБОУ ВО «СЗГМУ им. И.И. Мечникова» Минздрава России</w:t>
      </w:r>
    </w:p>
    <w:p w14:paraId="507E7ABE" w14:textId="30A0ED90" w:rsidR="00B860E7" w:rsidRPr="00B860E7" w:rsidRDefault="00B860E7" w:rsidP="00B860E7">
      <w:pPr>
        <w:tabs>
          <w:tab w:val="left" w:pos="2055"/>
        </w:tabs>
        <w:rPr>
          <w:lang w:val="ru-RU"/>
        </w:rPr>
      </w:pPr>
      <w:r w:rsidRPr="00B860E7">
        <w:rPr>
          <w:b/>
          <w:bCs/>
          <w:iCs/>
          <w:lang w:val="ru-RU"/>
        </w:rPr>
        <w:t>Сомонова О</w:t>
      </w:r>
      <w:r>
        <w:rPr>
          <w:b/>
          <w:bCs/>
          <w:iCs/>
          <w:lang w:val="ru-RU"/>
        </w:rPr>
        <w:t>.</w:t>
      </w:r>
      <w:r w:rsidRPr="00B860E7">
        <w:rPr>
          <w:b/>
          <w:bCs/>
          <w:iCs/>
          <w:lang w:val="ru-RU"/>
        </w:rPr>
        <w:t>В</w:t>
      </w:r>
      <w:r>
        <w:rPr>
          <w:b/>
          <w:bCs/>
          <w:iCs/>
          <w:lang w:val="ru-RU"/>
        </w:rPr>
        <w:t>.</w:t>
      </w:r>
      <w:r w:rsidRPr="00B860E7">
        <w:rPr>
          <w:lang w:val="ru-RU"/>
        </w:rPr>
        <w:t>, д.м.н., ведущий научный сотрудник НИИ КО ФГБУ «НМИЦ онкологии им. Н.Н. Блохина» Минздрава России, профессор кафедры клинической биохимии и лабораторной диагностики ФГБОУ ВО «МГМСУ им. А.И. Евдокимова» Минздрава России</w:t>
      </w:r>
    </w:p>
    <w:p w14:paraId="1F37B31A" w14:textId="00BA285D" w:rsidR="00B860E7" w:rsidRPr="00B860E7" w:rsidRDefault="00B860E7" w:rsidP="00B860E7">
      <w:pPr>
        <w:tabs>
          <w:tab w:val="left" w:pos="1095"/>
        </w:tabs>
        <w:rPr>
          <w:lang w:val="ru-RU"/>
        </w:rPr>
      </w:pPr>
      <w:r w:rsidRPr="00B860E7">
        <w:rPr>
          <w:b/>
          <w:lang w:val="ru-RU"/>
        </w:rPr>
        <w:t>Стенина М</w:t>
      </w:r>
      <w:r>
        <w:rPr>
          <w:b/>
          <w:lang w:val="ru-RU"/>
        </w:rPr>
        <w:t>.</w:t>
      </w:r>
      <w:r w:rsidRPr="00B860E7">
        <w:rPr>
          <w:b/>
          <w:lang w:val="ru-RU"/>
        </w:rPr>
        <w:t>Б</w:t>
      </w:r>
      <w:r>
        <w:rPr>
          <w:b/>
          <w:lang w:val="ru-RU"/>
        </w:rPr>
        <w:t>.</w:t>
      </w:r>
      <w:r w:rsidRPr="00B860E7">
        <w:rPr>
          <w:b/>
          <w:lang w:val="ru-RU"/>
        </w:rPr>
        <w:t xml:space="preserve">, </w:t>
      </w:r>
      <w:r w:rsidRPr="00B860E7">
        <w:rPr>
          <w:lang w:val="ru-RU"/>
        </w:rPr>
        <w:t>д.м.н., ведущий научный сотрудник отделения клинической фармакологии ФГБУ «НМИЦ онкологии им. Н.Н. Блохина» Минздрава России</w:t>
      </w:r>
    </w:p>
    <w:p w14:paraId="36DEAB63" w14:textId="179F757B" w:rsidR="00B860E7" w:rsidRPr="00B860E7" w:rsidRDefault="00B860E7" w:rsidP="00B860E7">
      <w:pPr>
        <w:tabs>
          <w:tab w:val="left" w:pos="2055"/>
        </w:tabs>
        <w:rPr>
          <w:lang w:val="ru-RU"/>
        </w:rPr>
      </w:pPr>
      <w:r w:rsidRPr="00B860E7">
        <w:rPr>
          <w:b/>
          <w:lang w:val="ru-RU"/>
        </w:rPr>
        <w:t>Сытов А</w:t>
      </w:r>
      <w:r>
        <w:rPr>
          <w:b/>
          <w:lang w:val="ru-RU"/>
        </w:rPr>
        <w:t>.</w:t>
      </w:r>
      <w:r w:rsidRPr="00B860E7">
        <w:rPr>
          <w:b/>
          <w:lang w:val="ru-RU"/>
        </w:rPr>
        <w:t>В</w:t>
      </w:r>
      <w:r>
        <w:rPr>
          <w:b/>
          <w:lang w:val="ru-RU"/>
        </w:rPr>
        <w:t>.</w:t>
      </w:r>
      <w:r w:rsidRPr="00B860E7">
        <w:rPr>
          <w:b/>
          <w:lang w:val="ru-RU"/>
        </w:rPr>
        <w:t>,</w:t>
      </w:r>
      <w:r w:rsidRPr="00B860E7">
        <w:rPr>
          <w:lang w:val="ru-RU"/>
        </w:rPr>
        <w:t xml:space="preserve"> к.м.н., заведующий отделением-врач-анестезиолог-реаниматолог отделения реанимации и интенсивной терапии ФГБУ «НМИЦ онкологии им. Н.Н. Блохина» Минздрава</w:t>
      </w:r>
    </w:p>
    <w:p w14:paraId="1761BE9F" w14:textId="5C93130D" w:rsidR="00B860E7" w:rsidRPr="00B860E7" w:rsidRDefault="00B860E7" w:rsidP="00B860E7">
      <w:pPr>
        <w:rPr>
          <w:lang w:val="ru-RU"/>
        </w:rPr>
      </w:pPr>
      <w:r w:rsidRPr="00B860E7">
        <w:rPr>
          <w:b/>
          <w:lang w:val="ru-RU"/>
        </w:rPr>
        <w:lastRenderedPageBreak/>
        <w:t>Ткаченко П</w:t>
      </w:r>
      <w:r>
        <w:rPr>
          <w:b/>
          <w:lang w:val="ru-RU"/>
        </w:rPr>
        <w:t>.</w:t>
      </w:r>
      <w:r w:rsidRPr="00B860E7">
        <w:rPr>
          <w:b/>
          <w:lang w:val="ru-RU"/>
        </w:rPr>
        <w:t>Е</w:t>
      </w:r>
      <w:r>
        <w:rPr>
          <w:b/>
          <w:lang w:val="ru-RU"/>
        </w:rPr>
        <w:t>.</w:t>
      </w:r>
      <w:r w:rsidRPr="00B860E7">
        <w:rPr>
          <w:b/>
          <w:lang w:val="ru-RU"/>
        </w:rPr>
        <w:t>,</w:t>
      </w:r>
      <w:r w:rsidRPr="00B860E7">
        <w:rPr>
          <w:lang w:val="ru-RU"/>
        </w:rPr>
        <w:t xml:space="preserve"> к.м.н., врач-терапевт, гастроэнтеролог-гепатолог отделения гепатологии, клиника пропедевтики внутренних болезней, гастроэнтерологии и гепатологии им. В.Х. Василенко, ФГАОУ ВО «Первый МГМУ им. И.М. Сеченова» Минздрава</w:t>
      </w:r>
    </w:p>
    <w:p w14:paraId="1BDAA272" w14:textId="4EECF3B3" w:rsidR="00B860E7" w:rsidRPr="00B860E7" w:rsidRDefault="00B860E7" w:rsidP="00B860E7">
      <w:pPr>
        <w:tabs>
          <w:tab w:val="left" w:pos="1095"/>
        </w:tabs>
        <w:rPr>
          <w:lang w:val="ru-RU"/>
        </w:rPr>
      </w:pPr>
      <w:r w:rsidRPr="00B860E7">
        <w:rPr>
          <w:b/>
          <w:lang w:val="ru-RU"/>
        </w:rPr>
        <w:t>Трякин А</w:t>
      </w:r>
      <w:r>
        <w:rPr>
          <w:b/>
          <w:lang w:val="ru-RU"/>
        </w:rPr>
        <w:t>.</w:t>
      </w:r>
      <w:r w:rsidRPr="00B860E7">
        <w:rPr>
          <w:b/>
          <w:lang w:val="ru-RU"/>
        </w:rPr>
        <w:t>А</w:t>
      </w:r>
      <w:r>
        <w:rPr>
          <w:b/>
          <w:lang w:val="ru-RU"/>
        </w:rPr>
        <w:t>.</w:t>
      </w:r>
      <w:r w:rsidRPr="00B860E7">
        <w:rPr>
          <w:lang w:val="ru-RU"/>
        </w:rPr>
        <w:t>, д.м.н., заместитель директора по научной работе, заведующий онкологическим отделением</w:t>
      </w:r>
      <w:r w:rsidRPr="006C0DEE">
        <w:rPr>
          <w:rFonts w:ascii="Tahoma" w:hAnsi="Tahoma" w:cs="Tahoma"/>
        </w:rPr>
        <w:t>﻿</w:t>
      </w:r>
      <w:r w:rsidRPr="00B860E7">
        <w:rPr>
          <w:lang w:val="ru-RU"/>
        </w:rPr>
        <w:t xml:space="preserve"> лекарственных методов лечения (химиотерапевтическое) №2 НИИ клинической онкологии им. акад. РАН и РАМН Н.Н. Трапезникова ФГБУ «НМИЦ онкологии им. Н.Н. Блохина» Минздрава России</w:t>
      </w:r>
    </w:p>
    <w:p w14:paraId="2D96AA3C" w14:textId="7DB728B4" w:rsidR="00B860E7" w:rsidRPr="00B860E7" w:rsidRDefault="00B860E7" w:rsidP="00B860E7">
      <w:pPr>
        <w:rPr>
          <w:lang w:val="ru-RU"/>
        </w:rPr>
      </w:pPr>
      <w:r w:rsidRPr="00B860E7">
        <w:rPr>
          <w:b/>
          <w:lang w:val="ru-RU"/>
        </w:rPr>
        <w:t>Феоктистова П</w:t>
      </w:r>
      <w:r>
        <w:rPr>
          <w:b/>
          <w:lang w:val="ru-RU"/>
        </w:rPr>
        <w:t>.</w:t>
      </w:r>
      <w:r w:rsidRPr="00B860E7">
        <w:rPr>
          <w:b/>
          <w:lang w:val="ru-RU"/>
        </w:rPr>
        <w:t>С</w:t>
      </w:r>
      <w:r>
        <w:rPr>
          <w:b/>
          <w:lang w:val="ru-RU"/>
        </w:rPr>
        <w:t>.</w:t>
      </w:r>
      <w:r w:rsidRPr="00B860E7">
        <w:rPr>
          <w:lang w:val="ru-RU"/>
        </w:rPr>
        <w:t>, к.м.н., заведующая отделением химиотерапии ГБУЗ Московский клинический научный центр им. А.С. Логинова ДЗМ</w:t>
      </w:r>
    </w:p>
    <w:p w14:paraId="69D3BF88" w14:textId="77777777" w:rsidR="00B860E7" w:rsidRDefault="00B860E7" w:rsidP="006C6EC6">
      <w:pPr>
        <w:rPr>
          <w:lang w:val="ru-RU"/>
        </w:rPr>
      </w:pPr>
    </w:p>
    <w:p w14:paraId="5736431C" w14:textId="77777777" w:rsidR="00B860E7" w:rsidRDefault="00B860E7" w:rsidP="006C6EC6">
      <w:pPr>
        <w:rPr>
          <w:lang w:val="ru-RU"/>
        </w:rPr>
      </w:pPr>
    </w:p>
    <w:p w14:paraId="7AD66F67" w14:textId="77777777" w:rsidR="00C545B9" w:rsidRPr="00A83E0C" w:rsidRDefault="00C545B9" w:rsidP="00DC7BE7">
      <w:pPr>
        <w:rPr>
          <w:lang w:val="ru-RU"/>
        </w:rPr>
      </w:pPr>
      <w:r w:rsidRPr="00A83E0C">
        <w:rPr>
          <w:lang w:val="ru-RU"/>
        </w:rPr>
        <w:t>Конфликт</w:t>
      </w:r>
      <w:r w:rsidR="00BC7F8F" w:rsidRPr="00A83E0C">
        <w:rPr>
          <w:lang w:val="ru-RU"/>
        </w:rPr>
        <w:t>а</w:t>
      </w:r>
      <w:r w:rsidRPr="00A83E0C">
        <w:rPr>
          <w:lang w:val="ru-RU"/>
        </w:rPr>
        <w:t xml:space="preserve"> интересов </w:t>
      </w:r>
      <w:r w:rsidR="004C40C3" w:rsidRPr="00A83E0C">
        <w:rPr>
          <w:lang w:val="ru-RU"/>
        </w:rPr>
        <w:t>нет</w:t>
      </w:r>
      <w:r w:rsidR="00E208C9" w:rsidRPr="00A83E0C">
        <w:rPr>
          <w:lang w:val="ru-RU"/>
        </w:rPr>
        <w:t>.</w:t>
      </w:r>
    </w:p>
    <w:p w14:paraId="0F7CC8D8" w14:textId="77777777" w:rsidR="002E4556" w:rsidRPr="00A83E0C" w:rsidRDefault="002E4556" w:rsidP="000B3A53">
      <w:pPr>
        <w:pStyle w:val="1"/>
      </w:pPr>
      <w:bookmarkStart w:id="38" w:name="_Toc158632235"/>
      <w:r w:rsidRPr="00A83E0C">
        <w:lastRenderedPageBreak/>
        <w:t>Приложение А2. Методология разработки клинических рекомендаций</w:t>
      </w:r>
      <w:bookmarkEnd w:id="38"/>
    </w:p>
    <w:p w14:paraId="4131B4DA" w14:textId="77777777" w:rsidR="006F6D73" w:rsidRPr="00A83E0C" w:rsidRDefault="006F6D73" w:rsidP="006F6D73">
      <w:pPr>
        <w:pStyle w:val="af8"/>
      </w:pPr>
      <w:r w:rsidRPr="00A83E0C">
        <w:t>Целевая аудитория данных клинических рекомендаций:</w:t>
      </w:r>
    </w:p>
    <w:p w14:paraId="2AF3D362" w14:textId="77777777" w:rsidR="00AC1487" w:rsidRPr="00A83E0C" w:rsidRDefault="006F6D73" w:rsidP="00016960">
      <w:pPr>
        <w:pStyle w:val="af0"/>
        <w:spacing w:line="360" w:lineRule="auto"/>
        <w:rPr>
          <w:lang w:val="ru-RU"/>
        </w:rPr>
      </w:pPr>
      <w:r w:rsidRPr="00A83E0C">
        <w:rPr>
          <w:lang w:val="ru-RU"/>
        </w:rPr>
        <w:t>Врачи</w:t>
      </w:r>
      <w:r w:rsidR="00C33278" w:rsidRPr="00A83E0C">
        <w:rPr>
          <w:lang w:val="ru-RU"/>
        </w:rPr>
        <w:t>-</w:t>
      </w:r>
      <w:r w:rsidRPr="00A83E0C">
        <w:rPr>
          <w:lang w:val="ru-RU"/>
        </w:rPr>
        <w:t>онкологи</w:t>
      </w:r>
      <w:r w:rsidR="00AC1487" w:rsidRPr="00A83E0C">
        <w:rPr>
          <w:lang w:val="ru-RU"/>
        </w:rPr>
        <w:t>;</w:t>
      </w:r>
      <w:r w:rsidRPr="00A83E0C">
        <w:rPr>
          <w:lang w:val="ru-RU"/>
        </w:rPr>
        <w:t xml:space="preserve"> </w:t>
      </w:r>
    </w:p>
    <w:p w14:paraId="67011551" w14:textId="77777777" w:rsidR="00AC1487" w:rsidRPr="00A83E0C" w:rsidRDefault="00AC1487" w:rsidP="00016960">
      <w:pPr>
        <w:pStyle w:val="af0"/>
        <w:spacing w:line="360" w:lineRule="auto"/>
        <w:rPr>
          <w:lang w:val="ru-RU"/>
        </w:rPr>
      </w:pPr>
      <w:r w:rsidRPr="00A83E0C">
        <w:rPr>
          <w:lang w:val="ru-RU"/>
        </w:rPr>
        <w:t>Врачи-</w:t>
      </w:r>
      <w:r w:rsidR="006F6D73" w:rsidRPr="00A83E0C">
        <w:rPr>
          <w:lang w:val="ru-RU"/>
        </w:rPr>
        <w:t>хирурги</w:t>
      </w:r>
      <w:r w:rsidRPr="00A83E0C">
        <w:rPr>
          <w:lang w:val="ru-RU"/>
        </w:rPr>
        <w:t>;</w:t>
      </w:r>
    </w:p>
    <w:p w14:paraId="2F9B9F8A" w14:textId="77777777" w:rsidR="00AC1487" w:rsidRPr="00A83E0C" w:rsidRDefault="00AC1487" w:rsidP="00016960">
      <w:pPr>
        <w:pStyle w:val="af0"/>
        <w:spacing w:line="360" w:lineRule="auto"/>
        <w:rPr>
          <w:lang w:val="ru-RU"/>
        </w:rPr>
      </w:pPr>
      <w:r w:rsidRPr="00A83E0C">
        <w:rPr>
          <w:lang w:val="ru-RU"/>
        </w:rPr>
        <w:t>Врачи-</w:t>
      </w:r>
      <w:r w:rsidR="006F6D73" w:rsidRPr="00A83E0C">
        <w:rPr>
          <w:lang w:val="ru-RU"/>
        </w:rPr>
        <w:t>радиологи</w:t>
      </w:r>
      <w:r w:rsidRPr="00A83E0C">
        <w:rPr>
          <w:lang w:val="ru-RU"/>
        </w:rPr>
        <w:t>;</w:t>
      </w:r>
    </w:p>
    <w:p w14:paraId="0044462E" w14:textId="77777777" w:rsidR="00AC1487" w:rsidRPr="00A83E0C" w:rsidRDefault="00AC1487" w:rsidP="00016960">
      <w:pPr>
        <w:pStyle w:val="af0"/>
        <w:spacing w:line="360" w:lineRule="auto"/>
        <w:rPr>
          <w:lang w:val="ru-RU"/>
        </w:rPr>
      </w:pPr>
      <w:r w:rsidRPr="00A83E0C">
        <w:rPr>
          <w:lang w:val="ru-RU"/>
        </w:rPr>
        <w:t>Врачи-</w:t>
      </w:r>
      <w:r w:rsidR="002556E4" w:rsidRPr="00A83E0C">
        <w:rPr>
          <w:lang w:val="ru-RU"/>
        </w:rPr>
        <w:t>рентгенологи</w:t>
      </w:r>
      <w:r w:rsidRPr="00A83E0C">
        <w:rPr>
          <w:lang w:val="ru-RU"/>
        </w:rPr>
        <w:t>;</w:t>
      </w:r>
    </w:p>
    <w:p w14:paraId="56450C68" w14:textId="77777777" w:rsidR="006F6D73" w:rsidRPr="00A83E0C" w:rsidRDefault="00AC1487" w:rsidP="00016960">
      <w:pPr>
        <w:pStyle w:val="af0"/>
        <w:spacing w:line="360" w:lineRule="auto"/>
        <w:rPr>
          <w:lang w:val="ru-RU"/>
        </w:rPr>
      </w:pPr>
      <w:r w:rsidRPr="00A83E0C">
        <w:rPr>
          <w:lang w:val="ru-RU"/>
        </w:rPr>
        <w:t>Врачи-</w:t>
      </w:r>
      <w:r w:rsidR="006F6D73" w:rsidRPr="00A83E0C">
        <w:rPr>
          <w:lang w:val="ru-RU"/>
        </w:rPr>
        <w:t>генетики;</w:t>
      </w:r>
    </w:p>
    <w:p w14:paraId="31F9C661" w14:textId="77777777" w:rsidR="006F6D73" w:rsidRPr="00A83E0C" w:rsidRDefault="006F6D73" w:rsidP="00016960">
      <w:pPr>
        <w:pStyle w:val="af0"/>
        <w:spacing w:line="360" w:lineRule="auto"/>
        <w:rPr>
          <w:lang w:val="ru-RU"/>
        </w:rPr>
      </w:pPr>
      <w:r w:rsidRPr="00A83E0C">
        <w:rPr>
          <w:lang w:val="ru-RU"/>
        </w:rPr>
        <w:t>Студенты медицинских ВУЗов, ординаторы и аспиранты.</w:t>
      </w:r>
    </w:p>
    <w:p w14:paraId="563C3BDF" w14:textId="77777777" w:rsidR="003A0B9A" w:rsidRPr="00A83E0C" w:rsidRDefault="003A0B9A" w:rsidP="00DC7BE7">
      <w:pPr>
        <w:rPr>
          <w:lang w:val="ru-RU"/>
        </w:rPr>
      </w:pPr>
      <w:r w:rsidRPr="00A83E0C">
        <w:rPr>
          <w:b/>
          <w:lang w:val="ru-RU"/>
        </w:rPr>
        <w:t xml:space="preserve">Методы, использованные для сбора/селекции доказательств: </w:t>
      </w:r>
      <w:r w:rsidRPr="00A83E0C">
        <w:rPr>
          <w:lang w:val="ru-RU"/>
        </w:rPr>
        <w:t>поиск в электронных базах данных; анализ современных научных разработок по проблеме РБ в РФ и за рубежом; обобщение практического опыта российских и зарубежных специалистов.</w:t>
      </w:r>
    </w:p>
    <w:p w14:paraId="5FD1C289" w14:textId="77777777" w:rsidR="008D7B89" w:rsidRPr="00A83E0C" w:rsidRDefault="003A0B9A" w:rsidP="008D7B89">
      <w:pPr>
        <w:rPr>
          <w:lang w:val="ru-RU"/>
        </w:rPr>
      </w:pPr>
      <w:r w:rsidRPr="00A83E0C">
        <w:rPr>
          <w:b/>
          <w:lang w:val="ru-RU"/>
        </w:rPr>
        <w:t>Таблица П1</w:t>
      </w:r>
      <w:r w:rsidRPr="00A83E0C">
        <w:rPr>
          <w:lang w:val="ru-RU"/>
        </w:rPr>
        <w:t xml:space="preserve"> –</w:t>
      </w:r>
      <w:r w:rsidR="008D7B89" w:rsidRPr="00A83E0C">
        <w:rPr>
          <w:lang w:val="ru-RU"/>
        </w:rPr>
        <w:t xml:space="preserve"> </w:t>
      </w:r>
      <w:r w:rsidR="008D7B89" w:rsidRPr="00A83E0C">
        <w:rPr>
          <w:color w:val="000000"/>
          <w:lang w:val="ru-RU" w:bidi="ru-RU"/>
        </w:rPr>
        <w:t>Шкала оценки уровней достоверности доказательств (УДД)</w:t>
      </w:r>
      <w:r w:rsidR="008D7B89" w:rsidRPr="00A83E0C">
        <w:rPr>
          <w:color w:val="000000"/>
          <w:lang w:val="ru-RU" w:bidi="ru-RU"/>
        </w:rPr>
        <w:br/>
        <w:t>для методов диагностики (диагностических вмешательств)</w:t>
      </w: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8702"/>
      </w:tblGrid>
      <w:tr w:rsidR="008D7B89" w:rsidRPr="00A83E0C" w14:paraId="04E3769B" w14:textId="77777777" w:rsidTr="00595B78">
        <w:trPr>
          <w:trHeight w:hRule="exact" w:val="346"/>
          <w:jc w:val="right"/>
        </w:trPr>
        <w:tc>
          <w:tcPr>
            <w:tcW w:w="883" w:type="dxa"/>
            <w:tcBorders>
              <w:top w:val="single" w:sz="4" w:space="0" w:color="auto"/>
              <w:left w:val="single" w:sz="4" w:space="0" w:color="auto"/>
            </w:tcBorders>
            <w:shd w:val="clear" w:color="auto" w:fill="FFFFFF"/>
            <w:vAlign w:val="bottom"/>
          </w:tcPr>
          <w:p w14:paraId="0D20EA86" w14:textId="77777777" w:rsidR="008D7B89" w:rsidRPr="00A83E0C" w:rsidRDefault="008D7B89" w:rsidP="005246DA">
            <w:pPr>
              <w:pStyle w:val="aff5"/>
              <w:shd w:val="clear" w:color="auto" w:fill="auto"/>
              <w:ind w:left="140" w:firstLine="0"/>
              <w:jc w:val="left"/>
              <w:rPr>
                <w:sz w:val="24"/>
                <w:szCs w:val="24"/>
              </w:rPr>
            </w:pPr>
            <w:r w:rsidRPr="00A83E0C">
              <w:rPr>
                <w:color w:val="000000"/>
                <w:sz w:val="24"/>
                <w:szCs w:val="24"/>
                <w:lang w:bidi="ru-RU"/>
              </w:rPr>
              <w:t>УДД</w:t>
            </w:r>
          </w:p>
        </w:tc>
        <w:tc>
          <w:tcPr>
            <w:tcW w:w="8702" w:type="dxa"/>
            <w:tcBorders>
              <w:top w:val="single" w:sz="4" w:space="0" w:color="auto"/>
              <w:left w:val="single" w:sz="4" w:space="0" w:color="auto"/>
              <w:right w:val="single" w:sz="4" w:space="0" w:color="auto"/>
            </w:tcBorders>
            <w:shd w:val="clear" w:color="auto" w:fill="FFFFFF"/>
            <w:vAlign w:val="bottom"/>
          </w:tcPr>
          <w:p w14:paraId="42D1C79C"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Расшифровка</w:t>
            </w:r>
          </w:p>
        </w:tc>
      </w:tr>
      <w:tr w:rsidR="008D7B89" w:rsidRPr="0060277C" w14:paraId="4D93D6CF" w14:textId="77777777" w:rsidTr="00595B78">
        <w:trPr>
          <w:trHeight w:hRule="exact" w:val="989"/>
          <w:jc w:val="right"/>
        </w:trPr>
        <w:tc>
          <w:tcPr>
            <w:tcW w:w="883" w:type="dxa"/>
            <w:tcBorders>
              <w:top w:val="single" w:sz="4" w:space="0" w:color="auto"/>
              <w:left w:val="single" w:sz="4" w:space="0" w:color="auto"/>
            </w:tcBorders>
            <w:shd w:val="clear" w:color="auto" w:fill="FFFFFF"/>
          </w:tcPr>
          <w:p w14:paraId="2549BE00"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1.</w:t>
            </w:r>
          </w:p>
        </w:tc>
        <w:tc>
          <w:tcPr>
            <w:tcW w:w="8702" w:type="dxa"/>
            <w:tcBorders>
              <w:top w:val="single" w:sz="4" w:space="0" w:color="auto"/>
              <w:left w:val="single" w:sz="4" w:space="0" w:color="auto"/>
              <w:right w:val="single" w:sz="4" w:space="0" w:color="auto"/>
            </w:tcBorders>
            <w:shd w:val="clear" w:color="auto" w:fill="FFFFFF"/>
            <w:vAlign w:val="bottom"/>
          </w:tcPr>
          <w:p w14:paraId="190AC77D"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Систематические обзоры исследований с контролем референсным методом</w:t>
            </w:r>
            <w:r w:rsidRPr="00A83E0C">
              <w:rPr>
                <w:color w:val="000000"/>
                <w:sz w:val="24"/>
                <w:szCs w:val="24"/>
                <w:lang w:bidi="ru-RU"/>
              </w:rPr>
              <w:tab/>
              <w:t>или</w:t>
            </w:r>
            <w:r w:rsidR="00C33278" w:rsidRPr="00A83E0C">
              <w:rPr>
                <w:color w:val="000000"/>
                <w:sz w:val="24"/>
                <w:szCs w:val="24"/>
                <w:lang w:bidi="ru-RU"/>
              </w:rPr>
              <w:t xml:space="preserve"> </w:t>
            </w:r>
            <w:r w:rsidRPr="00A83E0C">
              <w:rPr>
                <w:color w:val="000000"/>
                <w:sz w:val="24"/>
                <w:szCs w:val="24"/>
                <w:lang w:bidi="ru-RU"/>
              </w:rPr>
              <w:t>систематический</w:t>
            </w:r>
            <w:r w:rsidR="00C33278" w:rsidRPr="00A83E0C">
              <w:rPr>
                <w:color w:val="000000"/>
                <w:sz w:val="24"/>
                <w:szCs w:val="24"/>
                <w:lang w:bidi="ru-RU"/>
              </w:rPr>
              <w:t xml:space="preserve"> </w:t>
            </w:r>
            <w:r w:rsidRPr="00A83E0C">
              <w:rPr>
                <w:color w:val="000000"/>
                <w:sz w:val="24"/>
                <w:szCs w:val="24"/>
                <w:lang w:bidi="ru-RU"/>
              </w:rPr>
              <w:t>обзор</w:t>
            </w:r>
            <w:r w:rsidR="00C33278" w:rsidRPr="00A83E0C">
              <w:rPr>
                <w:color w:val="000000"/>
                <w:sz w:val="24"/>
                <w:szCs w:val="24"/>
                <w:lang w:bidi="ru-RU"/>
              </w:rPr>
              <w:t xml:space="preserve"> </w:t>
            </w:r>
            <w:r w:rsidRPr="00A83E0C">
              <w:rPr>
                <w:color w:val="000000"/>
                <w:sz w:val="24"/>
                <w:szCs w:val="24"/>
                <w:lang w:bidi="ru-RU"/>
              </w:rPr>
              <w:t>рандомизированных</w:t>
            </w:r>
            <w:r w:rsidR="00C33278" w:rsidRPr="00A83E0C">
              <w:rPr>
                <w:color w:val="000000"/>
                <w:sz w:val="24"/>
                <w:szCs w:val="24"/>
                <w:lang w:bidi="ru-RU"/>
              </w:rPr>
              <w:t xml:space="preserve"> </w:t>
            </w:r>
            <w:r w:rsidRPr="00A83E0C">
              <w:rPr>
                <w:color w:val="000000"/>
                <w:sz w:val="24"/>
                <w:szCs w:val="24"/>
                <w:lang w:bidi="ru-RU"/>
              </w:rPr>
              <w:t>клинических исследований с применением мета-анализа</w:t>
            </w:r>
          </w:p>
        </w:tc>
      </w:tr>
      <w:tr w:rsidR="008D7B89" w:rsidRPr="0060277C" w14:paraId="1673234E" w14:textId="77777777" w:rsidTr="00016960">
        <w:trPr>
          <w:trHeight w:hRule="exact" w:val="1261"/>
          <w:jc w:val="right"/>
        </w:trPr>
        <w:tc>
          <w:tcPr>
            <w:tcW w:w="883" w:type="dxa"/>
            <w:tcBorders>
              <w:top w:val="single" w:sz="4" w:space="0" w:color="auto"/>
              <w:left w:val="single" w:sz="4" w:space="0" w:color="auto"/>
            </w:tcBorders>
            <w:shd w:val="clear" w:color="auto" w:fill="FFFFFF"/>
          </w:tcPr>
          <w:p w14:paraId="3BA49938"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2.</w:t>
            </w:r>
          </w:p>
        </w:tc>
        <w:tc>
          <w:tcPr>
            <w:tcW w:w="8702" w:type="dxa"/>
            <w:tcBorders>
              <w:top w:val="single" w:sz="4" w:space="0" w:color="auto"/>
              <w:left w:val="single" w:sz="4" w:space="0" w:color="auto"/>
              <w:right w:val="single" w:sz="4" w:space="0" w:color="auto"/>
            </w:tcBorders>
            <w:shd w:val="clear" w:color="auto" w:fill="FFFFFF"/>
            <w:vAlign w:val="bottom"/>
          </w:tcPr>
          <w:p w14:paraId="3496C0E7"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D7B89" w:rsidRPr="0060277C" w14:paraId="52815B08" w14:textId="77777777" w:rsidTr="00595B78">
        <w:trPr>
          <w:trHeight w:hRule="exact" w:val="1301"/>
          <w:jc w:val="right"/>
        </w:trPr>
        <w:tc>
          <w:tcPr>
            <w:tcW w:w="883" w:type="dxa"/>
            <w:tcBorders>
              <w:top w:val="single" w:sz="4" w:space="0" w:color="auto"/>
              <w:left w:val="single" w:sz="4" w:space="0" w:color="auto"/>
            </w:tcBorders>
            <w:shd w:val="clear" w:color="auto" w:fill="FFFFFF"/>
          </w:tcPr>
          <w:p w14:paraId="5A1E2274"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3.</w:t>
            </w:r>
          </w:p>
        </w:tc>
        <w:tc>
          <w:tcPr>
            <w:tcW w:w="8702" w:type="dxa"/>
            <w:tcBorders>
              <w:top w:val="single" w:sz="4" w:space="0" w:color="auto"/>
              <w:left w:val="single" w:sz="4" w:space="0" w:color="auto"/>
              <w:right w:val="single" w:sz="4" w:space="0" w:color="auto"/>
            </w:tcBorders>
            <w:shd w:val="clear" w:color="auto" w:fill="FFFFFF"/>
            <w:vAlign w:val="bottom"/>
          </w:tcPr>
          <w:p w14:paraId="511CA20B"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8D7B89" w:rsidRPr="0060277C" w14:paraId="490A3006" w14:textId="77777777" w:rsidTr="00595B78">
        <w:trPr>
          <w:trHeight w:hRule="exact" w:val="336"/>
          <w:jc w:val="right"/>
        </w:trPr>
        <w:tc>
          <w:tcPr>
            <w:tcW w:w="883" w:type="dxa"/>
            <w:tcBorders>
              <w:top w:val="single" w:sz="4" w:space="0" w:color="auto"/>
              <w:left w:val="single" w:sz="4" w:space="0" w:color="auto"/>
            </w:tcBorders>
            <w:shd w:val="clear" w:color="auto" w:fill="FFFFFF"/>
            <w:vAlign w:val="bottom"/>
          </w:tcPr>
          <w:p w14:paraId="478E3658"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4.</w:t>
            </w:r>
          </w:p>
        </w:tc>
        <w:tc>
          <w:tcPr>
            <w:tcW w:w="8702" w:type="dxa"/>
            <w:tcBorders>
              <w:top w:val="single" w:sz="4" w:space="0" w:color="auto"/>
              <w:left w:val="single" w:sz="4" w:space="0" w:color="auto"/>
              <w:right w:val="single" w:sz="4" w:space="0" w:color="auto"/>
            </w:tcBorders>
            <w:shd w:val="clear" w:color="auto" w:fill="FFFFFF"/>
            <w:vAlign w:val="bottom"/>
          </w:tcPr>
          <w:p w14:paraId="35C7B226"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Несравнительные исследования, описание клинического случая</w:t>
            </w:r>
          </w:p>
        </w:tc>
      </w:tr>
      <w:tr w:rsidR="008D7B89" w:rsidRPr="0060277C" w14:paraId="38ECB09E" w14:textId="77777777" w:rsidTr="00016960">
        <w:trPr>
          <w:trHeight w:hRule="exact" w:val="387"/>
          <w:jc w:val="right"/>
        </w:trPr>
        <w:tc>
          <w:tcPr>
            <w:tcW w:w="883" w:type="dxa"/>
            <w:tcBorders>
              <w:top w:val="single" w:sz="4" w:space="0" w:color="auto"/>
              <w:left w:val="single" w:sz="4" w:space="0" w:color="auto"/>
              <w:bottom w:val="single" w:sz="4" w:space="0" w:color="auto"/>
            </w:tcBorders>
            <w:shd w:val="clear" w:color="auto" w:fill="FFFFFF"/>
          </w:tcPr>
          <w:p w14:paraId="26E13651"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5.</w:t>
            </w:r>
          </w:p>
        </w:tc>
        <w:tc>
          <w:tcPr>
            <w:tcW w:w="8702" w:type="dxa"/>
            <w:tcBorders>
              <w:top w:val="single" w:sz="4" w:space="0" w:color="auto"/>
              <w:left w:val="single" w:sz="4" w:space="0" w:color="auto"/>
              <w:bottom w:val="single" w:sz="4" w:space="0" w:color="auto"/>
              <w:right w:val="single" w:sz="4" w:space="0" w:color="auto"/>
            </w:tcBorders>
            <w:shd w:val="clear" w:color="auto" w:fill="FFFFFF"/>
            <w:vAlign w:val="bottom"/>
          </w:tcPr>
          <w:p w14:paraId="28ED76A0"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Имеется лишь обоснование механизма действия или мнение экспертов</w:t>
            </w:r>
          </w:p>
        </w:tc>
      </w:tr>
    </w:tbl>
    <w:p w14:paraId="6B4064BA" w14:textId="77777777" w:rsidR="008D7B89" w:rsidRPr="00A83E0C" w:rsidRDefault="008D7B89" w:rsidP="008D7B89">
      <w:pPr>
        <w:spacing w:line="1" w:lineRule="exact"/>
        <w:rPr>
          <w:sz w:val="2"/>
          <w:szCs w:val="2"/>
          <w:lang w:val="ru-RU"/>
        </w:rPr>
      </w:pPr>
      <w:r w:rsidRPr="00A83E0C">
        <w:rPr>
          <w:lang w:val="ru-RU"/>
        </w:rPr>
        <w:br w:type="page"/>
      </w:r>
    </w:p>
    <w:p w14:paraId="206530C7" w14:textId="77777777" w:rsidR="008D7B89" w:rsidRPr="00A83E0C" w:rsidRDefault="008D7B89" w:rsidP="008D7B89">
      <w:pPr>
        <w:rPr>
          <w:lang w:val="ru-RU"/>
        </w:rPr>
      </w:pPr>
      <w:r w:rsidRPr="00A83E0C">
        <w:rPr>
          <w:b/>
          <w:lang w:val="ru-RU"/>
        </w:rPr>
        <w:lastRenderedPageBreak/>
        <w:t>Таблица П2</w:t>
      </w:r>
      <w:r w:rsidRPr="00A83E0C">
        <w:rPr>
          <w:lang w:val="ru-RU"/>
        </w:rPr>
        <w:t xml:space="preserve"> – </w:t>
      </w:r>
      <w:r w:rsidRPr="00A83E0C">
        <w:rPr>
          <w:color w:val="000000"/>
          <w:lang w:val="ru-RU" w:bidi="ru-RU"/>
        </w:rPr>
        <w:t>Шкала оценки уровней достоверности доказательств (УДД)</w:t>
      </w:r>
      <w:r w:rsidRPr="00A83E0C">
        <w:rPr>
          <w:color w:val="000000"/>
          <w:lang w:val="ru-RU" w:bidi="ru-RU"/>
        </w:rPr>
        <w:br/>
        <w:t>для методов профилактики, лечения и реабилитации (профилактических,</w:t>
      </w:r>
      <w:r w:rsidRPr="00A83E0C">
        <w:rPr>
          <w:color w:val="000000"/>
          <w:lang w:val="ru-RU" w:bidi="ru-RU"/>
        </w:rPr>
        <w:br/>
        <w:t>лечебных, реабилитационных вмешательств)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60"/>
      </w:tblGrid>
      <w:tr w:rsidR="008D7B89" w:rsidRPr="00A83E0C" w14:paraId="6725D03F" w14:textId="77777777" w:rsidTr="00595B78">
        <w:trPr>
          <w:trHeight w:hRule="exact" w:val="350"/>
          <w:jc w:val="center"/>
        </w:trPr>
        <w:tc>
          <w:tcPr>
            <w:tcW w:w="830" w:type="dxa"/>
            <w:tcBorders>
              <w:top w:val="single" w:sz="4" w:space="0" w:color="auto"/>
              <w:left w:val="single" w:sz="4" w:space="0" w:color="auto"/>
            </w:tcBorders>
            <w:shd w:val="clear" w:color="auto" w:fill="FFFFFF"/>
            <w:vAlign w:val="bottom"/>
          </w:tcPr>
          <w:p w14:paraId="650D09D9" w14:textId="77777777" w:rsidR="008D7B89" w:rsidRPr="00A83E0C" w:rsidRDefault="008D7B89" w:rsidP="005246DA">
            <w:pPr>
              <w:pStyle w:val="aff5"/>
              <w:shd w:val="clear" w:color="auto" w:fill="auto"/>
              <w:ind w:firstLine="0"/>
              <w:jc w:val="left"/>
              <w:rPr>
                <w:sz w:val="24"/>
                <w:szCs w:val="24"/>
              </w:rPr>
            </w:pPr>
            <w:r w:rsidRPr="00A83E0C">
              <w:rPr>
                <w:color w:val="000000"/>
                <w:sz w:val="24"/>
                <w:szCs w:val="24"/>
                <w:lang w:bidi="ru-RU"/>
              </w:rPr>
              <w:t>УДД</w:t>
            </w:r>
          </w:p>
        </w:tc>
        <w:tc>
          <w:tcPr>
            <w:tcW w:w="8760" w:type="dxa"/>
            <w:tcBorders>
              <w:top w:val="single" w:sz="4" w:space="0" w:color="auto"/>
              <w:left w:val="single" w:sz="4" w:space="0" w:color="auto"/>
              <w:right w:val="single" w:sz="4" w:space="0" w:color="auto"/>
            </w:tcBorders>
            <w:shd w:val="clear" w:color="auto" w:fill="FFFFFF"/>
            <w:vAlign w:val="bottom"/>
          </w:tcPr>
          <w:p w14:paraId="403FB594"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Расшифровка</w:t>
            </w:r>
          </w:p>
        </w:tc>
      </w:tr>
      <w:tr w:rsidR="008D7B89" w:rsidRPr="0060277C" w14:paraId="4ACC334F" w14:textId="77777777" w:rsidTr="00595B78">
        <w:trPr>
          <w:trHeight w:hRule="exact" w:val="658"/>
          <w:jc w:val="center"/>
        </w:trPr>
        <w:tc>
          <w:tcPr>
            <w:tcW w:w="830" w:type="dxa"/>
            <w:tcBorders>
              <w:top w:val="single" w:sz="4" w:space="0" w:color="auto"/>
              <w:left w:val="single" w:sz="4" w:space="0" w:color="auto"/>
            </w:tcBorders>
            <w:shd w:val="clear" w:color="auto" w:fill="FFFFFF"/>
            <w:vAlign w:val="center"/>
          </w:tcPr>
          <w:p w14:paraId="30B2E6CA"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1.</w:t>
            </w:r>
          </w:p>
        </w:tc>
        <w:tc>
          <w:tcPr>
            <w:tcW w:w="8760" w:type="dxa"/>
            <w:tcBorders>
              <w:top w:val="single" w:sz="4" w:space="0" w:color="auto"/>
              <w:left w:val="single" w:sz="4" w:space="0" w:color="auto"/>
              <w:right w:val="single" w:sz="4" w:space="0" w:color="auto"/>
            </w:tcBorders>
            <w:shd w:val="clear" w:color="auto" w:fill="FFFFFF"/>
            <w:vAlign w:val="bottom"/>
          </w:tcPr>
          <w:p w14:paraId="5A4CAE6B"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Систематический</w:t>
            </w:r>
            <w:r w:rsidR="00C33278" w:rsidRPr="00A83E0C">
              <w:rPr>
                <w:color w:val="000000"/>
                <w:sz w:val="24"/>
                <w:szCs w:val="24"/>
                <w:lang w:bidi="ru-RU"/>
              </w:rPr>
              <w:t xml:space="preserve"> </w:t>
            </w:r>
            <w:r w:rsidRPr="00A83E0C">
              <w:rPr>
                <w:color w:val="000000"/>
                <w:sz w:val="24"/>
                <w:szCs w:val="24"/>
                <w:lang w:bidi="ru-RU"/>
              </w:rPr>
              <w:t>обзор</w:t>
            </w:r>
            <w:r w:rsidR="00C33278" w:rsidRPr="00A83E0C">
              <w:rPr>
                <w:color w:val="000000"/>
                <w:sz w:val="24"/>
                <w:szCs w:val="24"/>
                <w:lang w:bidi="ru-RU"/>
              </w:rPr>
              <w:t xml:space="preserve"> </w:t>
            </w:r>
            <w:r w:rsidRPr="00A83E0C">
              <w:rPr>
                <w:color w:val="000000"/>
                <w:sz w:val="24"/>
                <w:szCs w:val="24"/>
                <w:lang w:bidi="ru-RU"/>
              </w:rPr>
              <w:t>рандомизированных</w:t>
            </w:r>
            <w:r w:rsidR="00C33278" w:rsidRPr="00A83E0C">
              <w:rPr>
                <w:color w:val="000000"/>
                <w:sz w:val="24"/>
                <w:szCs w:val="24"/>
                <w:lang w:bidi="ru-RU"/>
              </w:rPr>
              <w:t xml:space="preserve"> </w:t>
            </w:r>
            <w:r w:rsidRPr="00A83E0C">
              <w:rPr>
                <w:color w:val="000000"/>
                <w:sz w:val="24"/>
                <w:szCs w:val="24"/>
                <w:lang w:bidi="ru-RU"/>
              </w:rPr>
              <w:t>клинических</w:t>
            </w:r>
            <w:r w:rsidR="00C33278" w:rsidRPr="00A83E0C">
              <w:rPr>
                <w:color w:val="000000"/>
                <w:sz w:val="24"/>
                <w:szCs w:val="24"/>
                <w:lang w:bidi="ru-RU"/>
              </w:rPr>
              <w:t xml:space="preserve"> </w:t>
            </w:r>
            <w:r w:rsidRPr="00A83E0C">
              <w:rPr>
                <w:color w:val="000000"/>
                <w:sz w:val="24"/>
                <w:szCs w:val="24"/>
                <w:lang w:bidi="ru-RU"/>
              </w:rPr>
              <w:t>исследований с применением мета-анализа</w:t>
            </w:r>
          </w:p>
        </w:tc>
      </w:tr>
      <w:tr w:rsidR="008D7B89" w:rsidRPr="0060277C" w14:paraId="384D1F23" w14:textId="77777777" w:rsidTr="00016960">
        <w:trPr>
          <w:trHeight w:hRule="exact" w:val="896"/>
          <w:jc w:val="center"/>
        </w:trPr>
        <w:tc>
          <w:tcPr>
            <w:tcW w:w="830" w:type="dxa"/>
            <w:tcBorders>
              <w:top w:val="single" w:sz="4" w:space="0" w:color="auto"/>
              <w:left w:val="single" w:sz="4" w:space="0" w:color="auto"/>
            </w:tcBorders>
            <w:shd w:val="clear" w:color="auto" w:fill="FFFFFF"/>
          </w:tcPr>
          <w:p w14:paraId="16D941E2"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2.</w:t>
            </w:r>
          </w:p>
        </w:tc>
        <w:tc>
          <w:tcPr>
            <w:tcW w:w="8760" w:type="dxa"/>
            <w:tcBorders>
              <w:top w:val="single" w:sz="4" w:space="0" w:color="auto"/>
              <w:left w:val="single" w:sz="4" w:space="0" w:color="auto"/>
              <w:right w:val="single" w:sz="4" w:space="0" w:color="auto"/>
            </w:tcBorders>
            <w:shd w:val="clear" w:color="auto" w:fill="FFFFFF"/>
            <w:vAlign w:val="bottom"/>
          </w:tcPr>
          <w:p w14:paraId="27C128F6"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D7B89" w:rsidRPr="0060277C" w14:paraId="5A29C8DA" w14:textId="77777777" w:rsidTr="00595B78">
        <w:trPr>
          <w:trHeight w:hRule="exact" w:val="662"/>
          <w:jc w:val="center"/>
        </w:trPr>
        <w:tc>
          <w:tcPr>
            <w:tcW w:w="830" w:type="dxa"/>
            <w:tcBorders>
              <w:top w:val="single" w:sz="4" w:space="0" w:color="auto"/>
              <w:left w:val="single" w:sz="4" w:space="0" w:color="auto"/>
            </w:tcBorders>
            <w:shd w:val="clear" w:color="auto" w:fill="FFFFFF"/>
          </w:tcPr>
          <w:p w14:paraId="01B05D48"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3.</w:t>
            </w:r>
          </w:p>
        </w:tc>
        <w:tc>
          <w:tcPr>
            <w:tcW w:w="8760" w:type="dxa"/>
            <w:tcBorders>
              <w:top w:val="single" w:sz="4" w:space="0" w:color="auto"/>
              <w:left w:val="single" w:sz="4" w:space="0" w:color="auto"/>
              <w:right w:val="single" w:sz="4" w:space="0" w:color="auto"/>
            </w:tcBorders>
            <w:shd w:val="clear" w:color="auto" w:fill="FFFFFF"/>
            <w:vAlign w:val="bottom"/>
          </w:tcPr>
          <w:p w14:paraId="65F74548"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Нерандомизированные сравнительные исследования, в том числе когортные исследования</w:t>
            </w:r>
          </w:p>
        </w:tc>
      </w:tr>
      <w:tr w:rsidR="008D7B89" w:rsidRPr="0060277C" w14:paraId="7901FEBE" w14:textId="77777777" w:rsidTr="00595B78">
        <w:trPr>
          <w:trHeight w:hRule="exact" w:val="658"/>
          <w:jc w:val="center"/>
        </w:trPr>
        <w:tc>
          <w:tcPr>
            <w:tcW w:w="830" w:type="dxa"/>
            <w:tcBorders>
              <w:top w:val="single" w:sz="4" w:space="0" w:color="auto"/>
              <w:left w:val="single" w:sz="4" w:space="0" w:color="auto"/>
            </w:tcBorders>
            <w:shd w:val="clear" w:color="auto" w:fill="FFFFFF"/>
          </w:tcPr>
          <w:p w14:paraId="100B410B"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4.</w:t>
            </w:r>
          </w:p>
        </w:tc>
        <w:tc>
          <w:tcPr>
            <w:tcW w:w="8760" w:type="dxa"/>
            <w:tcBorders>
              <w:top w:val="single" w:sz="4" w:space="0" w:color="auto"/>
              <w:left w:val="single" w:sz="4" w:space="0" w:color="auto"/>
              <w:right w:val="single" w:sz="4" w:space="0" w:color="auto"/>
            </w:tcBorders>
            <w:shd w:val="clear" w:color="auto" w:fill="FFFFFF"/>
            <w:vAlign w:val="bottom"/>
          </w:tcPr>
          <w:p w14:paraId="1ACB016A"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Несравнительные исследования, описание клинического случая или серии случаев, исследование «случай-контроль»</w:t>
            </w:r>
          </w:p>
        </w:tc>
      </w:tr>
      <w:tr w:rsidR="008D7B89" w:rsidRPr="0060277C" w14:paraId="548FEA3A" w14:textId="77777777" w:rsidTr="00595B78">
        <w:trPr>
          <w:trHeight w:hRule="exact" w:val="672"/>
          <w:jc w:val="center"/>
        </w:trPr>
        <w:tc>
          <w:tcPr>
            <w:tcW w:w="830" w:type="dxa"/>
            <w:tcBorders>
              <w:top w:val="single" w:sz="4" w:space="0" w:color="auto"/>
              <w:left w:val="single" w:sz="4" w:space="0" w:color="auto"/>
              <w:bottom w:val="single" w:sz="4" w:space="0" w:color="auto"/>
            </w:tcBorders>
            <w:shd w:val="clear" w:color="auto" w:fill="FFFFFF"/>
          </w:tcPr>
          <w:p w14:paraId="5C96CAEA" w14:textId="77777777" w:rsidR="008D7B89" w:rsidRPr="00A83E0C" w:rsidRDefault="008D7B89" w:rsidP="005246DA">
            <w:pPr>
              <w:pStyle w:val="aff5"/>
              <w:shd w:val="clear" w:color="auto" w:fill="auto"/>
              <w:ind w:firstLine="0"/>
              <w:jc w:val="center"/>
              <w:rPr>
                <w:sz w:val="24"/>
                <w:szCs w:val="24"/>
              </w:rPr>
            </w:pPr>
            <w:r w:rsidRPr="00A83E0C">
              <w:rPr>
                <w:color w:val="000000"/>
                <w:sz w:val="24"/>
                <w:szCs w:val="24"/>
                <w:lang w:bidi="ru-RU"/>
              </w:rPr>
              <w:t>5.</w:t>
            </w:r>
          </w:p>
        </w:tc>
        <w:tc>
          <w:tcPr>
            <w:tcW w:w="8760" w:type="dxa"/>
            <w:tcBorders>
              <w:top w:val="single" w:sz="4" w:space="0" w:color="auto"/>
              <w:left w:val="single" w:sz="4" w:space="0" w:color="auto"/>
              <w:bottom w:val="single" w:sz="4" w:space="0" w:color="auto"/>
              <w:right w:val="single" w:sz="4" w:space="0" w:color="auto"/>
            </w:tcBorders>
            <w:shd w:val="clear" w:color="auto" w:fill="FFFFFF"/>
            <w:vAlign w:val="bottom"/>
          </w:tcPr>
          <w:p w14:paraId="1FF351A5" w14:textId="77777777" w:rsidR="008D7B89" w:rsidRPr="00A83E0C" w:rsidRDefault="008D7B89" w:rsidP="005246DA">
            <w:pPr>
              <w:pStyle w:val="aff5"/>
              <w:shd w:val="clear" w:color="auto" w:fill="auto"/>
              <w:ind w:firstLine="0"/>
              <w:rPr>
                <w:sz w:val="24"/>
                <w:szCs w:val="24"/>
              </w:rPr>
            </w:pPr>
            <w:r w:rsidRPr="00A83E0C">
              <w:rPr>
                <w:color w:val="000000"/>
                <w:sz w:val="24"/>
                <w:szCs w:val="24"/>
                <w:lang w:bidi="ru-RU"/>
              </w:rPr>
              <w:t>Имеется лишь обоснование механизма действия вмешательства (доклинические исследования) или мнение экспертов</w:t>
            </w:r>
          </w:p>
        </w:tc>
      </w:tr>
    </w:tbl>
    <w:p w14:paraId="30199142" w14:textId="77777777" w:rsidR="008D7B89" w:rsidRPr="00A83E0C" w:rsidRDefault="008D7B89" w:rsidP="008D7B89">
      <w:pPr>
        <w:spacing w:after="286" w:line="14" w:lineRule="exact"/>
        <w:rPr>
          <w:lang w:val="ru-RU"/>
        </w:rPr>
      </w:pPr>
    </w:p>
    <w:p w14:paraId="5FE650D0" w14:textId="77777777" w:rsidR="008D7B89" w:rsidRPr="00A83E0C" w:rsidRDefault="008D7B89" w:rsidP="008D7B89">
      <w:pPr>
        <w:rPr>
          <w:lang w:val="ru-RU"/>
        </w:rPr>
      </w:pPr>
      <w:r w:rsidRPr="00A83E0C">
        <w:rPr>
          <w:b/>
          <w:lang w:val="ru-RU"/>
        </w:rPr>
        <w:t>Таблица П3</w:t>
      </w:r>
      <w:r w:rsidRPr="00A83E0C">
        <w:rPr>
          <w:lang w:val="ru-RU"/>
        </w:rPr>
        <w:t xml:space="preserve"> – </w:t>
      </w:r>
      <w:r w:rsidRPr="00A83E0C">
        <w:rPr>
          <w:color w:val="000000"/>
          <w:lang w:val="ru-RU" w:bidi="ru-RU"/>
        </w:rPr>
        <w:t>Шкала оценки уровней убедительности рекомендаций (УУР)</w:t>
      </w:r>
      <w:r w:rsidRPr="00A83E0C">
        <w:rPr>
          <w:color w:val="000000"/>
          <w:lang w:val="ru-RU" w:bidi="ru-RU"/>
        </w:rPr>
        <w:br/>
        <w:t>для методов профилактики, диагностики, лечения и реабилитации</w:t>
      </w:r>
      <w:r w:rsidRPr="00A83E0C">
        <w:rPr>
          <w:color w:val="000000"/>
          <w:lang w:val="ru-RU" w:bidi="ru-RU"/>
        </w:rPr>
        <w:br/>
        <w:t>(профилактических, диагностических, лечебных, реабилитационных вмешательств)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8D7B89" w:rsidRPr="00A83E0C" w14:paraId="16F2E353" w14:textId="77777777" w:rsidTr="00595B78">
        <w:trPr>
          <w:trHeight w:hRule="exact" w:val="350"/>
          <w:jc w:val="center"/>
        </w:trPr>
        <w:tc>
          <w:tcPr>
            <w:tcW w:w="830" w:type="dxa"/>
            <w:tcBorders>
              <w:top w:val="single" w:sz="4" w:space="0" w:color="auto"/>
              <w:left w:val="single" w:sz="4" w:space="0" w:color="auto"/>
            </w:tcBorders>
            <w:shd w:val="clear" w:color="auto" w:fill="FFFFFF"/>
            <w:vAlign w:val="bottom"/>
          </w:tcPr>
          <w:p w14:paraId="21B7327A" w14:textId="77777777" w:rsidR="008D7B89" w:rsidRPr="00A83E0C" w:rsidRDefault="008D7B89" w:rsidP="00595B78">
            <w:pPr>
              <w:pStyle w:val="aff5"/>
              <w:shd w:val="clear" w:color="auto" w:fill="auto"/>
              <w:ind w:firstLine="0"/>
              <w:jc w:val="left"/>
              <w:rPr>
                <w:sz w:val="24"/>
                <w:szCs w:val="24"/>
              </w:rPr>
            </w:pPr>
            <w:r w:rsidRPr="00A83E0C">
              <w:rPr>
                <w:color w:val="000000"/>
                <w:sz w:val="24"/>
                <w:szCs w:val="24"/>
                <w:lang w:bidi="ru-RU"/>
              </w:rPr>
              <w:t>УУР</w:t>
            </w:r>
          </w:p>
        </w:tc>
        <w:tc>
          <w:tcPr>
            <w:tcW w:w="8755" w:type="dxa"/>
            <w:tcBorders>
              <w:top w:val="single" w:sz="4" w:space="0" w:color="auto"/>
              <w:left w:val="single" w:sz="4" w:space="0" w:color="auto"/>
              <w:right w:val="single" w:sz="4" w:space="0" w:color="auto"/>
            </w:tcBorders>
            <w:shd w:val="clear" w:color="auto" w:fill="FFFFFF"/>
            <w:vAlign w:val="bottom"/>
          </w:tcPr>
          <w:p w14:paraId="0C182FEA" w14:textId="77777777" w:rsidR="008D7B89" w:rsidRPr="00A83E0C" w:rsidRDefault="008D7B89" w:rsidP="00595B78">
            <w:pPr>
              <w:pStyle w:val="aff5"/>
              <w:shd w:val="clear" w:color="auto" w:fill="auto"/>
              <w:ind w:firstLine="0"/>
              <w:jc w:val="center"/>
              <w:rPr>
                <w:sz w:val="24"/>
                <w:szCs w:val="24"/>
              </w:rPr>
            </w:pPr>
            <w:r w:rsidRPr="00A83E0C">
              <w:rPr>
                <w:color w:val="000000"/>
                <w:sz w:val="24"/>
                <w:szCs w:val="24"/>
                <w:lang w:bidi="ru-RU"/>
              </w:rPr>
              <w:t>Расшифровка</w:t>
            </w:r>
          </w:p>
        </w:tc>
      </w:tr>
      <w:tr w:rsidR="008D7B89" w:rsidRPr="0060277C" w14:paraId="7591D122" w14:textId="77777777" w:rsidTr="00C33278">
        <w:trPr>
          <w:trHeight w:hRule="exact" w:val="1310"/>
          <w:jc w:val="center"/>
        </w:trPr>
        <w:tc>
          <w:tcPr>
            <w:tcW w:w="830" w:type="dxa"/>
            <w:tcBorders>
              <w:top w:val="single" w:sz="4" w:space="0" w:color="auto"/>
              <w:left w:val="single" w:sz="4" w:space="0" w:color="auto"/>
            </w:tcBorders>
            <w:shd w:val="clear" w:color="auto" w:fill="FFFFFF"/>
          </w:tcPr>
          <w:p w14:paraId="7F07AD48" w14:textId="77777777" w:rsidR="008D7B89" w:rsidRPr="00A83E0C" w:rsidRDefault="008D7B89" w:rsidP="00595B78">
            <w:pPr>
              <w:pStyle w:val="aff5"/>
              <w:shd w:val="clear" w:color="auto" w:fill="auto"/>
              <w:ind w:firstLine="0"/>
              <w:jc w:val="center"/>
              <w:rPr>
                <w:sz w:val="24"/>
                <w:szCs w:val="24"/>
              </w:rPr>
            </w:pPr>
            <w:r w:rsidRPr="00A83E0C">
              <w:rPr>
                <w:color w:val="000000"/>
                <w:sz w:val="24"/>
                <w:szCs w:val="24"/>
                <w:lang w:bidi="ru-RU"/>
              </w:rPr>
              <w:t>А</w:t>
            </w:r>
          </w:p>
        </w:tc>
        <w:tc>
          <w:tcPr>
            <w:tcW w:w="8755" w:type="dxa"/>
            <w:tcBorders>
              <w:top w:val="single" w:sz="4" w:space="0" w:color="auto"/>
              <w:left w:val="single" w:sz="4" w:space="0" w:color="auto"/>
              <w:right w:val="single" w:sz="4" w:space="0" w:color="auto"/>
            </w:tcBorders>
            <w:shd w:val="clear" w:color="auto" w:fill="FFFFFF"/>
            <w:vAlign w:val="center"/>
          </w:tcPr>
          <w:p w14:paraId="648FA3F5" w14:textId="77777777" w:rsidR="008D7B89" w:rsidRPr="00A83E0C" w:rsidRDefault="008D7B89" w:rsidP="00595B78">
            <w:pPr>
              <w:pStyle w:val="aff5"/>
              <w:shd w:val="clear" w:color="auto" w:fill="auto"/>
              <w:ind w:firstLine="0"/>
              <w:rPr>
                <w:sz w:val="24"/>
                <w:szCs w:val="24"/>
              </w:rPr>
            </w:pPr>
            <w:r w:rsidRPr="00A83E0C">
              <w:rPr>
                <w:color w:val="000000"/>
                <w:sz w:val="24"/>
                <w:szCs w:val="24"/>
                <w:lang w:bidi="ru-RU"/>
              </w:rPr>
              <w:t>Сильная</w:t>
            </w:r>
            <w:r w:rsidR="00C33278" w:rsidRPr="00A83E0C">
              <w:rPr>
                <w:color w:val="000000"/>
                <w:sz w:val="24"/>
                <w:szCs w:val="24"/>
                <w:lang w:bidi="ru-RU"/>
              </w:rPr>
              <w:t xml:space="preserve"> </w:t>
            </w:r>
            <w:r w:rsidRPr="00A83E0C">
              <w:rPr>
                <w:color w:val="000000"/>
                <w:sz w:val="24"/>
                <w:szCs w:val="24"/>
                <w:lang w:bidi="ru-RU"/>
              </w:rPr>
              <w:t>рекомендация</w:t>
            </w:r>
            <w:r w:rsidR="00C33278" w:rsidRPr="00A83E0C">
              <w:rPr>
                <w:color w:val="000000"/>
                <w:sz w:val="24"/>
                <w:szCs w:val="24"/>
                <w:lang w:bidi="ru-RU"/>
              </w:rPr>
              <w:t xml:space="preserve"> </w:t>
            </w:r>
            <w:r w:rsidRPr="00A83E0C">
              <w:rPr>
                <w:color w:val="000000"/>
                <w:sz w:val="24"/>
                <w:szCs w:val="24"/>
                <w:lang w:bidi="ru-RU"/>
              </w:rPr>
              <w:t>(все</w:t>
            </w:r>
            <w:r w:rsidR="00C33278" w:rsidRPr="00A83E0C">
              <w:rPr>
                <w:color w:val="000000"/>
                <w:sz w:val="24"/>
                <w:szCs w:val="24"/>
                <w:lang w:bidi="ru-RU"/>
              </w:rPr>
              <w:t xml:space="preserve"> </w:t>
            </w:r>
            <w:r w:rsidRPr="00A83E0C">
              <w:rPr>
                <w:color w:val="000000"/>
                <w:sz w:val="24"/>
                <w:szCs w:val="24"/>
                <w:lang w:bidi="ru-RU"/>
              </w:rPr>
              <w:t>рассматриваемые</w:t>
            </w:r>
            <w:r w:rsidR="00C33278" w:rsidRPr="00A83E0C">
              <w:rPr>
                <w:color w:val="000000"/>
                <w:sz w:val="24"/>
                <w:szCs w:val="24"/>
                <w:lang w:bidi="ru-RU"/>
              </w:rPr>
              <w:t xml:space="preserve"> </w:t>
            </w:r>
            <w:r w:rsidRPr="00A83E0C">
              <w:rPr>
                <w:color w:val="000000"/>
                <w:sz w:val="24"/>
                <w:szCs w:val="24"/>
                <w:lang w:bidi="ru-RU"/>
              </w:rPr>
              <w:t>критерии</w:t>
            </w:r>
            <w:r w:rsidR="00C33278" w:rsidRPr="00A83E0C">
              <w:rPr>
                <w:color w:val="000000"/>
                <w:sz w:val="24"/>
                <w:szCs w:val="24"/>
                <w:lang w:bidi="ru-RU"/>
              </w:rPr>
              <w:t xml:space="preserve"> </w:t>
            </w:r>
            <w:r w:rsidRPr="00A83E0C">
              <w:rPr>
                <w:color w:val="000000"/>
                <w:sz w:val="24"/>
                <w:szCs w:val="24"/>
                <w:lang w:bidi="ru-RU"/>
              </w:rPr>
              <w:t>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8D7B89" w:rsidRPr="0060277C" w14:paraId="762B7BC6" w14:textId="77777777" w:rsidTr="00C33278">
        <w:trPr>
          <w:trHeight w:hRule="exact" w:val="1182"/>
          <w:jc w:val="center"/>
        </w:trPr>
        <w:tc>
          <w:tcPr>
            <w:tcW w:w="830" w:type="dxa"/>
            <w:tcBorders>
              <w:top w:val="single" w:sz="4" w:space="0" w:color="auto"/>
              <w:left w:val="single" w:sz="4" w:space="0" w:color="auto"/>
            </w:tcBorders>
            <w:shd w:val="clear" w:color="auto" w:fill="FFFFFF"/>
          </w:tcPr>
          <w:p w14:paraId="7610EB1A" w14:textId="77777777" w:rsidR="008D7B89" w:rsidRPr="00A83E0C" w:rsidRDefault="008D7B89" w:rsidP="00595B78">
            <w:pPr>
              <w:pStyle w:val="aff5"/>
              <w:shd w:val="clear" w:color="auto" w:fill="auto"/>
              <w:ind w:firstLine="0"/>
              <w:jc w:val="center"/>
              <w:rPr>
                <w:sz w:val="24"/>
                <w:szCs w:val="24"/>
              </w:rPr>
            </w:pPr>
            <w:r w:rsidRPr="00A83E0C">
              <w:rPr>
                <w:color w:val="000000"/>
                <w:sz w:val="24"/>
                <w:szCs w:val="24"/>
                <w:lang w:bidi="ru-RU"/>
              </w:rPr>
              <w:t>В</w:t>
            </w:r>
          </w:p>
        </w:tc>
        <w:tc>
          <w:tcPr>
            <w:tcW w:w="8755" w:type="dxa"/>
            <w:tcBorders>
              <w:top w:val="single" w:sz="4" w:space="0" w:color="auto"/>
              <w:left w:val="single" w:sz="4" w:space="0" w:color="auto"/>
              <w:right w:val="single" w:sz="4" w:space="0" w:color="auto"/>
            </w:tcBorders>
            <w:shd w:val="clear" w:color="auto" w:fill="FFFFFF"/>
            <w:vAlign w:val="center"/>
          </w:tcPr>
          <w:p w14:paraId="02183810" w14:textId="77777777" w:rsidR="008D7B89" w:rsidRPr="00A83E0C" w:rsidRDefault="008D7B89" w:rsidP="00595B78">
            <w:pPr>
              <w:pStyle w:val="aff5"/>
              <w:shd w:val="clear" w:color="auto" w:fill="auto"/>
              <w:ind w:firstLine="0"/>
              <w:rPr>
                <w:sz w:val="24"/>
                <w:szCs w:val="24"/>
              </w:rPr>
            </w:pPr>
            <w:r w:rsidRPr="00A83E0C">
              <w:rPr>
                <w:color w:val="000000"/>
                <w:sz w:val="24"/>
                <w:szCs w:val="24"/>
                <w:lang w:bidi="ru-RU"/>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D7B89" w:rsidRPr="0060277C" w14:paraId="3EB776AD" w14:textId="77777777" w:rsidTr="00C33278">
        <w:trPr>
          <w:trHeight w:hRule="exact" w:val="1412"/>
          <w:jc w:val="center"/>
        </w:trPr>
        <w:tc>
          <w:tcPr>
            <w:tcW w:w="830" w:type="dxa"/>
            <w:tcBorders>
              <w:top w:val="single" w:sz="4" w:space="0" w:color="auto"/>
              <w:left w:val="single" w:sz="4" w:space="0" w:color="auto"/>
              <w:bottom w:val="single" w:sz="4" w:space="0" w:color="auto"/>
            </w:tcBorders>
            <w:shd w:val="clear" w:color="auto" w:fill="FFFFFF"/>
          </w:tcPr>
          <w:p w14:paraId="7D386373" w14:textId="77777777" w:rsidR="008D7B89" w:rsidRPr="00A83E0C" w:rsidRDefault="008D7B89" w:rsidP="00595B78">
            <w:pPr>
              <w:pStyle w:val="aff5"/>
              <w:shd w:val="clear" w:color="auto" w:fill="auto"/>
              <w:ind w:firstLine="0"/>
              <w:jc w:val="center"/>
              <w:rPr>
                <w:sz w:val="24"/>
                <w:szCs w:val="24"/>
              </w:rPr>
            </w:pPr>
            <w:r w:rsidRPr="00A83E0C">
              <w:rPr>
                <w:color w:val="000000"/>
                <w:sz w:val="24"/>
                <w:szCs w:val="24"/>
                <w:lang w:bidi="ru-RU"/>
              </w:rPr>
              <w:t>С</w:t>
            </w:r>
          </w:p>
        </w:tc>
        <w:tc>
          <w:tcPr>
            <w:tcW w:w="8755" w:type="dxa"/>
            <w:tcBorders>
              <w:top w:val="single" w:sz="4" w:space="0" w:color="auto"/>
              <w:left w:val="single" w:sz="4" w:space="0" w:color="auto"/>
              <w:bottom w:val="single" w:sz="4" w:space="0" w:color="auto"/>
              <w:right w:val="single" w:sz="4" w:space="0" w:color="auto"/>
            </w:tcBorders>
            <w:shd w:val="clear" w:color="auto" w:fill="FFFFFF"/>
            <w:vAlign w:val="center"/>
          </w:tcPr>
          <w:p w14:paraId="774C21BE" w14:textId="77777777" w:rsidR="008D7B89" w:rsidRPr="00A83E0C" w:rsidRDefault="008D7B89" w:rsidP="00595B78">
            <w:pPr>
              <w:pStyle w:val="aff5"/>
              <w:shd w:val="clear" w:color="auto" w:fill="auto"/>
              <w:ind w:firstLine="0"/>
              <w:rPr>
                <w:sz w:val="24"/>
                <w:szCs w:val="24"/>
              </w:rPr>
            </w:pPr>
            <w:r w:rsidRPr="00A83E0C">
              <w:rPr>
                <w:color w:val="000000"/>
                <w:sz w:val="24"/>
                <w:szCs w:val="24"/>
                <w:lang w:bidi="ru-RU"/>
              </w:rPr>
              <w:t>Слабая рекомендация (отсутствие доказательств надлежащего качества (все рассматриваемые критерии эффективности (исходы) являются</w:t>
            </w:r>
            <w:r w:rsidR="00C33278" w:rsidRPr="00A83E0C">
              <w:rPr>
                <w:color w:val="000000"/>
                <w:sz w:val="24"/>
                <w:szCs w:val="24"/>
                <w:lang w:bidi="ru-RU"/>
              </w:rPr>
              <w:t xml:space="preserve"> </w:t>
            </w:r>
            <w:r w:rsidRPr="00A83E0C">
              <w:rPr>
                <w:color w:val="000000"/>
                <w:sz w:val="24"/>
                <w:szCs w:val="24"/>
                <w:lang w:bidi="ru-RU"/>
              </w:rPr>
              <w:t>неважными,</w:t>
            </w:r>
            <w:r w:rsidR="00C33278" w:rsidRPr="00A83E0C">
              <w:rPr>
                <w:color w:val="000000"/>
                <w:sz w:val="24"/>
                <w:szCs w:val="24"/>
                <w:lang w:bidi="ru-RU"/>
              </w:rPr>
              <w:t xml:space="preserve"> </w:t>
            </w:r>
            <w:r w:rsidRPr="00A83E0C">
              <w:rPr>
                <w:color w:val="000000"/>
                <w:sz w:val="24"/>
                <w:szCs w:val="24"/>
                <w:lang w:bidi="ru-RU"/>
              </w:rPr>
              <w:t>все исследования имеют низкое</w:t>
            </w:r>
            <w:r w:rsidR="00C33278" w:rsidRPr="00A83E0C">
              <w:rPr>
                <w:color w:val="000000"/>
                <w:sz w:val="24"/>
                <w:szCs w:val="24"/>
                <w:lang w:bidi="ru-RU"/>
              </w:rPr>
              <w:t xml:space="preserve"> </w:t>
            </w:r>
            <w:r w:rsidRPr="00A83E0C">
              <w:rPr>
                <w:color w:val="000000"/>
                <w:sz w:val="24"/>
                <w:szCs w:val="24"/>
                <w:lang w:bidi="ru-RU"/>
              </w:rPr>
              <w:t>методологическое качество и их выводы по интересующим исходам не являются согласованными)</w:t>
            </w:r>
          </w:p>
        </w:tc>
      </w:tr>
    </w:tbl>
    <w:p w14:paraId="1F50A00B" w14:textId="77777777" w:rsidR="008D7B89" w:rsidRPr="00A83E0C" w:rsidRDefault="008D7B89" w:rsidP="008D7B89">
      <w:pPr>
        <w:spacing w:line="14" w:lineRule="exact"/>
        <w:rPr>
          <w:lang w:val="ru-RU"/>
        </w:rPr>
      </w:pPr>
    </w:p>
    <w:p w14:paraId="73188DA0"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b/>
          <w:lang w:val="ru-RU"/>
        </w:rPr>
        <w:t>Методы, использованные для формулирования рекомендаций –</w:t>
      </w:r>
      <w:r w:rsidRPr="00A83E0C">
        <w:rPr>
          <w:lang w:val="ru-RU"/>
        </w:rPr>
        <w:t xml:space="preserve"> консенсус экспертов.</w:t>
      </w:r>
    </w:p>
    <w:p w14:paraId="0FFE25D8"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b/>
          <w:lang w:val="ru-RU"/>
        </w:rPr>
        <w:t>Экономический анализ</w:t>
      </w:r>
    </w:p>
    <w:p w14:paraId="23FE868B"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Анализ стоимости не проводился и публикации по фармакоэкономике не анализировались.</w:t>
      </w:r>
    </w:p>
    <w:p w14:paraId="767C4960" w14:textId="77777777" w:rsidR="00DC7BE7" w:rsidRPr="00A83E0C" w:rsidRDefault="00DC7BE7" w:rsidP="00DC7BE7">
      <w:pPr>
        <w:pStyle w:val="desc"/>
        <w:autoSpaceDE w:val="0"/>
        <w:autoSpaceDN w:val="0"/>
        <w:adjustRightInd w:val="0"/>
        <w:spacing w:before="0" w:beforeAutospacing="0" w:after="0" w:afterAutospacing="0"/>
        <w:contextualSpacing/>
        <w:rPr>
          <w:b/>
        </w:rPr>
      </w:pPr>
      <w:r w:rsidRPr="00A83E0C">
        <w:rPr>
          <w:b/>
        </w:rPr>
        <w:t>Метод валидизации рекомендаций:</w:t>
      </w:r>
    </w:p>
    <w:p w14:paraId="1917E1A3" w14:textId="77777777" w:rsidR="00DC7BE7" w:rsidRPr="00A83E0C" w:rsidRDefault="00DC7BE7" w:rsidP="00317CCB">
      <w:pPr>
        <w:pStyle w:val="desc"/>
        <w:numPr>
          <w:ilvl w:val="0"/>
          <w:numId w:val="2"/>
        </w:numPr>
        <w:autoSpaceDE w:val="0"/>
        <w:autoSpaceDN w:val="0"/>
        <w:adjustRightInd w:val="0"/>
        <w:spacing w:before="0" w:beforeAutospacing="0" w:after="0" w:afterAutospacing="0"/>
        <w:ind w:left="0" w:firstLine="709"/>
        <w:contextualSpacing/>
      </w:pPr>
      <w:r w:rsidRPr="00A83E0C">
        <w:t>Внешняя экспертная оценка</w:t>
      </w:r>
    </w:p>
    <w:p w14:paraId="4437E422" w14:textId="77777777" w:rsidR="00DC7BE7" w:rsidRPr="00A83E0C" w:rsidRDefault="00DC7BE7" w:rsidP="00317CCB">
      <w:pPr>
        <w:pStyle w:val="desc"/>
        <w:numPr>
          <w:ilvl w:val="0"/>
          <w:numId w:val="2"/>
        </w:numPr>
        <w:autoSpaceDE w:val="0"/>
        <w:autoSpaceDN w:val="0"/>
        <w:adjustRightInd w:val="0"/>
        <w:spacing w:before="0" w:beforeAutospacing="0" w:after="0" w:afterAutospacing="0"/>
        <w:ind w:left="0" w:firstLine="709"/>
        <w:contextualSpacing/>
      </w:pPr>
      <w:r w:rsidRPr="00A83E0C">
        <w:lastRenderedPageBreak/>
        <w:t>Внутренняя экспертная оценка</w:t>
      </w:r>
    </w:p>
    <w:p w14:paraId="2F37D5DA" w14:textId="77777777" w:rsidR="00DC7BE7" w:rsidRPr="00A83E0C" w:rsidRDefault="00DC7BE7" w:rsidP="00DC7BE7">
      <w:pPr>
        <w:pStyle w:val="desc"/>
        <w:autoSpaceDE w:val="0"/>
        <w:autoSpaceDN w:val="0"/>
        <w:adjustRightInd w:val="0"/>
        <w:spacing w:before="0" w:beforeAutospacing="0" w:after="0" w:afterAutospacing="0"/>
        <w:contextualSpacing/>
      </w:pPr>
      <w:r w:rsidRPr="00A83E0C">
        <w:rPr>
          <w:b/>
        </w:rPr>
        <w:t>Описание метода валидизации рекомендаций:</w:t>
      </w:r>
      <w:r w:rsidRPr="00A83E0C">
        <w:t xml:space="preserve"> </w:t>
      </w:r>
    </w:p>
    <w:p w14:paraId="0C13DC72"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70FCC97E"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14:paraId="2CCADCF0"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7D8AA7E5"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4B57EBAF"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06F97D35" w14:textId="77777777" w:rsidR="00DC7BE7" w:rsidRPr="00A83E0C" w:rsidRDefault="00DC7BE7" w:rsidP="00DC7BE7">
      <w:pPr>
        <w:pStyle w:val="desc"/>
        <w:autoSpaceDE w:val="0"/>
        <w:autoSpaceDN w:val="0"/>
        <w:adjustRightInd w:val="0"/>
        <w:spacing w:before="0" w:beforeAutospacing="0" w:after="0" w:afterAutospacing="0"/>
        <w:contextualSpacing/>
        <w:rPr>
          <w:lang w:val="ru-RU"/>
        </w:rPr>
      </w:pPr>
      <w:r w:rsidRPr="00A83E0C">
        <w:rPr>
          <w:lang w:val="ru-RU"/>
        </w:rPr>
        <w:t>Обновления клинических рекомендаций: актуализация проводится не реже чем один раз в три года</w:t>
      </w:r>
      <w:r w:rsidRPr="00A83E0C">
        <w:rPr>
          <w:bCs/>
          <w:lang w:val="ru-RU"/>
        </w:rPr>
        <w:t xml:space="preserve"> с учетом появившейся новой информации о диагностике и тактике ведения пациентов с РБ. Решение об обновлении принимает МЗ РФ на основе предложений, представленных</w:t>
      </w:r>
      <w:r w:rsidRPr="00A83E0C">
        <w:rPr>
          <w:lang w:val="ru-RU"/>
        </w:rPr>
        <w:t xml:space="preserve"> медицинскими профессиональными некоммерческими организациями</w:t>
      </w:r>
      <w:r w:rsidRPr="00A83E0C">
        <w:rPr>
          <w:bCs/>
          <w:lang w:val="ru-RU"/>
        </w:rPr>
        <w:t xml:space="preserve">. Сформированные предложения должны учитывать результаты комплексной оценки лекарственных препаратов, медицинских изделий, а также </w:t>
      </w:r>
      <w:r w:rsidRPr="00A83E0C">
        <w:rPr>
          <w:lang w:val="ru-RU"/>
        </w:rPr>
        <w:t>результаты клинической апробации.</w:t>
      </w:r>
    </w:p>
    <w:p w14:paraId="2C450B8F" w14:textId="77777777" w:rsidR="00DC7BE7" w:rsidRPr="00A83E0C" w:rsidRDefault="00DC7BE7" w:rsidP="00DC7BE7">
      <w:pPr>
        <w:contextualSpacing/>
        <w:rPr>
          <w:lang w:val="ru-RU"/>
        </w:rPr>
      </w:pPr>
      <w:r w:rsidRPr="00A83E0C">
        <w:rPr>
          <w:lang w:val="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14:paraId="6FD9345A" w14:textId="77777777" w:rsidR="00AC1487" w:rsidRPr="00A83E0C" w:rsidRDefault="00AC1487" w:rsidP="00DC7BE7">
      <w:pPr>
        <w:rPr>
          <w:lang w:val="ru-RU"/>
        </w:rPr>
      </w:pPr>
      <w:r w:rsidRPr="00A83E0C">
        <w:rPr>
          <w:lang w:val="ru-RU"/>
        </w:rPr>
        <w:br w:type="page"/>
      </w:r>
    </w:p>
    <w:p w14:paraId="7ABA64DE" w14:textId="77777777" w:rsidR="008F7C77" w:rsidRPr="00A83E0C" w:rsidRDefault="008F7C77" w:rsidP="000B3A53">
      <w:pPr>
        <w:pStyle w:val="1"/>
      </w:pPr>
      <w:bookmarkStart w:id="39" w:name="__RefHeading___doc_a3"/>
      <w:bookmarkStart w:id="40" w:name="_Toc18427821"/>
      <w:bookmarkStart w:id="41" w:name="_Toc158632236"/>
      <w:r w:rsidRPr="00A83E0C">
        <w:lastRenderedPageBreak/>
        <w:t xml:space="preserve">Приложение А3. </w:t>
      </w:r>
      <w:bookmarkEnd w:id="39"/>
      <w:r w:rsidRPr="00A83E0C">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0"/>
      <w:bookmarkEnd w:id="41"/>
    </w:p>
    <w:p w14:paraId="5BBC825F" w14:textId="77777777" w:rsidR="008F7C77" w:rsidRPr="00A83E0C" w:rsidRDefault="008F7C77" w:rsidP="008F7C77">
      <w:pPr>
        <w:rPr>
          <w:lang w:val="ru-RU"/>
        </w:rPr>
      </w:pPr>
      <w:r w:rsidRPr="00A83E0C">
        <w:rPr>
          <w:lang w:val="ru-RU"/>
        </w:rPr>
        <w:t xml:space="preserve">Актуальные инструкции к лекарственным препаратам, упоминаемым в данных клинических рекомендациях, можно найти на сайте </w:t>
      </w:r>
      <w:r w:rsidRPr="00A83E0C">
        <w:t>http</w:t>
      </w:r>
      <w:r w:rsidRPr="00A83E0C">
        <w:rPr>
          <w:lang w:val="ru-RU"/>
        </w:rPr>
        <w:t>://</w:t>
      </w:r>
      <w:r w:rsidRPr="00A83E0C">
        <w:t>grls</w:t>
      </w:r>
      <w:r w:rsidRPr="00A83E0C">
        <w:rPr>
          <w:lang w:val="ru-RU"/>
        </w:rPr>
        <w:t>.</w:t>
      </w:r>
      <w:r w:rsidRPr="00A83E0C">
        <w:t>rosminzdrav</w:t>
      </w:r>
      <w:r w:rsidRPr="00A83E0C">
        <w:rPr>
          <w:lang w:val="ru-RU"/>
        </w:rPr>
        <w:t>.</w:t>
      </w:r>
      <w:r w:rsidRPr="00A83E0C">
        <w:t>ru</w:t>
      </w:r>
      <w:r w:rsidRPr="00A83E0C">
        <w:rPr>
          <w:lang w:val="ru-RU"/>
        </w:rPr>
        <w:t>.</w:t>
      </w:r>
    </w:p>
    <w:p w14:paraId="69E25BBD" w14:textId="77777777" w:rsidR="002E4556" w:rsidRPr="00A83E0C" w:rsidRDefault="002E4556" w:rsidP="000B3A53">
      <w:pPr>
        <w:pStyle w:val="1"/>
      </w:pPr>
      <w:bookmarkStart w:id="42" w:name="_Toc158632237"/>
      <w:r w:rsidRPr="00A83E0C">
        <w:lastRenderedPageBreak/>
        <w:t xml:space="preserve">Приложение Б. Алгоритм </w:t>
      </w:r>
      <w:r w:rsidR="0091639F" w:rsidRPr="00A83E0C">
        <w:t>действий врача</w:t>
      </w:r>
      <w:bookmarkEnd w:id="42"/>
    </w:p>
    <w:p w14:paraId="2BE64AB6" w14:textId="7CA17CFB" w:rsidR="00121C5E" w:rsidRPr="00A83E0C" w:rsidRDefault="005A67FA" w:rsidP="00016960">
      <w:pPr>
        <w:rPr>
          <w:lang w:val="ru-RU"/>
        </w:rPr>
      </w:pPr>
      <w:r w:rsidRPr="00A83E0C">
        <w:rPr>
          <w:lang w:val="ru-RU"/>
        </w:rPr>
        <w:t xml:space="preserve">Схема 1. Блок-схема диагностики и лечения </w:t>
      </w:r>
      <w:r w:rsidR="00E6788B" w:rsidRPr="00A83E0C">
        <w:rPr>
          <w:lang w:val="ru-RU"/>
        </w:rPr>
        <w:t xml:space="preserve">пациента </w:t>
      </w:r>
      <w:r w:rsidRPr="00A83E0C">
        <w:rPr>
          <w:lang w:val="ru-RU"/>
        </w:rPr>
        <w:t xml:space="preserve">раком </w:t>
      </w:r>
      <w:r w:rsidR="0062502F" w:rsidRPr="00A83E0C">
        <w:rPr>
          <w:lang w:val="ru-RU"/>
        </w:rPr>
        <w:t>поджелудочной желез</w:t>
      </w:r>
      <w:r w:rsidR="00475A6E">
        <w:rPr>
          <w:lang w:val="ru-RU"/>
        </w:rPr>
        <w:t>ы</w:t>
      </w:r>
    </w:p>
    <w:p w14:paraId="1F7F24BE" w14:textId="5B44CC51" w:rsidR="00475A6E" w:rsidRPr="00806384" w:rsidRDefault="00150852">
      <w:pPr>
        <w:spacing w:line="240" w:lineRule="auto"/>
        <w:ind w:firstLine="0"/>
        <w:jc w:val="left"/>
        <w:rPr>
          <w:lang w:val="ru-RU"/>
        </w:rPr>
      </w:pPr>
      <w:bookmarkStart w:id="43" w:name="_Toc467601725"/>
      <w:r>
        <w:rPr>
          <w:noProof/>
          <w:lang w:val="ru-RU"/>
        </w:rPr>
        <w:drawing>
          <wp:inline distT="0" distB="0" distL="0" distR="0" wp14:anchorId="24388741" wp14:editId="6800847C">
            <wp:extent cx="6248400" cy="6890385"/>
            <wp:effectExtent l="0" t="0" r="0" b="0"/>
            <wp:docPr id="17061867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6890385"/>
                    </a:xfrm>
                    <a:prstGeom prst="rect">
                      <a:avLst/>
                    </a:prstGeom>
                    <a:noFill/>
                  </pic:spPr>
                </pic:pic>
              </a:graphicData>
            </a:graphic>
          </wp:inline>
        </w:drawing>
      </w:r>
    </w:p>
    <w:p w14:paraId="2AC43A1D" w14:textId="51A419D0" w:rsidR="00475A6E" w:rsidRDefault="00475A6E">
      <w:pPr>
        <w:spacing w:line="240" w:lineRule="auto"/>
        <w:ind w:firstLine="0"/>
        <w:jc w:val="left"/>
        <w:rPr>
          <w:lang w:val="ru-RU"/>
        </w:rPr>
      </w:pPr>
      <w:r>
        <w:rPr>
          <w:lang w:val="ru-RU"/>
        </w:rPr>
        <w:br w:type="page"/>
      </w:r>
    </w:p>
    <w:p w14:paraId="1DDCBC2E" w14:textId="160DCED3" w:rsidR="001647C9" w:rsidRPr="00475A6E" w:rsidRDefault="001647C9" w:rsidP="00806384">
      <w:pPr>
        <w:pStyle w:val="1"/>
      </w:pPr>
      <w:bookmarkStart w:id="44" w:name="_Toc158632238"/>
      <w:r w:rsidRPr="00475A6E">
        <w:lastRenderedPageBreak/>
        <w:t>Приложение В. Информация для пациента</w:t>
      </w:r>
      <w:bookmarkEnd w:id="43"/>
      <w:bookmarkEnd w:id="44"/>
    </w:p>
    <w:p w14:paraId="2810E8B3" w14:textId="33E33ED4" w:rsidR="00996A3D" w:rsidRPr="00A83E0C" w:rsidRDefault="00806384" w:rsidP="00806384">
      <w:pPr>
        <w:rPr>
          <w:lang w:val="ru-RU"/>
        </w:rPr>
      </w:pPr>
      <w:r w:rsidRPr="00806384">
        <w:rPr>
          <w:lang w:val="ru-RU"/>
        </w:rPr>
        <w:t xml:space="preserve">Информация для пациентов о диагностике, лечении и профилактике рака поджелудочной железы представлена на страницах профессиональных сообществ пациентов, например: </w:t>
      </w:r>
      <w:hyperlink r:id="rId9">
        <w:r w:rsidRPr="00806384">
          <w:rPr>
            <w:lang w:val="ru-RU"/>
          </w:rPr>
          <w:t>http://www.russcpa.ru/patsientam/</w:t>
        </w:r>
      </w:hyperlink>
      <w:r w:rsidRPr="00806384">
        <w:rPr>
          <w:lang w:val="ru-RU"/>
        </w:rPr>
        <w:t xml:space="preserve"> </w:t>
      </w:r>
    </w:p>
    <w:p w14:paraId="2BBBE4AF" w14:textId="61681E53" w:rsidR="000734FE" w:rsidRPr="00A83E0C" w:rsidRDefault="000734FE" w:rsidP="000B3A53">
      <w:pPr>
        <w:pStyle w:val="1"/>
      </w:pPr>
      <w:bookmarkStart w:id="45" w:name="_Toc18427823"/>
      <w:bookmarkStart w:id="46" w:name="_Toc158632239"/>
      <w:r w:rsidRPr="00A83E0C">
        <w:lastRenderedPageBreak/>
        <w:t xml:space="preserve">Приложение Г1. </w:t>
      </w:r>
      <w:bookmarkEnd w:id="45"/>
      <w:r w:rsidRPr="00A83E0C">
        <w:t>Шкала оценки тяжести состояния пациента по версии ВОЗ/</w:t>
      </w:r>
      <w:r w:rsidRPr="00A83E0C">
        <w:rPr>
          <w:lang w:val="en-US"/>
        </w:rPr>
        <w:t>ECOG</w:t>
      </w:r>
      <w:r w:rsidR="00C15198" w:rsidRPr="00A83E0C">
        <w:rPr>
          <w:lang w:val="en-US"/>
        </w:rPr>
        <w:fldChar w:fldCharType="begin"/>
      </w:r>
      <w:r w:rsidR="004034C1">
        <w:instrText xml:space="preserve"> ADDIN ZOTERO_ITEM CSL_CITATION {"citationID":"2CoeogFM","properties":{"formattedCitation":"[201]","plainCitation":"[201]","noteIndex":0},"citationItems":[{"id":351,"uris":["http://zotero.org/users/5363772/items/9XERJX76",["http://zotero.org/users/5363772/items/9XERJX76"]],"itemData":{"id":351,"type":"article-journal","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trials.\n© Lippincott-Raven Publishers.","container-title":"American Journal of Clinical Oncology","ISSN":"0277-3732","issue":"6","title":"Toxicity and response criteria of the Eastern Cooperative Oncology Group","URL":"https://journals.lww.com/amjclinicaloncology/Fulltext/1982/12000/Toxicity_and_response_criteria_of_the_Eastern.14.aspx","volume":"5","author":[{"family":"Oken","given":"Martin M."},{"family":"Creech","given":"Richard H."},{"family":"Tormey","given":"Douglass C."},{"family":"Horton","given":"John"},{"family":"Davis","given":"Thomas E."},{"family":"McFadden","given":"Eleanor T."},{"family":"Carbone","given":"Paul P."}],"issued":{"date-parts":[["1982"]]}}}],"schema":"https://github.com/citation-style-language/schema/raw/master/csl-citation.json"} </w:instrText>
      </w:r>
      <w:r w:rsidR="00C15198" w:rsidRPr="00A83E0C">
        <w:rPr>
          <w:lang w:val="en-US"/>
        </w:rPr>
        <w:fldChar w:fldCharType="separate"/>
      </w:r>
      <w:bookmarkEnd w:id="46"/>
      <w:r w:rsidR="004034C1" w:rsidRPr="004034C1">
        <w:t>[201]</w:t>
      </w:r>
      <w:r w:rsidR="00C15198" w:rsidRPr="00A83E0C">
        <w:rPr>
          <w:lang w:val="en-US"/>
        </w:rPr>
        <w:fldChar w:fldCharType="end"/>
      </w:r>
    </w:p>
    <w:p w14:paraId="6240D641" w14:textId="77777777" w:rsidR="000734FE" w:rsidRPr="00A83E0C" w:rsidRDefault="000734FE" w:rsidP="000734FE">
      <w:pPr>
        <w:ind w:firstLine="0"/>
        <w:rPr>
          <w:lang w:val="ru-RU"/>
        </w:rPr>
      </w:pPr>
      <w:r w:rsidRPr="00A83E0C">
        <w:rPr>
          <w:color w:val="000000"/>
          <w:lang w:val="ru-RU" w:bidi="ru-RU"/>
        </w:rPr>
        <w:t xml:space="preserve">Название на русском языке: </w:t>
      </w:r>
      <w:r w:rsidRPr="00A83E0C">
        <w:rPr>
          <w:iCs/>
          <w:lang w:val="ru-RU"/>
        </w:rPr>
        <w:t>Шкала оценки тяжести состояния пациента по версии ВОЗ/</w:t>
      </w:r>
      <w:r w:rsidRPr="00A83E0C">
        <w:rPr>
          <w:iCs/>
        </w:rPr>
        <w:t>ECOG</w:t>
      </w:r>
    </w:p>
    <w:p w14:paraId="6C685CCB" w14:textId="77777777" w:rsidR="000734FE" w:rsidRPr="00A83E0C" w:rsidRDefault="000734FE" w:rsidP="000734FE">
      <w:pPr>
        <w:pStyle w:val="aff7"/>
        <w:spacing w:after="0"/>
        <w:ind w:firstLine="0"/>
        <w:rPr>
          <w:rFonts w:cs="Times New Roman"/>
          <w:i w:val="0"/>
          <w:color w:val="000000"/>
          <w:lang w:val="en-US" w:eastAsia="ru-RU" w:bidi="ru-RU"/>
        </w:rPr>
      </w:pPr>
      <w:r w:rsidRPr="00A83E0C">
        <w:rPr>
          <w:rFonts w:cs="Times New Roman"/>
          <w:i w:val="0"/>
          <w:color w:val="000000"/>
          <w:lang w:eastAsia="ru-RU" w:bidi="ru-RU"/>
        </w:rPr>
        <w:t>Оригинальное</w:t>
      </w:r>
      <w:r w:rsidRPr="00A83E0C">
        <w:rPr>
          <w:rFonts w:cs="Times New Roman"/>
          <w:i w:val="0"/>
          <w:color w:val="000000"/>
          <w:lang w:val="en-US" w:eastAsia="ru-RU" w:bidi="ru-RU"/>
        </w:rPr>
        <w:t xml:space="preserve"> </w:t>
      </w:r>
      <w:r w:rsidRPr="00A83E0C">
        <w:rPr>
          <w:rFonts w:cs="Times New Roman"/>
          <w:i w:val="0"/>
          <w:color w:val="000000"/>
          <w:lang w:eastAsia="ru-RU" w:bidi="ru-RU"/>
        </w:rPr>
        <w:t>название</w:t>
      </w:r>
      <w:r w:rsidRPr="00A83E0C">
        <w:rPr>
          <w:rFonts w:cs="Times New Roman"/>
          <w:i w:val="0"/>
          <w:color w:val="000000"/>
          <w:lang w:val="en-US" w:eastAsia="ru-RU" w:bidi="ru-RU"/>
        </w:rPr>
        <w:t>: The Eastern Cooperative Oncology Group/World Health Organization Performance Status (ECOG/WHO PS)</w:t>
      </w:r>
    </w:p>
    <w:p w14:paraId="7ABCC823" w14:textId="77777777" w:rsidR="000734FE" w:rsidRPr="00A83E0C" w:rsidRDefault="000734FE" w:rsidP="000734FE">
      <w:pPr>
        <w:pStyle w:val="aff7"/>
        <w:spacing w:after="0"/>
        <w:ind w:firstLine="0"/>
        <w:rPr>
          <w:rFonts w:cs="Times New Roman"/>
          <w:b/>
          <w:color w:val="FF0000"/>
          <w:lang w:eastAsia="ru-RU" w:bidi="ru-RU"/>
        </w:rPr>
      </w:pPr>
      <w:r w:rsidRPr="00A83E0C">
        <w:rPr>
          <w:rFonts w:cs="Times New Roman"/>
          <w:i w:val="0"/>
          <w:color w:val="000000"/>
          <w:lang w:eastAsia="ru-RU" w:bidi="ru-RU"/>
        </w:rPr>
        <w:t>Источник (официальный сайт разработчиков, публикация с валидацией):</w:t>
      </w:r>
      <w:r w:rsidRPr="00A83E0C">
        <w:rPr>
          <w:rFonts w:cs="Times New Roman"/>
          <w:b/>
          <w:color w:val="FF0000"/>
          <w:lang w:eastAsia="ru-RU" w:bidi="ru-RU"/>
        </w:rPr>
        <w:t xml:space="preserve"> </w:t>
      </w:r>
      <w:r w:rsidRPr="00A83E0C">
        <w:rPr>
          <w:rFonts w:cs="Times New Roman"/>
          <w:b/>
          <w:lang w:eastAsia="ru-RU" w:bidi="ru-RU"/>
        </w:rPr>
        <w:t>https://ecog-acrin.org/resources/ecog-performance-status</w:t>
      </w:r>
    </w:p>
    <w:p w14:paraId="3756D23D" w14:textId="77777777" w:rsidR="000734FE" w:rsidRPr="00A83E0C" w:rsidRDefault="000734FE" w:rsidP="000734FE">
      <w:pPr>
        <w:pStyle w:val="aff7"/>
        <w:spacing w:after="0"/>
        <w:ind w:firstLine="0"/>
        <w:rPr>
          <w:rFonts w:cs="Times New Roman"/>
          <w:i w:val="0"/>
          <w:color w:val="000000"/>
          <w:lang w:eastAsia="ru-RU" w:bidi="ru-RU"/>
        </w:rPr>
      </w:pPr>
      <w:r w:rsidRPr="00A83E0C">
        <w:rPr>
          <w:rFonts w:cs="Times New Roman"/>
          <w:noProof/>
          <w:lang w:val="en-US"/>
        </w:rPr>
        <w:t xml:space="preserve">Oken MM, Creech RH, Tormey DC, Horton J, Davis TE, McFadden ET, Carbone PP: </w:t>
      </w:r>
      <w:r w:rsidRPr="00A83E0C">
        <w:rPr>
          <w:rFonts w:cs="Times New Roman"/>
          <w:b/>
          <w:noProof/>
          <w:lang w:val="en-US"/>
        </w:rPr>
        <w:t>Toxicity and response criteria of the Eastern Cooperative Oncology Group</w:t>
      </w:r>
      <w:r w:rsidRPr="00A83E0C">
        <w:rPr>
          <w:rFonts w:cs="Times New Roman"/>
          <w:noProof/>
          <w:lang w:val="en-US"/>
        </w:rPr>
        <w:t xml:space="preserve">. </w:t>
      </w:r>
      <w:r w:rsidRPr="00A83E0C">
        <w:rPr>
          <w:rFonts w:cs="Times New Roman"/>
          <w:i w:val="0"/>
          <w:noProof/>
        </w:rPr>
        <w:t xml:space="preserve">Am J Clin Oncol </w:t>
      </w:r>
      <w:r w:rsidRPr="00A83E0C">
        <w:rPr>
          <w:rFonts w:cs="Times New Roman"/>
          <w:noProof/>
        </w:rPr>
        <w:t xml:space="preserve">1982, </w:t>
      </w:r>
      <w:r w:rsidRPr="00A83E0C">
        <w:rPr>
          <w:rFonts w:cs="Times New Roman"/>
          <w:b/>
          <w:noProof/>
        </w:rPr>
        <w:t>5</w:t>
      </w:r>
      <w:r w:rsidRPr="00A83E0C">
        <w:rPr>
          <w:rFonts w:cs="Times New Roman"/>
          <w:noProof/>
        </w:rPr>
        <w:t>(6):649-655</w:t>
      </w:r>
    </w:p>
    <w:p w14:paraId="18CC3AD1" w14:textId="77777777" w:rsidR="000734FE" w:rsidRPr="00A83E0C" w:rsidRDefault="000734FE" w:rsidP="000734FE">
      <w:pPr>
        <w:pStyle w:val="aff7"/>
        <w:spacing w:after="0"/>
        <w:ind w:firstLine="0"/>
        <w:rPr>
          <w:rFonts w:cs="Times New Roman"/>
          <w:i w:val="0"/>
          <w:color w:val="000000"/>
          <w:lang w:eastAsia="ru-RU" w:bidi="ru-RU"/>
        </w:rPr>
      </w:pPr>
      <w:r w:rsidRPr="00A83E0C">
        <w:rPr>
          <w:rFonts w:cs="Times New Roman"/>
          <w:i w:val="0"/>
          <w:color w:val="000000"/>
          <w:lang w:eastAsia="ru-RU" w:bidi="ru-RU"/>
        </w:rPr>
        <w:t>Тип: шкала оценки</w:t>
      </w:r>
    </w:p>
    <w:p w14:paraId="6DF9106E" w14:textId="77777777" w:rsidR="000734FE" w:rsidRPr="00A83E0C" w:rsidRDefault="000734FE" w:rsidP="000734FE">
      <w:pPr>
        <w:pStyle w:val="aff7"/>
        <w:spacing w:after="0"/>
        <w:ind w:firstLine="0"/>
        <w:rPr>
          <w:rFonts w:cs="Times New Roman"/>
          <w:color w:val="000000"/>
          <w:lang w:eastAsia="ru-RU" w:bidi="ru-RU"/>
        </w:rPr>
      </w:pPr>
      <w:r w:rsidRPr="00A83E0C">
        <w:rPr>
          <w:rFonts w:cs="Times New Roman"/>
          <w:i w:val="0"/>
          <w:color w:val="000000"/>
          <w:lang w:eastAsia="ru-RU" w:bidi="ru-RU"/>
        </w:rPr>
        <w:t>Назначение:</w:t>
      </w:r>
      <w:r w:rsidRPr="00A83E0C">
        <w:rPr>
          <w:rFonts w:cs="Times New Roman"/>
        </w:rPr>
        <w:t xml:space="preserve"> </w:t>
      </w:r>
      <w:r w:rsidRPr="00A83E0C">
        <w:rPr>
          <w:rFonts w:cs="Times New Roman"/>
          <w:i w:val="0"/>
          <w:color w:val="000000"/>
          <w:lang w:eastAsia="ru-RU" w:bidi="ru-RU"/>
        </w:rPr>
        <w:t>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06F8481F" w14:textId="77777777" w:rsidR="000734FE" w:rsidRPr="00A83E0C" w:rsidRDefault="000734FE" w:rsidP="000734FE">
      <w:pPr>
        <w:pStyle w:val="aff7"/>
        <w:spacing w:after="0"/>
        <w:ind w:firstLine="0"/>
        <w:rPr>
          <w:rFonts w:cs="Times New Roman"/>
          <w:i w:val="0"/>
          <w:color w:val="000000"/>
          <w:lang w:eastAsia="ru-RU" w:bidi="ru-RU"/>
        </w:rPr>
      </w:pPr>
      <w:r w:rsidRPr="00A83E0C">
        <w:rPr>
          <w:rFonts w:cs="Times New Roman"/>
          <w:i w:val="0"/>
          <w:color w:val="000000"/>
          <w:lang w:eastAsia="ru-RU" w:bidi="ru-RU"/>
        </w:rPr>
        <w:t>Содержание:</w:t>
      </w:r>
    </w:p>
    <w:tbl>
      <w:tblPr>
        <w:tblW w:w="9371" w:type="dxa"/>
        <w:tblInd w:w="15" w:type="dxa"/>
        <w:tblCellMar>
          <w:top w:w="15" w:type="dxa"/>
          <w:left w:w="15" w:type="dxa"/>
          <w:bottom w:w="15" w:type="dxa"/>
          <w:right w:w="15" w:type="dxa"/>
        </w:tblCellMar>
        <w:tblLook w:val="00A0" w:firstRow="1" w:lastRow="0" w:firstColumn="1" w:lastColumn="0" w:noHBand="0" w:noVBand="0"/>
      </w:tblPr>
      <w:tblGrid>
        <w:gridCol w:w="866"/>
        <w:gridCol w:w="8505"/>
      </w:tblGrid>
      <w:tr w:rsidR="000734FE" w:rsidRPr="00A83E0C" w14:paraId="6F53075C" w14:textId="77777777" w:rsidTr="00EA194E">
        <w:trPr>
          <w:trHeight w:val="523"/>
        </w:trPr>
        <w:tc>
          <w:tcPr>
            <w:tcW w:w="866" w:type="dxa"/>
            <w:tcBorders>
              <w:top w:val="single" w:sz="2" w:space="0" w:color="7F7F7F"/>
              <w:left w:val="single" w:sz="2" w:space="0" w:color="7C7C7C"/>
              <w:bottom w:val="single" w:sz="2" w:space="0" w:color="7F7F7F"/>
              <w:right w:val="single" w:sz="2" w:space="0" w:color="7C7C7C"/>
            </w:tcBorders>
            <w:vAlign w:val="center"/>
          </w:tcPr>
          <w:p w14:paraId="7DF37FFC" w14:textId="77777777" w:rsidR="000734FE" w:rsidRPr="00A83E0C" w:rsidRDefault="000734FE" w:rsidP="00C73318">
            <w:pPr>
              <w:spacing w:line="240" w:lineRule="auto"/>
              <w:ind w:firstLine="0"/>
              <w:jc w:val="center"/>
              <w:rPr>
                <w:b/>
                <w:bCs/>
              </w:rPr>
            </w:pPr>
            <w:r w:rsidRPr="00A83E0C">
              <w:rPr>
                <w:b/>
                <w:bCs/>
              </w:rPr>
              <w:t>Балл</w:t>
            </w:r>
          </w:p>
        </w:tc>
        <w:tc>
          <w:tcPr>
            <w:tcW w:w="8505" w:type="dxa"/>
            <w:tcBorders>
              <w:top w:val="single" w:sz="2" w:space="0" w:color="7F7F7F"/>
              <w:left w:val="single" w:sz="2" w:space="0" w:color="7C7C7C"/>
              <w:bottom w:val="single" w:sz="2" w:space="0" w:color="7F7F7F"/>
              <w:right w:val="single" w:sz="2" w:space="0" w:color="7C7C7C"/>
            </w:tcBorders>
            <w:vAlign w:val="center"/>
          </w:tcPr>
          <w:p w14:paraId="0181E5A1" w14:textId="77777777" w:rsidR="000734FE" w:rsidRPr="00A83E0C" w:rsidRDefault="000734FE" w:rsidP="00C73318">
            <w:pPr>
              <w:spacing w:line="240" w:lineRule="auto"/>
              <w:ind w:firstLine="0"/>
              <w:jc w:val="center"/>
              <w:rPr>
                <w:b/>
                <w:bCs/>
              </w:rPr>
            </w:pPr>
            <w:r w:rsidRPr="00A83E0C">
              <w:rPr>
                <w:b/>
                <w:bCs/>
              </w:rPr>
              <w:t>Описание</w:t>
            </w:r>
          </w:p>
        </w:tc>
      </w:tr>
      <w:tr w:rsidR="000734FE" w:rsidRPr="0060277C" w14:paraId="7586FEFE" w14:textId="77777777" w:rsidTr="005A615D">
        <w:trPr>
          <w:trHeight w:val="873"/>
        </w:trPr>
        <w:tc>
          <w:tcPr>
            <w:tcW w:w="866" w:type="dxa"/>
            <w:tcBorders>
              <w:top w:val="single" w:sz="2" w:space="0" w:color="7F7F7F"/>
              <w:left w:val="single" w:sz="2" w:space="0" w:color="7C7C7C"/>
              <w:bottom w:val="single" w:sz="2" w:space="0" w:color="7F7F7F"/>
              <w:right w:val="single" w:sz="2" w:space="0" w:color="7C7C7C"/>
            </w:tcBorders>
            <w:vAlign w:val="center"/>
          </w:tcPr>
          <w:p w14:paraId="5F4E4543" w14:textId="77777777" w:rsidR="000734FE" w:rsidRPr="00A83E0C" w:rsidRDefault="000734FE" w:rsidP="00C73318">
            <w:pPr>
              <w:spacing w:line="240" w:lineRule="auto"/>
              <w:ind w:firstLine="0"/>
              <w:jc w:val="center"/>
            </w:pPr>
            <w:r w:rsidRPr="00A83E0C">
              <w:t>0</w:t>
            </w:r>
          </w:p>
        </w:tc>
        <w:tc>
          <w:tcPr>
            <w:tcW w:w="8505" w:type="dxa"/>
            <w:tcBorders>
              <w:top w:val="single" w:sz="2" w:space="0" w:color="7F7F7F"/>
              <w:left w:val="single" w:sz="2" w:space="0" w:color="7C7C7C"/>
              <w:bottom w:val="single" w:sz="2" w:space="0" w:color="7F7F7F"/>
              <w:right w:val="single" w:sz="2" w:space="0" w:color="7C7C7C"/>
            </w:tcBorders>
            <w:vAlign w:val="center"/>
          </w:tcPr>
          <w:p w14:paraId="58C415D9" w14:textId="77777777" w:rsidR="000734FE" w:rsidRPr="00A83E0C" w:rsidRDefault="000734FE" w:rsidP="00C73318">
            <w:pPr>
              <w:spacing w:line="240" w:lineRule="auto"/>
              <w:ind w:firstLine="0"/>
              <w:rPr>
                <w:lang w:val="ru-RU"/>
              </w:rPr>
            </w:pPr>
            <w:r w:rsidRPr="00A83E0C">
              <w:rPr>
                <w:lang w:val="ru-RU"/>
              </w:rPr>
              <w:t xml:space="preserve">Пациент полностью активен, способен выполнять все, как и до заболевания (90–100 % по шкале Карновского) </w:t>
            </w:r>
          </w:p>
        </w:tc>
      </w:tr>
      <w:tr w:rsidR="000734FE" w:rsidRPr="00A83E0C" w14:paraId="46A6A801" w14:textId="77777777" w:rsidTr="005A615D">
        <w:tc>
          <w:tcPr>
            <w:tcW w:w="866" w:type="dxa"/>
            <w:tcBorders>
              <w:top w:val="single" w:sz="2" w:space="0" w:color="7F7F7F"/>
              <w:left w:val="single" w:sz="2" w:space="0" w:color="7C7C7C"/>
              <w:bottom w:val="single" w:sz="2" w:space="0" w:color="7F7F7F"/>
              <w:right w:val="single" w:sz="2" w:space="0" w:color="7C7C7C"/>
            </w:tcBorders>
            <w:vAlign w:val="center"/>
          </w:tcPr>
          <w:p w14:paraId="56F15C52" w14:textId="77777777" w:rsidR="000734FE" w:rsidRPr="00A83E0C" w:rsidRDefault="000734FE" w:rsidP="00C73318">
            <w:pPr>
              <w:spacing w:line="240" w:lineRule="auto"/>
              <w:ind w:firstLine="0"/>
              <w:jc w:val="center"/>
            </w:pPr>
            <w:r w:rsidRPr="00A83E0C">
              <w:t>1</w:t>
            </w:r>
          </w:p>
        </w:tc>
        <w:tc>
          <w:tcPr>
            <w:tcW w:w="8505" w:type="dxa"/>
            <w:tcBorders>
              <w:top w:val="single" w:sz="2" w:space="0" w:color="7F7F7F"/>
              <w:left w:val="single" w:sz="2" w:space="0" w:color="7C7C7C"/>
              <w:bottom w:val="single" w:sz="2" w:space="0" w:color="7F7F7F"/>
              <w:right w:val="single" w:sz="2" w:space="0" w:color="7C7C7C"/>
            </w:tcBorders>
            <w:vAlign w:val="center"/>
          </w:tcPr>
          <w:p w14:paraId="046F8DFC" w14:textId="77777777" w:rsidR="000734FE" w:rsidRPr="00A83E0C" w:rsidRDefault="000734FE" w:rsidP="00C73318">
            <w:pPr>
              <w:spacing w:line="240" w:lineRule="auto"/>
              <w:ind w:firstLine="0"/>
            </w:pPr>
            <w:r w:rsidRPr="00A83E0C">
              <w:rPr>
                <w:lang w:val="ru-RU"/>
              </w:rPr>
              <w:t xml:space="preserve">Пациент неспособен выполнять тяжелую, но может выполнять легкую или сидячую работу (например, легкую домашнюю </w:t>
            </w:r>
            <w:r w:rsidRPr="00A83E0C">
              <w:t xml:space="preserve">или канцелярскую работу, 70–80 % по шкале Карновского) </w:t>
            </w:r>
          </w:p>
        </w:tc>
      </w:tr>
      <w:tr w:rsidR="000734FE" w:rsidRPr="0060277C" w14:paraId="6CFFD605" w14:textId="77777777" w:rsidTr="005A615D">
        <w:tc>
          <w:tcPr>
            <w:tcW w:w="866" w:type="dxa"/>
            <w:tcBorders>
              <w:top w:val="single" w:sz="2" w:space="0" w:color="7F7F7F"/>
              <w:left w:val="single" w:sz="2" w:space="0" w:color="7C7C7C"/>
              <w:bottom w:val="single" w:sz="2" w:space="0" w:color="7F7F7F"/>
              <w:right w:val="single" w:sz="2" w:space="0" w:color="7C7C7C"/>
            </w:tcBorders>
            <w:vAlign w:val="center"/>
          </w:tcPr>
          <w:p w14:paraId="028815B2" w14:textId="77777777" w:rsidR="000734FE" w:rsidRPr="00A83E0C" w:rsidRDefault="000734FE" w:rsidP="00C73318">
            <w:pPr>
              <w:spacing w:line="240" w:lineRule="auto"/>
              <w:ind w:firstLine="0"/>
              <w:jc w:val="center"/>
            </w:pPr>
            <w:r w:rsidRPr="00A83E0C">
              <w:t>2</w:t>
            </w:r>
          </w:p>
        </w:tc>
        <w:tc>
          <w:tcPr>
            <w:tcW w:w="8505" w:type="dxa"/>
            <w:tcBorders>
              <w:top w:val="single" w:sz="2" w:space="0" w:color="7F7F7F"/>
              <w:left w:val="single" w:sz="2" w:space="0" w:color="7C7C7C"/>
              <w:bottom w:val="single" w:sz="2" w:space="0" w:color="7F7F7F"/>
              <w:right w:val="single" w:sz="2" w:space="0" w:color="7C7C7C"/>
            </w:tcBorders>
            <w:vAlign w:val="center"/>
          </w:tcPr>
          <w:p w14:paraId="39B4ED49" w14:textId="77777777" w:rsidR="000734FE" w:rsidRPr="00A83E0C" w:rsidRDefault="000734FE" w:rsidP="00C73318">
            <w:pPr>
              <w:spacing w:line="240" w:lineRule="auto"/>
              <w:ind w:firstLine="0"/>
              <w:rPr>
                <w:lang w:val="ru-RU"/>
              </w:rPr>
            </w:pPr>
            <w:r w:rsidRPr="00A83E0C">
              <w:rPr>
                <w:lang w:val="ru-RU"/>
              </w:rPr>
              <w:t xml:space="preserve">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Карновского) </w:t>
            </w:r>
          </w:p>
        </w:tc>
      </w:tr>
      <w:tr w:rsidR="000734FE" w:rsidRPr="0060277C" w14:paraId="0904A49D" w14:textId="77777777" w:rsidTr="005A615D">
        <w:tc>
          <w:tcPr>
            <w:tcW w:w="866" w:type="dxa"/>
            <w:tcBorders>
              <w:top w:val="single" w:sz="2" w:space="0" w:color="7F7F7F"/>
              <w:left w:val="single" w:sz="2" w:space="0" w:color="7C7C7C"/>
              <w:bottom w:val="single" w:sz="2" w:space="0" w:color="7F7F7F"/>
              <w:right w:val="single" w:sz="2" w:space="0" w:color="7C7C7C"/>
            </w:tcBorders>
            <w:vAlign w:val="center"/>
          </w:tcPr>
          <w:p w14:paraId="2DC2801E" w14:textId="77777777" w:rsidR="000734FE" w:rsidRPr="00A83E0C" w:rsidRDefault="000734FE" w:rsidP="00C73318">
            <w:pPr>
              <w:spacing w:line="240" w:lineRule="auto"/>
              <w:ind w:firstLine="0"/>
              <w:jc w:val="center"/>
            </w:pPr>
            <w:r w:rsidRPr="00A83E0C">
              <w:t>3</w:t>
            </w:r>
          </w:p>
        </w:tc>
        <w:tc>
          <w:tcPr>
            <w:tcW w:w="8505" w:type="dxa"/>
            <w:tcBorders>
              <w:top w:val="single" w:sz="2" w:space="0" w:color="7F7F7F"/>
              <w:left w:val="single" w:sz="2" w:space="0" w:color="7C7C7C"/>
              <w:bottom w:val="single" w:sz="2" w:space="0" w:color="7F7F7F"/>
              <w:right w:val="single" w:sz="2" w:space="0" w:color="7C7C7C"/>
            </w:tcBorders>
            <w:vAlign w:val="center"/>
          </w:tcPr>
          <w:p w14:paraId="19B9D3F2" w14:textId="77777777" w:rsidR="000734FE" w:rsidRPr="00A83E0C" w:rsidRDefault="000734FE" w:rsidP="00C73318">
            <w:pPr>
              <w:spacing w:line="240" w:lineRule="auto"/>
              <w:ind w:firstLine="0"/>
              <w:rPr>
                <w:lang w:val="ru-RU"/>
              </w:rPr>
            </w:pPr>
            <w:r w:rsidRPr="00A83E0C">
              <w:rPr>
                <w:lang w:val="ru-RU"/>
              </w:rPr>
              <w:t xml:space="preserve">Пациент способен лишь к ограниченному самообслуживанию, проводит в кресле или постели более 50 % времени бодрствования (30–40 % по шкале Карновского) </w:t>
            </w:r>
          </w:p>
        </w:tc>
      </w:tr>
      <w:tr w:rsidR="000734FE" w:rsidRPr="0060277C" w14:paraId="6D2C7461" w14:textId="77777777" w:rsidTr="005A615D">
        <w:tc>
          <w:tcPr>
            <w:tcW w:w="866" w:type="dxa"/>
            <w:tcBorders>
              <w:top w:val="single" w:sz="2" w:space="0" w:color="7F7F7F"/>
              <w:left w:val="single" w:sz="2" w:space="0" w:color="7C7C7C"/>
              <w:bottom w:val="single" w:sz="2" w:space="0" w:color="7F7F7F"/>
              <w:right w:val="single" w:sz="2" w:space="0" w:color="7C7C7C"/>
            </w:tcBorders>
            <w:vAlign w:val="center"/>
          </w:tcPr>
          <w:p w14:paraId="122BC945" w14:textId="77777777" w:rsidR="000734FE" w:rsidRPr="00A83E0C" w:rsidRDefault="000734FE" w:rsidP="00C73318">
            <w:pPr>
              <w:spacing w:line="240" w:lineRule="auto"/>
              <w:ind w:firstLine="0"/>
              <w:jc w:val="center"/>
            </w:pPr>
            <w:r w:rsidRPr="00A83E0C">
              <w:t>4</w:t>
            </w:r>
          </w:p>
        </w:tc>
        <w:tc>
          <w:tcPr>
            <w:tcW w:w="8505" w:type="dxa"/>
            <w:tcBorders>
              <w:top w:val="single" w:sz="2" w:space="0" w:color="7F7F7F"/>
              <w:left w:val="single" w:sz="2" w:space="0" w:color="7C7C7C"/>
              <w:bottom w:val="single" w:sz="2" w:space="0" w:color="7F7F7F"/>
              <w:right w:val="single" w:sz="2" w:space="0" w:color="7C7C7C"/>
            </w:tcBorders>
            <w:vAlign w:val="center"/>
          </w:tcPr>
          <w:p w14:paraId="34D51251" w14:textId="77777777" w:rsidR="000734FE" w:rsidRPr="00A83E0C" w:rsidRDefault="000734FE" w:rsidP="00C73318">
            <w:pPr>
              <w:spacing w:line="240" w:lineRule="auto"/>
              <w:ind w:firstLine="0"/>
              <w:rPr>
                <w:lang w:val="ru-RU"/>
              </w:rPr>
            </w:pPr>
            <w:r w:rsidRPr="00A83E0C">
              <w:rPr>
                <w:lang w:val="ru-RU"/>
              </w:rPr>
              <w:t xml:space="preserve">Инвалид, совершенно не способен к самообслуживанию, прикован к креслу или постели (10–20 % по шкале Карновского) </w:t>
            </w:r>
          </w:p>
        </w:tc>
      </w:tr>
      <w:tr w:rsidR="00C73318" w:rsidRPr="00A83E0C" w14:paraId="2FABCC93" w14:textId="77777777" w:rsidTr="005A615D">
        <w:tc>
          <w:tcPr>
            <w:tcW w:w="866" w:type="dxa"/>
            <w:tcBorders>
              <w:top w:val="single" w:sz="2" w:space="0" w:color="7F7F7F"/>
              <w:left w:val="single" w:sz="2" w:space="0" w:color="7C7C7C"/>
              <w:bottom w:val="single" w:sz="2" w:space="0" w:color="7F7F7F"/>
              <w:right w:val="single" w:sz="2" w:space="0" w:color="7C7C7C"/>
            </w:tcBorders>
            <w:vAlign w:val="center"/>
          </w:tcPr>
          <w:p w14:paraId="5D79ADF7" w14:textId="77777777" w:rsidR="00C73318" w:rsidRPr="00A83E0C" w:rsidRDefault="00C73318" w:rsidP="00C73318">
            <w:pPr>
              <w:spacing w:line="240" w:lineRule="auto"/>
              <w:ind w:firstLine="0"/>
              <w:jc w:val="center"/>
              <w:rPr>
                <w:lang w:val="ru-RU"/>
              </w:rPr>
            </w:pPr>
            <w:r w:rsidRPr="00A83E0C">
              <w:rPr>
                <w:lang w:val="ru-RU"/>
              </w:rPr>
              <w:t>5</w:t>
            </w:r>
          </w:p>
        </w:tc>
        <w:tc>
          <w:tcPr>
            <w:tcW w:w="8505" w:type="dxa"/>
            <w:tcBorders>
              <w:top w:val="single" w:sz="2" w:space="0" w:color="7F7F7F"/>
              <w:left w:val="single" w:sz="2" w:space="0" w:color="7C7C7C"/>
              <w:bottom w:val="single" w:sz="2" w:space="0" w:color="7F7F7F"/>
              <w:right w:val="single" w:sz="2" w:space="0" w:color="7C7C7C"/>
            </w:tcBorders>
            <w:vAlign w:val="center"/>
          </w:tcPr>
          <w:p w14:paraId="2013B8F8" w14:textId="77777777" w:rsidR="00C73318" w:rsidRPr="00A83E0C" w:rsidRDefault="00C73318" w:rsidP="00C73318">
            <w:pPr>
              <w:spacing w:line="240" w:lineRule="auto"/>
              <w:ind w:firstLine="0"/>
              <w:rPr>
                <w:lang w:val="ru-RU"/>
              </w:rPr>
            </w:pPr>
            <w:r w:rsidRPr="00A83E0C">
              <w:t>Пациент мертв</w:t>
            </w:r>
          </w:p>
        </w:tc>
      </w:tr>
    </w:tbl>
    <w:p w14:paraId="6CD3EC01" w14:textId="77777777" w:rsidR="000734FE" w:rsidRPr="00A83E0C" w:rsidRDefault="000734FE" w:rsidP="000734FE">
      <w:pPr>
        <w:pStyle w:val="aff7"/>
        <w:rPr>
          <w:rFonts w:cs="Times New Roman"/>
          <w:i w:val="0"/>
          <w:color w:val="000000"/>
          <w:lang w:eastAsia="ru-RU" w:bidi="ru-RU"/>
        </w:rPr>
      </w:pPr>
      <w:r w:rsidRPr="00A83E0C">
        <w:rPr>
          <w:rFonts w:cs="Times New Roman"/>
          <w:i w:val="0"/>
          <w:color w:val="000000"/>
          <w:lang w:eastAsia="ru-RU" w:bidi="ru-RU"/>
        </w:rPr>
        <w:t>Ключ (интерпретация): приведен в самой шкале</w:t>
      </w:r>
    </w:p>
    <w:p w14:paraId="1911E2F1" w14:textId="77777777" w:rsidR="000734FE" w:rsidRPr="00A83E0C" w:rsidRDefault="000734FE" w:rsidP="00B96334">
      <w:pPr>
        <w:pStyle w:val="1"/>
        <w:sectPr w:rsidR="000734FE" w:rsidRPr="00A83E0C" w:rsidSect="00B61BBA">
          <w:headerReference w:type="default" r:id="rId10"/>
          <w:footerReference w:type="default" r:id="rId11"/>
          <w:pgSz w:w="11906" w:h="16838"/>
          <w:pgMar w:top="1134" w:right="850" w:bottom="1134" w:left="1701" w:header="708" w:footer="708" w:gutter="0"/>
          <w:cols w:space="720"/>
          <w:formProt w:val="0"/>
          <w:titlePg/>
          <w:docGrid w:linePitch="360" w:charSpace="-6145"/>
        </w:sectPr>
      </w:pPr>
    </w:p>
    <w:p w14:paraId="5E3C05B3" w14:textId="77777777" w:rsidR="000734FE" w:rsidRPr="00A83E0C" w:rsidRDefault="000734FE" w:rsidP="000B3A53">
      <w:pPr>
        <w:pStyle w:val="1"/>
        <w:rPr>
          <w:bCs/>
        </w:rPr>
      </w:pPr>
      <w:bookmarkStart w:id="47" w:name="_Toc158632240"/>
      <w:r w:rsidRPr="00A83E0C">
        <w:lastRenderedPageBreak/>
        <w:t xml:space="preserve">Приложение </w:t>
      </w:r>
      <w:r w:rsidR="007E7684" w:rsidRPr="00A83E0C">
        <w:t>Г2</w:t>
      </w:r>
      <w:r w:rsidRPr="00A83E0C">
        <w:t>. Критерии оценки ответа опухоли на лечение (</w:t>
      </w:r>
      <w:r w:rsidRPr="00A83E0C">
        <w:rPr>
          <w:lang w:val="en-US"/>
        </w:rPr>
        <w:t>RECIST</w:t>
      </w:r>
      <w:r w:rsidRPr="00A83E0C">
        <w:t xml:space="preserve"> 1.1)</w:t>
      </w:r>
      <w:bookmarkEnd w:id="47"/>
    </w:p>
    <w:p w14:paraId="3FB38F2D" w14:textId="77777777" w:rsidR="000734FE" w:rsidRPr="00A83E0C" w:rsidRDefault="000734FE" w:rsidP="00A77223">
      <w:pPr>
        <w:rPr>
          <w:color w:val="000000"/>
          <w:lang w:val="ru-RU" w:bidi="ru-RU"/>
        </w:rPr>
      </w:pPr>
      <w:r w:rsidRPr="00A83E0C">
        <w:rPr>
          <w:color w:val="000000"/>
          <w:lang w:val="ru-RU" w:bidi="ru-RU"/>
        </w:rPr>
        <w:t>Название на русском языке:</w:t>
      </w:r>
      <w:r w:rsidRPr="00A83E0C">
        <w:rPr>
          <w:lang w:val="ru-RU"/>
        </w:rPr>
        <w:t xml:space="preserve"> Критерии оценки ответа опухоли на химиотерапевтическое лечение (</w:t>
      </w:r>
      <w:r w:rsidRPr="00A83E0C">
        <w:t>RECIST</w:t>
      </w:r>
      <w:r w:rsidRPr="00A83E0C">
        <w:rPr>
          <w:lang w:val="ru-RU"/>
        </w:rPr>
        <w:t xml:space="preserve"> 1.1)</w:t>
      </w:r>
    </w:p>
    <w:p w14:paraId="66888172" w14:textId="42ABF350" w:rsidR="000734FE" w:rsidRPr="00A83E0C" w:rsidRDefault="000734FE" w:rsidP="00A77223">
      <w:pPr>
        <w:rPr>
          <w:color w:val="000000"/>
          <w:lang w:bidi="ru-RU"/>
        </w:rPr>
      </w:pPr>
      <w:r w:rsidRPr="00A83E0C">
        <w:rPr>
          <w:color w:val="000000"/>
          <w:lang w:bidi="ru-RU"/>
        </w:rPr>
        <w:t>Оригинальное название: Response evaluation criteria in solid tumors 1.1</w:t>
      </w:r>
    </w:p>
    <w:p w14:paraId="1DDAD2ED" w14:textId="77777777" w:rsidR="000734FE" w:rsidRPr="00A83E0C" w:rsidRDefault="000734FE" w:rsidP="00A77223">
      <w:pPr>
        <w:rPr>
          <w:color w:val="000000"/>
          <w:lang w:val="ru-RU" w:bidi="ru-RU"/>
        </w:rPr>
      </w:pPr>
      <w:r w:rsidRPr="00A83E0C">
        <w:rPr>
          <w:color w:val="000000"/>
          <w:lang w:val="ru-RU" w:bidi="ru-RU"/>
        </w:rPr>
        <w:t xml:space="preserve">Источник (официальный сайт разработчиков, публикация с валидацией): </w:t>
      </w:r>
    </w:p>
    <w:p w14:paraId="6EDA7FC6" w14:textId="77777777" w:rsidR="000734FE" w:rsidRPr="00A83E0C" w:rsidRDefault="000734FE" w:rsidP="00A77223">
      <w:pPr>
        <w:rPr>
          <w:lang w:val="ru-RU"/>
        </w:rPr>
      </w:pPr>
      <w:r w:rsidRPr="00A83E0C">
        <w:t>Оригинальная публикация: Eisenhauer EA, Therasse P, Bogaerts J, Schwartz LH, Sargent D, Ford R, Dancey J, Arbuck S, Gwyther S, Mooney M et al: New response evaluation criteria in solid tumours: revised RECIST guideline (version 1.1). Eur</w:t>
      </w:r>
      <w:r w:rsidRPr="00A83E0C">
        <w:rPr>
          <w:lang w:val="ru-RU"/>
        </w:rPr>
        <w:t xml:space="preserve"> </w:t>
      </w:r>
      <w:r w:rsidRPr="00A83E0C">
        <w:t>J</w:t>
      </w:r>
      <w:r w:rsidRPr="00A83E0C">
        <w:rPr>
          <w:lang w:val="ru-RU"/>
        </w:rPr>
        <w:t xml:space="preserve"> </w:t>
      </w:r>
      <w:r w:rsidRPr="00A83E0C">
        <w:t>Cancer</w:t>
      </w:r>
      <w:r w:rsidRPr="00A83E0C">
        <w:rPr>
          <w:lang w:val="ru-RU"/>
        </w:rPr>
        <w:t xml:space="preserve"> 2009, 45(2):228-247 </w:t>
      </w:r>
    </w:p>
    <w:p w14:paraId="4F64B92D" w14:textId="77777777" w:rsidR="000734FE" w:rsidRPr="00A83E0C" w:rsidRDefault="000734FE" w:rsidP="00A77223">
      <w:pPr>
        <w:rPr>
          <w:color w:val="000000"/>
          <w:lang w:val="ru-RU" w:bidi="ru-RU"/>
        </w:rPr>
      </w:pPr>
      <w:r w:rsidRPr="00A83E0C">
        <w:rPr>
          <w:color w:val="000000"/>
          <w:lang w:val="ru-RU" w:bidi="ru-RU"/>
        </w:rPr>
        <w:t>Тип: шкала оценки</w:t>
      </w:r>
    </w:p>
    <w:p w14:paraId="6620E310" w14:textId="77777777" w:rsidR="000734FE" w:rsidRPr="00A83E0C" w:rsidRDefault="000734FE" w:rsidP="00A77223">
      <w:pPr>
        <w:rPr>
          <w:color w:val="000000"/>
          <w:lang w:val="ru-RU" w:bidi="ru-RU"/>
        </w:rPr>
      </w:pPr>
      <w:r w:rsidRPr="00A83E0C">
        <w:rPr>
          <w:lang w:val="ru-RU"/>
        </w:rPr>
        <w:t>Назначение:</w:t>
      </w:r>
      <w:r w:rsidRPr="00A83E0C">
        <w:rPr>
          <w:color w:val="000000"/>
          <w:lang w:val="ru-RU" w:bidi="ru-RU"/>
        </w:rPr>
        <w:t xml:space="preserve"> оценка ответа на химиотерапевтическое лечение</w:t>
      </w:r>
    </w:p>
    <w:p w14:paraId="16B3D659" w14:textId="5A5C64E9" w:rsidR="000734FE" w:rsidRPr="00A83E0C" w:rsidRDefault="000734FE" w:rsidP="00A77223">
      <w:pPr>
        <w:rPr>
          <w:lang w:val="ru-RU"/>
        </w:rPr>
      </w:pPr>
      <w:r w:rsidRPr="00A83E0C">
        <w:rPr>
          <w:color w:val="000000"/>
          <w:lang w:val="ru-RU" w:bidi="ru-RU"/>
        </w:rPr>
        <w:t xml:space="preserve">Содержание, ключ и шаблон </w:t>
      </w:r>
      <w:r w:rsidRPr="00A83E0C">
        <w:rPr>
          <w:lang w:val="ru-RU"/>
        </w:rPr>
        <w:t xml:space="preserve">на русском языке представлены в методических рекомендациях №46 ГБУЗ «Научно-практический центр медицинской радиологии» департамента здравоохранения города Москвы и доступны на веб-сайте </w:t>
      </w:r>
      <w:r w:rsidRPr="00A83E0C">
        <w:rPr>
          <w:b/>
          <w:bCs/>
        </w:rPr>
        <w:t>http</w:t>
      </w:r>
      <w:r w:rsidRPr="00A83E0C">
        <w:rPr>
          <w:b/>
          <w:bCs/>
          <w:lang w:val="ru-RU"/>
        </w:rPr>
        <w:t>://</w:t>
      </w:r>
      <w:r w:rsidRPr="00A83E0C">
        <w:rPr>
          <w:b/>
          <w:bCs/>
        </w:rPr>
        <w:t>medradiology</w:t>
      </w:r>
      <w:r w:rsidRPr="00A83E0C">
        <w:rPr>
          <w:b/>
          <w:bCs/>
          <w:lang w:val="ru-RU"/>
        </w:rPr>
        <w:t>.</w:t>
      </w:r>
      <w:r w:rsidRPr="00A83E0C">
        <w:rPr>
          <w:b/>
          <w:bCs/>
        </w:rPr>
        <w:t>moscow</w:t>
      </w:r>
      <w:r w:rsidRPr="00A83E0C">
        <w:rPr>
          <w:b/>
          <w:bCs/>
          <w:lang w:val="ru-RU"/>
        </w:rPr>
        <w:t>/</w:t>
      </w:r>
      <w:r w:rsidRPr="00A83E0C">
        <w:rPr>
          <w:b/>
          <w:bCs/>
        </w:rPr>
        <w:t>d</w:t>
      </w:r>
      <w:r w:rsidRPr="00A83E0C">
        <w:rPr>
          <w:b/>
          <w:bCs/>
          <w:lang w:val="ru-RU"/>
        </w:rPr>
        <w:t>/1364488/</w:t>
      </w:r>
      <w:r w:rsidRPr="00A83E0C">
        <w:rPr>
          <w:b/>
          <w:bCs/>
        </w:rPr>
        <w:t>d</w:t>
      </w:r>
      <w:r w:rsidRPr="00A83E0C">
        <w:rPr>
          <w:b/>
          <w:bCs/>
          <w:lang w:val="ru-RU"/>
        </w:rPr>
        <w:t>/</w:t>
      </w:r>
      <w:r w:rsidRPr="00A83E0C">
        <w:rPr>
          <w:b/>
          <w:bCs/>
        </w:rPr>
        <w:t>no</w:t>
      </w:r>
      <w:r w:rsidRPr="00A83E0C">
        <w:rPr>
          <w:b/>
          <w:bCs/>
          <w:lang w:val="ru-RU"/>
        </w:rPr>
        <w:t>46_2018_</w:t>
      </w:r>
      <w:r w:rsidRPr="00A83E0C">
        <w:rPr>
          <w:b/>
          <w:bCs/>
        </w:rPr>
        <w:t>recist</w:t>
      </w:r>
      <w:r w:rsidRPr="00A83E0C">
        <w:rPr>
          <w:b/>
          <w:bCs/>
          <w:lang w:val="ru-RU"/>
        </w:rPr>
        <w:t>_11.</w:t>
      </w:r>
      <w:r w:rsidRPr="00A83E0C">
        <w:rPr>
          <w:b/>
          <w:bCs/>
        </w:rPr>
        <w:t>pdf</w:t>
      </w:r>
      <w:r w:rsidR="00C15198" w:rsidRPr="00A83E0C">
        <w:fldChar w:fldCharType="begin"/>
      </w:r>
      <w:r w:rsidR="004034C1">
        <w:rPr>
          <w:lang w:val="ru-RU"/>
        </w:rPr>
        <w:instrText xml:space="preserve"> ADDIN ZOTERO_ITEM CSL_CITATION {"citationID":"FUgRNUFa","properties":{"formattedCitation":"[202]","plainCitation":"[202]","noteIndex":0},"citationItems":[{"id":352,"uris":["http://zotero.org/users/5363772/items/7WV82NTI",["http://zotero.org/users/5363772/items/7WV82NTI"]],"itemData":{"id":352,"type":"article-journal","container-title":"Методические рекомендации №46","issue":"2018","title":"Методические рекомендации по применению критериев ответа солидных опухолей на химиотерапевтическое лечение (RECIST 1.1)","author":[{"family":"Гомболевский","given":"В"},{"family":"Лайпан","given":"А"},{"family":"Шапиев","given":"А"}]}}],"schema":"https://github.com/citation-style-language/schema/raw/master/csl-citation.json"} </w:instrText>
      </w:r>
      <w:r w:rsidR="00C15198" w:rsidRPr="00A83E0C">
        <w:fldChar w:fldCharType="separate"/>
      </w:r>
      <w:r w:rsidR="004034C1" w:rsidRPr="004034C1">
        <w:rPr>
          <w:sz w:val="28"/>
          <w:lang w:val="ru-RU"/>
        </w:rPr>
        <w:t>[202]</w:t>
      </w:r>
      <w:r w:rsidR="00C15198" w:rsidRPr="00A83E0C">
        <w:fldChar w:fldCharType="end"/>
      </w:r>
      <w:r w:rsidRPr="00A83E0C">
        <w:rPr>
          <w:lang w:val="ru-RU"/>
        </w:rPr>
        <w:t>. Данный документ является собственностью Департамента здравоохранения города Москвы, не подлежит тиражированию и распространению без соответствующего разрешения.</w:t>
      </w:r>
    </w:p>
    <w:p w14:paraId="0C32DFA3" w14:textId="77777777" w:rsidR="000734FE" w:rsidRPr="00A83E0C" w:rsidRDefault="000734FE" w:rsidP="003A3E44">
      <w:pPr>
        <w:suppressAutoHyphens/>
        <w:ind w:left="709" w:firstLine="0"/>
        <w:rPr>
          <w:lang w:val="ru-RU"/>
        </w:rPr>
      </w:pPr>
    </w:p>
    <w:sectPr w:rsidR="000734FE" w:rsidRPr="00A83E0C" w:rsidSect="00B61BBA">
      <w:headerReference w:type="even" r:id="rId12"/>
      <w:headerReference w:type="default" r:id="rId13"/>
      <w:footerReference w:type="default" r:id="rId1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5B14" w14:textId="77777777" w:rsidR="00B61BBA" w:rsidRDefault="00B61BBA" w:rsidP="00DC7BE7">
      <w:r>
        <w:separator/>
      </w:r>
    </w:p>
  </w:endnote>
  <w:endnote w:type="continuationSeparator" w:id="0">
    <w:p w14:paraId="5A6546A5" w14:textId="77777777" w:rsidR="00B61BBA" w:rsidRDefault="00B61BBA" w:rsidP="00DC7BE7">
      <w:r>
        <w:continuationSeparator/>
      </w:r>
    </w:p>
  </w:endnote>
  <w:endnote w:type="continuationNotice" w:id="1">
    <w:p w14:paraId="03930A4E" w14:textId="77777777" w:rsidR="00B61BBA" w:rsidRDefault="00B61B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1"/>
    <w:family w:val="auto"/>
    <w:pitch w:val="default"/>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lissPro-ExtraBold">
    <w:altName w:val="MS Gothic"/>
    <w:panose1 w:val="00000000000000000000"/>
    <w:charset w:val="80"/>
    <w:family w:val="swiss"/>
    <w:notTrueType/>
    <w:pitch w:val="default"/>
    <w:sig w:usb0="00000201" w:usb1="08070000" w:usb2="00000010" w:usb3="00000000" w:csb0="00020004" w:csb1="00000000"/>
  </w:font>
  <w:font w:name="GalsLightC">
    <w:altName w:val="MS Gothic"/>
    <w:panose1 w:val="00000000000000000000"/>
    <w:charset w:val="80"/>
    <w:family w:val="auto"/>
    <w:notTrueType/>
    <w:pitch w:val="default"/>
    <w:sig w:usb0="00000001" w:usb1="08070000" w:usb2="00000010" w:usb3="00000000" w:csb0="00020000" w:csb1="00000000"/>
  </w:font>
  <w:font w:name="Bliss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02467"/>
      <w:docPartObj>
        <w:docPartGallery w:val="Page Numbers (Bottom of Page)"/>
        <w:docPartUnique/>
      </w:docPartObj>
    </w:sdtPr>
    <w:sdtContent>
      <w:p w14:paraId="405FFD3F" w14:textId="77777777" w:rsidR="00007EEB" w:rsidRDefault="00007EEB">
        <w:pPr>
          <w:pStyle w:val="afe"/>
          <w:jc w:val="center"/>
        </w:pPr>
        <w:r>
          <w:rPr>
            <w:noProof/>
          </w:rPr>
          <w:fldChar w:fldCharType="begin"/>
        </w:r>
        <w:r>
          <w:rPr>
            <w:noProof/>
          </w:rPr>
          <w:instrText xml:space="preserve"> PAGE   \* MERGEFORMAT </w:instrText>
        </w:r>
        <w:r>
          <w:rPr>
            <w:noProof/>
          </w:rPr>
          <w:fldChar w:fldCharType="separate"/>
        </w:r>
        <w:r w:rsidR="00ED6231">
          <w:rPr>
            <w:noProof/>
          </w:rPr>
          <w:t>3</w:t>
        </w:r>
        <w:r>
          <w:rPr>
            <w:noProof/>
          </w:rPr>
          <w:fldChar w:fldCharType="end"/>
        </w:r>
      </w:p>
    </w:sdtContent>
  </w:sdt>
  <w:p w14:paraId="3D832C88" w14:textId="77777777" w:rsidR="00007EEB" w:rsidRDefault="00007EEB">
    <w:pPr>
      <w:pStyle w:val="af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60301"/>
      <w:docPartObj>
        <w:docPartGallery w:val="Page Numbers (Bottom of Page)"/>
        <w:docPartUnique/>
      </w:docPartObj>
    </w:sdtPr>
    <w:sdtContent>
      <w:p w14:paraId="6A69D06A" w14:textId="77777777" w:rsidR="00007EEB" w:rsidRDefault="00007EEB">
        <w:pPr>
          <w:pStyle w:val="afe"/>
          <w:jc w:val="center"/>
        </w:pPr>
        <w:r>
          <w:fldChar w:fldCharType="begin"/>
        </w:r>
        <w:r>
          <w:instrText>PAGE   \* MERGEFORMAT</w:instrText>
        </w:r>
        <w:r>
          <w:fldChar w:fldCharType="separate"/>
        </w:r>
        <w:r w:rsidR="00ED6231" w:rsidRPr="00ED6231">
          <w:rPr>
            <w:noProof/>
            <w:lang w:val="ru-RU"/>
          </w:rPr>
          <w:t>67</w:t>
        </w:r>
        <w:r>
          <w:rPr>
            <w:noProof/>
            <w:lang w:val="ru-RU"/>
          </w:rPr>
          <w:fldChar w:fldCharType="end"/>
        </w:r>
      </w:p>
    </w:sdtContent>
  </w:sdt>
  <w:p w14:paraId="786D52B6" w14:textId="77777777" w:rsidR="00007EEB" w:rsidRDefault="00007EEB" w:rsidP="00DC7BE7">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ED15" w14:textId="77777777" w:rsidR="00B61BBA" w:rsidRDefault="00B61BBA" w:rsidP="00DC7BE7">
      <w:r>
        <w:separator/>
      </w:r>
    </w:p>
  </w:footnote>
  <w:footnote w:type="continuationSeparator" w:id="0">
    <w:p w14:paraId="0655337B" w14:textId="77777777" w:rsidR="00B61BBA" w:rsidRDefault="00B61BBA" w:rsidP="00DC7BE7">
      <w:r>
        <w:continuationSeparator/>
      </w:r>
    </w:p>
  </w:footnote>
  <w:footnote w:type="continuationNotice" w:id="1">
    <w:p w14:paraId="7EDB1401" w14:textId="77777777" w:rsidR="00B61BBA" w:rsidRDefault="00B61B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159C" w14:textId="77777777" w:rsidR="00007EEB" w:rsidRDefault="00007EEB" w:rsidP="005A615D">
    <w:pPr>
      <w:pStyle w:val="aa"/>
      <w:ind w:firstLine="0"/>
      <w:rPr>
        <w:i/>
      </w:rPr>
    </w:pPr>
  </w:p>
  <w:p w14:paraId="30B3BDB1" w14:textId="77777777" w:rsidR="00007EEB" w:rsidRDefault="00007E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C668" w14:textId="77777777" w:rsidR="00007EEB" w:rsidRDefault="00007EEB" w:rsidP="00DC7BE7">
    <w:pPr>
      <w:pStyle w:val="aa"/>
      <w:rPr>
        <w:rStyle w:val="ac"/>
      </w:rPr>
    </w:pPr>
    <w:r>
      <w:rPr>
        <w:rStyle w:val="ac"/>
      </w:rPr>
      <w:fldChar w:fldCharType="begin"/>
    </w:r>
    <w:r>
      <w:rPr>
        <w:rStyle w:val="ac"/>
      </w:rPr>
      <w:instrText xml:space="preserve">PAGE  </w:instrText>
    </w:r>
    <w:r>
      <w:rPr>
        <w:rStyle w:val="ac"/>
      </w:rPr>
      <w:fldChar w:fldCharType="end"/>
    </w:r>
  </w:p>
  <w:p w14:paraId="27D67AD8" w14:textId="77777777" w:rsidR="00007EEB" w:rsidRDefault="00007EEB" w:rsidP="00DC7BE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C312" w14:textId="77777777" w:rsidR="00007EEB" w:rsidRPr="00AC2481" w:rsidRDefault="00007EEB" w:rsidP="00AC2481">
    <w:pPr>
      <w:pStyle w:val="aa"/>
      <w:ind w:firstLine="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4"/>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149"/>
        </w:tabs>
        <w:ind w:left="1149" w:hanging="360"/>
      </w:pPr>
      <w:rPr>
        <w:rFonts w:ascii="Symbol" w:hAnsi="Symbol" w:cs="OpenSymbol"/>
      </w:rPr>
    </w:lvl>
    <w:lvl w:ilvl="1">
      <w:start w:val="1"/>
      <w:numFmt w:val="bullet"/>
      <w:lvlText w:val="◦"/>
      <w:lvlJc w:val="left"/>
      <w:pPr>
        <w:tabs>
          <w:tab w:val="num" w:pos="1509"/>
        </w:tabs>
        <w:ind w:left="1509" w:hanging="360"/>
      </w:pPr>
      <w:rPr>
        <w:rFonts w:ascii="OpenSymbol" w:hAnsi="OpenSymbol" w:cs="OpenSymbol"/>
      </w:rPr>
    </w:lvl>
    <w:lvl w:ilvl="2">
      <w:start w:val="1"/>
      <w:numFmt w:val="bullet"/>
      <w:lvlText w:val="▪"/>
      <w:lvlJc w:val="left"/>
      <w:pPr>
        <w:tabs>
          <w:tab w:val="num" w:pos="1869"/>
        </w:tabs>
        <w:ind w:left="1869" w:hanging="360"/>
      </w:pPr>
      <w:rPr>
        <w:rFonts w:ascii="OpenSymbol" w:hAnsi="OpenSymbol" w:cs="OpenSymbol"/>
      </w:rPr>
    </w:lvl>
    <w:lvl w:ilvl="3">
      <w:start w:val="1"/>
      <w:numFmt w:val="bullet"/>
      <w:lvlText w:val=""/>
      <w:lvlJc w:val="left"/>
      <w:pPr>
        <w:tabs>
          <w:tab w:val="num" w:pos="2229"/>
        </w:tabs>
        <w:ind w:left="2229" w:hanging="360"/>
      </w:pPr>
      <w:rPr>
        <w:rFonts w:ascii="Symbol" w:hAnsi="Symbol" w:cs="OpenSymbol"/>
      </w:rPr>
    </w:lvl>
    <w:lvl w:ilvl="4">
      <w:start w:val="1"/>
      <w:numFmt w:val="bullet"/>
      <w:lvlText w:val="◦"/>
      <w:lvlJc w:val="left"/>
      <w:pPr>
        <w:tabs>
          <w:tab w:val="num" w:pos="2589"/>
        </w:tabs>
        <w:ind w:left="2589" w:hanging="360"/>
      </w:pPr>
      <w:rPr>
        <w:rFonts w:ascii="OpenSymbol" w:hAnsi="OpenSymbol" w:cs="OpenSymbol"/>
      </w:rPr>
    </w:lvl>
    <w:lvl w:ilvl="5">
      <w:start w:val="1"/>
      <w:numFmt w:val="bullet"/>
      <w:lvlText w:val="▪"/>
      <w:lvlJc w:val="left"/>
      <w:pPr>
        <w:tabs>
          <w:tab w:val="num" w:pos="2949"/>
        </w:tabs>
        <w:ind w:left="2949" w:hanging="360"/>
      </w:pPr>
      <w:rPr>
        <w:rFonts w:ascii="OpenSymbol" w:hAnsi="OpenSymbol" w:cs="OpenSymbol"/>
      </w:rPr>
    </w:lvl>
    <w:lvl w:ilvl="6">
      <w:start w:val="1"/>
      <w:numFmt w:val="bullet"/>
      <w:lvlText w:val=""/>
      <w:lvlJc w:val="left"/>
      <w:pPr>
        <w:tabs>
          <w:tab w:val="num" w:pos="3309"/>
        </w:tabs>
        <w:ind w:left="3309" w:hanging="360"/>
      </w:pPr>
      <w:rPr>
        <w:rFonts w:ascii="Symbol" w:hAnsi="Symbol" w:cs="OpenSymbol"/>
      </w:rPr>
    </w:lvl>
    <w:lvl w:ilvl="7">
      <w:start w:val="1"/>
      <w:numFmt w:val="bullet"/>
      <w:lvlText w:val="◦"/>
      <w:lvlJc w:val="left"/>
      <w:pPr>
        <w:tabs>
          <w:tab w:val="num" w:pos="3669"/>
        </w:tabs>
        <w:ind w:left="3669" w:hanging="360"/>
      </w:pPr>
      <w:rPr>
        <w:rFonts w:ascii="OpenSymbol" w:hAnsi="OpenSymbol" w:cs="OpenSymbol"/>
      </w:rPr>
    </w:lvl>
    <w:lvl w:ilvl="8">
      <w:start w:val="1"/>
      <w:numFmt w:val="bullet"/>
      <w:lvlText w:val="▪"/>
      <w:lvlJc w:val="left"/>
      <w:pPr>
        <w:tabs>
          <w:tab w:val="num" w:pos="4029"/>
        </w:tabs>
        <w:ind w:left="4029"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45012D1"/>
    <w:multiLevelType w:val="hybridMultilevel"/>
    <w:tmpl w:val="2F38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312412"/>
    <w:multiLevelType w:val="hybridMultilevel"/>
    <w:tmpl w:val="CFDE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89259E"/>
    <w:multiLevelType w:val="hybridMultilevel"/>
    <w:tmpl w:val="1A628A16"/>
    <w:lvl w:ilvl="0" w:tplc="7D84D7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FB36E76"/>
    <w:multiLevelType w:val="hybridMultilevel"/>
    <w:tmpl w:val="F8C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03CC9"/>
    <w:multiLevelType w:val="hybridMultilevel"/>
    <w:tmpl w:val="7CEE51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BBE01C8"/>
    <w:multiLevelType w:val="hybridMultilevel"/>
    <w:tmpl w:val="E42638BA"/>
    <w:lvl w:ilvl="0" w:tplc="B70CFFE2">
      <w:start w:val="1"/>
      <w:numFmt w:val="bullet"/>
      <w:lvlText w:val="•"/>
      <w:lvlJc w:val="left"/>
      <w:pPr>
        <w:tabs>
          <w:tab w:val="num" w:pos="720"/>
        </w:tabs>
        <w:ind w:left="720" w:hanging="360"/>
      </w:pPr>
      <w:rPr>
        <w:rFonts w:ascii="Arial" w:hAnsi="Arial" w:hint="default"/>
      </w:rPr>
    </w:lvl>
    <w:lvl w:ilvl="1" w:tplc="34506FF8" w:tentative="1">
      <w:start w:val="1"/>
      <w:numFmt w:val="bullet"/>
      <w:lvlText w:val="•"/>
      <w:lvlJc w:val="left"/>
      <w:pPr>
        <w:tabs>
          <w:tab w:val="num" w:pos="1440"/>
        </w:tabs>
        <w:ind w:left="1440" w:hanging="360"/>
      </w:pPr>
      <w:rPr>
        <w:rFonts w:ascii="Arial" w:hAnsi="Arial" w:hint="default"/>
      </w:rPr>
    </w:lvl>
    <w:lvl w:ilvl="2" w:tplc="EEC0EF38" w:tentative="1">
      <w:start w:val="1"/>
      <w:numFmt w:val="bullet"/>
      <w:lvlText w:val="•"/>
      <w:lvlJc w:val="left"/>
      <w:pPr>
        <w:tabs>
          <w:tab w:val="num" w:pos="2160"/>
        </w:tabs>
        <w:ind w:left="2160" w:hanging="360"/>
      </w:pPr>
      <w:rPr>
        <w:rFonts w:ascii="Arial" w:hAnsi="Arial" w:hint="default"/>
      </w:rPr>
    </w:lvl>
    <w:lvl w:ilvl="3" w:tplc="FF9A757A" w:tentative="1">
      <w:start w:val="1"/>
      <w:numFmt w:val="bullet"/>
      <w:lvlText w:val="•"/>
      <w:lvlJc w:val="left"/>
      <w:pPr>
        <w:tabs>
          <w:tab w:val="num" w:pos="2880"/>
        </w:tabs>
        <w:ind w:left="2880" w:hanging="360"/>
      </w:pPr>
      <w:rPr>
        <w:rFonts w:ascii="Arial" w:hAnsi="Arial" w:hint="default"/>
      </w:rPr>
    </w:lvl>
    <w:lvl w:ilvl="4" w:tplc="2F44C508" w:tentative="1">
      <w:start w:val="1"/>
      <w:numFmt w:val="bullet"/>
      <w:lvlText w:val="•"/>
      <w:lvlJc w:val="left"/>
      <w:pPr>
        <w:tabs>
          <w:tab w:val="num" w:pos="3600"/>
        </w:tabs>
        <w:ind w:left="3600" w:hanging="360"/>
      </w:pPr>
      <w:rPr>
        <w:rFonts w:ascii="Arial" w:hAnsi="Arial" w:hint="default"/>
      </w:rPr>
    </w:lvl>
    <w:lvl w:ilvl="5" w:tplc="40FC88D6" w:tentative="1">
      <w:start w:val="1"/>
      <w:numFmt w:val="bullet"/>
      <w:lvlText w:val="•"/>
      <w:lvlJc w:val="left"/>
      <w:pPr>
        <w:tabs>
          <w:tab w:val="num" w:pos="4320"/>
        </w:tabs>
        <w:ind w:left="4320" w:hanging="360"/>
      </w:pPr>
      <w:rPr>
        <w:rFonts w:ascii="Arial" w:hAnsi="Arial" w:hint="default"/>
      </w:rPr>
    </w:lvl>
    <w:lvl w:ilvl="6" w:tplc="F5F44BDA" w:tentative="1">
      <w:start w:val="1"/>
      <w:numFmt w:val="bullet"/>
      <w:lvlText w:val="•"/>
      <w:lvlJc w:val="left"/>
      <w:pPr>
        <w:tabs>
          <w:tab w:val="num" w:pos="5040"/>
        </w:tabs>
        <w:ind w:left="5040" w:hanging="360"/>
      </w:pPr>
      <w:rPr>
        <w:rFonts w:ascii="Arial" w:hAnsi="Arial" w:hint="default"/>
      </w:rPr>
    </w:lvl>
    <w:lvl w:ilvl="7" w:tplc="71880A8E" w:tentative="1">
      <w:start w:val="1"/>
      <w:numFmt w:val="bullet"/>
      <w:lvlText w:val="•"/>
      <w:lvlJc w:val="left"/>
      <w:pPr>
        <w:tabs>
          <w:tab w:val="num" w:pos="5760"/>
        </w:tabs>
        <w:ind w:left="5760" w:hanging="360"/>
      </w:pPr>
      <w:rPr>
        <w:rFonts w:ascii="Arial" w:hAnsi="Arial" w:hint="default"/>
      </w:rPr>
    </w:lvl>
    <w:lvl w:ilvl="8" w:tplc="3FC00A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7D54C7"/>
    <w:multiLevelType w:val="hybridMultilevel"/>
    <w:tmpl w:val="A13A9D5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B740A"/>
    <w:multiLevelType w:val="hybridMultilevel"/>
    <w:tmpl w:val="F8C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D421A"/>
    <w:multiLevelType w:val="hybridMultilevel"/>
    <w:tmpl w:val="ED72C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335D3"/>
    <w:multiLevelType w:val="hybridMultilevel"/>
    <w:tmpl w:val="38E2A5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594695F"/>
    <w:multiLevelType w:val="hybridMultilevel"/>
    <w:tmpl w:val="70F29572"/>
    <w:lvl w:ilvl="0" w:tplc="B7C470D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vertAlign w:val="baseline"/>
      </w:rPr>
    </w:lvl>
    <w:lvl w:ilvl="1" w:tplc="80585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24A1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C6EB4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A8078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DEA49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92E1E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FA676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BD42D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27644EB1"/>
    <w:multiLevelType w:val="hybridMultilevel"/>
    <w:tmpl w:val="5C3A9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F4B55"/>
    <w:multiLevelType w:val="hybridMultilevel"/>
    <w:tmpl w:val="D7CC6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5A3A69"/>
    <w:multiLevelType w:val="hybridMultilevel"/>
    <w:tmpl w:val="26A28A3A"/>
    <w:lvl w:ilvl="0" w:tplc="CF50E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AFC3D55"/>
    <w:multiLevelType w:val="hybridMultilevel"/>
    <w:tmpl w:val="39EA56A8"/>
    <w:lvl w:ilvl="0" w:tplc="04190011">
      <w:start w:val="1"/>
      <w:numFmt w:val="decimal"/>
      <w:lvlText w:val="%1)"/>
      <w:lvlJc w:val="left"/>
      <w:pPr>
        <w:tabs>
          <w:tab w:val="num" w:pos="1778"/>
        </w:tabs>
        <w:ind w:left="1778" w:hanging="360"/>
      </w:pPr>
      <w:rPr>
        <w:rFonts w:hint="default"/>
      </w:rPr>
    </w:lvl>
    <w:lvl w:ilvl="1" w:tplc="04190003">
      <w:start w:val="1"/>
      <w:numFmt w:val="bullet"/>
      <w:lvlText w:val="o"/>
      <w:lvlJc w:val="left"/>
      <w:pPr>
        <w:ind w:left="2498" w:hanging="360"/>
      </w:pPr>
      <w:rPr>
        <w:rFonts w:ascii="Courier New" w:hAnsi="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hint="default"/>
      </w:rPr>
    </w:lvl>
    <w:lvl w:ilvl="8" w:tplc="04190005">
      <w:start w:val="1"/>
      <w:numFmt w:val="bullet"/>
      <w:lvlText w:val=""/>
      <w:lvlJc w:val="left"/>
      <w:pPr>
        <w:ind w:left="7538" w:hanging="360"/>
      </w:pPr>
      <w:rPr>
        <w:rFonts w:ascii="Wingdings" w:hAnsi="Wingdings" w:hint="default"/>
      </w:rPr>
    </w:lvl>
  </w:abstractNum>
  <w:abstractNum w:abstractNumId="20" w15:restartNumberingAfterBreak="0">
    <w:nsid w:val="37085D59"/>
    <w:multiLevelType w:val="multilevel"/>
    <w:tmpl w:val="B6D80D28"/>
    <w:lvl w:ilvl="0">
      <w:numFmt w:val="bullet"/>
      <w:lvlText w:val="•"/>
      <w:lvlJc w:val="left"/>
      <w:pPr>
        <w:tabs>
          <w:tab w:val="num" w:pos="0"/>
        </w:tabs>
        <w:ind w:left="306" w:hanging="171"/>
      </w:pPr>
      <w:rPr>
        <w:rFonts w:ascii="Arial Unicode MS" w:hAnsi="Arial Unicode MS" w:cs="Arial Unicode MS" w:hint="default"/>
        <w:b w:val="0"/>
        <w:bCs w:val="0"/>
        <w:w w:val="107"/>
        <w:sz w:val="12"/>
        <w:szCs w:val="12"/>
      </w:rPr>
    </w:lvl>
    <w:lvl w:ilvl="1">
      <w:numFmt w:val="bullet"/>
      <w:lvlText w:val=""/>
      <w:lvlJc w:val="left"/>
      <w:pPr>
        <w:tabs>
          <w:tab w:val="num" w:pos="0"/>
        </w:tabs>
        <w:ind w:left="500" w:hanging="171"/>
      </w:pPr>
      <w:rPr>
        <w:rFonts w:ascii="Symbol" w:hAnsi="Symbol" w:cs="Symbol" w:hint="default"/>
      </w:rPr>
    </w:lvl>
    <w:lvl w:ilvl="2">
      <w:numFmt w:val="bullet"/>
      <w:lvlText w:val=""/>
      <w:lvlJc w:val="left"/>
      <w:pPr>
        <w:tabs>
          <w:tab w:val="num" w:pos="0"/>
        </w:tabs>
        <w:ind w:left="701" w:hanging="171"/>
      </w:pPr>
      <w:rPr>
        <w:rFonts w:ascii="Symbol" w:hAnsi="Symbol" w:cs="Symbol" w:hint="default"/>
      </w:rPr>
    </w:lvl>
    <w:lvl w:ilvl="3">
      <w:numFmt w:val="bullet"/>
      <w:lvlText w:val=""/>
      <w:lvlJc w:val="left"/>
      <w:pPr>
        <w:tabs>
          <w:tab w:val="num" w:pos="0"/>
        </w:tabs>
        <w:ind w:left="902" w:hanging="171"/>
      </w:pPr>
      <w:rPr>
        <w:rFonts w:ascii="Symbol" w:hAnsi="Symbol" w:cs="Symbol" w:hint="default"/>
      </w:rPr>
    </w:lvl>
    <w:lvl w:ilvl="4">
      <w:numFmt w:val="bullet"/>
      <w:lvlText w:val=""/>
      <w:lvlJc w:val="left"/>
      <w:pPr>
        <w:tabs>
          <w:tab w:val="num" w:pos="0"/>
        </w:tabs>
        <w:ind w:left="1103" w:hanging="171"/>
      </w:pPr>
      <w:rPr>
        <w:rFonts w:ascii="Symbol" w:hAnsi="Symbol" w:cs="Symbol" w:hint="default"/>
      </w:rPr>
    </w:lvl>
    <w:lvl w:ilvl="5">
      <w:numFmt w:val="bullet"/>
      <w:lvlText w:val=""/>
      <w:lvlJc w:val="left"/>
      <w:pPr>
        <w:tabs>
          <w:tab w:val="num" w:pos="0"/>
        </w:tabs>
        <w:ind w:left="1304" w:hanging="171"/>
      </w:pPr>
      <w:rPr>
        <w:rFonts w:ascii="Symbol" w:hAnsi="Symbol" w:cs="Symbol" w:hint="default"/>
      </w:rPr>
    </w:lvl>
    <w:lvl w:ilvl="6">
      <w:numFmt w:val="bullet"/>
      <w:lvlText w:val=""/>
      <w:lvlJc w:val="left"/>
      <w:pPr>
        <w:tabs>
          <w:tab w:val="num" w:pos="0"/>
        </w:tabs>
        <w:ind w:left="1505" w:hanging="171"/>
      </w:pPr>
      <w:rPr>
        <w:rFonts w:ascii="Symbol" w:hAnsi="Symbol" w:cs="Symbol" w:hint="default"/>
      </w:rPr>
    </w:lvl>
    <w:lvl w:ilvl="7">
      <w:numFmt w:val="bullet"/>
      <w:lvlText w:val=""/>
      <w:lvlJc w:val="left"/>
      <w:pPr>
        <w:tabs>
          <w:tab w:val="num" w:pos="0"/>
        </w:tabs>
        <w:ind w:left="1706" w:hanging="171"/>
      </w:pPr>
      <w:rPr>
        <w:rFonts w:ascii="Symbol" w:hAnsi="Symbol" w:cs="Symbol" w:hint="default"/>
      </w:rPr>
    </w:lvl>
    <w:lvl w:ilvl="8">
      <w:numFmt w:val="bullet"/>
      <w:lvlText w:val=""/>
      <w:lvlJc w:val="left"/>
      <w:pPr>
        <w:tabs>
          <w:tab w:val="num" w:pos="0"/>
        </w:tabs>
        <w:ind w:left="1907" w:hanging="171"/>
      </w:pPr>
      <w:rPr>
        <w:rFonts w:ascii="Symbol" w:hAnsi="Symbol" w:cs="Symbol" w:hint="default"/>
      </w:rPr>
    </w:lvl>
  </w:abstractNum>
  <w:abstractNum w:abstractNumId="21" w15:restartNumberingAfterBreak="0">
    <w:nsid w:val="38555C03"/>
    <w:multiLevelType w:val="hybridMultilevel"/>
    <w:tmpl w:val="2F78653C"/>
    <w:lvl w:ilvl="0" w:tplc="4DA2D4CA">
      <w:start w:val="1"/>
      <w:numFmt w:val="bullet"/>
      <w:lvlText w:val="•"/>
      <w:lvlJc w:val="left"/>
      <w:pPr>
        <w:tabs>
          <w:tab w:val="num" w:pos="720"/>
        </w:tabs>
        <w:ind w:left="720" w:hanging="360"/>
      </w:pPr>
      <w:rPr>
        <w:rFonts w:ascii="Arial" w:hAnsi="Arial" w:hint="default"/>
      </w:rPr>
    </w:lvl>
    <w:lvl w:ilvl="1" w:tplc="D890A272" w:tentative="1">
      <w:start w:val="1"/>
      <w:numFmt w:val="bullet"/>
      <w:lvlText w:val="•"/>
      <w:lvlJc w:val="left"/>
      <w:pPr>
        <w:tabs>
          <w:tab w:val="num" w:pos="1440"/>
        </w:tabs>
        <w:ind w:left="1440" w:hanging="360"/>
      </w:pPr>
      <w:rPr>
        <w:rFonts w:ascii="Arial" w:hAnsi="Arial" w:hint="default"/>
      </w:rPr>
    </w:lvl>
    <w:lvl w:ilvl="2" w:tplc="61461D5E" w:tentative="1">
      <w:start w:val="1"/>
      <w:numFmt w:val="bullet"/>
      <w:lvlText w:val="•"/>
      <w:lvlJc w:val="left"/>
      <w:pPr>
        <w:tabs>
          <w:tab w:val="num" w:pos="2160"/>
        </w:tabs>
        <w:ind w:left="2160" w:hanging="360"/>
      </w:pPr>
      <w:rPr>
        <w:rFonts w:ascii="Arial" w:hAnsi="Arial" w:hint="default"/>
      </w:rPr>
    </w:lvl>
    <w:lvl w:ilvl="3" w:tplc="E5D235EC" w:tentative="1">
      <w:start w:val="1"/>
      <w:numFmt w:val="bullet"/>
      <w:lvlText w:val="•"/>
      <w:lvlJc w:val="left"/>
      <w:pPr>
        <w:tabs>
          <w:tab w:val="num" w:pos="2880"/>
        </w:tabs>
        <w:ind w:left="2880" w:hanging="360"/>
      </w:pPr>
      <w:rPr>
        <w:rFonts w:ascii="Arial" w:hAnsi="Arial" w:hint="default"/>
      </w:rPr>
    </w:lvl>
    <w:lvl w:ilvl="4" w:tplc="EE2A477C" w:tentative="1">
      <w:start w:val="1"/>
      <w:numFmt w:val="bullet"/>
      <w:lvlText w:val="•"/>
      <w:lvlJc w:val="left"/>
      <w:pPr>
        <w:tabs>
          <w:tab w:val="num" w:pos="3600"/>
        </w:tabs>
        <w:ind w:left="3600" w:hanging="360"/>
      </w:pPr>
      <w:rPr>
        <w:rFonts w:ascii="Arial" w:hAnsi="Arial" w:hint="default"/>
      </w:rPr>
    </w:lvl>
    <w:lvl w:ilvl="5" w:tplc="ED1AA5A6" w:tentative="1">
      <w:start w:val="1"/>
      <w:numFmt w:val="bullet"/>
      <w:lvlText w:val="•"/>
      <w:lvlJc w:val="left"/>
      <w:pPr>
        <w:tabs>
          <w:tab w:val="num" w:pos="4320"/>
        </w:tabs>
        <w:ind w:left="4320" w:hanging="360"/>
      </w:pPr>
      <w:rPr>
        <w:rFonts w:ascii="Arial" w:hAnsi="Arial" w:hint="default"/>
      </w:rPr>
    </w:lvl>
    <w:lvl w:ilvl="6" w:tplc="6694DA72" w:tentative="1">
      <w:start w:val="1"/>
      <w:numFmt w:val="bullet"/>
      <w:lvlText w:val="•"/>
      <w:lvlJc w:val="left"/>
      <w:pPr>
        <w:tabs>
          <w:tab w:val="num" w:pos="5040"/>
        </w:tabs>
        <w:ind w:left="5040" w:hanging="360"/>
      </w:pPr>
      <w:rPr>
        <w:rFonts w:ascii="Arial" w:hAnsi="Arial" w:hint="default"/>
      </w:rPr>
    </w:lvl>
    <w:lvl w:ilvl="7" w:tplc="D87211B0" w:tentative="1">
      <w:start w:val="1"/>
      <w:numFmt w:val="bullet"/>
      <w:lvlText w:val="•"/>
      <w:lvlJc w:val="left"/>
      <w:pPr>
        <w:tabs>
          <w:tab w:val="num" w:pos="5760"/>
        </w:tabs>
        <w:ind w:left="5760" w:hanging="360"/>
      </w:pPr>
      <w:rPr>
        <w:rFonts w:ascii="Arial" w:hAnsi="Arial" w:hint="default"/>
      </w:rPr>
    </w:lvl>
    <w:lvl w:ilvl="8" w:tplc="FC32A1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090C04"/>
    <w:multiLevelType w:val="hybridMultilevel"/>
    <w:tmpl w:val="60F63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144AFB"/>
    <w:multiLevelType w:val="hybridMultilevel"/>
    <w:tmpl w:val="ABC2D8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42EF1B14"/>
    <w:multiLevelType w:val="multilevel"/>
    <w:tmpl w:val="12E66686"/>
    <w:lvl w:ilvl="0">
      <w:numFmt w:val="bullet"/>
      <w:lvlText w:val="•"/>
      <w:lvlJc w:val="left"/>
      <w:pPr>
        <w:tabs>
          <w:tab w:val="num" w:pos="0"/>
        </w:tabs>
        <w:ind w:left="306" w:hanging="171"/>
      </w:pPr>
      <w:rPr>
        <w:rFonts w:ascii="Arial Unicode MS" w:hAnsi="Arial Unicode MS" w:cs="Arial Unicode MS" w:hint="default"/>
        <w:b w:val="0"/>
        <w:bCs w:val="0"/>
        <w:w w:val="107"/>
        <w:sz w:val="12"/>
        <w:szCs w:val="12"/>
      </w:rPr>
    </w:lvl>
    <w:lvl w:ilvl="1">
      <w:numFmt w:val="bullet"/>
      <w:lvlText w:val=""/>
      <w:lvlJc w:val="left"/>
      <w:pPr>
        <w:tabs>
          <w:tab w:val="num" w:pos="0"/>
        </w:tabs>
        <w:ind w:left="597" w:hanging="171"/>
      </w:pPr>
      <w:rPr>
        <w:rFonts w:ascii="Symbol" w:hAnsi="Symbol" w:cs="Symbol" w:hint="default"/>
      </w:rPr>
    </w:lvl>
    <w:lvl w:ilvl="2">
      <w:numFmt w:val="bullet"/>
      <w:lvlText w:val=""/>
      <w:lvlJc w:val="left"/>
      <w:pPr>
        <w:tabs>
          <w:tab w:val="num" w:pos="0"/>
        </w:tabs>
        <w:ind w:left="894" w:hanging="171"/>
      </w:pPr>
      <w:rPr>
        <w:rFonts w:ascii="Symbol" w:hAnsi="Symbol" w:cs="Symbol" w:hint="default"/>
      </w:rPr>
    </w:lvl>
    <w:lvl w:ilvl="3">
      <w:numFmt w:val="bullet"/>
      <w:lvlText w:val=""/>
      <w:lvlJc w:val="left"/>
      <w:pPr>
        <w:tabs>
          <w:tab w:val="num" w:pos="0"/>
        </w:tabs>
        <w:ind w:left="1191" w:hanging="171"/>
      </w:pPr>
      <w:rPr>
        <w:rFonts w:ascii="Symbol" w:hAnsi="Symbol" w:cs="Symbol" w:hint="default"/>
      </w:rPr>
    </w:lvl>
    <w:lvl w:ilvl="4">
      <w:numFmt w:val="bullet"/>
      <w:lvlText w:val=""/>
      <w:lvlJc w:val="left"/>
      <w:pPr>
        <w:tabs>
          <w:tab w:val="num" w:pos="0"/>
        </w:tabs>
        <w:ind w:left="1488" w:hanging="171"/>
      </w:pPr>
      <w:rPr>
        <w:rFonts w:ascii="Symbol" w:hAnsi="Symbol" w:cs="Symbol" w:hint="default"/>
      </w:rPr>
    </w:lvl>
    <w:lvl w:ilvl="5">
      <w:numFmt w:val="bullet"/>
      <w:lvlText w:val=""/>
      <w:lvlJc w:val="left"/>
      <w:pPr>
        <w:tabs>
          <w:tab w:val="num" w:pos="0"/>
        </w:tabs>
        <w:ind w:left="1785" w:hanging="171"/>
      </w:pPr>
      <w:rPr>
        <w:rFonts w:ascii="Symbol" w:hAnsi="Symbol" w:cs="Symbol" w:hint="default"/>
      </w:rPr>
    </w:lvl>
    <w:lvl w:ilvl="6">
      <w:numFmt w:val="bullet"/>
      <w:lvlText w:val=""/>
      <w:lvlJc w:val="left"/>
      <w:pPr>
        <w:tabs>
          <w:tab w:val="num" w:pos="0"/>
        </w:tabs>
        <w:ind w:left="2082" w:hanging="171"/>
      </w:pPr>
      <w:rPr>
        <w:rFonts w:ascii="Symbol" w:hAnsi="Symbol" w:cs="Symbol" w:hint="default"/>
      </w:rPr>
    </w:lvl>
    <w:lvl w:ilvl="7">
      <w:numFmt w:val="bullet"/>
      <w:lvlText w:val=""/>
      <w:lvlJc w:val="left"/>
      <w:pPr>
        <w:tabs>
          <w:tab w:val="num" w:pos="0"/>
        </w:tabs>
        <w:ind w:left="2379" w:hanging="171"/>
      </w:pPr>
      <w:rPr>
        <w:rFonts w:ascii="Symbol" w:hAnsi="Symbol" w:cs="Symbol" w:hint="default"/>
      </w:rPr>
    </w:lvl>
    <w:lvl w:ilvl="8">
      <w:numFmt w:val="bullet"/>
      <w:lvlText w:val=""/>
      <w:lvlJc w:val="left"/>
      <w:pPr>
        <w:tabs>
          <w:tab w:val="num" w:pos="0"/>
        </w:tabs>
        <w:ind w:left="2676" w:hanging="171"/>
      </w:pPr>
      <w:rPr>
        <w:rFonts w:ascii="Symbol" w:hAnsi="Symbol" w:cs="Symbol" w:hint="default"/>
      </w:rPr>
    </w:lvl>
  </w:abstractNum>
  <w:abstractNum w:abstractNumId="25" w15:restartNumberingAfterBreak="0">
    <w:nsid w:val="452B574A"/>
    <w:multiLevelType w:val="multilevel"/>
    <w:tmpl w:val="DF7663F6"/>
    <w:lvl w:ilvl="0">
      <w:numFmt w:val="bullet"/>
      <w:lvlText w:val="•"/>
      <w:lvlJc w:val="left"/>
      <w:pPr>
        <w:tabs>
          <w:tab w:val="num" w:pos="0"/>
        </w:tabs>
        <w:ind w:left="306" w:hanging="171"/>
      </w:pPr>
      <w:rPr>
        <w:rFonts w:ascii="Arial Unicode MS" w:hAnsi="Arial Unicode MS" w:cs="Arial Unicode MS" w:hint="default"/>
        <w:b w:val="0"/>
        <w:bCs w:val="0"/>
        <w:w w:val="107"/>
        <w:sz w:val="12"/>
        <w:szCs w:val="12"/>
      </w:rPr>
    </w:lvl>
    <w:lvl w:ilvl="1">
      <w:numFmt w:val="bullet"/>
      <w:lvlText w:val=""/>
      <w:lvlJc w:val="left"/>
      <w:pPr>
        <w:tabs>
          <w:tab w:val="num" w:pos="0"/>
        </w:tabs>
        <w:ind w:left="597" w:hanging="171"/>
      </w:pPr>
      <w:rPr>
        <w:rFonts w:ascii="Symbol" w:hAnsi="Symbol" w:cs="Symbol" w:hint="default"/>
      </w:rPr>
    </w:lvl>
    <w:lvl w:ilvl="2">
      <w:numFmt w:val="bullet"/>
      <w:lvlText w:val=""/>
      <w:lvlJc w:val="left"/>
      <w:pPr>
        <w:tabs>
          <w:tab w:val="num" w:pos="0"/>
        </w:tabs>
        <w:ind w:left="894" w:hanging="171"/>
      </w:pPr>
      <w:rPr>
        <w:rFonts w:ascii="Symbol" w:hAnsi="Symbol" w:cs="Symbol" w:hint="default"/>
      </w:rPr>
    </w:lvl>
    <w:lvl w:ilvl="3">
      <w:numFmt w:val="bullet"/>
      <w:lvlText w:val=""/>
      <w:lvlJc w:val="left"/>
      <w:pPr>
        <w:tabs>
          <w:tab w:val="num" w:pos="0"/>
        </w:tabs>
        <w:ind w:left="1191" w:hanging="171"/>
      </w:pPr>
      <w:rPr>
        <w:rFonts w:ascii="Symbol" w:hAnsi="Symbol" w:cs="Symbol" w:hint="default"/>
      </w:rPr>
    </w:lvl>
    <w:lvl w:ilvl="4">
      <w:numFmt w:val="bullet"/>
      <w:lvlText w:val=""/>
      <w:lvlJc w:val="left"/>
      <w:pPr>
        <w:tabs>
          <w:tab w:val="num" w:pos="0"/>
        </w:tabs>
        <w:ind w:left="1488" w:hanging="171"/>
      </w:pPr>
      <w:rPr>
        <w:rFonts w:ascii="Symbol" w:hAnsi="Symbol" w:cs="Symbol" w:hint="default"/>
      </w:rPr>
    </w:lvl>
    <w:lvl w:ilvl="5">
      <w:numFmt w:val="bullet"/>
      <w:lvlText w:val=""/>
      <w:lvlJc w:val="left"/>
      <w:pPr>
        <w:tabs>
          <w:tab w:val="num" w:pos="0"/>
        </w:tabs>
        <w:ind w:left="1785" w:hanging="171"/>
      </w:pPr>
      <w:rPr>
        <w:rFonts w:ascii="Symbol" w:hAnsi="Symbol" w:cs="Symbol" w:hint="default"/>
      </w:rPr>
    </w:lvl>
    <w:lvl w:ilvl="6">
      <w:numFmt w:val="bullet"/>
      <w:lvlText w:val=""/>
      <w:lvlJc w:val="left"/>
      <w:pPr>
        <w:tabs>
          <w:tab w:val="num" w:pos="0"/>
        </w:tabs>
        <w:ind w:left="2082" w:hanging="171"/>
      </w:pPr>
      <w:rPr>
        <w:rFonts w:ascii="Symbol" w:hAnsi="Symbol" w:cs="Symbol" w:hint="default"/>
      </w:rPr>
    </w:lvl>
    <w:lvl w:ilvl="7">
      <w:numFmt w:val="bullet"/>
      <w:lvlText w:val=""/>
      <w:lvlJc w:val="left"/>
      <w:pPr>
        <w:tabs>
          <w:tab w:val="num" w:pos="0"/>
        </w:tabs>
        <w:ind w:left="2379" w:hanging="171"/>
      </w:pPr>
      <w:rPr>
        <w:rFonts w:ascii="Symbol" w:hAnsi="Symbol" w:cs="Symbol" w:hint="default"/>
      </w:rPr>
    </w:lvl>
    <w:lvl w:ilvl="8">
      <w:numFmt w:val="bullet"/>
      <w:lvlText w:val=""/>
      <w:lvlJc w:val="left"/>
      <w:pPr>
        <w:tabs>
          <w:tab w:val="num" w:pos="0"/>
        </w:tabs>
        <w:ind w:left="2676" w:hanging="171"/>
      </w:pPr>
      <w:rPr>
        <w:rFonts w:ascii="Symbol" w:hAnsi="Symbol" w:cs="Symbol" w:hint="default"/>
      </w:rPr>
    </w:lvl>
  </w:abstractNum>
  <w:abstractNum w:abstractNumId="26" w15:restartNumberingAfterBreak="0">
    <w:nsid w:val="45AD3F8A"/>
    <w:multiLevelType w:val="hybridMultilevel"/>
    <w:tmpl w:val="96E2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24026E"/>
    <w:multiLevelType w:val="hybridMultilevel"/>
    <w:tmpl w:val="95AC5BDE"/>
    <w:lvl w:ilvl="0" w:tplc="0409000F">
      <w:start w:val="1"/>
      <w:numFmt w:val="decimal"/>
      <w:lvlText w:val="%1."/>
      <w:lvlJc w:val="left"/>
      <w:pPr>
        <w:ind w:left="3904" w:hanging="360"/>
      </w:p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8" w15:restartNumberingAfterBreak="0">
    <w:nsid w:val="4A4E52A2"/>
    <w:multiLevelType w:val="hybridMultilevel"/>
    <w:tmpl w:val="0262BEFC"/>
    <w:lvl w:ilvl="0" w:tplc="495EFCEA">
      <w:start w:val="1"/>
      <w:numFmt w:val="bullet"/>
      <w:pStyle w:val="2"/>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9" w15:restartNumberingAfterBreak="0">
    <w:nsid w:val="4B7F0809"/>
    <w:multiLevelType w:val="hybridMultilevel"/>
    <w:tmpl w:val="1B70F3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D690353"/>
    <w:multiLevelType w:val="hybridMultilevel"/>
    <w:tmpl w:val="78688B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56728A"/>
    <w:multiLevelType w:val="hybridMultilevel"/>
    <w:tmpl w:val="4386BE96"/>
    <w:lvl w:ilvl="0" w:tplc="0E042AB6">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65DEF"/>
    <w:multiLevelType w:val="hybridMultilevel"/>
    <w:tmpl w:val="5AB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C16F39"/>
    <w:multiLevelType w:val="multilevel"/>
    <w:tmpl w:val="4E78A514"/>
    <w:lvl w:ilvl="0">
      <w:numFmt w:val="bullet"/>
      <w:lvlText w:val="•"/>
      <w:lvlJc w:val="left"/>
      <w:pPr>
        <w:tabs>
          <w:tab w:val="num" w:pos="0"/>
        </w:tabs>
        <w:ind w:left="306" w:hanging="171"/>
      </w:pPr>
      <w:rPr>
        <w:rFonts w:ascii="Arial Unicode MS" w:hAnsi="Arial Unicode MS" w:cs="Arial Unicode MS" w:hint="default"/>
        <w:b w:val="0"/>
        <w:bCs w:val="0"/>
        <w:w w:val="107"/>
        <w:sz w:val="12"/>
        <w:szCs w:val="12"/>
      </w:rPr>
    </w:lvl>
    <w:lvl w:ilvl="1">
      <w:numFmt w:val="bullet"/>
      <w:lvlText w:val=""/>
      <w:lvlJc w:val="left"/>
      <w:pPr>
        <w:tabs>
          <w:tab w:val="num" w:pos="0"/>
        </w:tabs>
        <w:ind w:left="500" w:hanging="171"/>
      </w:pPr>
      <w:rPr>
        <w:rFonts w:ascii="Symbol" w:hAnsi="Symbol" w:cs="Symbol" w:hint="default"/>
      </w:rPr>
    </w:lvl>
    <w:lvl w:ilvl="2">
      <w:numFmt w:val="bullet"/>
      <w:lvlText w:val=""/>
      <w:lvlJc w:val="left"/>
      <w:pPr>
        <w:tabs>
          <w:tab w:val="num" w:pos="0"/>
        </w:tabs>
        <w:ind w:left="701" w:hanging="171"/>
      </w:pPr>
      <w:rPr>
        <w:rFonts w:ascii="Symbol" w:hAnsi="Symbol" w:cs="Symbol" w:hint="default"/>
      </w:rPr>
    </w:lvl>
    <w:lvl w:ilvl="3">
      <w:numFmt w:val="bullet"/>
      <w:lvlText w:val=""/>
      <w:lvlJc w:val="left"/>
      <w:pPr>
        <w:tabs>
          <w:tab w:val="num" w:pos="0"/>
        </w:tabs>
        <w:ind w:left="902" w:hanging="171"/>
      </w:pPr>
      <w:rPr>
        <w:rFonts w:ascii="Symbol" w:hAnsi="Symbol" w:cs="Symbol" w:hint="default"/>
      </w:rPr>
    </w:lvl>
    <w:lvl w:ilvl="4">
      <w:numFmt w:val="bullet"/>
      <w:lvlText w:val=""/>
      <w:lvlJc w:val="left"/>
      <w:pPr>
        <w:tabs>
          <w:tab w:val="num" w:pos="0"/>
        </w:tabs>
        <w:ind w:left="1103" w:hanging="171"/>
      </w:pPr>
      <w:rPr>
        <w:rFonts w:ascii="Symbol" w:hAnsi="Symbol" w:cs="Symbol" w:hint="default"/>
      </w:rPr>
    </w:lvl>
    <w:lvl w:ilvl="5">
      <w:numFmt w:val="bullet"/>
      <w:lvlText w:val=""/>
      <w:lvlJc w:val="left"/>
      <w:pPr>
        <w:tabs>
          <w:tab w:val="num" w:pos="0"/>
        </w:tabs>
        <w:ind w:left="1304" w:hanging="171"/>
      </w:pPr>
      <w:rPr>
        <w:rFonts w:ascii="Symbol" w:hAnsi="Symbol" w:cs="Symbol" w:hint="default"/>
      </w:rPr>
    </w:lvl>
    <w:lvl w:ilvl="6">
      <w:numFmt w:val="bullet"/>
      <w:lvlText w:val=""/>
      <w:lvlJc w:val="left"/>
      <w:pPr>
        <w:tabs>
          <w:tab w:val="num" w:pos="0"/>
        </w:tabs>
        <w:ind w:left="1505" w:hanging="171"/>
      </w:pPr>
      <w:rPr>
        <w:rFonts w:ascii="Symbol" w:hAnsi="Symbol" w:cs="Symbol" w:hint="default"/>
      </w:rPr>
    </w:lvl>
    <w:lvl w:ilvl="7">
      <w:numFmt w:val="bullet"/>
      <w:lvlText w:val=""/>
      <w:lvlJc w:val="left"/>
      <w:pPr>
        <w:tabs>
          <w:tab w:val="num" w:pos="0"/>
        </w:tabs>
        <w:ind w:left="1706" w:hanging="171"/>
      </w:pPr>
      <w:rPr>
        <w:rFonts w:ascii="Symbol" w:hAnsi="Symbol" w:cs="Symbol" w:hint="default"/>
      </w:rPr>
    </w:lvl>
    <w:lvl w:ilvl="8">
      <w:numFmt w:val="bullet"/>
      <w:lvlText w:val=""/>
      <w:lvlJc w:val="left"/>
      <w:pPr>
        <w:tabs>
          <w:tab w:val="num" w:pos="0"/>
        </w:tabs>
        <w:ind w:left="1907" w:hanging="171"/>
      </w:pPr>
      <w:rPr>
        <w:rFonts w:ascii="Symbol" w:hAnsi="Symbol" w:cs="Symbol" w:hint="default"/>
      </w:rPr>
    </w:lvl>
  </w:abstractNum>
  <w:abstractNum w:abstractNumId="34" w15:restartNumberingAfterBreak="0">
    <w:nsid w:val="5E175652"/>
    <w:multiLevelType w:val="hybridMultilevel"/>
    <w:tmpl w:val="2ADCA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14FC2"/>
    <w:multiLevelType w:val="hybridMultilevel"/>
    <w:tmpl w:val="0B8EA5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6450175E"/>
    <w:multiLevelType w:val="hybridMultilevel"/>
    <w:tmpl w:val="65CEE69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15:restartNumberingAfterBreak="0">
    <w:nsid w:val="65287816"/>
    <w:multiLevelType w:val="hybridMultilevel"/>
    <w:tmpl w:val="A218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7C0A96"/>
    <w:multiLevelType w:val="hybridMultilevel"/>
    <w:tmpl w:val="C5947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9C7A07"/>
    <w:multiLevelType w:val="hybridMultilevel"/>
    <w:tmpl w:val="5DDC4DE0"/>
    <w:lvl w:ilvl="0" w:tplc="85EC106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EB06D7"/>
    <w:multiLevelType w:val="hybridMultilevel"/>
    <w:tmpl w:val="2780DD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6155769"/>
    <w:multiLevelType w:val="hybridMultilevel"/>
    <w:tmpl w:val="5C7A4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221EE4"/>
    <w:multiLevelType w:val="multilevel"/>
    <w:tmpl w:val="8DEE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E85CF3"/>
    <w:multiLevelType w:val="hybridMultilevel"/>
    <w:tmpl w:val="BDD0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C466DD"/>
    <w:multiLevelType w:val="hybridMultilevel"/>
    <w:tmpl w:val="ECFE7E88"/>
    <w:lvl w:ilvl="0" w:tplc="23D89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28070974">
    <w:abstractNumId w:val="28"/>
  </w:num>
  <w:num w:numId="2" w16cid:durableId="578028256">
    <w:abstractNumId w:val="35"/>
  </w:num>
  <w:num w:numId="3" w16cid:durableId="1845851891">
    <w:abstractNumId w:val="0"/>
  </w:num>
  <w:num w:numId="4" w16cid:durableId="874733541">
    <w:abstractNumId w:val="1"/>
  </w:num>
  <w:num w:numId="5" w16cid:durableId="1441997760">
    <w:abstractNumId w:val="3"/>
  </w:num>
  <w:num w:numId="6" w16cid:durableId="781650104">
    <w:abstractNumId w:val="17"/>
  </w:num>
  <w:num w:numId="7" w16cid:durableId="395982305">
    <w:abstractNumId w:val="27"/>
  </w:num>
  <w:num w:numId="8" w16cid:durableId="1569728182">
    <w:abstractNumId w:val="23"/>
  </w:num>
  <w:num w:numId="9" w16cid:durableId="1924531416">
    <w:abstractNumId w:val="11"/>
  </w:num>
  <w:num w:numId="10" w16cid:durableId="397556262">
    <w:abstractNumId w:val="21"/>
  </w:num>
  <w:num w:numId="11" w16cid:durableId="472217617">
    <w:abstractNumId w:val="10"/>
  </w:num>
  <w:num w:numId="12" w16cid:durableId="148252447">
    <w:abstractNumId w:val="29"/>
  </w:num>
  <w:num w:numId="13" w16cid:durableId="495615896">
    <w:abstractNumId w:val="5"/>
  </w:num>
  <w:num w:numId="14" w16cid:durableId="1552380891">
    <w:abstractNumId w:val="9"/>
  </w:num>
  <w:num w:numId="15" w16cid:durableId="749813088">
    <w:abstractNumId w:val="14"/>
  </w:num>
  <w:num w:numId="16" w16cid:durableId="755714041">
    <w:abstractNumId w:val="34"/>
  </w:num>
  <w:num w:numId="17" w16cid:durableId="970285948">
    <w:abstractNumId w:val="16"/>
  </w:num>
  <w:num w:numId="18" w16cid:durableId="1498499983">
    <w:abstractNumId w:val="28"/>
  </w:num>
  <w:num w:numId="19" w16cid:durableId="560407234">
    <w:abstractNumId w:val="37"/>
  </w:num>
  <w:num w:numId="20" w16cid:durableId="18161206">
    <w:abstractNumId w:val="39"/>
  </w:num>
  <w:num w:numId="21" w16cid:durableId="196090493">
    <w:abstractNumId w:val="7"/>
  </w:num>
  <w:num w:numId="22" w16cid:durableId="1481339244">
    <w:abstractNumId w:val="44"/>
  </w:num>
  <w:num w:numId="23" w16cid:durableId="615254261">
    <w:abstractNumId w:val="40"/>
  </w:num>
  <w:num w:numId="24" w16cid:durableId="815611901">
    <w:abstractNumId w:val="43"/>
  </w:num>
  <w:num w:numId="25" w16cid:durableId="662899926">
    <w:abstractNumId w:val="28"/>
  </w:num>
  <w:num w:numId="26" w16cid:durableId="521631271">
    <w:abstractNumId w:val="6"/>
  </w:num>
  <w:num w:numId="27" w16cid:durableId="1340935997">
    <w:abstractNumId w:val="26"/>
  </w:num>
  <w:num w:numId="28" w16cid:durableId="884295314">
    <w:abstractNumId w:val="42"/>
  </w:num>
  <w:num w:numId="29" w16cid:durableId="1842550404">
    <w:abstractNumId w:val="31"/>
  </w:num>
  <w:num w:numId="30" w16cid:durableId="1995260520">
    <w:abstractNumId w:val="36"/>
  </w:num>
  <w:num w:numId="31" w16cid:durableId="350765746">
    <w:abstractNumId w:val="19"/>
  </w:num>
  <w:num w:numId="32" w16cid:durableId="468670135">
    <w:abstractNumId w:val="18"/>
  </w:num>
  <w:num w:numId="33" w16cid:durableId="510722171">
    <w:abstractNumId w:val="12"/>
  </w:num>
  <w:num w:numId="34" w16cid:durableId="1643660686">
    <w:abstractNumId w:val="8"/>
  </w:num>
  <w:num w:numId="35" w16cid:durableId="47849093">
    <w:abstractNumId w:val="22"/>
  </w:num>
  <w:num w:numId="36" w16cid:durableId="2011516437">
    <w:abstractNumId w:val="13"/>
  </w:num>
  <w:num w:numId="37" w16cid:durableId="1817214088">
    <w:abstractNumId w:val="38"/>
  </w:num>
  <w:num w:numId="38" w16cid:durableId="1390956519">
    <w:abstractNumId w:val="15"/>
  </w:num>
  <w:num w:numId="39" w16cid:durableId="1330062619">
    <w:abstractNumId w:val="28"/>
  </w:num>
  <w:num w:numId="40" w16cid:durableId="614288859">
    <w:abstractNumId w:val="24"/>
  </w:num>
  <w:num w:numId="41" w16cid:durableId="388460019">
    <w:abstractNumId w:val="33"/>
  </w:num>
  <w:num w:numId="42" w16cid:durableId="966937480">
    <w:abstractNumId w:val="25"/>
  </w:num>
  <w:num w:numId="43" w16cid:durableId="1846433397">
    <w:abstractNumId w:val="20"/>
  </w:num>
  <w:num w:numId="44" w16cid:durableId="951091161">
    <w:abstractNumId w:val="41"/>
  </w:num>
  <w:num w:numId="45" w16cid:durableId="752051928">
    <w:abstractNumId w:val="30"/>
  </w:num>
  <w:num w:numId="46" w16cid:durableId="136212494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2C"/>
    <w:rsid w:val="0000102C"/>
    <w:rsid w:val="00002DF6"/>
    <w:rsid w:val="000053BD"/>
    <w:rsid w:val="00006C69"/>
    <w:rsid w:val="00007821"/>
    <w:rsid w:val="00007EEB"/>
    <w:rsid w:val="000104BF"/>
    <w:rsid w:val="00010766"/>
    <w:rsid w:val="00013ED9"/>
    <w:rsid w:val="000144B8"/>
    <w:rsid w:val="000152FA"/>
    <w:rsid w:val="00015EF9"/>
    <w:rsid w:val="00015FBD"/>
    <w:rsid w:val="00016960"/>
    <w:rsid w:val="00022010"/>
    <w:rsid w:val="00022030"/>
    <w:rsid w:val="000235A7"/>
    <w:rsid w:val="00023A21"/>
    <w:rsid w:val="00026BE2"/>
    <w:rsid w:val="00027B34"/>
    <w:rsid w:val="0003068F"/>
    <w:rsid w:val="00031F28"/>
    <w:rsid w:val="00032D20"/>
    <w:rsid w:val="00033EDB"/>
    <w:rsid w:val="0003434B"/>
    <w:rsid w:val="0003633D"/>
    <w:rsid w:val="00036DD8"/>
    <w:rsid w:val="00037270"/>
    <w:rsid w:val="00040E28"/>
    <w:rsid w:val="00041D75"/>
    <w:rsid w:val="000462D7"/>
    <w:rsid w:val="00050E23"/>
    <w:rsid w:val="00050FB4"/>
    <w:rsid w:val="00051F1E"/>
    <w:rsid w:val="00054FE0"/>
    <w:rsid w:val="0005537C"/>
    <w:rsid w:val="00055DFD"/>
    <w:rsid w:val="00056A8F"/>
    <w:rsid w:val="0006028F"/>
    <w:rsid w:val="00061D50"/>
    <w:rsid w:val="00062FE9"/>
    <w:rsid w:val="00064473"/>
    <w:rsid w:val="00064F7F"/>
    <w:rsid w:val="000660FD"/>
    <w:rsid w:val="000668FB"/>
    <w:rsid w:val="00067D97"/>
    <w:rsid w:val="00072CF8"/>
    <w:rsid w:val="000734FE"/>
    <w:rsid w:val="00075008"/>
    <w:rsid w:val="00075163"/>
    <w:rsid w:val="00075346"/>
    <w:rsid w:val="00075402"/>
    <w:rsid w:val="00076176"/>
    <w:rsid w:val="00083AB1"/>
    <w:rsid w:val="00086265"/>
    <w:rsid w:val="00086D21"/>
    <w:rsid w:val="00090430"/>
    <w:rsid w:val="0009269D"/>
    <w:rsid w:val="00093476"/>
    <w:rsid w:val="000938AD"/>
    <w:rsid w:val="00093A7E"/>
    <w:rsid w:val="0009476B"/>
    <w:rsid w:val="0009656E"/>
    <w:rsid w:val="000965A8"/>
    <w:rsid w:val="000A2683"/>
    <w:rsid w:val="000A3974"/>
    <w:rsid w:val="000A3C3A"/>
    <w:rsid w:val="000A5C4B"/>
    <w:rsid w:val="000A77E9"/>
    <w:rsid w:val="000B15AC"/>
    <w:rsid w:val="000B1FFC"/>
    <w:rsid w:val="000B3A53"/>
    <w:rsid w:val="000B41F0"/>
    <w:rsid w:val="000B4456"/>
    <w:rsid w:val="000B5088"/>
    <w:rsid w:val="000B6B12"/>
    <w:rsid w:val="000C1A46"/>
    <w:rsid w:val="000C210D"/>
    <w:rsid w:val="000C3BAB"/>
    <w:rsid w:val="000C7526"/>
    <w:rsid w:val="000C7A0C"/>
    <w:rsid w:val="000D11EC"/>
    <w:rsid w:val="000D2210"/>
    <w:rsid w:val="000D253B"/>
    <w:rsid w:val="000D2B79"/>
    <w:rsid w:val="000D4658"/>
    <w:rsid w:val="000D5C51"/>
    <w:rsid w:val="000D607A"/>
    <w:rsid w:val="000D68EA"/>
    <w:rsid w:val="000D799B"/>
    <w:rsid w:val="000E2DEE"/>
    <w:rsid w:val="000E397D"/>
    <w:rsid w:val="000E4B58"/>
    <w:rsid w:val="000F05C3"/>
    <w:rsid w:val="000F1201"/>
    <w:rsid w:val="000F15F6"/>
    <w:rsid w:val="000F1840"/>
    <w:rsid w:val="000F2198"/>
    <w:rsid w:val="000F2F90"/>
    <w:rsid w:val="000F3963"/>
    <w:rsid w:val="000F3A58"/>
    <w:rsid w:val="000F3E58"/>
    <w:rsid w:val="000F42C6"/>
    <w:rsid w:val="000F6AC1"/>
    <w:rsid w:val="0010204D"/>
    <w:rsid w:val="00103346"/>
    <w:rsid w:val="0010378D"/>
    <w:rsid w:val="00105A7A"/>
    <w:rsid w:val="00106B5F"/>
    <w:rsid w:val="001071CD"/>
    <w:rsid w:val="00110063"/>
    <w:rsid w:val="00111574"/>
    <w:rsid w:val="00113107"/>
    <w:rsid w:val="0011384A"/>
    <w:rsid w:val="00114175"/>
    <w:rsid w:val="0011482B"/>
    <w:rsid w:val="00114DB9"/>
    <w:rsid w:val="00116473"/>
    <w:rsid w:val="00116E91"/>
    <w:rsid w:val="00120EE6"/>
    <w:rsid w:val="00121C5E"/>
    <w:rsid w:val="00124769"/>
    <w:rsid w:val="001257AF"/>
    <w:rsid w:val="001257F9"/>
    <w:rsid w:val="00131DD9"/>
    <w:rsid w:val="0013341E"/>
    <w:rsid w:val="00137CBC"/>
    <w:rsid w:val="001406EF"/>
    <w:rsid w:val="00140E52"/>
    <w:rsid w:val="00142093"/>
    <w:rsid w:val="00143307"/>
    <w:rsid w:val="00144910"/>
    <w:rsid w:val="00144B29"/>
    <w:rsid w:val="00145774"/>
    <w:rsid w:val="00150852"/>
    <w:rsid w:val="00151B4A"/>
    <w:rsid w:val="00152605"/>
    <w:rsid w:val="00152BB5"/>
    <w:rsid w:val="001534B3"/>
    <w:rsid w:val="001537BF"/>
    <w:rsid w:val="00153F2C"/>
    <w:rsid w:val="00156EB8"/>
    <w:rsid w:val="00160B3F"/>
    <w:rsid w:val="00162A2F"/>
    <w:rsid w:val="0016373F"/>
    <w:rsid w:val="001647C9"/>
    <w:rsid w:val="00165ABE"/>
    <w:rsid w:val="00166024"/>
    <w:rsid w:val="00167655"/>
    <w:rsid w:val="00175ADB"/>
    <w:rsid w:val="001762EB"/>
    <w:rsid w:val="00177556"/>
    <w:rsid w:val="00177E3C"/>
    <w:rsid w:val="00180049"/>
    <w:rsid w:val="00181479"/>
    <w:rsid w:val="00181A9B"/>
    <w:rsid w:val="001827F0"/>
    <w:rsid w:val="00182E7C"/>
    <w:rsid w:val="00183123"/>
    <w:rsid w:val="0018551F"/>
    <w:rsid w:val="00186B16"/>
    <w:rsid w:val="00190F01"/>
    <w:rsid w:val="001911F0"/>
    <w:rsid w:val="00191663"/>
    <w:rsid w:val="00193CD7"/>
    <w:rsid w:val="0019586F"/>
    <w:rsid w:val="00195CAF"/>
    <w:rsid w:val="00196303"/>
    <w:rsid w:val="001A1F09"/>
    <w:rsid w:val="001A214D"/>
    <w:rsid w:val="001A274B"/>
    <w:rsid w:val="001A4704"/>
    <w:rsid w:val="001A575A"/>
    <w:rsid w:val="001A6715"/>
    <w:rsid w:val="001B15A5"/>
    <w:rsid w:val="001B382B"/>
    <w:rsid w:val="001B474B"/>
    <w:rsid w:val="001B65D7"/>
    <w:rsid w:val="001B7680"/>
    <w:rsid w:val="001C3619"/>
    <w:rsid w:val="001C4237"/>
    <w:rsid w:val="001C4FB5"/>
    <w:rsid w:val="001C6B71"/>
    <w:rsid w:val="001D57A5"/>
    <w:rsid w:val="001D6A3A"/>
    <w:rsid w:val="001E1F02"/>
    <w:rsid w:val="001E4AC9"/>
    <w:rsid w:val="001F159F"/>
    <w:rsid w:val="001F229E"/>
    <w:rsid w:val="001F2BD0"/>
    <w:rsid w:val="001F3F5E"/>
    <w:rsid w:val="001F58F6"/>
    <w:rsid w:val="0020019C"/>
    <w:rsid w:val="002036CD"/>
    <w:rsid w:val="00205845"/>
    <w:rsid w:val="00210B60"/>
    <w:rsid w:val="00212548"/>
    <w:rsid w:val="0021275E"/>
    <w:rsid w:val="002129BD"/>
    <w:rsid w:val="00214502"/>
    <w:rsid w:val="002148C2"/>
    <w:rsid w:val="002155E3"/>
    <w:rsid w:val="00216C88"/>
    <w:rsid w:val="00217A55"/>
    <w:rsid w:val="00217F03"/>
    <w:rsid w:val="0022005B"/>
    <w:rsid w:val="00221CEC"/>
    <w:rsid w:val="00222E38"/>
    <w:rsid w:val="00224B60"/>
    <w:rsid w:val="00224F21"/>
    <w:rsid w:val="00227E6D"/>
    <w:rsid w:val="0023046D"/>
    <w:rsid w:val="00231EC9"/>
    <w:rsid w:val="00234CAF"/>
    <w:rsid w:val="002355FB"/>
    <w:rsid w:val="00235892"/>
    <w:rsid w:val="00237674"/>
    <w:rsid w:val="00237D00"/>
    <w:rsid w:val="0024183E"/>
    <w:rsid w:val="002424A3"/>
    <w:rsid w:val="002431BA"/>
    <w:rsid w:val="00244495"/>
    <w:rsid w:val="002454F3"/>
    <w:rsid w:val="00247119"/>
    <w:rsid w:val="00250EF8"/>
    <w:rsid w:val="002515EA"/>
    <w:rsid w:val="0025240A"/>
    <w:rsid w:val="0025407A"/>
    <w:rsid w:val="002544A6"/>
    <w:rsid w:val="002556E4"/>
    <w:rsid w:val="00255DAB"/>
    <w:rsid w:val="00255F99"/>
    <w:rsid w:val="002602AC"/>
    <w:rsid w:val="00267384"/>
    <w:rsid w:val="00270EA1"/>
    <w:rsid w:val="00271358"/>
    <w:rsid w:val="00271C08"/>
    <w:rsid w:val="00271C23"/>
    <w:rsid w:val="00272A77"/>
    <w:rsid w:val="00273008"/>
    <w:rsid w:val="0027474C"/>
    <w:rsid w:val="002755CB"/>
    <w:rsid w:val="00276F72"/>
    <w:rsid w:val="0028019F"/>
    <w:rsid w:val="0028054D"/>
    <w:rsid w:val="00281EF6"/>
    <w:rsid w:val="002849A6"/>
    <w:rsid w:val="00284F91"/>
    <w:rsid w:val="00291FB8"/>
    <w:rsid w:val="00293AFF"/>
    <w:rsid w:val="00295D1A"/>
    <w:rsid w:val="00297980"/>
    <w:rsid w:val="002A05ED"/>
    <w:rsid w:val="002A384B"/>
    <w:rsid w:val="002A4002"/>
    <w:rsid w:val="002A7589"/>
    <w:rsid w:val="002A790A"/>
    <w:rsid w:val="002B02C2"/>
    <w:rsid w:val="002B2568"/>
    <w:rsid w:val="002B2800"/>
    <w:rsid w:val="002B3093"/>
    <w:rsid w:val="002B37D7"/>
    <w:rsid w:val="002B42E0"/>
    <w:rsid w:val="002B4FB8"/>
    <w:rsid w:val="002B5D57"/>
    <w:rsid w:val="002B6310"/>
    <w:rsid w:val="002B66D8"/>
    <w:rsid w:val="002B6954"/>
    <w:rsid w:val="002B6F36"/>
    <w:rsid w:val="002C03A5"/>
    <w:rsid w:val="002C1CF7"/>
    <w:rsid w:val="002C3157"/>
    <w:rsid w:val="002C6F11"/>
    <w:rsid w:val="002D0420"/>
    <w:rsid w:val="002D4214"/>
    <w:rsid w:val="002D492F"/>
    <w:rsid w:val="002D5A30"/>
    <w:rsid w:val="002D738B"/>
    <w:rsid w:val="002D7C1E"/>
    <w:rsid w:val="002E1535"/>
    <w:rsid w:val="002E2292"/>
    <w:rsid w:val="002E2FCF"/>
    <w:rsid w:val="002E4556"/>
    <w:rsid w:val="002E5693"/>
    <w:rsid w:val="002E5C7C"/>
    <w:rsid w:val="002E6369"/>
    <w:rsid w:val="002F0C74"/>
    <w:rsid w:val="002F3736"/>
    <w:rsid w:val="002F5290"/>
    <w:rsid w:val="002F77F7"/>
    <w:rsid w:val="00300001"/>
    <w:rsid w:val="00300653"/>
    <w:rsid w:val="00300DCA"/>
    <w:rsid w:val="00310C34"/>
    <w:rsid w:val="00311267"/>
    <w:rsid w:val="00313B91"/>
    <w:rsid w:val="00316711"/>
    <w:rsid w:val="00317C31"/>
    <w:rsid w:val="00317CCB"/>
    <w:rsid w:val="00321F2C"/>
    <w:rsid w:val="00322DC1"/>
    <w:rsid w:val="00324A8D"/>
    <w:rsid w:val="00324E4C"/>
    <w:rsid w:val="003259C3"/>
    <w:rsid w:val="0032758D"/>
    <w:rsid w:val="00334B52"/>
    <w:rsid w:val="003350C1"/>
    <w:rsid w:val="003364E1"/>
    <w:rsid w:val="003369D7"/>
    <w:rsid w:val="00337C6A"/>
    <w:rsid w:val="00342F50"/>
    <w:rsid w:val="003435A6"/>
    <w:rsid w:val="00343BE5"/>
    <w:rsid w:val="00343DCD"/>
    <w:rsid w:val="003445AB"/>
    <w:rsid w:val="00346903"/>
    <w:rsid w:val="00346B58"/>
    <w:rsid w:val="00347B97"/>
    <w:rsid w:val="00350A09"/>
    <w:rsid w:val="00353780"/>
    <w:rsid w:val="00354FF6"/>
    <w:rsid w:val="00355C90"/>
    <w:rsid w:val="003604C8"/>
    <w:rsid w:val="003627FB"/>
    <w:rsid w:val="003636A6"/>
    <w:rsid w:val="0036531F"/>
    <w:rsid w:val="00365D12"/>
    <w:rsid w:val="00366FD4"/>
    <w:rsid w:val="003733CC"/>
    <w:rsid w:val="00376256"/>
    <w:rsid w:val="003801DF"/>
    <w:rsid w:val="00380D29"/>
    <w:rsid w:val="00380D6A"/>
    <w:rsid w:val="0038253E"/>
    <w:rsid w:val="003829FF"/>
    <w:rsid w:val="00383621"/>
    <w:rsid w:val="00383FE7"/>
    <w:rsid w:val="00385052"/>
    <w:rsid w:val="00387BBE"/>
    <w:rsid w:val="003940BC"/>
    <w:rsid w:val="003940E1"/>
    <w:rsid w:val="00395D1E"/>
    <w:rsid w:val="00396378"/>
    <w:rsid w:val="00397841"/>
    <w:rsid w:val="003A03AF"/>
    <w:rsid w:val="003A0B9A"/>
    <w:rsid w:val="003A169B"/>
    <w:rsid w:val="003A24D6"/>
    <w:rsid w:val="003A3E44"/>
    <w:rsid w:val="003B09D5"/>
    <w:rsid w:val="003B0AB3"/>
    <w:rsid w:val="003B0ABB"/>
    <w:rsid w:val="003B3375"/>
    <w:rsid w:val="003B6B60"/>
    <w:rsid w:val="003C1E53"/>
    <w:rsid w:val="003C2F61"/>
    <w:rsid w:val="003C628A"/>
    <w:rsid w:val="003C6610"/>
    <w:rsid w:val="003C7187"/>
    <w:rsid w:val="003C7BBC"/>
    <w:rsid w:val="003D1956"/>
    <w:rsid w:val="003D1D2B"/>
    <w:rsid w:val="003D423D"/>
    <w:rsid w:val="003D449A"/>
    <w:rsid w:val="003D4F69"/>
    <w:rsid w:val="003D5039"/>
    <w:rsid w:val="003E12D6"/>
    <w:rsid w:val="003E28B8"/>
    <w:rsid w:val="003E3CED"/>
    <w:rsid w:val="003E5AB6"/>
    <w:rsid w:val="003F15DA"/>
    <w:rsid w:val="003F1A36"/>
    <w:rsid w:val="003F3880"/>
    <w:rsid w:val="003F42F0"/>
    <w:rsid w:val="003F6957"/>
    <w:rsid w:val="003F75DC"/>
    <w:rsid w:val="0040269F"/>
    <w:rsid w:val="00403499"/>
    <w:rsid w:val="004034C1"/>
    <w:rsid w:val="00405AD8"/>
    <w:rsid w:val="00405C7C"/>
    <w:rsid w:val="00405D68"/>
    <w:rsid w:val="00407982"/>
    <w:rsid w:val="00410303"/>
    <w:rsid w:val="004163E5"/>
    <w:rsid w:val="00421E47"/>
    <w:rsid w:val="00424786"/>
    <w:rsid w:val="00425C77"/>
    <w:rsid w:val="004260F3"/>
    <w:rsid w:val="00430CC7"/>
    <w:rsid w:val="004313AA"/>
    <w:rsid w:val="00432047"/>
    <w:rsid w:val="0043350C"/>
    <w:rsid w:val="00434E80"/>
    <w:rsid w:val="0043753C"/>
    <w:rsid w:val="00440461"/>
    <w:rsid w:val="0044292E"/>
    <w:rsid w:val="004442C2"/>
    <w:rsid w:val="0044449A"/>
    <w:rsid w:val="00444C44"/>
    <w:rsid w:val="00447D88"/>
    <w:rsid w:val="0045283E"/>
    <w:rsid w:val="00452A3E"/>
    <w:rsid w:val="00453843"/>
    <w:rsid w:val="00453A71"/>
    <w:rsid w:val="00454216"/>
    <w:rsid w:val="00460432"/>
    <w:rsid w:val="0046198B"/>
    <w:rsid w:val="00465656"/>
    <w:rsid w:val="00465B68"/>
    <w:rsid w:val="0046725D"/>
    <w:rsid w:val="004700CC"/>
    <w:rsid w:val="004701F1"/>
    <w:rsid w:val="004708A5"/>
    <w:rsid w:val="00470F72"/>
    <w:rsid w:val="004727E7"/>
    <w:rsid w:val="00473622"/>
    <w:rsid w:val="00474253"/>
    <w:rsid w:val="00475A6E"/>
    <w:rsid w:val="004771BA"/>
    <w:rsid w:val="00481979"/>
    <w:rsid w:val="00482166"/>
    <w:rsid w:val="00483005"/>
    <w:rsid w:val="00484E19"/>
    <w:rsid w:val="00485C77"/>
    <w:rsid w:val="00487A47"/>
    <w:rsid w:val="00490D32"/>
    <w:rsid w:val="004918CD"/>
    <w:rsid w:val="00491B86"/>
    <w:rsid w:val="00492D09"/>
    <w:rsid w:val="00494B81"/>
    <w:rsid w:val="00496781"/>
    <w:rsid w:val="00496FE9"/>
    <w:rsid w:val="004A054E"/>
    <w:rsid w:val="004A06F6"/>
    <w:rsid w:val="004A08CB"/>
    <w:rsid w:val="004A14DF"/>
    <w:rsid w:val="004A29E9"/>
    <w:rsid w:val="004A2C36"/>
    <w:rsid w:val="004A49D3"/>
    <w:rsid w:val="004A4BF7"/>
    <w:rsid w:val="004A668A"/>
    <w:rsid w:val="004A7718"/>
    <w:rsid w:val="004B052F"/>
    <w:rsid w:val="004B05E8"/>
    <w:rsid w:val="004B0E90"/>
    <w:rsid w:val="004B3CD7"/>
    <w:rsid w:val="004B41EE"/>
    <w:rsid w:val="004B4F95"/>
    <w:rsid w:val="004B50DD"/>
    <w:rsid w:val="004B75C5"/>
    <w:rsid w:val="004C0DD6"/>
    <w:rsid w:val="004C1AD3"/>
    <w:rsid w:val="004C2321"/>
    <w:rsid w:val="004C2565"/>
    <w:rsid w:val="004C271A"/>
    <w:rsid w:val="004C40C3"/>
    <w:rsid w:val="004C437C"/>
    <w:rsid w:val="004C47C9"/>
    <w:rsid w:val="004C5AAB"/>
    <w:rsid w:val="004C6C61"/>
    <w:rsid w:val="004C7A84"/>
    <w:rsid w:val="004D0030"/>
    <w:rsid w:val="004D0650"/>
    <w:rsid w:val="004D0C2B"/>
    <w:rsid w:val="004D65E3"/>
    <w:rsid w:val="004E104D"/>
    <w:rsid w:val="004E1A29"/>
    <w:rsid w:val="004E3A8F"/>
    <w:rsid w:val="004E4D51"/>
    <w:rsid w:val="004E567D"/>
    <w:rsid w:val="004F1C36"/>
    <w:rsid w:val="004F1F7E"/>
    <w:rsid w:val="004F1F83"/>
    <w:rsid w:val="004F2EDC"/>
    <w:rsid w:val="004F3296"/>
    <w:rsid w:val="004F4AEB"/>
    <w:rsid w:val="004F5A6E"/>
    <w:rsid w:val="00500E77"/>
    <w:rsid w:val="00502464"/>
    <w:rsid w:val="0050289A"/>
    <w:rsid w:val="005059F3"/>
    <w:rsid w:val="00505A23"/>
    <w:rsid w:val="00506C32"/>
    <w:rsid w:val="005075EB"/>
    <w:rsid w:val="005139F8"/>
    <w:rsid w:val="005147BF"/>
    <w:rsid w:val="00522E46"/>
    <w:rsid w:val="00522FD6"/>
    <w:rsid w:val="00523D96"/>
    <w:rsid w:val="005246DA"/>
    <w:rsid w:val="005252ED"/>
    <w:rsid w:val="00526DD6"/>
    <w:rsid w:val="00526F5D"/>
    <w:rsid w:val="00530692"/>
    <w:rsid w:val="0053195C"/>
    <w:rsid w:val="00534C40"/>
    <w:rsid w:val="00534D80"/>
    <w:rsid w:val="005351FC"/>
    <w:rsid w:val="00535E2D"/>
    <w:rsid w:val="005364BF"/>
    <w:rsid w:val="00537A85"/>
    <w:rsid w:val="00537ED5"/>
    <w:rsid w:val="0054286B"/>
    <w:rsid w:val="00542953"/>
    <w:rsid w:val="00544448"/>
    <w:rsid w:val="005449D6"/>
    <w:rsid w:val="0054521C"/>
    <w:rsid w:val="005459FC"/>
    <w:rsid w:val="00546257"/>
    <w:rsid w:val="005464EF"/>
    <w:rsid w:val="0054711A"/>
    <w:rsid w:val="00551198"/>
    <w:rsid w:val="00552781"/>
    <w:rsid w:val="005529A2"/>
    <w:rsid w:val="00553361"/>
    <w:rsid w:val="005534A6"/>
    <w:rsid w:val="00555FC8"/>
    <w:rsid w:val="00561389"/>
    <w:rsid w:val="00561C0B"/>
    <w:rsid w:val="00562A7F"/>
    <w:rsid w:val="00563094"/>
    <w:rsid w:val="00563A43"/>
    <w:rsid w:val="00564F92"/>
    <w:rsid w:val="0056555F"/>
    <w:rsid w:val="00571BA8"/>
    <w:rsid w:val="00571E26"/>
    <w:rsid w:val="00576568"/>
    <w:rsid w:val="00577EE4"/>
    <w:rsid w:val="00580230"/>
    <w:rsid w:val="005821FE"/>
    <w:rsid w:val="00582678"/>
    <w:rsid w:val="00584DB2"/>
    <w:rsid w:val="00584FFF"/>
    <w:rsid w:val="00587ACF"/>
    <w:rsid w:val="00591229"/>
    <w:rsid w:val="0059218D"/>
    <w:rsid w:val="005923C0"/>
    <w:rsid w:val="005932A5"/>
    <w:rsid w:val="00593E40"/>
    <w:rsid w:val="005947E5"/>
    <w:rsid w:val="00595B78"/>
    <w:rsid w:val="005960B8"/>
    <w:rsid w:val="00596662"/>
    <w:rsid w:val="00597BE1"/>
    <w:rsid w:val="005A2AC3"/>
    <w:rsid w:val="005A2B77"/>
    <w:rsid w:val="005A3A84"/>
    <w:rsid w:val="005A3C55"/>
    <w:rsid w:val="005A4CD5"/>
    <w:rsid w:val="005A615D"/>
    <w:rsid w:val="005A636F"/>
    <w:rsid w:val="005A67FA"/>
    <w:rsid w:val="005B02E1"/>
    <w:rsid w:val="005B26E5"/>
    <w:rsid w:val="005B2BCA"/>
    <w:rsid w:val="005B49FC"/>
    <w:rsid w:val="005B4B07"/>
    <w:rsid w:val="005B58BD"/>
    <w:rsid w:val="005C02F2"/>
    <w:rsid w:val="005C2E1D"/>
    <w:rsid w:val="005C3FEE"/>
    <w:rsid w:val="005D16C3"/>
    <w:rsid w:val="005D2607"/>
    <w:rsid w:val="005D277E"/>
    <w:rsid w:val="005D3C85"/>
    <w:rsid w:val="005D4F19"/>
    <w:rsid w:val="005D77D4"/>
    <w:rsid w:val="005D7903"/>
    <w:rsid w:val="005D7E1B"/>
    <w:rsid w:val="005E2A26"/>
    <w:rsid w:val="005E2BB1"/>
    <w:rsid w:val="005E302A"/>
    <w:rsid w:val="005E496E"/>
    <w:rsid w:val="005E6C17"/>
    <w:rsid w:val="005E7B12"/>
    <w:rsid w:val="005F30F8"/>
    <w:rsid w:val="005F3213"/>
    <w:rsid w:val="005F35DB"/>
    <w:rsid w:val="005F37E8"/>
    <w:rsid w:val="005F3C58"/>
    <w:rsid w:val="005F461B"/>
    <w:rsid w:val="005F5E94"/>
    <w:rsid w:val="005F6B57"/>
    <w:rsid w:val="005F7226"/>
    <w:rsid w:val="00600F8E"/>
    <w:rsid w:val="00602261"/>
    <w:rsid w:val="006023B6"/>
    <w:rsid w:val="0060277C"/>
    <w:rsid w:val="00602917"/>
    <w:rsid w:val="0060298B"/>
    <w:rsid w:val="0060351C"/>
    <w:rsid w:val="0060399C"/>
    <w:rsid w:val="00603C6C"/>
    <w:rsid w:val="00604182"/>
    <w:rsid w:val="006045FC"/>
    <w:rsid w:val="00605B6C"/>
    <w:rsid w:val="00605D72"/>
    <w:rsid w:val="00607131"/>
    <w:rsid w:val="00610235"/>
    <w:rsid w:val="00610C79"/>
    <w:rsid w:val="006138ED"/>
    <w:rsid w:val="00613F8C"/>
    <w:rsid w:val="00614673"/>
    <w:rsid w:val="00615922"/>
    <w:rsid w:val="00617219"/>
    <w:rsid w:val="006172F2"/>
    <w:rsid w:val="006240CC"/>
    <w:rsid w:val="00624EEC"/>
    <w:rsid w:val="0062502F"/>
    <w:rsid w:val="00625FD8"/>
    <w:rsid w:val="00626613"/>
    <w:rsid w:val="006269F2"/>
    <w:rsid w:val="00626F5D"/>
    <w:rsid w:val="00626F7A"/>
    <w:rsid w:val="00627A98"/>
    <w:rsid w:val="00633A4E"/>
    <w:rsid w:val="0063449B"/>
    <w:rsid w:val="00635D38"/>
    <w:rsid w:val="00636444"/>
    <w:rsid w:val="006419EA"/>
    <w:rsid w:val="00642F90"/>
    <w:rsid w:val="00644417"/>
    <w:rsid w:val="0064465B"/>
    <w:rsid w:val="00644EF6"/>
    <w:rsid w:val="00646C88"/>
    <w:rsid w:val="00647D61"/>
    <w:rsid w:val="006538DA"/>
    <w:rsid w:val="00653D04"/>
    <w:rsid w:val="00654353"/>
    <w:rsid w:val="00654BCC"/>
    <w:rsid w:val="00655A2C"/>
    <w:rsid w:val="00657D6C"/>
    <w:rsid w:val="00657ED1"/>
    <w:rsid w:val="00660247"/>
    <w:rsid w:val="006609E9"/>
    <w:rsid w:val="00660B9E"/>
    <w:rsid w:val="00662110"/>
    <w:rsid w:val="0066289E"/>
    <w:rsid w:val="00662C32"/>
    <w:rsid w:val="00666523"/>
    <w:rsid w:val="0067482F"/>
    <w:rsid w:val="00675E87"/>
    <w:rsid w:val="006769C7"/>
    <w:rsid w:val="0067710D"/>
    <w:rsid w:val="00677A85"/>
    <w:rsid w:val="00677EDC"/>
    <w:rsid w:val="00681A2B"/>
    <w:rsid w:val="0068432B"/>
    <w:rsid w:val="00684468"/>
    <w:rsid w:val="006849F7"/>
    <w:rsid w:val="00685342"/>
    <w:rsid w:val="00686261"/>
    <w:rsid w:val="00690F5D"/>
    <w:rsid w:val="006937EE"/>
    <w:rsid w:val="00693B37"/>
    <w:rsid w:val="00694DDC"/>
    <w:rsid w:val="00695557"/>
    <w:rsid w:val="0069653F"/>
    <w:rsid w:val="00696718"/>
    <w:rsid w:val="006A0A84"/>
    <w:rsid w:val="006A5F37"/>
    <w:rsid w:val="006A7E1A"/>
    <w:rsid w:val="006B0F0D"/>
    <w:rsid w:val="006B21F9"/>
    <w:rsid w:val="006B239D"/>
    <w:rsid w:val="006B28DB"/>
    <w:rsid w:val="006B320A"/>
    <w:rsid w:val="006B34C4"/>
    <w:rsid w:val="006B4D0B"/>
    <w:rsid w:val="006B5DFA"/>
    <w:rsid w:val="006B67DD"/>
    <w:rsid w:val="006B7B36"/>
    <w:rsid w:val="006C229B"/>
    <w:rsid w:val="006C28D6"/>
    <w:rsid w:val="006C296B"/>
    <w:rsid w:val="006C32A6"/>
    <w:rsid w:val="006C370D"/>
    <w:rsid w:val="006C40F2"/>
    <w:rsid w:val="006C4C75"/>
    <w:rsid w:val="006C6EC6"/>
    <w:rsid w:val="006C7535"/>
    <w:rsid w:val="006C7F27"/>
    <w:rsid w:val="006D00D1"/>
    <w:rsid w:val="006D0A0B"/>
    <w:rsid w:val="006D28DF"/>
    <w:rsid w:val="006D319A"/>
    <w:rsid w:val="006D3F4A"/>
    <w:rsid w:val="006D6960"/>
    <w:rsid w:val="006E15AB"/>
    <w:rsid w:val="006E3372"/>
    <w:rsid w:val="006E65D2"/>
    <w:rsid w:val="006E6613"/>
    <w:rsid w:val="006F2430"/>
    <w:rsid w:val="006F412D"/>
    <w:rsid w:val="006F463C"/>
    <w:rsid w:val="006F5751"/>
    <w:rsid w:val="006F57FB"/>
    <w:rsid w:val="006F5B46"/>
    <w:rsid w:val="006F6947"/>
    <w:rsid w:val="006F6D73"/>
    <w:rsid w:val="006F71FD"/>
    <w:rsid w:val="006F76B2"/>
    <w:rsid w:val="007010AF"/>
    <w:rsid w:val="00701656"/>
    <w:rsid w:val="00703485"/>
    <w:rsid w:val="0070388D"/>
    <w:rsid w:val="00705278"/>
    <w:rsid w:val="007052D9"/>
    <w:rsid w:val="00705827"/>
    <w:rsid w:val="007101D5"/>
    <w:rsid w:val="00711AAE"/>
    <w:rsid w:val="00711EE4"/>
    <w:rsid w:val="00712131"/>
    <w:rsid w:val="00712FED"/>
    <w:rsid w:val="0071437E"/>
    <w:rsid w:val="00714E0B"/>
    <w:rsid w:val="00714E0F"/>
    <w:rsid w:val="007159CB"/>
    <w:rsid w:val="0071663C"/>
    <w:rsid w:val="007170D1"/>
    <w:rsid w:val="00717566"/>
    <w:rsid w:val="00720589"/>
    <w:rsid w:val="007214AB"/>
    <w:rsid w:val="00721557"/>
    <w:rsid w:val="00722BC0"/>
    <w:rsid w:val="007235FD"/>
    <w:rsid w:val="00724815"/>
    <w:rsid w:val="007253FF"/>
    <w:rsid w:val="007270B1"/>
    <w:rsid w:val="00727221"/>
    <w:rsid w:val="0072779F"/>
    <w:rsid w:val="007300CC"/>
    <w:rsid w:val="00731772"/>
    <w:rsid w:val="007344F1"/>
    <w:rsid w:val="00737F06"/>
    <w:rsid w:val="00740984"/>
    <w:rsid w:val="00740BFB"/>
    <w:rsid w:val="00740EAE"/>
    <w:rsid w:val="007411AA"/>
    <w:rsid w:val="007413B5"/>
    <w:rsid w:val="007420AB"/>
    <w:rsid w:val="007428E5"/>
    <w:rsid w:val="007436D3"/>
    <w:rsid w:val="00744190"/>
    <w:rsid w:val="00745B4C"/>
    <w:rsid w:val="00745E76"/>
    <w:rsid w:val="007462C0"/>
    <w:rsid w:val="007462C5"/>
    <w:rsid w:val="007478A2"/>
    <w:rsid w:val="00747A2F"/>
    <w:rsid w:val="0075204C"/>
    <w:rsid w:val="007538F2"/>
    <w:rsid w:val="00753AF6"/>
    <w:rsid w:val="0075444B"/>
    <w:rsid w:val="0075501A"/>
    <w:rsid w:val="00757406"/>
    <w:rsid w:val="00757CCA"/>
    <w:rsid w:val="00761A87"/>
    <w:rsid w:val="00762AF4"/>
    <w:rsid w:val="00762F2C"/>
    <w:rsid w:val="007630F8"/>
    <w:rsid w:val="00764A24"/>
    <w:rsid w:val="00764B83"/>
    <w:rsid w:val="007730DB"/>
    <w:rsid w:val="00773CBC"/>
    <w:rsid w:val="00774D09"/>
    <w:rsid w:val="00776C62"/>
    <w:rsid w:val="007776A5"/>
    <w:rsid w:val="00782281"/>
    <w:rsid w:val="00782743"/>
    <w:rsid w:val="007844B0"/>
    <w:rsid w:val="00786C00"/>
    <w:rsid w:val="00787516"/>
    <w:rsid w:val="007909D3"/>
    <w:rsid w:val="00792049"/>
    <w:rsid w:val="00793020"/>
    <w:rsid w:val="0079345B"/>
    <w:rsid w:val="00793638"/>
    <w:rsid w:val="0079503E"/>
    <w:rsid w:val="00797285"/>
    <w:rsid w:val="007A028B"/>
    <w:rsid w:val="007A11C9"/>
    <w:rsid w:val="007A23B5"/>
    <w:rsid w:val="007A3F4E"/>
    <w:rsid w:val="007A40B8"/>
    <w:rsid w:val="007A7047"/>
    <w:rsid w:val="007B0E81"/>
    <w:rsid w:val="007B1D6E"/>
    <w:rsid w:val="007B3060"/>
    <w:rsid w:val="007B66A8"/>
    <w:rsid w:val="007B6D1F"/>
    <w:rsid w:val="007C0930"/>
    <w:rsid w:val="007C0CDC"/>
    <w:rsid w:val="007C3444"/>
    <w:rsid w:val="007C5777"/>
    <w:rsid w:val="007C5B95"/>
    <w:rsid w:val="007C609F"/>
    <w:rsid w:val="007D2DBB"/>
    <w:rsid w:val="007D33A2"/>
    <w:rsid w:val="007D44BE"/>
    <w:rsid w:val="007D4E79"/>
    <w:rsid w:val="007D5575"/>
    <w:rsid w:val="007D5DAF"/>
    <w:rsid w:val="007D6374"/>
    <w:rsid w:val="007D67C2"/>
    <w:rsid w:val="007E2171"/>
    <w:rsid w:val="007E4D18"/>
    <w:rsid w:val="007E72C9"/>
    <w:rsid w:val="007E7684"/>
    <w:rsid w:val="007F0D4A"/>
    <w:rsid w:val="007F3597"/>
    <w:rsid w:val="007F6135"/>
    <w:rsid w:val="007F7A81"/>
    <w:rsid w:val="007F7DC2"/>
    <w:rsid w:val="00801AD0"/>
    <w:rsid w:val="00806384"/>
    <w:rsid w:val="00807F80"/>
    <w:rsid w:val="008115BF"/>
    <w:rsid w:val="0081216A"/>
    <w:rsid w:val="008121DE"/>
    <w:rsid w:val="00812784"/>
    <w:rsid w:val="00817488"/>
    <w:rsid w:val="0081772F"/>
    <w:rsid w:val="008200E4"/>
    <w:rsid w:val="00822A31"/>
    <w:rsid w:val="00822E22"/>
    <w:rsid w:val="008249FF"/>
    <w:rsid w:val="00827C4C"/>
    <w:rsid w:val="008305D8"/>
    <w:rsid w:val="0083135B"/>
    <w:rsid w:val="008332C8"/>
    <w:rsid w:val="008335F8"/>
    <w:rsid w:val="00835E39"/>
    <w:rsid w:val="0084255B"/>
    <w:rsid w:val="008431BA"/>
    <w:rsid w:val="00844B5B"/>
    <w:rsid w:val="00845025"/>
    <w:rsid w:val="0084550F"/>
    <w:rsid w:val="00846E40"/>
    <w:rsid w:val="008500A9"/>
    <w:rsid w:val="0085131C"/>
    <w:rsid w:val="00852DF2"/>
    <w:rsid w:val="0085352B"/>
    <w:rsid w:val="008536FD"/>
    <w:rsid w:val="00854054"/>
    <w:rsid w:val="008576BD"/>
    <w:rsid w:val="00857932"/>
    <w:rsid w:val="00857CBA"/>
    <w:rsid w:val="0086178E"/>
    <w:rsid w:val="00861D0A"/>
    <w:rsid w:val="008639B4"/>
    <w:rsid w:val="00863CCC"/>
    <w:rsid w:val="0086400F"/>
    <w:rsid w:val="0086569F"/>
    <w:rsid w:val="00867D36"/>
    <w:rsid w:val="00874C13"/>
    <w:rsid w:val="008800D0"/>
    <w:rsid w:val="008813C4"/>
    <w:rsid w:val="00881E99"/>
    <w:rsid w:val="00882FA2"/>
    <w:rsid w:val="00884287"/>
    <w:rsid w:val="00884409"/>
    <w:rsid w:val="00884826"/>
    <w:rsid w:val="00884EFB"/>
    <w:rsid w:val="0088555C"/>
    <w:rsid w:val="008859E0"/>
    <w:rsid w:val="00885D6F"/>
    <w:rsid w:val="008870DE"/>
    <w:rsid w:val="008878EB"/>
    <w:rsid w:val="00887D9D"/>
    <w:rsid w:val="0089003D"/>
    <w:rsid w:val="008901FF"/>
    <w:rsid w:val="00891CEE"/>
    <w:rsid w:val="00893E74"/>
    <w:rsid w:val="00894342"/>
    <w:rsid w:val="008944E0"/>
    <w:rsid w:val="0089498C"/>
    <w:rsid w:val="00895E0B"/>
    <w:rsid w:val="008A1661"/>
    <w:rsid w:val="008A230B"/>
    <w:rsid w:val="008A536B"/>
    <w:rsid w:val="008A58EE"/>
    <w:rsid w:val="008A5FD8"/>
    <w:rsid w:val="008B76C6"/>
    <w:rsid w:val="008C07F5"/>
    <w:rsid w:val="008C0A18"/>
    <w:rsid w:val="008C17CA"/>
    <w:rsid w:val="008C1D91"/>
    <w:rsid w:val="008C3E86"/>
    <w:rsid w:val="008C3ECA"/>
    <w:rsid w:val="008C61CE"/>
    <w:rsid w:val="008C716C"/>
    <w:rsid w:val="008C78EF"/>
    <w:rsid w:val="008C7E93"/>
    <w:rsid w:val="008D0434"/>
    <w:rsid w:val="008D19B9"/>
    <w:rsid w:val="008D1F67"/>
    <w:rsid w:val="008D2932"/>
    <w:rsid w:val="008D30E8"/>
    <w:rsid w:val="008D3A53"/>
    <w:rsid w:val="008D7B89"/>
    <w:rsid w:val="008E05E2"/>
    <w:rsid w:val="008E19FC"/>
    <w:rsid w:val="008E267B"/>
    <w:rsid w:val="008E3D0D"/>
    <w:rsid w:val="008E4ADA"/>
    <w:rsid w:val="008E7FFC"/>
    <w:rsid w:val="008F30BE"/>
    <w:rsid w:val="008F7299"/>
    <w:rsid w:val="008F7AB0"/>
    <w:rsid w:val="008F7ACE"/>
    <w:rsid w:val="008F7C77"/>
    <w:rsid w:val="00901A44"/>
    <w:rsid w:val="0090243F"/>
    <w:rsid w:val="00902496"/>
    <w:rsid w:val="00902789"/>
    <w:rsid w:val="0090292E"/>
    <w:rsid w:val="00903E69"/>
    <w:rsid w:val="00906A7B"/>
    <w:rsid w:val="00906B3C"/>
    <w:rsid w:val="00907045"/>
    <w:rsid w:val="009123D5"/>
    <w:rsid w:val="009123FB"/>
    <w:rsid w:val="0091321C"/>
    <w:rsid w:val="00913445"/>
    <w:rsid w:val="0091639F"/>
    <w:rsid w:val="00916F5A"/>
    <w:rsid w:val="00922F06"/>
    <w:rsid w:val="00930C9B"/>
    <w:rsid w:val="00933CCF"/>
    <w:rsid w:val="00934192"/>
    <w:rsid w:val="00934778"/>
    <w:rsid w:val="009362D7"/>
    <w:rsid w:val="00940879"/>
    <w:rsid w:val="00940D39"/>
    <w:rsid w:val="009446A8"/>
    <w:rsid w:val="009458F2"/>
    <w:rsid w:val="00945AAD"/>
    <w:rsid w:val="0094680A"/>
    <w:rsid w:val="009510FC"/>
    <w:rsid w:val="0095136D"/>
    <w:rsid w:val="00954447"/>
    <w:rsid w:val="00954BDE"/>
    <w:rsid w:val="0095587C"/>
    <w:rsid w:val="00957EDE"/>
    <w:rsid w:val="0096049C"/>
    <w:rsid w:val="0096153E"/>
    <w:rsid w:val="00961A48"/>
    <w:rsid w:val="009623B5"/>
    <w:rsid w:val="00963B97"/>
    <w:rsid w:val="00964243"/>
    <w:rsid w:val="00964910"/>
    <w:rsid w:val="00970EC3"/>
    <w:rsid w:val="0097532B"/>
    <w:rsid w:val="0097660D"/>
    <w:rsid w:val="00981DC9"/>
    <w:rsid w:val="0098386B"/>
    <w:rsid w:val="009861EF"/>
    <w:rsid w:val="00990F12"/>
    <w:rsid w:val="009913D8"/>
    <w:rsid w:val="00992C98"/>
    <w:rsid w:val="00993CEF"/>
    <w:rsid w:val="00994C25"/>
    <w:rsid w:val="00996A3D"/>
    <w:rsid w:val="009A0A1A"/>
    <w:rsid w:val="009A38A3"/>
    <w:rsid w:val="009A4480"/>
    <w:rsid w:val="009A75E4"/>
    <w:rsid w:val="009A796A"/>
    <w:rsid w:val="009B060A"/>
    <w:rsid w:val="009B0D0B"/>
    <w:rsid w:val="009B24B9"/>
    <w:rsid w:val="009B2C29"/>
    <w:rsid w:val="009B2F86"/>
    <w:rsid w:val="009B41ED"/>
    <w:rsid w:val="009B53C5"/>
    <w:rsid w:val="009C0AE3"/>
    <w:rsid w:val="009C44B4"/>
    <w:rsid w:val="009C5EC4"/>
    <w:rsid w:val="009C734B"/>
    <w:rsid w:val="009C7A8B"/>
    <w:rsid w:val="009D069E"/>
    <w:rsid w:val="009D14F1"/>
    <w:rsid w:val="009D2EEA"/>
    <w:rsid w:val="009D35DD"/>
    <w:rsid w:val="009D390D"/>
    <w:rsid w:val="009D6FD9"/>
    <w:rsid w:val="009D741B"/>
    <w:rsid w:val="009D7E4E"/>
    <w:rsid w:val="009E0317"/>
    <w:rsid w:val="009E0C63"/>
    <w:rsid w:val="009E10EC"/>
    <w:rsid w:val="009E13EE"/>
    <w:rsid w:val="009E29CD"/>
    <w:rsid w:val="009E3885"/>
    <w:rsid w:val="009E3BD6"/>
    <w:rsid w:val="009E3CA0"/>
    <w:rsid w:val="009E4163"/>
    <w:rsid w:val="009E4337"/>
    <w:rsid w:val="009E49D9"/>
    <w:rsid w:val="009E6094"/>
    <w:rsid w:val="009E62B8"/>
    <w:rsid w:val="009F03F5"/>
    <w:rsid w:val="009F04AE"/>
    <w:rsid w:val="009F23FD"/>
    <w:rsid w:val="009F3664"/>
    <w:rsid w:val="009F774E"/>
    <w:rsid w:val="009F7A85"/>
    <w:rsid w:val="009F7BD3"/>
    <w:rsid w:val="00A022D3"/>
    <w:rsid w:val="00A03A9A"/>
    <w:rsid w:val="00A0492F"/>
    <w:rsid w:val="00A07528"/>
    <w:rsid w:val="00A07C9F"/>
    <w:rsid w:val="00A07E50"/>
    <w:rsid w:val="00A1168B"/>
    <w:rsid w:val="00A15AED"/>
    <w:rsid w:val="00A15E8D"/>
    <w:rsid w:val="00A23D25"/>
    <w:rsid w:val="00A249BF"/>
    <w:rsid w:val="00A26E0E"/>
    <w:rsid w:val="00A311AF"/>
    <w:rsid w:val="00A31490"/>
    <w:rsid w:val="00A31F6B"/>
    <w:rsid w:val="00A32E56"/>
    <w:rsid w:val="00A375E9"/>
    <w:rsid w:val="00A37AFC"/>
    <w:rsid w:val="00A405FF"/>
    <w:rsid w:val="00A44172"/>
    <w:rsid w:val="00A447C6"/>
    <w:rsid w:val="00A46574"/>
    <w:rsid w:val="00A5063A"/>
    <w:rsid w:val="00A509D9"/>
    <w:rsid w:val="00A50E16"/>
    <w:rsid w:val="00A51F91"/>
    <w:rsid w:val="00A52458"/>
    <w:rsid w:val="00A52EAC"/>
    <w:rsid w:val="00A54A61"/>
    <w:rsid w:val="00A54F74"/>
    <w:rsid w:val="00A566E9"/>
    <w:rsid w:val="00A56C32"/>
    <w:rsid w:val="00A56F61"/>
    <w:rsid w:val="00A6117A"/>
    <w:rsid w:val="00A63848"/>
    <w:rsid w:val="00A63ABD"/>
    <w:rsid w:val="00A65630"/>
    <w:rsid w:val="00A65727"/>
    <w:rsid w:val="00A66038"/>
    <w:rsid w:val="00A6720E"/>
    <w:rsid w:val="00A71C29"/>
    <w:rsid w:val="00A72B0E"/>
    <w:rsid w:val="00A735B9"/>
    <w:rsid w:val="00A7410A"/>
    <w:rsid w:val="00A75810"/>
    <w:rsid w:val="00A75CFF"/>
    <w:rsid w:val="00A76DB9"/>
    <w:rsid w:val="00A77223"/>
    <w:rsid w:val="00A813A3"/>
    <w:rsid w:val="00A822EB"/>
    <w:rsid w:val="00A83E0C"/>
    <w:rsid w:val="00A84137"/>
    <w:rsid w:val="00A85FFF"/>
    <w:rsid w:val="00A91682"/>
    <w:rsid w:val="00A946AF"/>
    <w:rsid w:val="00A954B4"/>
    <w:rsid w:val="00A96124"/>
    <w:rsid w:val="00A96C20"/>
    <w:rsid w:val="00AA016F"/>
    <w:rsid w:val="00AA1733"/>
    <w:rsid w:val="00AA1E2E"/>
    <w:rsid w:val="00AA486E"/>
    <w:rsid w:val="00AA7085"/>
    <w:rsid w:val="00AB09DD"/>
    <w:rsid w:val="00AB3159"/>
    <w:rsid w:val="00AB423C"/>
    <w:rsid w:val="00AB4BE6"/>
    <w:rsid w:val="00AB5339"/>
    <w:rsid w:val="00AB5BD5"/>
    <w:rsid w:val="00AB5CFE"/>
    <w:rsid w:val="00AB63C4"/>
    <w:rsid w:val="00AB64EB"/>
    <w:rsid w:val="00AC07F8"/>
    <w:rsid w:val="00AC1487"/>
    <w:rsid w:val="00AC2481"/>
    <w:rsid w:val="00AC3A77"/>
    <w:rsid w:val="00AC43B2"/>
    <w:rsid w:val="00AC4F5E"/>
    <w:rsid w:val="00AC532A"/>
    <w:rsid w:val="00AC57E3"/>
    <w:rsid w:val="00AC637F"/>
    <w:rsid w:val="00AC6C98"/>
    <w:rsid w:val="00AD0489"/>
    <w:rsid w:val="00AD0CF3"/>
    <w:rsid w:val="00AD30F7"/>
    <w:rsid w:val="00AD3438"/>
    <w:rsid w:val="00AD4FCD"/>
    <w:rsid w:val="00AD55FC"/>
    <w:rsid w:val="00AD7103"/>
    <w:rsid w:val="00AE0242"/>
    <w:rsid w:val="00AE0284"/>
    <w:rsid w:val="00AE0659"/>
    <w:rsid w:val="00AE101E"/>
    <w:rsid w:val="00AE31D1"/>
    <w:rsid w:val="00AE38A7"/>
    <w:rsid w:val="00AE463B"/>
    <w:rsid w:val="00AE61C9"/>
    <w:rsid w:val="00AF0C26"/>
    <w:rsid w:val="00AF1544"/>
    <w:rsid w:val="00AF1F05"/>
    <w:rsid w:val="00AF20B0"/>
    <w:rsid w:val="00AF253F"/>
    <w:rsid w:val="00AF46CC"/>
    <w:rsid w:val="00AF59E7"/>
    <w:rsid w:val="00AF6B53"/>
    <w:rsid w:val="00AF6E39"/>
    <w:rsid w:val="00B0055C"/>
    <w:rsid w:val="00B006B8"/>
    <w:rsid w:val="00B023A9"/>
    <w:rsid w:val="00B040B9"/>
    <w:rsid w:val="00B05104"/>
    <w:rsid w:val="00B05536"/>
    <w:rsid w:val="00B05D9D"/>
    <w:rsid w:val="00B06865"/>
    <w:rsid w:val="00B06E2A"/>
    <w:rsid w:val="00B07F95"/>
    <w:rsid w:val="00B103CB"/>
    <w:rsid w:val="00B11558"/>
    <w:rsid w:val="00B1158A"/>
    <w:rsid w:val="00B13B69"/>
    <w:rsid w:val="00B155F5"/>
    <w:rsid w:val="00B165C3"/>
    <w:rsid w:val="00B16736"/>
    <w:rsid w:val="00B16CA9"/>
    <w:rsid w:val="00B20F7B"/>
    <w:rsid w:val="00B2264E"/>
    <w:rsid w:val="00B25921"/>
    <w:rsid w:val="00B272C9"/>
    <w:rsid w:val="00B278B5"/>
    <w:rsid w:val="00B27E06"/>
    <w:rsid w:val="00B30804"/>
    <w:rsid w:val="00B312A6"/>
    <w:rsid w:val="00B3655D"/>
    <w:rsid w:val="00B42466"/>
    <w:rsid w:val="00B4354D"/>
    <w:rsid w:val="00B443B3"/>
    <w:rsid w:val="00B455A1"/>
    <w:rsid w:val="00B46665"/>
    <w:rsid w:val="00B47040"/>
    <w:rsid w:val="00B5143F"/>
    <w:rsid w:val="00B51529"/>
    <w:rsid w:val="00B53A9F"/>
    <w:rsid w:val="00B53B50"/>
    <w:rsid w:val="00B53C00"/>
    <w:rsid w:val="00B55C72"/>
    <w:rsid w:val="00B5687E"/>
    <w:rsid w:val="00B56D82"/>
    <w:rsid w:val="00B60278"/>
    <w:rsid w:val="00B618D8"/>
    <w:rsid w:val="00B61BBA"/>
    <w:rsid w:val="00B620D0"/>
    <w:rsid w:val="00B62DC0"/>
    <w:rsid w:val="00B64D3C"/>
    <w:rsid w:val="00B72DEC"/>
    <w:rsid w:val="00B74364"/>
    <w:rsid w:val="00B758FE"/>
    <w:rsid w:val="00B80E0E"/>
    <w:rsid w:val="00B81AC9"/>
    <w:rsid w:val="00B83D0B"/>
    <w:rsid w:val="00B8428C"/>
    <w:rsid w:val="00B85916"/>
    <w:rsid w:val="00B860E7"/>
    <w:rsid w:val="00B86BF1"/>
    <w:rsid w:val="00B87FE6"/>
    <w:rsid w:val="00B92946"/>
    <w:rsid w:val="00B93008"/>
    <w:rsid w:val="00B93A4F"/>
    <w:rsid w:val="00B94A3C"/>
    <w:rsid w:val="00B96334"/>
    <w:rsid w:val="00B96DF5"/>
    <w:rsid w:val="00B97F67"/>
    <w:rsid w:val="00BA00EC"/>
    <w:rsid w:val="00BA110E"/>
    <w:rsid w:val="00BB0162"/>
    <w:rsid w:val="00BB0989"/>
    <w:rsid w:val="00BB214C"/>
    <w:rsid w:val="00BB299F"/>
    <w:rsid w:val="00BB4459"/>
    <w:rsid w:val="00BB6334"/>
    <w:rsid w:val="00BB6A23"/>
    <w:rsid w:val="00BB6B55"/>
    <w:rsid w:val="00BB785A"/>
    <w:rsid w:val="00BC084C"/>
    <w:rsid w:val="00BC24E3"/>
    <w:rsid w:val="00BC3908"/>
    <w:rsid w:val="00BC3A71"/>
    <w:rsid w:val="00BC5C0A"/>
    <w:rsid w:val="00BC6E4C"/>
    <w:rsid w:val="00BC75A6"/>
    <w:rsid w:val="00BC7774"/>
    <w:rsid w:val="00BC7F8F"/>
    <w:rsid w:val="00BD03A7"/>
    <w:rsid w:val="00BD5093"/>
    <w:rsid w:val="00BD5E14"/>
    <w:rsid w:val="00BD7650"/>
    <w:rsid w:val="00BE0F39"/>
    <w:rsid w:val="00BE1392"/>
    <w:rsid w:val="00BE1B95"/>
    <w:rsid w:val="00BE2CA4"/>
    <w:rsid w:val="00BE410D"/>
    <w:rsid w:val="00BE5BAC"/>
    <w:rsid w:val="00BE6370"/>
    <w:rsid w:val="00BE6CD3"/>
    <w:rsid w:val="00BE7859"/>
    <w:rsid w:val="00BF152B"/>
    <w:rsid w:val="00BF276D"/>
    <w:rsid w:val="00BF300E"/>
    <w:rsid w:val="00BF33DA"/>
    <w:rsid w:val="00BF5EF0"/>
    <w:rsid w:val="00BF7712"/>
    <w:rsid w:val="00C0145B"/>
    <w:rsid w:val="00C015AB"/>
    <w:rsid w:val="00C01964"/>
    <w:rsid w:val="00C02B4B"/>
    <w:rsid w:val="00C04673"/>
    <w:rsid w:val="00C048EF"/>
    <w:rsid w:val="00C059F4"/>
    <w:rsid w:val="00C0740E"/>
    <w:rsid w:val="00C10B67"/>
    <w:rsid w:val="00C132CA"/>
    <w:rsid w:val="00C14125"/>
    <w:rsid w:val="00C150A8"/>
    <w:rsid w:val="00C15198"/>
    <w:rsid w:val="00C15BBA"/>
    <w:rsid w:val="00C1769C"/>
    <w:rsid w:val="00C17E72"/>
    <w:rsid w:val="00C2002F"/>
    <w:rsid w:val="00C2200F"/>
    <w:rsid w:val="00C22486"/>
    <w:rsid w:val="00C23311"/>
    <w:rsid w:val="00C2347E"/>
    <w:rsid w:val="00C24F7A"/>
    <w:rsid w:val="00C2604A"/>
    <w:rsid w:val="00C300A7"/>
    <w:rsid w:val="00C30DA7"/>
    <w:rsid w:val="00C31443"/>
    <w:rsid w:val="00C31D54"/>
    <w:rsid w:val="00C33278"/>
    <w:rsid w:val="00C33D61"/>
    <w:rsid w:val="00C34174"/>
    <w:rsid w:val="00C3528B"/>
    <w:rsid w:val="00C36950"/>
    <w:rsid w:val="00C36EB2"/>
    <w:rsid w:val="00C36FA6"/>
    <w:rsid w:val="00C412A1"/>
    <w:rsid w:val="00C45ECD"/>
    <w:rsid w:val="00C47457"/>
    <w:rsid w:val="00C51289"/>
    <w:rsid w:val="00C51A5D"/>
    <w:rsid w:val="00C52D7A"/>
    <w:rsid w:val="00C545B9"/>
    <w:rsid w:val="00C54958"/>
    <w:rsid w:val="00C55474"/>
    <w:rsid w:val="00C648AD"/>
    <w:rsid w:val="00C661AD"/>
    <w:rsid w:val="00C671E0"/>
    <w:rsid w:val="00C72A29"/>
    <w:rsid w:val="00C73318"/>
    <w:rsid w:val="00C73DC3"/>
    <w:rsid w:val="00C76426"/>
    <w:rsid w:val="00C80A60"/>
    <w:rsid w:val="00C83CBC"/>
    <w:rsid w:val="00C83F38"/>
    <w:rsid w:val="00C8480E"/>
    <w:rsid w:val="00C866C8"/>
    <w:rsid w:val="00C86B72"/>
    <w:rsid w:val="00C90738"/>
    <w:rsid w:val="00C93C9F"/>
    <w:rsid w:val="00C9492E"/>
    <w:rsid w:val="00C9536B"/>
    <w:rsid w:val="00C95E82"/>
    <w:rsid w:val="00C96404"/>
    <w:rsid w:val="00CA0A84"/>
    <w:rsid w:val="00CA0FE4"/>
    <w:rsid w:val="00CA150A"/>
    <w:rsid w:val="00CA3B79"/>
    <w:rsid w:val="00CA6464"/>
    <w:rsid w:val="00CA702D"/>
    <w:rsid w:val="00CB036A"/>
    <w:rsid w:val="00CB08C3"/>
    <w:rsid w:val="00CB14A1"/>
    <w:rsid w:val="00CB212F"/>
    <w:rsid w:val="00CB2967"/>
    <w:rsid w:val="00CB323C"/>
    <w:rsid w:val="00CB4011"/>
    <w:rsid w:val="00CB70FB"/>
    <w:rsid w:val="00CC1108"/>
    <w:rsid w:val="00CC14DE"/>
    <w:rsid w:val="00CC1542"/>
    <w:rsid w:val="00CC2F72"/>
    <w:rsid w:val="00CC4EA7"/>
    <w:rsid w:val="00CC676B"/>
    <w:rsid w:val="00CC6935"/>
    <w:rsid w:val="00CC71C9"/>
    <w:rsid w:val="00CC72CE"/>
    <w:rsid w:val="00CC7453"/>
    <w:rsid w:val="00CC786A"/>
    <w:rsid w:val="00CD11D0"/>
    <w:rsid w:val="00CD2745"/>
    <w:rsid w:val="00CD53EE"/>
    <w:rsid w:val="00CD5F15"/>
    <w:rsid w:val="00CD7D17"/>
    <w:rsid w:val="00CE14C6"/>
    <w:rsid w:val="00CE1BE7"/>
    <w:rsid w:val="00CE1C0B"/>
    <w:rsid w:val="00CE2DC7"/>
    <w:rsid w:val="00CE411C"/>
    <w:rsid w:val="00CE526D"/>
    <w:rsid w:val="00CF0DF6"/>
    <w:rsid w:val="00CF21E5"/>
    <w:rsid w:val="00CF3403"/>
    <w:rsid w:val="00CF45D1"/>
    <w:rsid w:val="00CF4758"/>
    <w:rsid w:val="00CF4902"/>
    <w:rsid w:val="00CF5557"/>
    <w:rsid w:val="00D005DB"/>
    <w:rsid w:val="00D02039"/>
    <w:rsid w:val="00D02366"/>
    <w:rsid w:val="00D04CF1"/>
    <w:rsid w:val="00D060B8"/>
    <w:rsid w:val="00D06A0A"/>
    <w:rsid w:val="00D07CF8"/>
    <w:rsid w:val="00D10A7E"/>
    <w:rsid w:val="00D12C51"/>
    <w:rsid w:val="00D15DD2"/>
    <w:rsid w:val="00D161AB"/>
    <w:rsid w:val="00D1632F"/>
    <w:rsid w:val="00D16BF7"/>
    <w:rsid w:val="00D22DF3"/>
    <w:rsid w:val="00D25514"/>
    <w:rsid w:val="00D2774C"/>
    <w:rsid w:val="00D311E3"/>
    <w:rsid w:val="00D317A4"/>
    <w:rsid w:val="00D31CB5"/>
    <w:rsid w:val="00D353AF"/>
    <w:rsid w:val="00D35431"/>
    <w:rsid w:val="00D356DC"/>
    <w:rsid w:val="00D36980"/>
    <w:rsid w:val="00D37C90"/>
    <w:rsid w:val="00D40689"/>
    <w:rsid w:val="00D4152C"/>
    <w:rsid w:val="00D4205D"/>
    <w:rsid w:val="00D472EF"/>
    <w:rsid w:val="00D47A88"/>
    <w:rsid w:val="00D47EAE"/>
    <w:rsid w:val="00D5044A"/>
    <w:rsid w:val="00D529DD"/>
    <w:rsid w:val="00D53AF7"/>
    <w:rsid w:val="00D54042"/>
    <w:rsid w:val="00D5421F"/>
    <w:rsid w:val="00D56BA7"/>
    <w:rsid w:val="00D60D8C"/>
    <w:rsid w:val="00D67E7F"/>
    <w:rsid w:val="00D75B4B"/>
    <w:rsid w:val="00D7643E"/>
    <w:rsid w:val="00D769D2"/>
    <w:rsid w:val="00D771D1"/>
    <w:rsid w:val="00D812D2"/>
    <w:rsid w:val="00D8133F"/>
    <w:rsid w:val="00D81F0C"/>
    <w:rsid w:val="00D82CB7"/>
    <w:rsid w:val="00D93238"/>
    <w:rsid w:val="00D93E75"/>
    <w:rsid w:val="00DA060F"/>
    <w:rsid w:val="00DA22F1"/>
    <w:rsid w:val="00DA6698"/>
    <w:rsid w:val="00DA69A2"/>
    <w:rsid w:val="00DB35C6"/>
    <w:rsid w:val="00DB3ABA"/>
    <w:rsid w:val="00DB4127"/>
    <w:rsid w:val="00DC01D2"/>
    <w:rsid w:val="00DC1067"/>
    <w:rsid w:val="00DC31C0"/>
    <w:rsid w:val="00DC3489"/>
    <w:rsid w:val="00DC4063"/>
    <w:rsid w:val="00DC476E"/>
    <w:rsid w:val="00DC5BFA"/>
    <w:rsid w:val="00DC6788"/>
    <w:rsid w:val="00DC7BE7"/>
    <w:rsid w:val="00DD0902"/>
    <w:rsid w:val="00DD25D0"/>
    <w:rsid w:val="00DD2F70"/>
    <w:rsid w:val="00DD3235"/>
    <w:rsid w:val="00DD4317"/>
    <w:rsid w:val="00DD5C90"/>
    <w:rsid w:val="00DD7BE2"/>
    <w:rsid w:val="00DE062F"/>
    <w:rsid w:val="00DE104D"/>
    <w:rsid w:val="00DE17BB"/>
    <w:rsid w:val="00DE1992"/>
    <w:rsid w:val="00DE239D"/>
    <w:rsid w:val="00DE2D27"/>
    <w:rsid w:val="00DE538D"/>
    <w:rsid w:val="00DE56DB"/>
    <w:rsid w:val="00DE742E"/>
    <w:rsid w:val="00DF0034"/>
    <w:rsid w:val="00DF1E3F"/>
    <w:rsid w:val="00DF236B"/>
    <w:rsid w:val="00DF329C"/>
    <w:rsid w:val="00DF5C69"/>
    <w:rsid w:val="00DF6BCA"/>
    <w:rsid w:val="00E01049"/>
    <w:rsid w:val="00E028C0"/>
    <w:rsid w:val="00E032A9"/>
    <w:rsid w:val="00E04487"/>
    <w:rsid w:val="00E060BA"/>
    <w:rsid w:val="00E06430"/>
    <w:rsid w:val="00E06506"/>
    <w:rsid w:val="00E1212E"/>
    <w:rsid w:val="00E12D69"/>
    <w:rsid w:val="00E14415"/>
    <w:rsid w:val="00E16EBE"/>
    <w:rsid w:val="00E17300"/>
    <w:rsid w:val="00E17C47"/>
    <w:rsid w:val="00E208C9"/>
    <w:rsid w:val="00E208D2"/>
    <w:rsid w:val="00E222FE"/>
    <w:rsid w:val="00E27C72"/>
    <w:rsid w:val="00E30DA0"/>
    <w:rsid w:val="00E33F0B"/>
    <w:rsid w:val="00E36044"/>
    <w:rsid w:val="00E36754"/>
    <w:rsid w:val="00E36F81"/>
    <w:rsid w:val="00E37CD1"/>
    <w:rsid w:val="00E40751"/>
    <w:rsid w:val="00E40B25"/>
    <w:rsid w:val="00E41731"/>
    <w:rsid w:val="00E43263"/>
    <w:rsid w:val="00E454A2"/>
    <w:rsid w:val="00E46B13"/>
    <w:rsid w:val="00E53644"/>
    <w:rsid w:val="00E53784"/>
    <w:rsid w:val="00E542C7"/>
    <w:rsid w:val="00E57733"/>
    <w:rsid w:val="00E57A4E"/>
    <w:rsid w:val="00E57BF9"/>
    <w:rsid w:val="00E6047D"/>
    <w:rsid w:val="00E60AC8"/>
    <w:rsid w:val="00E6610A"/>
    <w:rsid w:val="00E672EB"/>
    <w:rsid w:val="00E6788B"/>
    <w:rsid w:val="00E71D75"/>
    <w:rsid w:val="00E7295D"/>
    <w:rsid w:val="00E73BEC"/>
    <w:rsid w:val="00E75028"/>
    <w:rsid w:val="00E77E0F"/>
    <w:rsid w:val="00E8265E"/>
    <w:rsid w:val="00E82CE0"/>
    <w:rsid w:val="00E843F0"/>
    <w:rsid w:val="00E908FC"/>
    <w:rsid w:val="00E91ED0"/>
    <w:rsid w:val="00E9213D"/>
    <w:rsid w:val="00E92C80"/>
    <w:rsid w:val="00E92D2C"/>
    <w:rsid w:val="00E92E1C"/>
    <w:rsid w:val="00E93A9F"/>
    <w:rsid w:val="00E94CC0"/>
    <w:rsid w:val="00E94D08"/>
    <w:rsid w:val="00E952BD"/>
    <w:rsid w:val="00E963C9"/>
    <w:rsid w:val="00E970FB"/>
    <w:rsid w:val="00EA194E"/>
    <w:rsid w:val="00EA1A64"/>
    <w:rsid w:val="00EA38A1"/>
    <w:rsid w:val="00EA5A67"/>
    <w:rsid w:val="00EA5AF5"/>
    <w:rsid w:val="00EA5F64"/>
    <w:rsid w:val="00EA7396"/>
    <w:rsid w:val="00EB04EA"/>
    <w:rsid w:val="00EB26A3"/>
    <w:rsid w:val="00EB38F9"/>
    <w:rsid w:val="00EB4F7E"/>
    <w:rsid w:val="00EB592C"/>
    <w:rsid w:val="00EC1BC1"/>
    <w:rsid w:val="00EC37E0"/>
    <w:rsid w:val="00EC3A8A"/>
    <w:rsid w:val="00EC4A01"/>
    <w:rsid w:val="00EC5C0A"/>
    <w:rsid w:val="00EC66B7"/>
    <w:rsid w:val="00EC7C06"/>
    <w:rsid w:val="00ED0193"/>
    <w:rsid w:val="00ED1F89"/>
    <w:rsid w:val="00ED26E1"/>
    <w:rsid w:val="00ED2B23"/>
    <w:rsid w:val="00ED3CB8"/>
    <w:rsid w:val="00ED44BF"/>
    <w:rsid w:val="00ED6231"/>
    <w:rsid w:val="00ED7DC5"/>
    <w:rsid w:val="00ED7FE8"/>
    <w:rsid w:val="00EE0182"/>
    <w:rsid w:val="00EE0541"/>
    <w:rsid w:val="00EE1157"/>
    <w:rsid w:val="00EE47B4"/>
    <w:rsid w:val="00EE79AF"/>
    <w:rsid w:val="00EF0FAD"/>
    <w:rsid w:val="00EF25C3"/>
    <w:rsid w:val="00EF6AAB"/>
    <w:rsid w:val="00EF7426"/>
    <w:rsid w:val="00EF75CA"/>
    <w:rsid w:val="00F004A8"/>
    <w:rsid w:val="00F02AFF"/>
    <w:rsid w:val="00F02F6C"/>
    <w:rsid w:val="00F02F95"/>
    <w:rsid w:val="00F0355B"/>
    <w:rsid w:val="00F04F32"/>
    <w:rsid w:val="00F0619F"/>
    <w:rsid w:val="00F0781C"/>
    <w:rsid w:val="00F10DE0"/>
    <w:rsid w:val="00F117DF"/>
    <w:rsid w:val="00F12D4A"/>
    <w:rsid w:val="00F14424"/>
    <w:rsid w:val="00F14773"/>
    <w:rsid w:val="00F15C03"/>
    <w:rsid w:val="00F15F4B"/>
    <w:rsid w:val="00F16741"/>
    <w:rsid w:val="00F16DED"/>
    <w:rsid w:val="00F20B01"/>
    <w:rsid w:val="00F2301B"/>
    <w:rsid w:val="00F231FB"/>
    <w:rsid w:val="00F23AFF"/>
    <w:rsid w:val="00F2650B"/>
    <w:rsid w:val="00F26A7F"/>
    <w:rsid w:val="00F31D97"/>
    <w:rsid w:val="00F3257E"/>
    <w:rsid w:val="00F327F6"/>
    <w:rsid w:val="00F34478"/>
    <w:rsid w:val="00F401D1"/>
    <w:rsid w:val="00F408F8"/>
    <w:rsid w:val="00F40A1C"/>
    <w:rsid w:val="00F40F44"/>
    <w:rsid w:val="00F417C0"/>
    <w:rsid w:val="00F41E47"/>
    <w:rsid w:val="00F42BE7"/>
    <w:rsid w:val="00F4511C"/>
    <w:rsid w:val="00F45976"/>
    <w:rsid w:val="00F45B8F"/>
    <w:rsid w:val="00F46413"/>
    <w:rsid w:val="00F46AE1"/>
    <w:rsid w:val="00F47938"/>
    <w:rsid w:val="00F542C2"/>
    <w:rsid w:val="00F55019"/>
    <w:rsid w:val="00F55E3F"/>
    <w:rsid w:val="00F55EB4"/>
    <w:rsid w:val="00F571FD"/>
    <w:rsid w:val="00F60247"/>
    <w:rsid w:val="00F6207A"/>
    <w:rsid w:val="00F634CB"/>
    <w:rsid w:val="00F63F45"/>
    <w:rsid w:val="00F6430C"/>
    <w:rsid w:val="00F64951"/>
    <w:rsid w:val="00F66527"/>
    <w:rsid w:val="00F66F04"/>
    <w:rsid w:val="00F67367"/>
    <w:rsid w:val="00F7369D"/>
    <w:rsid w:val="00F773E2"/>
    <w:rsid w:val="00F77DA9"/>
    <w:rsid w:val="00F812AD"/>
    <w:rsid w:val="00F835F0"/>
    <w:rsid w:val="00F83BFC"/>
    <w:rsid w:val="00F86ECE"/>
    <w:rsid w:val="00F923DC"/>
    <w:rsid w:val="00F924E3"/>
    <w:rsid w:val="00F92B09"/>
    <w:rsid w:val="00F9313A"/>
    <w:rsid w:val="00F931B7"/>
    <w:rsid w:val="00F938F3"/>
    <w:rsid w:val="00F9417F"/>
    <w:rsid w:val="00F94F50"/>
    <w:rsid w:val="00F9505F"/>
    <w:rsid w:val="00FA0245"/>
    <w:rsid w:val="00FA0B77"/>
    <w:rsid w:val="00FA16E5"/>
    <w:rsid w:val="00FA1FF4"/>
    <w:rsid w:val="00FA2125"/>
    <w:rsid w:val="00FA3F37"/>
    <w:rsid w:val="00FA40AA"/>
    <w:rsid w:val="00FA5827"/>
    <w:rsid w:val="00FA5F88"/>
    <w:rsid w:val="00FA60FF"/>
    <w:rsid w:val="00FA6B11"/>
    <w:rsid w:val="00FA71E1"/>
    <w:rsid w:val="00FB10CB"/>
    <w:rsid w:val="00FB1F10"/>
    <w:rsid w:val="00FB25E9"/>
    <w:rsid w:val="00FB4164"/>
    <w:rsid w:val="00FB488C"/>
    <w:rsid w:val="00FB5A09"/>
    <w:rsid w:val="00FB695C"/>
    <w:rsid w:val="00FB7E29"/>
    <w:rsid w:val="00FC16B8"/>
    <w:rsid w:val="00FC29AA"/>
    <w:rsid w:val="00FC489B"/>
    <w:rsid w:val="00FC6433"/>
    <w:rsid w:val="00FC6B60"/>
    <w:rsid w:val="00FC74DF"/>
    <w:rsid w:val="00FC7752"/>
    <w:rsid w:val="00FD0D6F"/>
    <w:rsid w:val="00FD133D"/>
    <w:rsid w:val="00FD1B4C"/>
    <w:rsid w:val="00FD27C5"/>
    <w:rsid w:val="00FD3039"/>
    <w:rsid w:val="00FD3349"/>
    <w:rsid w:val="00FE0E8D"/>
    <w:rsid w:val="00FE3AA4"/>
    <w:rsid w:val="00FE3FBD"/>
    <w:rsid w:val="00FE76B4"/>
    <w:rsid w:val="00FF2446"/>
    <w:rsid w:val="00FF5151"/>
    <w:rsid w:val="00FF66B0"/>
    <w:rsid w:val="00FF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F7CB"/>
  <w15:docId w15:val="{FC725DF8-804A-401C-8D40-2525949D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BE7"/>
    <w:pPr>
      <w:spacing w:line="360" w:lineRule="auto"/>
      <w:ind w:firstLine="709"/>
      <w:jc w:val="both"/>
    </w:pPr>
    <w:rPr>
      <w:rFonts w:ascii="Times New Roman" w:eastAsia="Times New Roman" w:hAnsi="Times New Roman"/>
      <w:sz w:val="24"/>
      <w:szCs w:val="24"/>
      <w:lang w:val="en-US"/>
    </w:rPr>
  </w:style>
  <w:style w:type="paragraph" w:styleId="1">
    <w:name w:val="heading 1"/>
    <w:aliases w:val="ЗАГОЛОВОК"/>
    <w:basedOn w:val="a"/>
    <w:next w:val="a"/>
    <w:link w:val="10"/>
    <w:autoRedefine/>
    <w:uiPriority w:val="9"/>
    <w:qFormat/>
    <w:rsid w:val="000B3A53"/>
    <w:pPr>
      <w:keepNext/>
      <w:keepLines/>
      <w:pageBreakBefore/>
      <w:shd w:val="clear" w:color="auto" w:fill="FFFFFF"/>
      <w:spacing w:before="240"/>
      <w:ind w:firstLine="0"/>
      <w:jc w:val="center"/>
      <w:outlineLvl w:val="0"/>
    </w:pPr>
    <w:rPr>
      <w:rFonts w:eastAsia="MS Gothic"/>
      <w:b/>
      <w:sz w:val="28"/>
      <w:lang w:val="ru-RU"/>
    </w:rPr>
  </w:style>
  <w:style w:type="paragraph" w:styleId="20">
    <w:name w:val="heading 2"/>
    <w:basedOn w:val="a"/>
    <w:next w:val="a"/>
    <w:link w:val="21"/>
    <w:uiPriority w:val="9"/>
    <w:unhideWhenUsed/>
    <w:qFormat/>
    <w:rsid w:val="00FB7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1487"/>
    <w:pPr>
      <w:spacing w:before="240"/>
      <w:outlineLvl w:val="2"/>
    </w:pPr>
    <w:rPr>
      <w:b/>
      <w:u w:val="single"/>
    </w:rPr>
  </w:style>
  <w:style w:type="paragraph" w:styleId="4">
    <w:name w:val="heading 4"/>
    <w:basedOn w:val="a"/>
    <w:next w:val="a"/>
    <w:link w:val="40"/>
    <w:uiPriority w:val="9"/>
    <w:unhideWhenUsed/>
    <w:qFormat/>
    <w:rsid w:val="004C271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AD55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592C"/>
    <w:pPr>
      <w:autoSpaceDE w:val="0"/>
      <w:autoSpaceDN w:val="0"/>
      <w:adjustRightInd w:val="0"/>
    </w:pPr>
    <w:rPr>
      <w:rFonts w:ascii="Times New Roman" w:hAnsi="Times New Roman"/>
      <w:color w:val="000000"/>
      <w:sz w:val="24"/>
      <w:szCs w:val="24"/>
      <w:lang w:eastAsia="en-US"/>
    </w:rPr>
  </w:style>
  <w:style w:type="character" w:styleId="a3">
    <w:name w:val="annotation reference"/>
    <w:uiPriority w:val="99"/>
    <w:semiHidden/>
    <w:unhideWhenUsed/>
    <w:rsid w:val="001D6A3A"/>
    <w:rPr>
      <w:sz w:val="16"/>
      <w:szCs w:val="16"/>
    </w:rPr>
  </w:style>
  <w:style w:type="paragraph" w:styleId="a4">
    <w:name w:val="annotation text"/>
    <w:basedOn w:val="a"/>
    <w:link w:val="a5"/>
    <w:uiPriority w:val="99"/>
    <w:unhideWhenUsed/>
    <w:qFormat/>
    <w:rsid w:val="001D6A3A"/>
    <w:pPr>
      <w:spacing w:line="240" w:lineRule="auto"/>
    </w:pPr>
    <w:rPr>
      <w:rFonts w:eastAsia="Calibri"/>
      <w:sz w:val="20"/>
      <w:szCs w:val="20"/>
    </w:rPr>
  </w:style>
  <w:style w:type="character" w:customStyle="1" w:styleId="a5">
    <w:name w:val="Текст примечания Знак"/>
    <w:link w:val="a4"/>
    <w:uiPriority w:val="99"/>
    <w:rsid w:val="001D6A3A"/>
    <w:rPr>
      <w:sz w:val="20"/>
      <w:szCs w:val="20"/>
    </w:rPr>
  </w:style>
  <w:style w:type="paragraph" w:styleId="a6">
    <w:name w:val="annotation subject"/>
    <w:basedOn w:val="a4"/>
    <w:next w:val="a4"/>
    <w:link w:val="a7"/>
    <w:uiPriority w:val="99"/>
    <w:semiHidden/>
    <w:unhideWhenUsed/>
    <w:rsid w:val="001D6A3A"/>
    <w:rPr>
      <w:b/>
      <w:bCs/>
    </w:rPr>
  </w:style>
  <w:style w:type="character" w:customStyle="1" w:styleId="a7">
    <w:name w:val="Тема примечания Знак"/>
    <w:link w:val="a6"/>
    <w:uiPriority w:val="99"/>
    <w:semiHidden/>
    <w:rsid w:val="001D6A3A"/>
    <w:rPr>
      <w:b/>
      <w:bCs/>
      <w:sz w:val="20"/>
      <w:szCs w:val="20"/>
    </w:rPr>
  </w:style>
  <w:style w:type="paragraph" w:styleId="a8">
    <w:name w:val="Balloon Text"/>
    <w:basedOn w:val="a"/>
    <w:link w:val="a9"/>
    <w:uiPriority w:val="99"/>
    <w:semiHidden/>
    <w:unhideWhenUsed/>
    <w:rsid w:val="001D6A3A"/>
    <w:pPr>
      <w:spacing w:line="240" w:lineRule="auto"/>
    </w:pPr>
    <w:rPr>
      <w:rFonts w:ascii="Tahoma" w:eastAsia="Calibri" w:hAnsi="Tahoma"/>
      <w:sz w:val="16"/>
      <w:szCs w:val="16"/>
    </w:rPr>
  </w:style>
  <w:style w:type="character" w:customStyle="1" w:styleId="a9">
    <w:name w:val="Текст выноски Знак"/>
    <w:link w:val="a8"/>
    <w:uiPriority w:val="99"/>
    <w:semiHidden/>
    <w:rsid w:val="001D6A3A"/>
    <w:rPr>
      <w:rFonts w:ascii="Tahoma" w:hAnsi="Tahoma" w:cs="Tahoma"/>
      <w:sz w:val="16"/>
      <w:szCs w:val="16"/>
    </w:rPr>
  </w:style>
  <w:style w:type="paragraph" w:styleId="aa">
    <w:name w:val="header"/>
    <w:basedOn w:val="a"/>
    <w:link w:val="ab"/>
    <w:unhideWhenUsed/>
    <w:rsid w:val="004B3CD7"/>
    <w:pPr>
      <w:tabs>
        <w:tab w:val="center" w:pos="4677"/>
        <w:tab w:val="right" w:pos="9355"/>
      </w:tabs>
    </w:pPr>
  </w:style>
  <w:style w:type="character" w:customStyle="1" w:styleId="ab">
    <w:name w:val="Верхний колонтитул Знак"/>
    <w:link w:val="aa"/>
    <w:uiPriority w:val="99"/>
    <w:rsid w:val="004B3CD7"/>
    <w:rPr>
      <w:rFonts w:eastAsia="Times New Roman"/>
      <w:sz w:val="22"/>
      <w:szCs w:val="22"/>
    </w:rPr>
  </w:style>
  <w:style w:type="character" w:styleId="ac">
    <w:name w:val="page number"/>
    <w:uiPriority w:val="99"/>
    <w:semiHidden/>
    <w:unhideWhenUsed/>
    <w:rsid w:val="004B3CD7"/>
  </w:style>
  <w:style w:type="paragraph" w:styleId="ad">
    <w:name w:val="footnote text"/>
    <w:basedOn w:val="a"/>
    <w:link w:val="ae"/>
    <w:rsid w:val="003A24D6"/>
    <w:rPr>
      <w:sz w:val="20"/>
      <w:szCs w:val="20"/>
    </w:rPr>
  </w:style>
  <w:style w:type="character" w:styleId="af">
    <w:name w:val="footnote reference"/>
    <w:rsid w:val="003A24D6"/>
    <w:rPr>
      <w:vertAlign w:val="superscript"/>
    </w:rPr>
  </w:style>
  <w:style w:type="paragraph" w:styleId="af0">
    <w:name w:val="List Paragraph"/>
    <w:basedOn w:val="a"/>
    <w:link w:val="af1"/>
    <w:uiPriority w:val="34"/>
    <w:qFormat/>
    <w:rsid w:val="009F774E"/>
    <w:pPr>
      <w:spacing w:line="240" w:lineRule="auto"/>
      <w:ind w:left="720"/>
      <w:contextualSpacing/>
    </w:pPr>
  </w:style>
  <w:style w:type="character" w:customStyle="1" w:styleId="10">
    <w:name w:val="Заголовок 1 Знак"/>
    <w:aliases w:val="ЗАГОЛОВОК Знак"/>
    <w:link w:val="1"/>
    <w:uiPriority w:val="9"/>
    <w:rsid w:val="000B3A53"/>
    <w:rPr>
      <w:rFonts w:ascii="Times New Roman" w:eastAsia="MS Gothic" w:hAnsi="Times New Roman"/>
      <w:b/>
      <w:sz w:val="28"/>
      <w:szCs w:val="24"/>
      <w:shd w:val="clear" w:color="auto" w:fill="FFFFFF"/>
    </w:rPr>
  </w:style>
  <w:style w:type="paragraph" w:styleId="af2">
    <w:name w:val="Body Text"/>
    <w:basedOn w:val="a"/>
    <w:link w:val="af3"/>
    <w:rsid w:val="009F774E"/>
    <w:pPr>
      <w:spacing w:after="160"/>
    </w:pPr>
    <w:rPr>
      <w:rFonts w:eastAsia="MS Mincho"/>
    </w:rPr>
  </w:style>
  <w:style w:type="character" w:customStyle="1" w:styleId="af3">
    <w:name w:val="Основной текст Знак"/>
    <w:link w:val="af2"/>
    <w:rsid w:val="009F774E"/>
    <w:rPr>
      <w:rFonts w:ascii="Times New Roman" w:eastAsia="MS Mincho" w:hAnsi="Times New Roman"/>
      <w:sz w:val="24"/>
      <w:szCs w:val="22"/>
    </w:rPr>
  </w:style>
  <w:style w:type="character" w:customStyle="1" w:styleId="ae">
    <w:name w:val="Текст сноски Знак"/>
    <w:link w:val="ad"/>
    <w:rsid w:val="009F774E"/>
    <w:rPr>
      <w:rFonts w:eastAsia="Times New Roman"/>
    </w:rPr>
  </w:style>
  <w:style w:type="paragraph" w:styleId="31">
    <w:name w:val="Body Text Indent 3"/>
    <w:basedOn w:val="a"/>
    <w:link w:val="32"/>
    <w:rsid w:val="00884409"/>
    <w:pPr>
      <w:spacing w:after="120"/>
      <w:ind w:left="283"/>
    </w:pPr>
    <w:rPr>
      <w:rFonts w:eastAsia="MS Mincho"/>
      <w:sz w:val="16"/>
      <w:szCs w:val="16"/>
      <w:lang w:val="es-ES" w:eastAsia="es-ES"/>
    </w:rPr>
  </w:style>
  <w:style w:type="character" w:customStyle="1" w:styleId="32">
    <w:name w:val="Основной текст с отступом 3 Знак"/>
    <w:link w:val="31"/>
    <w:rsid w:val="00884409"/>
    <w:rPr>
      <w:rFonts w:ascii="Times New Roman" w:eastAsia="MS Mincho" w:hAnsi="Times New Roman"/>
      <w:sz w:val="16"/>
      <w:szCs w:val="16"/>
      <w:lang w:val="es-ES" w:eastAsia="es-ES"/>
    </w:rPr>
  </w:style>
  <w:style w:type="paragraph" w:styleId="af4">
    <w:name w:val="Normal (Web)"/>
    <w:basedOn w:val="a"/>
    <w:link w:val="af5"/>
    <w:uiPriority w:val="99"/>
    <w:unhideWhenUsed/>
    <w:rsid w:val="00884409"/>
    <w:pPr>
      <w:spacing w:before="100" w:beforeAutospacing="1" w:after="100" w:afterAutospacing="1"/>
    </w:pPr>
    <w:rPr>
      <w:rFonts w:eastAsia="MS Mincho"/>
    </w:rPr>
  </w:style>
  <w:style w:type="paragraph" w:styleId="af6">
    <w:name w:val="Plain Text"/>
    <w:basedOn w:val="a"/>
    <w:link w:val="af7"/>
    <w:rsid w:val="00884409"/>
    <w:pPr>
      <w:spacing w:after="160"/>
    </w:pPr>
    <w:rPr>
      <w:rFonts w:ascii="Courier New" w:eastAsia="MS Mincho" w:hAnsi="Courier New"/>
      <w:lang w:eastAsia="en-US"/>
    </w:rPr>
  </w:style>
  <w:style w:type="character" w:customStyle="1" w:styleId="af7">
    <w:name w:val="Текст Знак"/>
    <w:link w:val="af6"/>
    <w:rsid w:val="00884409"/>
    <w:rPr>
      <w:rFonts w:ascii="Courier New" w:eastAsia="MS Mincho" w:hAnsi="Courier New"/>
      <w:sz w:val="24"/>
      <w:szCs w:val="22"/>
      <w:lang w:eastAsia="en-US"/>
    </w:rPr>
  </w:style>
  <w:style w:type="paragraph" w:styleId="af8">
    <w:name w:val="Subtitle"/>
    <w:next w:val="a"/>
    <w:link w:val="af9"/>
    <w:autoRedefine/>
    <w:uiPriority w:val="11"/>
    <w:qFormat/>
    <w:rsid w:val="00996A3D"/>
    <w:pPr>
      <w:numPr>
        <w:ilvl w:val="1"/>
      </w:numPr>
      <w:spacing w:before="240" w:after="240" w:line="360" w:lineRule="auto"/>
      <w:ind w:firstLine="709"/>
      <w:contextualSpacing/>
    </w:pPr>
    <w:rPr>
      <w:rFonts w:ascii="Times New Roman" w:eastAsia="MS Mincho" w:hAnsi="Times New Roman"/>
      <w:b/>
      <w:bCs/>
      <w:sz w:val="28"/>
      <w:szCs w:val="28"/>
      <w:u w:val="single"/>
    </w:rPr>
  </w:style>
  <w:style w:type="character" w:customStyle="1" w:styleId="af9">
    <w:name w:val="Подзаголовок Знак"/>
    <w:link w:val="af8"/>
    <w:uiPriority w:val="11"/>
    <w:rsid w:val="00996A3D"/>
    <w:rPr>
      <w:rFonts w:ascii="Times New Roman" w:eastAsia="MS Mincho" w:hAnsi="Times New Roman"/>
      <w:b/>
      <w:bCs/>
      <w:sz w:val="28"/>
      <w:szCs w:val="28"/>
      <w:u w:val="single"/>
      <w:lang w:bidi="ar-SA"/>
    </w:rPr>
  </w:style>
  <w:style w:type="character" w:customStyle="1" w:styleId="af5">
    <w:name w:val="Обычный (Интернет) Знак"/>
    <w:link w:val="af4"/>
    <w:uiPriority w:val="99"/>
    <w:rsid w:val="00884409"/>
    <w:rPr>
      <w:rFonts w:ascii="Times New Roman" w:eastAsia="MS Mincho" w:hAnsi="Times New Roman"/>
      <w:sz w:val="24"/>
      <w:szCs w:val="24"/>
    </w:rPr>
  </w:style>
  <w:style w:type="paragraph" w:customStyle="1" w:styleId="2">
    <w:name w:val="Стиль2"/>
    <w:basedOn w:val="af4"/>
    <w:link w:val="22"/>
    <w:qFormat/>
    <w:rsid w:val="00537A85"/>
    <w:pPr>
      <w:numPr>
        <w:numId w:val="1"/>
      </w:numPr>
      <w:spacing w:before="0" w:beforeAutospacing="0" w:after="0" w:afterAutospacing="0"/>
      <w:ind w:left="0" w:firstLine="709"/>
    </w:pPr>
    <w:rPr>
      <w:shd w:val="clear" w:color="auto" w:fill="FFFFFF"/>
      <w:lang w:val="ru-RU"/>
    </w:rPr>
  </w:style>
  <w:style w:type="paragraph" w:customStyle="1" w:styleId="33">
    <w:name w:val="Стиль3"/>
    <w:basedOn w:val="a"/>
    <w:link w:val="34"/>
    <w:qFormat/>
    <w:rsid w:val="00F77DA9"/>
    <w:pPr>
      <w:contextualSpacing/>
    </w:pPr>
    <w:rPr>
      <w:rFonts w:eastAsia="MS Mincho"/>
      <w:b/>
      <w:color w:val="303030"/>
      <w:shd w:val="clear" w:color="auto" w:fill="FFFFFF"/>
    </w:rPr>
  </w:style>
  <w:style w:type="character" w:customStyle="1" w:styleId="22">
    <w:name w:val="Стиль2 Знак"/>
    <w:link w:val="2"/>
    <w:rsid w:val="00537A85"/>
    <w:rPr>
      <w:rFonts w:ascii="Times New Roman" w:eastAsia="MS Mincho" w:hAnsi="Times New Roman"/>
      <w:sz w:val="24"/>
      <w:szCs w:val="24"/>
    </w:rPr>
  </w:style>
  <w:style w:type="character" w:customStyle="1" w:styleId="34">
    <w:name w:val="Стиль3 Знак"/>
    <w:link w:val="33"/>
    <w:rsid w:val="00F77DA9"/>
    <w:rPr>
      <w:rFonts w:ascii="Times New Roman" w:eastAsia="MS Mincho" w:hAnsi="Times New Roman"/>
      <w:b/>
      <w:color w:val="303030"/>
      <w:sz w:val="24"/>
      <w:szCs w:val="24"/>
      <w:lang w:val="en-US"/>
    </w:rPr>
  </w:style>
  <w:style w:type="table" w:styleId="afa">
    <w:name w:val="Table Grid"/>
    <w:basedOn w:val="a1"/>
    <w:uiPriority w:val="59"/>
    <w:rsid w:val="00F1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1257AF"/>
    <w:pPr>
      <w:spacing w:before="100" w:beforeAutospacing="1" w:after="100" w:afterAutospacing="1"/>
    </w:pPr>
    <w:rPr>
      <w:rFonts w:eastAsia="MS Mincho"/>
    </w:rPr>
  </w:style>
  <w:style w:type="paragraph" w:customStyle="1" w:styleId="310">
    <w:name w:val="Основной текст с отступом 31"/>
    <w:basedOn w:val="a"/>
    <w:rsid w:val="00255DAB"/>
    <w:pPr>
      <w:spacing w:after="160"/>
      <w:ind w:left="90"/>
    </w:pPr>
    <w:rPr>
      <w:rFonts w:eastAsia="MS Mincho"/>
    </w:rPr>
  </w:style>
  <w:style w:type="character" w:customStyle="1" w:styleId="mixed-citation">
    <w:name w:val="mixed-citation"/>
    <w:rsid w:val="008D3A53"/>
  </w:style>
  <w:style w:type="character" w:styleId="afb">
    <w:name w:val="Emphasis"/>
    <w:uiPriority w:val="20"/>
    <w:qFormat/>
    <w:rsid w:val="008D3A53"/>
    <w:rPr>
      <w:i/>
      <w:iCs/>
    </w:rPr>
  </w:style>
  <w:style w:type="character" w:customStyle="1" w:styleId="ref-title">
    <w:name w:val="ref-title"/>
    <w:rsid w:val="008D3A53"/>
  </w:style>
  <w:style w:type="character" w:customStyle="1" w:styleId="ref-journal">
    <w:name w:val="ref-journal"/>
    <w:rsid w:val="008D3A53"/>
  </w:style>
  <w:style w:type="character" w:customStyle="1" w:styleId="ref-vol">
    <w:name w:val="ref-vol"/>
    <w:rsid w:val="008D3A53"/>
  </w:style>
  <w:style w:type="character" w:customStyle="1" w:styleId="nowrap">
    <w:name w:val="nowrap"/>
    <w:rsid w:val="008D3A53"/>
  </w:style>
  <w:style w:type="character" w:styleId="afc">
    <w:name w:val="Hyperlink"/>
    <w:uiPriority w:val="99"/>
    <w:unhideWhenUsed/>
    <w:rsid w:val="008D3A53"/>
    <w:rPr>
      <w:color w:val="0000FF"/>
      <w:u w:val="single"/>
    </w:rPr>
  </w:style>
  <w:style w:type="character" w:customStyle="1" w:styleId="A00">
    <w:name w:val="A0"/>
    <w:uiPriority w:val="99"/>
    <w:rsid w:val="008D3A53"/>
    <w:rPr>
      <w:rFonts w:cs="Times"/>
      <w:color w:val="000000"/>
      <w:sz w:val="18"/>
      <w:szCs w:val="18"/>
    </w:rPr>
  </w:style>
  <w:style w:type="character" w:customStyle="1" w:styleId="highlight">
    <w:name w:val="highlight"/>
    <w:rsid w:val="002129BD"/>
  </w:style>
  <w:style w:type="character" w:customStyle="1" w:styleId="WW8Num1z0">
    <w:name w:val="WW8Num1z0"/>
    <w:rsid w:val="002129BD"/>
    <w:rPr>
      <w:rFonts w:ascii="Symbol" w:hAnsi="Symbol"/>
    </w:rPr>
  </w:style>
  <w:style w:type="character" w:styleId="afd">
    <w:name w:val="Strong"/>
    <w:uiPriority w:val="22"/>
    <w:qFormat/>
    <w:rsid w:val="00050FB4"/>
    <w:rPr>
      <w:b/>
      <w:bCs/>
    </w:rPr>
  </w:style>
  <w:style w:type="character" w:customStyle="1" w:styleId="50">
    <w:name w:val="Заголовок 5 Знак"/>
    <w:link w:val="5"/>
    <w:uiPriority w:val="9"/>
    <w:rsid w:val="00AD55FC"/>
    <w:rPr>
      <w:rFonts w:ascii="Calibri" w:eastAsia="Times New Roman" w:hAnsi="Calibri" w:cs="Times New Roman"/>
      <w:b/>
      <w:bCs/>
      <w:i/>
      <w:iCs/>
      <w:sz w:val="26"/>
      <w:szCs w:val="26"/>
    </w:rPr>
  </w:style>
  <w:style w:type="character" w:customStyle="1" w:styleId="30">
    <w:name w:val="Заголовок 3 Знак"/>
    <w:link w:val="3"/>
    <w:uiPriority w:val="9"/>
    <w:rsid w:val="00AC1487"/>
    <w:rPr>
      <w:rFonts w:ascii="Times New Roman" w:eastAsia="Times New Roman" w:hAnsi="Times New Roman"/>
      <w:b/>
      <w:sz w:val="24"/>
      <w:szCs w:val="24"/>
      <w:u w:val="single"/>
    </w:rPr>
  </w:style>
  <w:style w:type="character" w:customStyle="1" w:styleId="af1">
    <w:name w:val="Абзац списка Знак"/>
    <w:link w:val="af0"/>
    <w:uiPriority w:val="34"/>
    <w:rsid w:val="006F6D73"/>
    <w:rPr>
      <w:rFonts w:ascii="Times New Roman" w:eastAsia="Times New Roman" w:hAnsi="Times New Roman"/>
      <w:sz w:val="24"/>
      <w:szCs w:val="24"/>
    </w:rPr>
  </w:style>
  <w:style w:type="paragraph" w:customStyle="1" w:styleId="11">
    <w:name w:val="Название1"/>
    <w:basedOn w:val="a"/>
    <w:rsid w:val="00AC3A77"/>
    <w:pPr>
      <w:spacing w:before="100" w:beforeAutospacing="1" w:after="100" w:afterAutospacing="1" w:line="240" w:lineRule="auto"/>
    </w:pPr>
  </w:style>
  <w:style w:type="paragraph" w:customStyle="1" w:styleId="details">
    <w:name w:val="details"/>
    <w:basedOn w:val="a"/>
    <w:rsid w:val="00AC3A77"/>
    <w:pPr>
      <w:spacing w:before="100" w:beforeAutospacing="1" w:after="100" w:afterAutospacing="1" w:line="240" w:lineRule="auto"/>
    </w:pPr>
  </w:style>
  <w:style w:type="character" w:customStyle="1" w:styleId="jrnl">
    <w:name w:val="jrnl"/>
    <w:basedOn w:val="a0"/>
    <w:rsid w:val="00AC3A77"/>
  </w:style>
  <w:style w:type="paragraph" w:styleId="afe">
    <w:name w:val="footer"/>
    <w:basedOn w:val="a"/>
    <w:link w:val="aff"/>
    <w:uiPriority w:val="99"/>
    <w:unhideWhenUsed/>
    <w:rsid w:val="00AC1487"/>
    <w:pPr>
      <w:tabs>
        <w:tab w:val="center" w:pos="4677"/>
        <w:tab w:val="right" w:pos="9355"/>
      </w:tabs>
      <w:spacing w:line="240" w:lineRule="auto"/>
    </w:pPr>
  </w:style>
  <w:style w:type="character" w:customStyle="1" w:styleId="aff">
    <w:name w:val="Нижний колонтитул Знак"/>
    <w:basedOn w:val="a0"/>
    <w:link w:val="afe"/>
    <w:uiPriority w:val="99"/>
    <w:rsid w:val="00AC1487"/>
    <w:rPr>
      <w:rFonts w:eastAsia="Times New Roman"/>
      <w:sz w:val="22"/>
      <w:szCs w:val="22"/>
    </w:rPr>
  </w:style>
  <w:style w:type="paragraph" w:styleId="aff0">
    <w:name w:val="TOC Heading"/>
    <w:basedOn w:val="1"/>
    <w:next w:val="a"/>
    <w:uiPriority w:val="39"/>
    <w:unhideWhenUsed/>
    <w:qFormat/>
    <w:rsid w:val="00385052"/>
    <w:pPr>
      <w:shd w:val="clear" w:color="auto" w:fill="auto"/>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aff1">
    <w:name w:val="Revision"/>
    <w:hidden/>
    <w:uiPriority w:val="99"/>
    <w:semiHidden/>
    <w:rsid w:val="00385052"/>
    <w:rPr>
      <w:rFonts w:ascii="Times New Roman" w:eastAsia="Times New Roman" w:hAnsi="Times New Roman"/>
      <w:sz w:val="24"/>
      <w:szCs w:val="22"/>
    </w:rPr>
  </w:style>
  <w:style w:type="paragraph" w:styleId="aff2">
    <w:name w:val="No Spacing"/>
    <w:aliases w:val="стиль4"/>
    <w:uiPriority w:val="1"/>
    <w:qFormat/>
    <w:rsid w:val="00F77DA9"/>
    <w:pPr>
      <w:spacing w:line="360" w:lineRule="auto"/>
      <w:ind w:firstLine="709"/>
      <w:jc w:val="both"/>
    </w:pPr>
    <w:rPr>
      <w:rFonts w:ascii="Times New Roman" w:eastAsia="Times New Roman" w:hAnsi="Times New Roman"/>
      <w:i/>
      <w:sz w:val="24"/>
      <w:szCs w:val="22"/>
    </w:rPr>
  </w:style>
  <w:style w:type="paragraph" w:styleId="12">
    <w:name w:val="toc 1"/>
    <w:basedOn w:val="a"/>
    <w:next w:val="a"/>
    <w:autoRedefine/>
    <w:uiPriority w:val="39"/>
    <w:unhideWhenUsed/>
    <w:rsid w:val="00954BDE"/>
    <w:pPr>
      <w:tabs>
        <w:tab w:val="right" w:leader="dot" w:pos="9344"/>
      </w:tabs>
      <w:spacing w:after="100"/>
      <w:ind w:firstLine="0"/>
    </w:pPr>
  </w:style>
  <w:style w:type="paragraph" w:styleId="35">
    <w:name w:val="toc 3"/>
    <w:basedOn w:val="a"/>
    <w:next w:val="a"/>
    <w:autoRedefine/>
    <w:uiPriority w:val="39"/>
    <w:unhideWhenUsed/>
    <w:rsid w:val="00C2200F"/>
    <w:pPr>
      <w:spacing w:after="100"/>
      <w:ind w:left="480"/>
    </w:pPr>
  </w:style>
  <w:style w:type="character" w:customStyle="1" w:styleId="citation">
    <w:name w:val="citation"/>
    <w:basedOn w:val="a0"/>
    <w:rsid w:val="00A6117A"/>
  </w:style>
  <w:style w:type="paragraph" w:customStyle="1" w:styleId="1-21">
    <w:name w:val="Средняя сетка 1 - Акцент 21"/>
    <w:basedOn w:val="a"/>
    <w:uiPriority w:val="34"/>
    <w:qFormat/>
    <w:rsid w:val="00E94CC0"/>
    <w:pPr>
      <w:spacing w:line="240" w:lineRule="auto"/>
      <w:ind w:left="720" w:firstLine="0"/>
      <w:contextualSpacing/>
      <w:jc w:val="left"/>
    </w:pPr>
    <w:rPr>
      <w:rFonts w:eastAsia="MS Mincho"/>
      <w:lang w:eastAsia="ja-JP"/>
    </w:rPr>
  </w:style>
  <w:style w:type="table" w:customStyle="1" w:styleId="13">
    <w:name w:val="Сетка таблицы1"/>
    <w:basedOn w:val="a1"/>
    <w:next w:val="afa"/>
    <w:uiPriority w:val="59"/>
    <w:rsid w:val="00125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Текст примечания Знак1"/>
    <w:uiPriority w:val="99"/>
    <w:semiHidden/>
    <w:rsid w:val="00196303"/>
    <w:rPr>
      <w:rFonts w:ascii="Times New Roman" w:hAnsi="Times New Roman"/>
      <w:szCs w:val="20"/>
    </w:rPr>
  </w:style>
  <w:style w:type="character" w:customStyle="1" w:styleId="A30">
    <w:name w:val="A3"/>
    <w:uiPriority w:val="99"/>
    <w:rsid w:val="00685342"/>
    <w:rPr>
      <w:rFonts w:cs="Verdana"/>
      <w:b/>
      <w:bCs/>
      <w:color w:val="000000"/>
      <w:sz w:val="12"/>
      <w:szCs w:val="12"/>
    </w:rPr>
  </w:style>
  <w:style w:type="character" w:customStyle="1" w:styleId="A80">
    <w:name w:val="A8"/>
    <w:uiPriority w:val="99"/>
    <w:rsid w:val="00685342"/>
    <w:rPr>
      <w:rFonts w:cs="Verdana"/>
      <w:b/>
      <w:bCs/>
      <w:color w:val="000000"/>
      <w:sz w:val="20"/>
      <w:szCs w:val="20"/>
    </w:rPr>
  </w:style>
  <w:style w:type="character" w:customStyle="1" w:styleId="21">
    <w:name w:val="Заголовок 2 Знак"/>
    <w:basedOn w:val="a0"/>
    <w:link w:val="20"/>
    <w:uiPriority w:val="9"/>
    <w:rsid w:val="00FB7E29"/>
    <w:rPr>
      <w:rFonts w:asciiTheme="majorHAnsi" w:eastAsiaTheme="majorEastAsia" w:hAnsiTheme="majorHAnsi" w:cstheme="majorBidi"/>
      <w:b/>
      <w:bCs/>
      <w:color w:val="4F81BD" w:themeColor="accent1"/>
      <w:sz w:val="26"/>
      <w:szCs w:val="26"/>
      <w:lang w:val="en-US"/>
    </w:rPr>
  </w:style>
  <w:style w:type="character" w:customStyle="1" w:styleId="contribdegrees">
    <w:name w:val="contribdegrees"/>
    <w:basedOn w:val="a0"/>
    <w:rsid w:val="00E908FC"/>
  </w:style>
  <w:style w:type="character" w:styleId="HTML">
    <w:name w:val="HTML Cite"/>
    <w:basedOn w:val="a0"/>
    <w:uiPriority w:val="99"/>
    <w:semiHidden/>
    <w:unhideWhenUsed/>
    <w:rsid w:val="00E908FC"/>
    <w:rPr>
      <w:i/>
      <w:iCs/>
    </w:rPr>
  </w:style>
  <w:style w:type="character" w:customStyle="1" w:styleId="blk">
    <w:name w:val="blk"/>
    <w:basedOn w:val="a0"/>
    <w:rsid w:val="00DD7BE2"/>
  </w:style>
  <w:style w:type="character" w:customStyle="1" w:styleId="aff3">
    <w:name w:val="Основной текст_"/>
    <w:basedOn w:val="a0"/>
    <w:link w:val="15"/>
    <w:rsid w:val="008D7B89"/>
    <w:rPr>
      <w:rFonts w:ascii="Times New Roman" w:eastAsia="Times New Roman" w:hAnsi="Times New Roman"/>
      <w:sz w:val="28"/>
      <w:szCs w:val="28"/>
      <w:shd w:val="clear" w:color="auto" w:fill="FFFFFF"/>
    </w:rPr>
  </w:style>
  <w:style w:type="character" w:customStyle="1" w:styleId="aff4">
    <w:name w:val="Другое_"/>
    <w:basedOn w:val="a0"/>
    <w:link w:val="aff5"/>
    <w:rsid w:val="008D7B89"/>
    <w:rPr>
      <w:rFonts w:ascii="Times New Roman" w:eastAsia="Times New Roman" w:hAnsi="Times New Roman"/>
      <w:sz w:val="28"/>
      <w:szCs w:val="28"/>
      <w:shd w:val="clear" w:color="auto" w:fill="FFFFFF"/>
    </w:rPr>
  </w:style>
  <w:style w:type="paragraph" w:customStyle="1" w:styleId="15">
    <w:name w:val="Основной текст1"/>
    <w:basedOn w:val="a"/>
    <w:link w:val="aff3"/>
    <w:rsid w:val="008D7B89"/>
    <w:pPr>
      <w:widowControl w:val="0"/>
      <w:shd w:val="clear" w:color="auto" w:fill="FFFFFF"/>
      <w:spacing w:line="240" w:lineRule="auto"/>
      <w:ind w:firstLine="400"/>
    </w:pPr>
    <w:rPr>
      <w:sz w:val="28"/>
      <w:szCs w:val="28"/>
      <w:lang w:val="ru-RU"/>
    </w:rPr>
  </w:style>
  <w:style w:type="paragraph" w:customStyle="1" w:styleId="aff5">
    <w:name w:val="Другое"/>
    <w:basedOn w:val="a"/>
    <w:link w:val="aff4"/>
    <w:rsid w:val="008D7B89"/>
    <w:pPr>
      <w:widowControl w:val="0"/>
      <w:shd w:val="clear" w:color="auto" w:fill="FFFFFF"/>
      <w:spacing w:line="240" w:lineRule="auto"/>
      <w:ind w:firstLine="400"/>
    </w:pPr>
    <w:rPr>
      <w:sz w:val="28"/>
      <w:szCs w:val="28"/>
      <w:lang w:val="ru-RU"/>
    </w:rPr>
  </w:style>
  <w:style w:type="paragraph" w:styleId="aff6">
    <w:name w:val="Bibliography"/>
    <w:basedOn w:val="a"/>
    <w:next w:val="a"/>
    <w:uiPriority w:val="37"/>
    <w:unhideWhenUsed/>
    <w:rsid w:val="008D0434"/>
    <w:pPr>
      <w:tabs>
        <w:tab w:val="left" w:pos="504"/>
      </w:tabs>
      <w:spacing w:line="240" w:lineRule="auto"/>
      <w:ind w:left="504" w:hanging="504"/>
    </w:pPr>
  </w:style>
  <w:style w:type="paragraph" w:styleId="aff7">
    <w:name w:val="caption"/>
    <w:basedOn w:val="a"/>
    <w:qFormat/>
    <w:rsid w:val="000734FE"/>
    <w:pPr>
      <w:suppressLineNumbers/>
      <w:spacing w:after="120"/>
    </w:pPr>
    <w:rPr>
      <w:rFonts w:eastAsia="MS Mincho" w:cs="Mangal"/>
      <w:i/>
      <w:iCs/>
      <w:shd w:val="clear" w:color="auto" w:fill="FFFFFF"/>
      <w:lang w:val="ru-RU" w:eastAsia="en-US"/>
    </w:rPr>
  </w:style>
  <w:style w:type="paragraph" w:customStyle="1" w:styleId="36">
    <w:name w:val="3"/>
    <w:basedOn w:val="af0"/>
    <w:link w:val="37"/>
    <w:qFormat/>
    <w:rsid w:val="000734FE"/>
    <w:pPr>
      <w:spacing w:line="360" w:lineRule="auto"/>
      <w:ind w:left="142" w:firstLine="0"/>
    </w:pPr>
    <w:rPr>
      <w:rFonts w:eastAsia="Calibri"/>
      <w:szCs w:val="22"/>
      <w:lang w:val="ru-RU" w:eastAsia="en-US"/>
    </w:rPr>
  </w:style>
  <w:style w:type="character" w:customStyle="1" w:styleId="37">
    <w:name w:val="3 Знак"/>
    <w:basedOn w:val="a0"/>
    <w:link w:val="36"/>
    <w:rsid w:val="000734FE"/>
    <w:rPr>
      <w:rFonts w:ascii="Times New Roman" w:hAnsi="Times New Roman"/>
      <w:sz w:val="24"/>
      <w:szCs w:val="22"/>
      <w:lang w:eastAsia="en-US"/>
    </w:rPr>
  </w:style>
  <w:style w:type="paragraph" w:customStyle="1" w:styleId="2-6">
    <w:name w:val="Вводный текст 2-6 разделы"/>
    <w:basedOn w:val="a"/>
    <w:link w:val="2-60"/>
    <w:rsid w:val="00EA5F64"/>
    <w:rPr>
      <w:lang w:val="ru-RU" w:eastAsia="en-US"/>
    </w:rPr>
  </w:style>
  <w:style w:type="character" w:customStyle="1" w:styleId="2-60">
    <w:name w:val="Вводный текст 2-6 разделы Знак"/>
    <w:link w:val="2-6"/>
    <w:locked/>
    <w:rsid w:val="00EA5F64"/>
    <w:rPr>
      <w:rFonts w:ascii="Times New Roman" w:eastAsia="Times New Roman" w:hAnsi="Times New Roman"/>
      <w:sz w:val="24"/>
      <w:szCs w:val="24"/>
      <w:lang w:eastAsia="en-US"/>
    </w:rPr>
  </w:style>
  <w:style w:type="character" w:styleId="aff8">
    <w:name w:val="FollowedHyperlink"/>
    <w:basedOn w:val="a0"/>
    <w:uiPriority w:val="99"/>
    <w:semiHidden/>
    <w:unhideWhenUsed/>
    <w:rsid w:val="006B7B36"/>
    <w:rPr>
      <w:color w:val="800080" w:themeColor="followedHyperlink"/>
      <w:u w:val="single"/>
    </w:rPr>
  </w:style>
  <w:style w:type="character" w:customStyle="1" w:styleId="40">
    <w:name w:val="Заголовок 4 Знак"/>
    <w:basedOn w:val="a0"/>
    <w:link w:val="4"/>
    <w:uiPriority w:val="9"/>
    <w:rsid w:val="004C271A"/>
    <w:rPr>
      <w:rFonts w:asciiTheme="majorHAnsi" w:eastAsiaTheme="majorEastAsia" w:hAnsiTheme="majorHAnsi" w:cstheme="majorBidi"/>
      <w:i/>
      <w:iCs/>
      <w:color w:val="365F91" w:themeColor="accent1" w:themeShade="BF"/>
      <w:sz w:val="24"/>
      <w:szCs w:val="24"/>
      <w:lang w:val="en-US"/>
    </w:rPr>
  </w:style>
  <w:style w:type="paragraph" w:styleId="HTML0">
    <w:name w:val="HTML Preformatted"/>
    <w:basedOn w:val="a"/>
    <w:link w:val="HTML1"/>
    <w:uiPriority w:val="99"/>
    <w:unhideWhenUsed/>
    <w:rsid w:val="008C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8C61CE"/>
    <w:rPr>
      <w:rFonts w:ascii="Courier New" w:eastAsia="Times New Roman" w:hAnsi="Courier New" w:cs="Courier New"/>
    </w:rPr>
  </w:style>
  <w:style w:type="character" w:customStyle="1" w:styleId="y2iqfc">
    <w:name w:val="y2iqfc"/>
    <w:basedOn w:val="a0"/>
    <w:rsid w:val="008C61CE"/>
  </w:style>
  <w:style w:type="paragraph" w:customStyle="1" w:styleId="TableParagraph">
    <w:name w:val="Table Paragraph"/>
    <w:basedOn w:val="a"/>
    <w:uiPriority w:val="1"/>
    <w:qFormat/>
    <w:rsid w:val="00ED0193"/>
    <w:pPr>
      <w:widowControl w:val="0"/>
      <w:suppressAutoHyphens/>
      <w:spacing w:line="240" w:lineRule="auto"/>
      <w:ind w:left="306" w:firstLine="0"/>
      <w:jc w:val="left"/>
    </w:pPr>
    <w:rPr>
      <w:rFonts w:ascii="Arial Unicode MS" w:eastAsia="Arial Unicode MS" w:hAnsi="Arial Unicode MS" w:cs="Arial Unicode M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701">
      <w:bodyDiv w:val="1"/>
      <w:marLeft w:val="0"/>
      <w:marRight w:val="0"/>
      <w:marTop w:val="0"/>
      <w:marBottom w:val="0"/>
      <w:divBdr>
        <w:top w:val="none" w:sz="0" w:space="0" w:color="auto"/>
        <w:left w:val="none" w:sz="0" w:space="0" w:color="auto"/>
        <w:bottom w:val="none" w:sz="0" w:space="0" w:color="auto"/>
        <w:right w:val="none" w:sz="0" w:space="0" w:color="auto"/>
      </w:divBdr>
    </w:div>
    <w:div w:id="115178350">
      <w:bodyDiv w:val="1"/>
      <w:marLeft w:val="0"/>
      <w:marRight w:val="0"/>
      <w:marTop w:val="0"/>
      <w:marBottom w:val="0"/>
      <w:divBdr>
        <w:top w:val="none" w:sz="0" w:space="0" w:color="auto"/>
        <w:left w:val="none" w:sz="0" w:space="0" w:color="auto"/>
        <w:bottom w:val="none" w:sz="0" w:space="0" w:color="auto"/>
        <w:right w:val="none" w:sz="0" w:space="0" w:color="auto"/>
      </w:divBdr>
    </w:div>
    <w:div w:id="17704406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21">
          <w:marLeft w:val="0"/>
          <w:marRight w:val="0"/>
          <w:marTop w:val="0"/>
          <w:marBottom w:val="0"/>
          <w:divBdr>
            <w:top w:val="none" w:sz="0" w:space="0" w:color="auto"/>
            <w:left w:val="none" w:sz="0" w:space="0" w:color="auto"/>
            <w:bottom w:val="none" w:sz="0" w:space="0" w:color="auto"/>
            <w:right w:val="none" w:sz="0" w:space="0" w:color="auto"/>
          </w:divBdr>
          <w:divsChild>
            <w:div w:id="20993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450">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sChild>
        <w:div w:id="893589983">
          <w:marLeft w:val="0"/>
          <w:marRight w:val="0"/>
          <w:marTop w:val="0"/>
          <w:marBottom w:val="0"/>
          <w:divBdr>
            <w:top w:val="none" w:sz="0" w:space="0" w:color="auto"/>
            <w:left w:val="none" w:sz="0" w:space="0" w:color="auto"/>
            <w:bottom w:val="none" w:sz="0" w:space="0" w:color="auto"/>
            <w:right w:val="none" w:sz="0" w:space="0" w:color="auto"/>
          </w:divBdr>
        </w:div>
        <w:div w:id="1841920420">
          <w:marLeft w:val="0"/>
          <w:marRight w:val="0"/>
          <w:marTop w:val="0"/>
          <w:marBottom w:val="0"/>
          <w:divBdr>
            <w:top w:val="none" w:sz="0" w:space="0" w:color="auto"/>
            <w:left w:val="none" w:sz="0" w:space="0" w:color="auto"/>
            <w:bottom w:val="none" w:sz="0" w:space="0" w:color="auto"/>
            <w:right w:val="none" w:sz="0" w:space="0" w:color="auto"/>
          </w:divBdr>
        </w:div>
      </w:divsChild>
    </w:div>
    <w:div w:id="285890696">
      <w:bodyDiv w:val="1"/>
      <w:marLeft w:val="0"/>
      <w:marRight w:val="0"/>
      <w:marTop w:val="0"/>
      <w:marBottom w:val="0"/>
      <w:divBdr>
        <w:top w:val="none" w:sz="0" w:space="0" w:color="auto"/>
        <w:left w:val="none" w:sz="0" w:space="0" w:color="auto"/>
        <w:bottom w:val="none" w:sz="0" w:space="0" w:color="auto"/>
        <w:right w:val="none" w:sz="0" w:space="0" w:color="auto"/>
      </w:divBdr>
      <w:divsChild>
        <w:div w:id="2033409346">
          <w:marLeft w:val="0"/>
          <w:marRight w:val="0"/>
          <w:marTop w:val="0"/>
          <w:marBottom w:val="0"/>
          <w:divBdr>
            <w:top w:val="none" w:sz="0" w:space="0" w:color="auto"/>
            <w:left w:val="none" w:sz="0" w:space="0" w:color="auto"/>
            <w:bottom w:val="none" w:sz="0" w:space="0" w:color="auto"/>
            <w:right w:val="none" w:sz="0" w:space="0" w:color="auto"/>
          </w:divBdr>
        </w:div>
        <w:div w:id="1606694896">
          <w:marLeft w:val="0"/>
          <w:marRight w:val="0"/>
          <w:marTop w:val="0"/>
          <w:marBottom w:val="0"/>
          <w:divBdr>
            <w:top w:val="none" w:sz="0" w:space="0" w:color="auto"/>
            <w:left w:val="none" w:sz="0" w:space="0" w:color="auto"/>
            <w:bottom w:val="none" w:sz="0" w:space="0" w:color="auto"/>
            <w:right w:val="none" w:sz="0" w:space="0" w:color="auto"/>
          </w:divBdr>
        </w:div>
      </w:divsChild>
    </w:div>
    <w:div w:id="401761429">
      <w:bodyDiv w:val="1"/>
      <w:marLeft w:val="0"/>
      <w:marRight w:val="0"/>
      <w:marTop w:val="0"/>
      <w:marBottom w:val="0"/>
      <w:divBdr>
        <w:top w:val="none" w:sz="0" w:space="0" w:color="auto"/>
        <w:left w:val="none" w:sz="0" w:space="0" w:color="auto"/>
        <w:bottom w:val="none" w:sz="0" w:space="0" w:color="auto"/>
        <w:right w:val="none" w:sz="0" w:space="0" w:color="auto"/>
      </w:divBdr>
    </w:div>
    <w:div w:id="470824958">
      <w:bodyDiv w:val="1"/>
      <w:marLeft w:val="0"/>
      <w:marRight w:val="0"/>
      <w:marTop w:val="0"/>
      <w:marBottom w:val="0"/>
      <w:divBdr>
        <w:top w:val="none" w:sz="0" w:space="0" w:color="auto"/>
        <w:left w:val="none" w:sz="0" w:space="0" w:color="auto"/>
        <w:bottom w:val="none" w:sz="0" w:space="0" w:color="auto"/>
        <w:right w:val="none" w:sz="0" w:space="0" w:color="auto"/>
      </w:divBdr>
    </w:div>
    <w:div w:id="633873677">
      <w:bodyDiv w:val="1"/>
      <w:marLeft w:val="0"/>
      <w:marRight w:val="0"/>
      <w:marTop w:val="0"/>
      <w:marBottom w:val="0"/>
      <w:divBdr>
        <w:top w:val="none" w:sz="0" w:space="0" w:color="auto"/>
        <w:left w:val="none" w:sz="0" w:space="0" w:color="auto"/>
        <w:bottom w:val="none" w:sz="0" w:space="0" w:color="auto"/>
        <w:right w:val="none" w:sz="0" w:space="0" w:color="auto"/>
      </w:divBdr>
    </w:div>
    <w:div w:id="673217506">
      <w:bodyDiv w:val="1"/>
      <w:marLeft w:val="0"/>
      <w:marRight w:val="0"/>
      <w:marTop w:val="0"/>
      <w:marBottom w:val="0"/>
      <w:divBdr>
        <w:top w:val="none" w:sz="0" w:space="0" w:color="auto"/>
        <w:left w:val="none" w:sz="0" w:space="0" w:color="auto"/>
        <w:bottom w:val="none" w:sz="0" w:space="0" w:color="auto"/>
        <w:right w:val="none" w:sz="0" w:space="0" w:color="auto"/>
      </w:divBdr>
    </w:div>
    <w:div w:id="752120298">
      <w:bodyDiv w:val="1"/>
      <w:marLeft w:val="0"/>
      <w:marRight w:val="0"/>
      <w:marTop w:val="0"/>
      <w:marBottom w:val="0"/>
      <w:divBdr>
        <w:top w:val="none" w:sz="0" w:space="0" w:color="auto"/>
        <w:left w:val="none" w:sz="0" w:space="0" w:color="auto"/>
        <w:bottom w:val="none" w:sz="0" w:space="0" w:color="auto"/>
        <w:right w:val="none" w:sz="0" w:space="0" w:color="auto"/>
      </w:divBdr>
    </w:div>
    <w:div w:id="806240607">
      <w:bodyDiv w:val="1"/>
      <w:marLeft w:val="0"/>
      <w:marRight w:val="0"/>
      <w:marTop w:val="0"/>
      <w:marBottom w:val="0"/>
      <w:divBdr>
        <w:top w:val="none" w:sz="0" w:space="0" w:color="auto"/>
        <w:left w:val="none" w:sz="0" w:space="0" w:color="auto"/>
        <w:bottom w:val="none" w:sz="0" w:space="0" w:color="auto"/>
        <w:right w:val="none" w:sz="0" w:space="0" w:color="auto"/>
      </w:divBdr>
      <w:divsChild>
        <w:div w:id="53050270">
          <w:marLeft w:val="0"/>
          <w:marRight w:val="0"/>
          <w:marTop w:val="0"/>
          <w:marBottom w:val="0"/>
          <w:divBdr>
            <w:top w:val="none" w:sz="0" w:space="0" w:color="auto"/>
            <w:left w:val="none" w:sz="0" w:space="0" w:color="auto"/>
            <w:bottom w:val="none" w:sz="0" w:space="0" w:color="auto"/>
            <w:right w:val="none" w:sz="0" w:space="0" w:color="auto"/>
          </w:divBdr>
        </w:div>
        <w:div w:id="110174715">
          <w:marLeft w:val="0"/>
          <w:marRight w:val="0"/>
          <w:marTop w:val="0"/>
          <w:marBottom w:val="0"/>
          <w:divBdr>
            <w:top w:val="none" w:sz="0" w:space="0" w:color="auto"/>
            <w:left w:val="none" w:sz="0" w:space="0" w:color="auto"/>
            <w:bottom w:val="none" w:sz="0" w:space="0" w:color="auto"/>
            <w:right w:val="none" w:sz="0" w:space="0" w:color="auto"/>
          </w:divBdr>
        </w:div>
      </w:divsChild>
    </w:div>
    <w:div w:id="1424296530">
      <w:bodyDiv w:val="1"/>
      <w:marLeft w:val="0"/>
      <w:marRight w:val="0"/>
      <w:marTop w:val="0"/>
      <w:marBottom w:val="0"/>
      <w:divBdr>
        <w:top w:val="none" w:sz="0" w:space="0" w:color="auto"/>
        <w:left w:val="none" w:sz="0" w:space="0" w:color="auto"/>
        <w:bottom w:val="none" w:sz="0" w:space="0" w:color="auto"/>
        <w:right w:val="none" w:sz="0" w:space="0" w:color="auto"/>
      </w:divBdr>
    </w:div>
    <w:div w:id="1431506730">
      <w:bodyDiv w:val="1"/>
      <w:marLeft w:val="0"/>
      <w:marRight w:val="0"/>
      <w:marTop w:val="0"/>
      <w:marBottom w:val="0"/>
      <w:divBdr>
        <w:top w:val="none" w:sz="0" w:space="0" w:color="auto"/>
        <w:left w:val="none" w:sz="0" w:space="0" w:color="auto"/>
        <w:bottom w:val="none" w:sz="0" w:space="0" w:color="auto"/>
        <w:right w:val="none" w:sz="0" w:space="0" w:color="auto"/>
      </w:divBdr>
    </w:div>
    <w:div w:id="1593590649">
      <w:bodyDiv w:val="1"/>
      <w:marLeft w:val="0"/>
      <w:marRight w:val="0"/>
      <w:marTop w:val="0"/>
      <w:marBottom w:val="0"/>
      <w:divBdr>
        <w:top w:val="none" w:sz="0" w:space="0" w:color="auto"/>
        <w:left w:val="none" w:sz="0" w:space="0" w:color="auto"/>
        <w:bottom w:val="none" w:sz="0" w:space="0" w:color="auto"/>
        <w:right w:val="none" w:sz="0" w:space="0" w:color="auto"/>
      </w:divBdr>
      <w:divsChild>
        <w:div w:id="1687441096">
          <w:marLeft w:val="0"/>
          <w:marRight w:val="0"/>
          <w:marTop w:val="0"/>
          <w:marBottom w:val="0"/>
          <w:divBdr>
            <w:top w:val="none" w:sz="0" w:space="0" w:color="auto"/>
            <w:left w:val="none" w:sz="0" w:space="0" w:color="auto"/>
            <w:bottom w:val="none" w:sz="0" w:space="0" w:color="auto"/>
            <w:right w:val="none" w:sz="0" w:space="0" w:color="auto"/>
          </w:divBdr>
          <w:divsChild>
            <w:div w:id="1908178321">
              <w:marLeft w:val="0"/>
              <w:marRight w:val="0"/>
              <w:marTop w:val="0"/>
              <w:marBottom w:val="0"/>
              <w:divBdr>
                <w:top w:val="none" w:sz="0" w:space="0" w:color="auto"/>
                <w:left w:val="none" w:sz="0" w:space="0" w:color="auto"/>
                <w:bottom w:val="none" w:sz="0" w:space="0" w:color="auto"/>
                <w:right w:val="none" w:sz="0" w:space="0" w:color="auto"/>
              </w:divBdr>
            </w:div>
            <w:div w:id="1127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981">
      <w:bodyDiv w:val="1"/>
      <w:marLeft w:val="0"/>
      <w:marRight w:val="0"/>
      <w:marTop w:val="0"/>
      <w:marBottom w:val="0"/>
      <w:divBdr>
        <w:top w:val="none" w:sz="0" w:space="0" w:color="auto"/>
        <w:left w:val="none" w:sz="0" w:space="0" w:color="auto"/>
        <w:bottom w:val="none" w:sz="0" w:space="0" w:color="auto"/>
        <w:right w:val="none" w:sz="0" w:space="0" w:color="auto"/>
      </w:divBdr>
      <w:divsChild>
        <w:div w:id="805704880">
          <w:marLeft w:val="0"/>
          <w:marRight w:val="0"/>
          <w:marTop w:val="0"/>
          <w:marBottom w:val="0"/>
          <w:divBdr>
            <w:top w:val="none" w:sz="0" w:space="0" w:color="auto"/>
            <w:left w:val="none" w:sz="0" w:space="0" w:color="auto"/>
            <w:bottom w:val="none" w:sz="0" w:space="0" w:color="auto"/>
            <w:right w:val="none" w:sz="0" w:space="0" w:color="auto"/>
          </w:divBdr>
        </w:div>
        <w:div w:id="986738261">
          <w:marLeft w:val="0"/>
          <w:marRight w:val="0"/>
          <w:marTop w:val="0"/>
          <w:marBottom w:val="0"/>
          <w:divBdr>
            <w:top w:val="none" w:sz="0" w:space="0" w:color="auto"/>
            <w:left w:val="none" w:sz="0" w:space="0" w:color="auto"/>
            <w:bottom w:val="none" w:sz="0" w:space="0" w:color="auto"/>
            <w:right w:val="none" w:sz="0" w:space="0" w:color="auto"/>
          </w:divBdr>
        </w:div>
      </w:divsChild>
    </w:div>
    <w:div w:id="1652708970">
      <w:bodyDiv w:val="1"/>
      <w:marLeft w:val="0"/>
      <w:marRight w:val="0"/>
      <w:marTop w:val="0"/>
      <w:marBottom w:val="0"/>
      <w:divBdr>
        <w:top w:val="none" w:sz="0" w:space="0" w:color="auto"/>
        <w:left w:val="none" w:sz="0" w:space="0" w:color="auto"/>
        <w:bottom w:val="none" w:sz="0" w:space="0" w:color="auto"/>
        <w:right w:val="none" w:sz="0" w:space="0" w:color="auto"/>
      </w:divBdr>
      <w:divsChild>
        <w:div w:id="322467748">
          <w:marLeft w:val="0"/>
          <w:marRight w:val="0"/>
          <w:marTop w:val="0"/>
          <w:marBottom w:val="0"/>
          <w:divBdr>
            <w:top w:val="none" w:sz="0" w:space="0" w:color="auto"/>
            <w:left w:val="none" w:sz="0" w:space="0" w:color="auto"/>
            <w:bottom w:val="none" w:sz="0" w:space="0" w:color="auto"/>
            <w:right w:val="none" w:sz="0" w:space="0" w:color="auto"/>
          </w:divBdr>
        </w:div>
        <w:div w:id="1986470587">
          <w:marLeft w:val="0"/>
          <w:marRight w:val="0"/>
          <w:marTop w:val="0"/>
          <w:marBottom w:val="0"/>
          <w:divBdr>
            <w:top w:val="none" w:sz="0" w:space="0" w:color="auto"/>
            <w:left w:val="none" w:sz="0" w:space="0" w:color="auto"/>
            <w:bottom w:val="none" w:sz="0" w:space="0" w:color="auto"/>
            <w:right w:val="none" w:sz="0" w:space="0" w:color="auto"/>
          </w:divBdr>
        </w:div>
      </w:divsChild>
    </w:div>
    <w:div w:id="1699089577">
      <w:bodyDiv w:val="1"/>
      <w:marLeft w:val="0"/>
      <w:marRight w:val="0"/>
      <w:marTop w:val="0"/>
      <w:marBottom w:val="0"/>
      <w:divBdr>
        <w:top w:val="none" w:sz="0" w:space="0" w:color="auto"/>
        <w:left w:val="none" w:sz="0" w:space="0" w:color="auto"/>
        <w:bottom w:val="none" w:sz="0" w:space="0" w:color="auto"/>
        <w:right w:val="none" w:sz="0" w:space="0" w:color="auto"/>
      </w:divBdr>
    </w:div>
    <w:div w:id="1851411675">
      <w:bodyDiv w:val="1"/>
      <w:marLeft w:val="0"/>
      <w:marRight w:val="0"/>
      <w:marTop w:val="0"/>
      <w:marBottom w:val="0"/>
      <w:divBdr>
        <w:top w:val="none" w:sz="0" w:space="0" w:color="auto"/>
        <w:left w:val="none" w:sz="0" w:space="0" w:color="auto"/>
        <w:bottom w:val="none" w:sz="0" w:space="0" w:color="auto"/>
        <w:right w:val="none" w:sz="0" w:space="0" w:color="auto"/>
      </w:divBdr>
      <w:divsChild>
        <w:div w:id="1881743239">
          <w:marLeft w:val="0"/>
          <w:marRight w:val="0"/>
          <w:marTop w:val="0"/>
          <w:marBottom w:val="0"/>
          <w:divBdr>
            <w:top w:val="none" w:sz="0" w:space="0" w:color="auto"/>
            <w:left w:val="none" w:sz="0" w:space="0" w:color="auto"/>
            <w:bottom w:val="none" w:sz="0" w:space="0" w:color="auto"/>
            <w:right w:val="none" w:sz="0" w:space="0" w:color="auto"/>
          </w:divBdr>
        </w:div>
        <w:div w:id="404840861">
          <w:marLeft w:val="0"/>
          <w:marRight w:val="0"/>
          <w:marTop w:val="0"/>
          <w:marBottom w:val="0"/>
          <w:divBdr>
            <w:top w:val="none" w:sz="0" w:space="0" w:color="auto"/>
            <w:left w:val="none" w:sz="0" w:space="0" w:color="auto"/>
            <w:bottom w:val="none" w:sz="0" w:space="0" w:color="auto"/>
            <w:right w:val="none" w:sz="0" w:space="0" w:color="auto"/>
          </w:divBdr>
        </w:div>
      </w:divsChild>
    </w:div>
    <w:div w:id="1918782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7538">
          <w:marLeft w:val="0"/>
          <w:marRight w:val="0"/>
          <w:marTop w:val="0"/>
          <w:marBottom w:val="0"/>
          <w:divBdr>
            <w:top w:val="none" w:sz="0" w:space="0" w:color="auto"/>
            <w:left w:val="none" w:sz="0" w:space="0" w:color="auto"/>
            <w:bottom w:val="none" w:sz="0" w:space="0" w:color="auto"/>
            <w:right w:val="none" w:sz="0" w:space="0" w:color="auto"/>
          </w:divBdr>
        </w:div>
      </w:divsChild>
    </w:div>
    <w:div w:id="2024429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290">
          <w:marLeft w:val="0"/>
          <w:marRight w:val="0"/>
          <w:marTop w:val="0"/>
          <w:marBottom w:val="0"/>
          <w:divBdr>
            <w:top w:val="none" w:sz="0" w:space="0" w:color="auto"/>
            <w:left w:val="none" w:sz="0" w:space="0" w:color="auto"/>
            <w:bottom w:val="none" w:sz="0" w:space="0" w:color="auto"/>
            <w:right w:val="none" w:sz="0" w:space="0" w:color="auto"/>
          </w:divBdr>
        </w:div>
      </w:divsChild>
    </w:div>
    <w:div w:id="2035879736">
      <w:bodyDiv w:val="1"/>
      <w:marLeft w:val="0"/>
      <w:marRight w:val="0"/>
      <w:marTop w:val="0"/>
      <w:marBottom w:val="0"/>
      <w:divBdr>
        <w:top w:val="none" w:sz="0" w:space="0" w:color="auto"/>
        <w:left w:val="none" w:sz="0" w:space="0" w:color="auto"/>
        <w:bottom w:val="none" w:sz="0" w:space="0" w:color="auto"/>
        <w:right w:val="none" w:sz="0" w:space="0" w:color="auto"/>
      </w:divBdr>
      <w:divsChild>
        <w:div w:id="116029110">
          <w:marLeft w:val="0"/>
          <w:marRight w:val="0"/>
          <w:marTop w:val="0"/>
          <w:marBottom w:val="0"/>
          <w:divBdr>
            <w:top w:val="none" w:sz="0" w:space="0" w:color="auto"/>
            <w:left w:val="none" w:sz="0" w:space="0" w:color="auto"/>
            <w:bottom w:val="none" w:sz="0" w:space="0" w:color="auto"/>
            <w:right w:val="none" w:sz="0" w:space="0" w:color="auto"/>
          </w:divBdr>
        </w:div>
        <w:div w:id="1144542060">
          <w:marLeft w:val="0"/>
          <w:marRight w:val="0"/>
          <w:marTop w:val="0"/>
          <w:marBottom w:val="0"/>
          <w:divBdr>
            <w:top w:val="none" w:sz="0" w:space="0" w:color="auto"/>
            <w:left w:val="none" w:sz="0" w:space="0" w:color="auto"/>
            <w:bottom w:val="none" w:sz="0" w:space="0" w:color="auto"/>
            <w:right w:val="none" w:sz="0" w:space="0" w:color="auto"/>
          </w:divBdr>
        </w:div>
      </w:divsChild>
    </w:div>
    <w:div w:id="2056465464">
      <w:bodyDiv w:val="1"/>
      <w:marLeft w:val="0"/>
      <w:marRight w:val="0"/>
      <w:marTop w:val="0"/>
      <w:marBottom w:val="0"/>
      <w:divBdr>
        <w:top w:val="none" w:sz="0" w:space="0" w:color="auto"/>
        <w:left w:val="none" w:sz="0" w:space="0" w:color="auto"/>
        <w:bottom w:val="none" w:sz="0" w:space="0" w:color="auto"/>
        <w:right w:val="none" w:sz="0" w:space="0" w:color="auto"/>
      </w:divBdr>
    </w:div>
    <w:div w:id="2118400378">
      <w:bodyDiv w:val="1"/>
      <w:marLeft w:val="0"/>
      <w:marRight w:val="0"/>
      <w:marTop w:val="0"/>
      <w:marBottom w:val="0"/>
      <w:divBdr>
        <w:top w:val="none" w:sz="0" w:space="0" w:color="auto"/>
        <w:left w:val="none" w:sz="0" w:space="0" w:color="auto"/>
        <w:bottom w:val="none" w:sz="0" w:space="0" w:color="auto"/>
        <w:right w:val="none" w:sz="0" w:space="0" w:color="auto"/>
      </w:divBdr>
    </w:div>
    <w:div w:id="21360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scpa.ru/patsienta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FF92-A6F1-4B90-A090-398F9F24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104099</Words>
  <Characters>593366</Characters>
  <Application>Microsoft Office Word</Application>
  <DocSecurity>0</DocSecurity>
  <Lines>4944</Lines>
  <Paragraphs>1392</Paragraphs>
  <ScaleCrop>false</ScaleCrop>
  <HeadingPairs>
    <vt:vector size="2" baseType="variant">
      <vt:variant>
        <vt:lpstr>Название</vt:lpstr>
      </vt:variant>
      <vt:variant>
        <vt:i4>1</vt:i4>
      </vt:variant>
    </vt:vector>
  </HeadingPairs>
  <TitlesOfParts>
    <vt:vector size="1" baseType="lpstr">
      <vt:lpstr>2</vt:lpstr>
    </vt:vector>
  </TitlesOfParts>
  <Company>SS</Company>
  <LinksUpToDate>false</LinksUpToDate>
  <CharactersWithSpaces>696073</CharactersWithSpaces>
  <SharedDoc>false</SharedDoc>
  <HLinks>
    <vt:vector size="54" baseType="variant">
      <vt:variant>
        <vt:i4>7340156</vt:i4>
      </vt:variant>
      <vt:variant>
        <vt:i4>24</vt:i4>
      </vt:variant>
      <vt:variant>
        <vt:i4>0</vt:i4>
      </vt:variant>
      <vt:variant>
        <vt:i4>5</vt:i4>
      </vt:variant>
      <vt:variant>
        <vt:lpwstr>http://niioncologii.ru/</vt:lpwstr>
      </vt:variant>
      <vt:variant>
        <vt:lpwstr/>
      </vt:variant>
      <vt:variant>
        <vt:i4>1638427</vt:i4>
      </vt:variant>
      <vt:variant>
        <vt:i4>21</vt:i4>
      </vt:variant>
      <vt:variant>
        <vt:i4>0</vt:i4>
      </vt:variant>
      <vt:variant>
        <vt:i4>5</vt:i4>
      </vt:variant>
      <vt:variant>
        <vt:lpwstr>http://oncodepartment.ru/</vt:lpwstr>
      </vt:variant>
      <vt:variant>
        <vt:lpwstr/>
      </vt:variant>
      <vt:variant>
        <vt:i4>3342372</vt:i4>
      </vt:variant>
      <vt:variant>
        <vt:i4>18</vt:i4>
      </vt:variant>
      <vt:variant>
        <vt:i4>0</vt:i4>
      </vt:variant>
      <vt:variant>
        <vt:i4>5</vt:i4>
      </vt:variant>
      <vt:variant>
        <vt:lpwstr>http://www.ncbi.nlm.nih.gov/pubmed/20011301</vt:lpwstr>
      </vt:variant>
      <vt:variant>
        <vt:lpwstr/>
      </vt:variant>
      <vt:variant>
        <vt:i4>720910</vt:i4>
      </vt:variant>
      <vt:variant>
        <vt:i4>15</vt:i4>
      </vt:variant>
      <vt:variant>
        <vt:i4>0</vt:i4>
      </vt:variant>
      <vt:variant>
        <vt:i4>5</vt:i4>
      </vt:variant>
      <vt:variant>
        <vt:lpwstr>http://www.ncbi.nlm.nih.gov/pubmed?term=</vt:lpwstr>
      </vt:variant>
      <vt:variant>
        <vt:lpwstr/>
      </vt:variant>
      <vt:variant>
        <vt:i4>720910</vt:i4>
      </vt:variant>
      <vt:variant>
        <vt:i4>12</vt:i4>
      </vt:variant>
      <vt:variant>
        <vt:i4>0</vt:i4>
      </vt:variant>
      <vt:variant>
        <vt:i4>5</vt:i4>
      </vt:variant>
      <vt:variant>
        <vt:lpwstr>http://www.ncbi.nlm.nih.gov/pubmed?term=</vt:lpwstr>
      </vt:variant>
      <vt:variant>
        <vt:lpwstr/>
      </vt:variant>
      <vt:variant>
        <vt:i4>327763</vt:i4>
      </vt:variant>
      <vt:variant>
        <vt:i4>9</vt:i4>
      </vt:variant>
      <vt:variant>
        <vt:i4>0</vt:i4>
      </vt:variant>
      <vt:variant>
        <vt:i4>5</vt:i4>
      </vt:variant>
      <vt:variant>
        <vt:lpwstr>https://www.ncbi.nlm.nih.gov/pubmed/26557880</vt:lpwstr>
      </vt:variant>
      <vt:variant>
        <vt:lpwstr/>
      </vt:variant>
      <vt:variant>
        <vt:i4>2424834</vt:i4>
      </vt:variant>
      <vt:variant>
        <vt:i4>6</vt:i4>
      </vt:variant>
      <vt:variant>
        <vt:i4>0</vt:i4>
      </vt:variant>
      <vt:variant>
        <vt:i4>5</vt:i4>
      </vt:variant>
      <vt:variant>
        <vt:lpwstr>https://www.ncbi.nlm.nih.gov/pubmed/?term=de%20Mello%20EL%5BAuthor%5D&amp;cauthor=true&amp;cauthor_uid=26557880</vt:lpwstr>
      </vt:variant>
      <vt:variant>
        <vt:lpwstr/>
      </vt:variant>
      <vt:variant>
        <vt:i4>3014663</vt:i4>
      </vt:variant>
      <vt:variant>
        <vt:i4>3</vt:i4>
      </vt:variant>
      <vt:variant>
        <vt:i4>0</vt:i4>
      </vt:variant>
      <vt:variant>
        <vt:i4>5</vt:i4>
      </vt:variant>
      <vt:variant>
        <vt:lpwstr>https://www.ncbi.nlm.nih.gov/pubmed/?term=de%20Jesus%20JP%5BAuthor%5D&amp;cauthor=true&amp;cauthor_uid=26557880</vt:lpwstr>
      </vt:variant>
      <vt:variant>
        <vt:lpwstr/>
      </vt:variant>
      <vt:variant>
        <vt:i4>3407878</vt:i4>
      </vt:variant>
      <vt:variant>
        <vt:i4>0</vt:i4>
      </vt:variant>
      <vt:variant>
        <vt:i4>0</vt:i4>
      </vt:variant>
      <vt:variant>
        <vt:i4>5</vt:i4>
      </vt:variant>
      <vt:variant>
        <vt:lpwstr>https://www.ncbi.nlm.nih.gov/pubmed/?term=Rosa%20B%5BAuthor%5D&amp;cauthor=true&amp;cauthor_uid=26557880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dc:creator>
  <cp:lastModifiedBy>Рената Чикаева</cp:lastModifiedBy>
  <cp:revision>6</cp:revision>
  <cp:lastPrinted>2020-02-17T10:47:00Z</cp:lastPrinted>
  <dcterms:created xsi:type="dcterms:W3CDTF">2024-03-11T08:53:00Z</dcterms:created>
  <dcterms:modified xsi:type="dcterms:W3CDTF">2024-03-11T13:21:00Z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id="UgReVgiw"/&gt;&lt;style id="http://www.zotero.org/styles/gost-r-7-0-5-2008-numeric" hasBibliography="1" bibliographyStyleHasBeenSet="1"/&gt;&lt;prefs&gt;&lt;pref name="fieldType" value="Field"/&gt;&lt;/prefs&gt;&lt;/data&gt;</vt:lpwstr>
  </property>
</Properties>
</file>